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tabs>
          <w:tab w:pos="6501" w:val="left" w:leader="none"/>
        </w:tabs>
        <w:spacing w:line="240" w:lineRule="auto"/>
        <w:ind w:left="110" w:right="0" w:firstLine="0"/>
        <w:rPr>
          <w:rFonts w:ascii="Times New Roman"/>
          <w:sz w:val="20"/>
        </w:rPr>
      </w:pPr>
      <w:r>
        <w:rPr>
          <w:rFonts w:ascii="Times New Roman"/>
          <w:position w:val="1"/>
          <w:sz w:val="20"/>
        </w:rPr>
        <w:drawing>
          <wp:inline distT="0" distB="0" distL="0" distR="0">
            <wp:extent cx="1277147" cy="112395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277147" cy="1123950"/>
                    </a:xfrm>
                    <a:prstGeom prst="rect">
                      <a:avLst/>
                    </a:prstGeom>
                  </pic:spPr>
                </pic:pic>
              </a:graphicData>
            </a:graphic>
          </wp:inline>
        </w:drawing>
      </w:r>
      <w:r>
        <w:rPr>
          <w:rFonts w:ascii="Times New Roman"/>
          <w:position w:val="1"/>
          <w:sz w:val="20"/>
        </w:rPr>
      </w:r>
      <w:r>
        <w:rPr>
          <w:rFonts w:ascii="Times New Roman"/>
          <w:position w:val="1"/>
          <w:sz w:val="20"/>
        </w:rPr>
        <w:tab/>
      </w:r>
      <w:r>
        <w:rPr>
          <w:rFonts w:ascii="Times New Roman"/>
          <w:sz w:val="20"/>
        </w:rPr>
        <w:drawing>
          <wp:inline distT="0" distB="0" distL="0" distR="0">
            <wp:extent cx="992974" cy="1123950"/>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992974" cy="1123950"/>
                    </a:xfrm>
                    <a:prstGeom prst="rect">
                      <a:avLst/>
                    </a:prstGeom>
                  </pic:spPr>
                </pic:pic>
              </a:graphicData>
            </a:graphic>
          </wp:inline>
        </w:drawing>
      </w:r>
      <w:r>
        <w:rPr>
          <w:rFonts w:ascii="Times New Roman"/>
          <w:sz w:val="20"/>
        </w:rPr>
      </w:r>
    </w:p>
    <w:p>
      <w:pPr>
        <w:pStyle w:val="BodyText"/>
        <w:spacing w:before="6"/>
        <w:rPr>
          <w:rFonts w:ascii="Times New Roman"/>
          <w:sz w:val="10"/>
        </w:rPr>
      </w:pPr>
    </w:p>
    <w:p>
      <w:pPr>
        <w:spacing w:line="276" w:lineRule="auto" w:before="72"/>
        <w:ind w:left="1706" w:right="1606" w:firstLine="0"/>
        <w:jc w:val="center"/>
        <w:rPr>
          <w:sz w:val="22"/>
        </w:rPr>
      </w:pPr>
      <w:bookmarkStart w:name="Tesis.pdf (p.1-4)" w:id="1"/>
      <w:bookmarkEnd w:id="1"/>
      <w:r>
        <w:rPr/>
      </w:r>
      <w:r>
        <w:rPr>
          <w:sz w:val="22"/>
        </w:rPr>
        <w:t>UNIVERSIDAD AUTÓNOMA DEL ESTADO DE MÉXICO FACULTAD DE PLANEACIÓN URBANA Y REGIONAL</w:t>
      </w:r>
    </w:p>
    <w:p>
      <w:pPr>
        <w:pStyle w:val="BodyText"/>
        <w:rPr>
          <w:sz w:val="22"/>
        </w:rPr>
      </w:pPr>
    </w:p>
    <w:p>
      <w:pPr>
        <w:pStyle w:val="BodyText"/>
        <w:rPr>
          <w:sz w:val="22"/>
        </w:rPr>
      </w:pPr>
    </w:p>
    <w:p>
      <w:pPr>
        <w:pStyle w:val="BodyText"/>
        <w:spacing w:before="4"/>
        <w:rPr>
          <w:sz w:val="17"/>
        </w:rPr>
      </w:pPr>
    </w:p>
    <w:p>
      <w:pPr>
        <w:spacing w:line="276" w:lineRule="auto" w:before="0"/>
        <w:ind w:left="2119" w:right="2022" w:firstLine="0"/>
        <w:jc w:val="center"/>
        <w:rPr>
          <w:sz w:val="22"/>
        </w:rPr>
      </w:pPr>
      <w:r>
        <w:rPr>
          <w:sz w:val="22"/>
        </w:rPr>
        <w:t>LA HABITABILIDAD DE LAS VIVIENDAS EN LA ZONA METROPOLITANA DE TOLUCA</w:t>
      </w:r>
    </w:p>
    <w:p>
      <w:pPr>
        <w:pStyle w:val="BodyText"/>
        <w:rPr>
          <w:sz w:val="22"/>
        </w:rPr>
      </w:pPr>
    </w:p>
    <w:p>
      <w:pPr>
        <w:pStyle w:val="BodyText"/>
        <w:rPr>
          <w:sz w:val="22"/>
        </w:rPr>
      </w:pPr>
    </w:p>
    <w:p>
      <w:pPr>
        <w:pStyle w:val="BodyText"/>
        <w:spacing w:before="4"/>
        <w:rPr>
          <w:sz w:val="17"/>
        </w:rPr>
      </w:pPr>
    </w:p>
    <w:p>
      <w:pPr>
        <w:spacing w:before="0"/>
        <w:ind w:left="1700" w:right="1606" w:firstLine="0"/>
        <w:jc w:val="center"/>
        <w:rPr>
          <w:sz w:val="32"/>
        </w:rPr>
      </w:pPr>
      <w:r>
        <w:rPr>
          <w:sz w:val="32"/>
        </w:rPr>
        <w:t>TESIS</w:t>
      </w:r>
    </w:p>
    <w:p>
      <w:pPr>
        <w:spacing w:line="429" w:lineRule="auto" w:before="201"/>
        <w:ind w:left="2584" w:right="2487" w:firstLine="0"/>
        <w:jc w:val="center"/>
        <w:rPr>
          <w:sz w:val="22"/>
        </w:rPr>
      </w:pPr>
      <w:r>
        <w:rPr>
          <w:sz w:val="22"/>
        </w:rPr>
        <w:t>QUE PARA OBTENER EL GRADO DE DOCTOR EN URBANISMO</w:t>
      </w:r>
    </w:p>
    <w:p>
      <w:pPr>
        <w:pStyle w:val="BodyText"/>
        <w:rPr>
          <w:sz w:val="22"/>
        </w:rPr>
      </w:pPr>
    </w:p>
    <w:p>
      <w:pPr>
        <w:pStyle w:val="BodyText"/>
        <w:rPr>
          <w:sz w:val="18"/>
        </w:rPr>
      </w:pPr>
    </w:p>
    <w:p>
      <w:pPr>
        <w:spacing w:line="427" w:lineRule="auto" w:before="0"/>
        <w:ind w:left="3355" w:right="3238" w:firstLine="520"/>
        <w:jc w:val="left"/>
        <w:rPr>
          <w:sz w:val="22"/>
        </w:rPr>
      </w:pPr>
      <w:r>
        <w:rPr>
          <w:sz w:val="22"/>
        </w:rPr>
        <w:t>PRESENTA: OMAR AVILA FLORES</w:t>
      </w:r>
    </w:p>
    <w:p>
      <w:pPr>
        <w:pStyle w:val="BodyText"/>
        <w:rPr>
          <w:sz w:val="22"/>
        </w:rPr>
      </w:pPr>
    </w:p>
    <w:p>
      <w:pPr>
        <w:pStyle w:val="BodyText"/>
        <w:spacing w:before="2"/>
        <w:rPr>
          <w:sz w:val="18"/>
        </w:rPr>
      </w:pPr>
    </w:p>
    <w:p>
      <w:pPr>
        <w:spacing w:line="429" w:lineRule="auto" w:before="0"/>
        <w:ind w:left="3062" w:right="2945" w:firstLine="331"/>
        <w:jc w:val="left"/>
        <w:rPr>
          <w:sz w:val="22"/>
        </w:rPr>
      </w:pPr>
      <w:r>
        <w:rPr>
          <w:sz w:val="22"/>
        </w:rPr>
        <w:t>DIRECTOR DE TESIS DR. JUAN CAMPOS ALANÍS</w:t>
      </w:r>
    </w:p>
    <w:p>
      <w:pPr>
        <w:pStyle w:val="BodyText"/>
        <w:rPr>
          <w:sz w:val="22"/>
        </w:rPr>
      </w:pPr>
    </w:p>
    <w:p>
      <w:pPr>
        <w:pStyle w:val="BodyText"/>
        <w:spacing w:before="9"/>
        <w:rPr>
          <w:sz w:val="17"/>
        </w:rPr>
      </w:pPr>
    </w:p>
    <w:p>
      <w:pPr>
        <w:spacing w:before="0"/>
        <w:ind w:left="1702" w:right="1606" w:firstLine="0"/>
        <w:jc w:val="center"/>
        <w:rPr>
          <w:sz w:val="22"/>
        </w:rPr>
      </w:pPr>
      <w:r>
        <w:rPr>
          <w:sz w:val="22"/>
        </w:rPr>
        <w:t>COMITÉ DE TUTORES</w:t>
      </w:r>
    </w:p>
    <w:p>
      <w:pPr>
        <w:pStyle w:val="BodyText"/>
        <w:spacing w:before="5"/>
        <w:rPr>
          <w:sz w:val="17"/>
        </w:rPr>
      </w:pPr>
    </w:p>
    <w:p>
      <w:pPr>
        <w:spacing w:line="429" w:lineRule="auto" w:before="0"/>
        <w:ind w:left="2119" w:right="2022" w:firstLine="0"/>
        <w:jc w:val="center"/>
        <w:rPr>
          <w:sz w:val="22"/>
        </w:rPr>
      </w:pPr>
      <w:r>
        <w:rPr>
          <w:sz w:val="22"/>
        </w:rPr>
        <w:t>DRA. MARÍA ESTELA OROZCO HERNÁNDEZ DR. ALFONSO MEJÍA MODESTO</w:t>
      </w:r>
    </w:p>
    <w:p>
      <w:pPr>
        <w:tabs>
          <w:tab w:pos="6398" w:val="left" w:leader="none"/>
        </w:tabs>
        <w:spacing w:before="56"/>
        <w:ind w:left="2505" w:right="0" w:firstLine="0"/>
        <w:jc w:val="left"/>
        <w:rPr>
          <w:sz w:val="22"/>
        </w:rPr>
      </w:pPr>
      <w:r>
        <w:rPr/>
        <w:pict>
          <v:group style="position:absolute;margin-left:111.599998pt;margin-top:2.43999pt;width:74.2pt;height:64.7pt;mso-position-horizontal-relative:page;mso-position-vertical-relative:paragraph;z-index:0" coordorigin="2232,49" coordsize="1484,1294">
            <v:shape style="position:absolute;left:2232;top:49;width:1484;height:1294" coordorigin="2232,49" coordsize="1484,1294" path="m2580,824l2578,817,2573,798,2570,778,2568,771,2556,771,2556,781,2561,800,2563,822,2566,826,2580,824m2592,572l2578,567,2578,572,2563,610,2563,620,2575,622,2578,615,2582,596,2590,577,2592,572m2614,910l2597,874,2592,860,2580,867,2585,879,2602,918,2614,910m2635,488l2623,481,2594,529,2609,534,2614,522,2635,488m2669,987l2657,975,2635,944,2623,954,2647,985,2659,997,2669,987m2695,418l2688,406,2674,418,2650,447,2659,457,2683,428,2695,418m2738,1050l2712,1030,2698,1016,2688,1026,2705,1040,2731,1059,2738,1050m2820,1095l2813,1090,2777,1074,2772,1071,2765,1083,2772,1086,2808,1102,2815,1107,2820,1095m2858,325l2856,313,2846,315,2808,330,2803,332,2808,344,2813,342,2851,327,2858,325m2911,1119l2909,1119,2870,1110,2858,1107,2856,1119,2868,1124,2887,1129,2909,1131,2911,1119m2952,296l2950,296,2928,298,2909,301,2897,303,2899,315,2911,313,2930,310,2952,310,2952,296m3007,1136l3005,1122,2993,1122,2971,1124,2952,1122,2952,1136,2971,1136,3007,1136m3048,303l3036,301,2993,296,2993,310,3014,310,3034,315,3046,315,3048,303m3103,1117l3098,1102,3094,1105,3074,1110,3053,1114,3046,1117,3048,1129,3058,1129,3077,1124,3098,1117,3103,1117m3142,332l3118,320,3096,315,3089,313,3084,325,3094,327,3113,334,3130,342,3134,344,3142,332m3266,1016l3257,1006,3230,1030,3216,1040,3226,1052,3240,1040,3266,1016m3295,447l3269,418,3257,406,3247,416,3259,428,3286,457,3295,447m3329,939l3317,932,3310,944,3286,975,3295,985,3298,982,3322,951,3329,939m3334,1342l3332,1316,3312,1316,3295,1316,3334,1342m3348,529l3341,514,3322,481,3319,481,3310,488,3331,522,3336,534,3348,529m3370,853l3358,848,3355,855,3348,874,3336,898,3348,903,3360,879,3367,860,3370,853m3382,620l3374,591,3367,572,3365,567,3353,572,3355,577,3360,596,3367,615,3367,622,3382,620m3391,757l3377,757,3374,778,3370,798,3367,810,3382,812,3384,800,3389,781,3391,759,3391,757m3394,716l3391,694,3391,673,3389,661,3374,663,3377,675,3379,694,3379,716,3394,716m3715,723l3702,716,3674,702,3674,716,2974,720,3179,366,3199,380,3216,392,3226,380,3206,368,3186,354,3340,88,3353,94,3354,75,3355,49,3317,75,3328,81,2965,706,2763,366,2772,361,2765,351,2757,356,2608,106,2621,99,2582,73,2585,118,2598,112,2746,362,2736,368,2719,380,2726,392,2746,378,2753,373,2958,719,2958,720,2566,722,2566,675,2568,663,2554,661,2554,673,2551,694,2551,722,2273,723,2273,709,2232,730,2273,750,2273,735,2950,733,2620,1303,2609,1297,2606,1342,2645,1316,2632,1309,2966,733,3168,1072,3166,1074,3134,1088,3142,1100,3173,1086,3175,1085,3308,1309,3323,1309,3332,1309,3331,1297,3320,1303,3186,1078,3190,1076,3182,1064,3179,1066,2981,733,3674,730,3674,742,3715,723e" filled="true" fillcolor="#000000" stroked="false">
              <v:path arrowok="t"/>
              <v:fill type="solid"/>
            </v:shape>
            <v:shape style="position:absolute;left:2801;top:572;width:343;height:290" type="#_x0000_t75" stroked="false">
              <v:imagedata r:id="rId7" o:title=""/>
            </v:shape>
            <v:shape style="position:absolute;left:2599;top:1069;width:211;height:211" type="#_x0000_t75" stroked="false">
              <v:imagedata r:id="rId8" o:title=""/>
            </v:shape>
            <v:shape style="position:absolute;left:2328;top:145;width:1284;height:1128" type="#_x0000_t75" stroked="false">
              <v:imagedata r:id="rId9" o:title=""/>
            </v:shape>
            <w10:wrap type="none"/>
          </v:group>
        </w:pict>
      </w:r>
      <w:r>
        <w:rPr>
          <w:sz w:val="22"/>
        </w:rPr>
        <w:t>TOLUCA, MÉXICO,</w:t>
      </w:r>
      <w:r>
        <w:rPr>
          <w:spacing w:val="-8"/>
          <w:sz w:val="22"/>
        </w:rPr>
        <w:t> </w:t>
      </w:r>
      <w:r>
        <w:rPr>
          <w:sz w:val="22"/>
        </w:rPr>
        <w:t>AGOSTO</w:t>
      </w:r>
      <w:r>
        <w:rPr>
          <w:spacing w:val="-4"/>
          <w:sz w:val="22"/>
        </w:rPr>
        <w:t> </w:t>
      </w:r>
      <w:r>
        <w:rPr>
          <w:sz w:val="22"/>
        </w:rPr>
        <w:t>2016</w:t>
        <w:tab/>
      </w:r>
      <w:r>
        <w:rPr>
          <w:sz w:val="22"/>
        </w:rPr>
        <w:drawing>
          <wp:inline distT="0" distB="0" distL="0" distR="0">
            <wp:extent cx="1322831" cy="844295"/>
            <wp:effectExtent l="0" t="0" r="0" b="0"/>
            <wp:docPr id="5" name="image6.jpeg" descr=""/>
            <wp:cNvGraphicFramePr>
              <a:graphicFrameLocks noChangeAspect="1"/>
            </wp:cNvGraphicFramePr>
            <a:graphic>
              <a:graphicData uri="http://schemas.openxmlformats.org/drawingml/2006/picture">
                <pic:pic>
                  <pic:nvPicPr>
                    <pic:cNvPr id="6" name="image6.jpeg"/>
                    <pic:cNvPicPr/>
                  </pic:nvPicPr>
                  <pic:blipFill>
                    <a:blip r:embed="rId10" cstate="print"/>
                    <a:stretch>
                      <a:fillRect/>
                    </a:stretch>
                  </pic:blipFill>
                  <pic:spPr>
                    <a:xfrm>
                      <a:off x="0" y="0"/>
                      <a:ext cx="1322831" cy="844295"/>
                    </a:xfrm>
                    <a:prstGeom prst="rect">
                      <a:avLst/>
                    </a:prstGeom>
                  </pic:spPr>
                </pic:pic>
              </a:graphicData>
            </a:graphic>
          </wp:inline>
        </w:drawing>
      </w:r>
      <w:r>
        <w:rPr>
          <w:sz w:val="22"/>
        </w:rPr>
      </w:r>
    </w:p>
    <w:p>
      <w:pPr>
        <w:spacing w:after="0"/>
        <w:jc w:val="left"/>
        <w:rPr>
          <w:sz w:val="22"/>
        </w:rPr>
        <w:sectPr>
          <w:type w:val="continuous"/>
          <w:pgSz w:w="12240" w:h="15840"/>
          <w:pgMar w:top="1420" w:bottom="280" w:left="16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p>
    <w:p>
      <w:pPr>
        <w:pStyle w:val="BodyText"/>
        <w:ind w:left="130"/>
        <w:rPr>
          <w:sz w:val="20"/>
        </w:rPr>
      </w:pPr>
      <w:r>
        <w:rPr>
          <w:sz w:val="20"/>
        </w:rPr>
        <w:pict>
          <v:group style="width:418.35pt;height:81pt;mso-position-horizontal-relative:char;mso-position-vertical-relative:line" coordorigin="0,0" coordsize="8367,1620">
            <v:shape style="position:absolute;left:0;top:0;width:1836;height:1615" type="#_x0000_t75" stroked="false">
              <v:imagedata r:id="rId11" o:title=""/>
            </v:shape>
            <v:shape style="position:absolute;left:1865;top:65;width:1373;height:1555" type="#_x0000_t75" stroked="false">
              <v:imagedata r:id="rId12" o:title=""/>
            </v:shape>
            <v:shape style="position:absolute;left:3276;top:379;width:1934;height:1236" type="#_x0000_t75" stroked="false">
              <v:imagedata r:id="rId13" o:title=""/>
            </v:shape>
            <v:shape style="position:absolute;left:5256;top:223;width:3110;height:1392" type="#_x0000_t75" stroked="false">
              <v:imagedata r:id="rId14" o:title=""/>
            </v:shape>
          </v:group>
        </w:pict>
      </w:r>
      <w:r>
        <w:rPr>
          <w:sz w:val="20"/>
        </w:rPr>
      </w:r>
    </w:p>
    <w:p>
      <w:pPr>
        <w:pStyle w:val="BodyText"/>
        <w:spacing w:before="9"/>
        <w:rPr>
          <w:sz w:val="20"/>
        </w:rPr>
      </w:pPr>
    </w:p>
    <w:p>
      <w:pPr>
        <w:spacing w:line="276" w:lineRule="auto" w:before="72"/>
        <w:ind w:left="101" w:right="98" w:firstLine="0"/>
        <w:jc w:val="both"/>
        <w:rPr>
          <w:sz w:val="22"/>
        </w:rPr>
      </w:pPr>
      <w:r>
        <w:rPr>
          <w:sz w:val="22"/>
        </w:rPr>
        <w:t>El Doctorado en Urbanismo está inscrito en el Programa Nacional de Posgrados de Calidad (PNPC) del CONACYT. El desarrollo de esta investigación fue posible gracias a la beca otorgada por el CONACYT para la realización de Estudios de Doctorado.</w:t>
      </w:r>
    </w:p>
    <w:p>
      <w:pPr>
        <w:spacing w:after="0" w:line="276" w:lineRule="auto"/>
        <w:jc w:val="both"/>
        <w:rPr>
          <w:sz w:val="22"/>
        </w:rPr>
        <w:sectPr>
          <w:pgSz w:w="12240" w:h="15840"/>
          <w:pgMar w:top="1500" w:bottom="280" w:left="1600" w:right="1600"/>
        </w:sectPr>
      </w:pPr>
    </w:p>
    <w:p>
      <w:pPr>
        <w:pStyle w:val="Heading4"/>
        <w:jc w:val="left"/>
      </w:pPr>
      <w:bookmarkStart w:name="Tesis I.pdf (p.5-260)" w:id="2"/>
      <w:bookmarkEnd w:id="2"/>
      <w:r>
        <w:rPr>
          <w:b w:val="0"/>
        </w:rPr>
      </w:r>
      <w:r>
        <w:rPr/>
        <w:t>Índice de Tesis</w:t>
      </w:r>
    </w:p>
    <w:p>
      <w:pPr>
        <w:spacing w:after="0"/>
        <w:jc w:val="left"/>
        <w:sectPr>
          <w:footerReference w:type="default" r:id="rId15"/>
          <w:pgSz w:w="12240" w:h="15840"/>
          <w:pgMar w:footer="1003" w:header="0" w:top="1360" w:bottom="1467" w:left="1600" w:right="1600"/>
          <w:pgNumType w:start="5"/>
        </w:sectPr>
      </w:pPr>
    </w:p>
    <w:sdt>
      <w:sdtPr>
        <w:docPartObj>
          <w:docPartGallery w:val="Table of Contents"/>
          <w:docPartUnique/>
        </w:docPartObj>
      </w:sdtPr>
      <w:sdtEndPr/>
      <w:sdtContent>
        <w:p>
          <w:pPr>
            <w:pStyle w:val="TOC2"/>
            <w:tabs>
              <w:tab w:pos="8933" w:val="right" w:leader="dot"/>
            </w:tabs>
            <w:spacing w:before="158"/>
            <w:ind w:left="342" w:firstLine="0"/>
          </w:pPr>
          <w:hyperlink w:history="true" w:anchor="_TOC_250031">
            <w:r>
              <w:rPr/>
              <w:t>Resumen</w:t>
              <w:tab/>
              <w:t>11</w:t>
            </w:r>
          </w:hyperlink>
        </w:p>
        <w:p>
          <w:pPr>
            <w:pStyle w:val="TOC2"/>
            <w:tabs>
              <w:tab w:pos="8933" w:val="right" w:leader="dot"/>
            </w:tabs>
            <w:ind w:left="342" w:firstLine="0"/>
          </w:pPr>
          <w:hyperlink w:history="true" w:anchor="_TOC_250030">
            <w:r>
              <w:rPr/>
              <w:t>Introducción</w:t>
              <w:tab/>
              <w:t>13</w:t>
            </w:r>
          </w:hyperlink>
        </w:p>
        <w:p>
          <w:pPr>
            <w:pStyle w:val="TOC1"/>
            <w:tabs>
              <w:tab w:pos="8933" w:val="right" w:leader="dot"/>
            </w:tabs>
            <w:spacing w:before="173"/>
            <w:rPr>
              <w:i/>
            </w:rPr>
          </w:pPr>
          <w:r>
            <w:rPr>
              <w:i/>
            </w:rPr>
            <w:t>Capítulo I Marco Teórico: estado</w:t>
          </w:r>
          <w:r>
            <w:rPr>
              <w:i/>
              <w:spacing w:val="-3"/>
            </w:rPr>
            <w:t> </w:t>
          </w:r>
          <w:r>
            <w:rPr>
              <w:i/>
            </w:rPr>
            <w:t>del</w:t>
          </w:r>
          <w:r>
            <w:rPr>
              <w:i/>
              <w:spacing w:val="-2"/>
            </w:rPr>
            <w:t> </w:t>
          </w:r>
          <w:r>
            <w:rPr>
              <w:i/>
            </w:rPr>
            <w:t>conocimiento</w:t>
            <w:tab/>
            <w:t>29</w:t>
          </w:r>
        </w:p>
        <w:p>
          <w:pPr>
            <w:pStyle w:val="TOC2"/>
            <w:tabs>
              <w:tab w:pos="8933" w:val="right" w:leader="dot"/>
            </w:tabs>
            <w:spacing w:before="171"/>
            <w:ind w:left="342" w:firstLine="0"/>
          </w:pPr>
          <w:hyperlink w:history="true" w:anchor="_TOC_250029">
            <w:r>
              <w:rPr/>
              <w:t>Introducción</w:t>
              <w:tab/>
              <w:t>30</w:t>
            </w:r>
          </w:hyperlink>
        </w:p>
        <w:p>
          <w:pPr>
            <w:pStyle w:val="TOC2"/>
            <w:numPr>
              <w:ilvl w:val="1"/>
              <w:numId w:val="1"/>
            </w:numPr>
            <w:tabs>
              <w:tab w:pos="765" w:val="left" w:leader="none"/>
              <w:tab w:pos="8933" w:val="right" w:leader="dot"/>
            </w:tabs>
            <w:spacing w:line="240" w:lineRule="auto" w:before="167" w:after="0"/>
            <w:ind w:left="764" w:right="0" w:hanging="422"/>
            <w:jc w:val="left"/>
          </w:pPr>
          <w:hyperlink w:history="true" w:anchor="_TOC_250028">
            <w:r>
              <w:rPr/>
              <w:t>El contexto de la vivienda: el</w:t>
            </w:r>
            <w:r>
              <w:rPr>
                <w:spacing w:val="-8"/>
              </w:rPr>
              <w:t> </w:t>
            </w:r>
            <w:r>
              <w:rPr/>
              <w:t>espacio</w:t>
            </w:r>
            <w:r>
              <w:rPr>
                <w:spacing w:val="-4"/>
              </w:rPr>
              <w:t> </w:t>
            </w:r>
            <w:r>
              <w:rPr/>
              <w:t>urbano</w:t>
              <w:tab/>
              <w:t>31</w:t>
            </w:r>
          </w:hyperlink>
        </w:p>
        <w:p>
          <w:pPr>
            <w:pStyle w:val="TOC3"/>
            <w:numPr>
              <w:ilvl w:val="2"/>
              <w:numId w:val="1"/>
            </w:numPr>
            <w:tabs>
              <w:tab w:pos="1063" w:val="left" w:leader="none"/>
              <w:tab w:pos="8930" w:val="right" w:leader="dot"/>
            </w:tabs>
            <w:spacing w:line="240" w:lineRule="auto" w:before="49" w:after="0"/>
            <w:ind w:left="1063" w:right="0" w:hanging="481"/>
            <w:jc w:val="left"/>
          </w:pPr>
          <w:r>
            <w:rPr/>
            <w:t>Concepto de</w:t>
          </w:r>
          <w:r>
            <w:rPr>
              <w:spacing w:val="-1"/>
            </w:rPr>
            <w:t> </w:t>
          </w:r>
          <w:r>
            <w:rPr/>
            <w:t>espacio</w:t>
          </w:r>
          <w:r>
            <w:rPr>
              <w:spacing w:val="-1"/>
            </w:rPr>
            <w:t> </w:t>
          </w:r>
          <w:r>
            <w:rPr/>
            <w:t>urbano</w:t>
            <w:tab/>
            <w:t>34</w:t>
          </w:r>
        </w:p>
        <w:p>
          <w:pPr>
            <w:pStyle w:val="TOC2"/>
            <w:numPr>
              <w:ilvl w:val="2"/>
              <w:numId w:val="1"/>
            </w:numPr>
            <w:tabs>
              <w:tab w:pos="974" w:val="left" w:leader="none"/>
              <w:tab w:pos="8933" w:val="right" w:leader="dot"/>
            </w:tabs>
            <w:spacing w:line="240" w:lineRule="auto" w:before="160" w:after="0"/>
            <w:ind w:left="973" w:right="0" w:hanging="631"/>
            <w:jc w:val="left"/>
          </w:pPr>
          <w:hyperlink w:history="true" w:anchor="_TOC_250027">
            <w:r>
              <w:rPr/>
              <w:t>Espacio público</w:t>
            </w:r>
            <w:r>
              <w:rPr>
                <w:spacing w:val="-4"/>
              </w:rPr>
              <w:t> </w:t>
            </w:r>
            <w:r>
              <w:rPr/>
              <w:t>y</w:t>
            </w:r>
            <w:r>
              <w:rPr>
                <w:spacing w:val="-5"/>
              </w:rPr>
              <w:t> </w:t>
            </w:r>
            <w:r>
              <w:rPr/>
              <w:t>privado</w:t>
              <w:tab/>
              <w:t>37</w:t>
            </w:r>
          </w:hyperlink>
        </w:p>
        <w:p>
          <w:pPr>
            <w:pStyle w:val="TOC3"/>
            <w:numPr>
              <w:ilvl w:val="3"/>
              <w:numId w:val="1"/>
            </w:numPr>
            <w:tabs>
              <w:tab w:pos="1302" w:val="left" w:leader="none"/>
              <w:tab w:pos="8930" w:val="right" w:leader="dot"/>
            </w:tabs>
            <w:spacing w:line="240" w:lineRule="auto" w:before="51" w:after="0"/>
            <w:ind w:left="1302" w:right="0" w:hanging="720"/>
            <w:jc w:val="left"/>
          </w:pPr>
          <w:r>
            <w:rPr/>
            <w:t>Espacio</w:t>
          </w:r>
          <w:r>
            <w:rPr>
              <w:spacing w:val="-1"/>
            </w:rPr>
            <w:t> </w:t>
          </w:r>
          <w:r>
            <w:rPr/>
            <w:t>público</w:t>
            <w:tab/>
            <w:t>37</w:t>
          </w:r>
        </w:p>
        <w:p>
          <w:pPr>
            <w:pStyle w:val="TOC3"/>
            <w:numPr>
              <w:ilvl w:val="3"/>
              <w:numId w:val="1"/>
            </w:numPr>
            <w:tabs>
              <w:tab w:pos="1302" w:val="left" w:leader="none"/>
              <w:tab w:pos="8930" w:val="right" w:leader="dot"/>
            </w:tabs>
            <w:spacing w:line="240" w:lineRule="auto" w:before="41" w:after="0"/>
            <w:ind w:left="1302" w:right="0" w:hanging="720"/>
            <w:jc w:val="left"/>
          </w:pPr>
          <w:r>
            <w:rPr/>
            <w:t>Espacio</w:t>
          </w:r>
          <w:r>
            <w:rPr>
              <w:spacing w:val="-1"/>
            </w:rPr>
            <w:t> </w:t>
          </w:r>
          <w:r>
            <w:rPr/>
            <w:t>privado</w:t>
            <w:tab/>
            <w:t>40</w:t>
          </w:r>
        </w:p>
        <w:p>
          <w:pPr>
            <w:pStyle w:val="TOC2"/>
            <w:numPr>
              <w:ilvl w:val="2"/>
              <w:numId w:val="1"/>
            </w:numPr>
            <w:tabs>
              <w:tab w:pos="974" w:val="left" w:leader="none"/>
              <w:tab w:pos="8933" w:val="right" w:leader="dot"/>
            </w:tabs>
            <w:spacing w:line="240" w:lineRule="auto" w:before="159" w:after="0"/>
            <w:ind w:left="973" w:right="0" w:hanging="631"/>
            <w:jc w:val="left"/>
          </w:pPr>
          <w:hyperlink w:history="true" w:anchor="_TOC_250026">
            <w:r>
              <w:rPr/>
              <w:t>Espacio residencial</w:t>
              <w:tab/>
              <w:t>42</w:t>
            </w:r>
          </w:hyperlink>
        </w:p>
        <w:p>
          <w:pPr>
            <w:pStyle w:val="TOC2"/>
            <w:numPr>
              <w:ilvl w:val="2"/>
              <w:numId w:val="1"/>
            </w:numPr>
            <w:tabs>
              <w:tab w:pos="974" w:val="left" w:leader="none"/>
              <w:tab w:pos="8933" w:val="right" w:leader="dot"/>
            </w:tabs>
            <w:spacing w:line="240" w:lineRule="auto" w:before="167" w:after="0"/>
            <w:ind w:left="973" w:right="0" w:hanging="631"/>
            <w:jc w:val="left"/>
          </w:pPr>
          <w:hyperlink w:history="true" w:anchor="_TOC_250025">
            <w:r>
              <w:rPr/>
              <w:t>Espacio Cotidiano</w:t>
              <w:tab/>
              <w:t>43</w:t>
            </w:r>
          </w:hyperlink>
        </w:p>
        <w:p>
          <w:pPr>
            <w:pStyle w:val="TOC2"/>
            <w:numPr>
              <w:ilvl w:val="1"/>
              <w:numId w:val="2"/>
            </w:numPr>
            <w:tabs>
              <w:tab w:pos="765" w:val="left" w:leader="none"/>
              <w:tab w:pos="8933" w:val="right" w:leader="dot"/>
            </w:tabs>
            <w:spacing w:line="240" w:lineRule="auto" w:before="170" w:after="0"/>
            <w:ind w:left="764" w:right="0" w:hanging="422"/>
            <w:jc w:val="left"/>
          </w:pPr>
          <w:hyperlink w:history="true" w:anchor="_TOC_250024">
            <w:r>
              <w:rPr/>
              <w:t>El entorno de las viviendas en</w:t>
            </w:r>
            <w:r>
              <w:rPr>
                <w:spacing w:val="1"/>
              </w:rPr>
              <w:t> </w:t>
            </w:r>
            <w:r>
              <w:rPr/>
              <w:t>la</w:t>
            </w:r>
            <w:r>
              <w:rPr>
                <w:spacing w:val="-1"/>
              </w:rPr>
              <w:t> </w:t>
            </w:r>
            <w:r>
              <w:rPr/>
              <w:t>ZMT</w:t>
              <w:tab/>
              <w:t>44</w:t>
            </w:r>
          </w:hyperlink>
        </w:p>
        <w:p>
          <w:pPr>
            <w:pStyle w:val="TOC3"/>
            <w:numPr>
              <w:ilvl w:val="2"/>
              <w:numId w:val="2"/>
            </w:numPr>
            <w:tabs>
              <w:tab w:pos="1122" w:val="left" w:leader="none"/>
              <w:tab w:pos="8930" w:val="right" w:leader="dot"/>
            </w:tabs>
            <w:spacing w:line="240" w:lineRule="auto" w:before="49" w:after="0"/>
            <w:ind w:left="1122" w:right="0" w:hanging="540"/>
            <w:jc w:val="left"/>
          </w:pPr>
          <w:r>
            <w:rPr/>
            <w:t>Análisis</w:t>
          </w:r>
          <w:r>
            <w:rPr>
              <w:spacing w:val="-1"/>
            </w:rPr>
            <w:t> </w:t>
          </w:r>
          <w:r>
            <w:rPr/>
            <w:t>Espacial</w:t>
            <w:tab/>
            <w:t>47</w:t>
          </w:r>
        </w:p>
        <w:p>
          <w:pPr>
            <w:pStyle w:val="TOC2"/>
            <w:numPr>
              <w:ilvl w:val="1"/>
              <w:numId w:val="2"/>
            </w:numPr>
            <w:tabs>
              <w:tab w:pos="765" w:val="left" w:leader="none"/>
              <w:tab w:pos="8933" w:val="right" w:leader="dot"/>
            </w:tabs>
            <w:spacing w:line="240" w:lineRule="auto" w:before="159" w:after="0"/>
            <w:ind w:left="764" w:right="0" w:hanging="422"/>
            <w:jc w:val="left"/>
          </w:pPr>
          <w:hyperlink w:history="true" w:anchor="_TOC_250023">
            <w:r>
              <w:rPr/>
              <w:t>Vivienda</w:t>
              <w:tab/>
              <w:t>48</w:t>
            </w:r>
          </w:hyperlink>
        </w:p>
        <w:p>
          <w:pPr>
            <w:pStyle w:val="TOC3"/>
            <w:numPr>
              <w:ilvl w:val="2"/>
              <w:numId w:val="2"/>
            </w:numPr>
            <w:tabs>
              <w:tab w:pos="1122" w:val="left" w:leader="none"/>
              <w:tab w:pos="8930" w:val="right" w:leader="dot"/>
            </w:tabs>
            <w:spacing w:line="240" w:lineRule="auto" w:before="49" w:after="0"/>
            <w:ind w:left="1122" w:right="0" w:hanging="540"/>
            <w:jc w:val="left"/>
          </w:pPr>
          <w:r>
            <w:rPr/>
            <w:t>Concepto de</w:t>
          </w:r>
          <w:r>
            <w:rPr>
              <w:spacing w:val="-1"/>
            </w:rPr>
            <w:t> </w:t>
          </w:r>
          <w:r>
            <w:rPr/>
            <w:t>vivienda</w:t>
            <w:tab/>
            <w:t>49</w:t>
          </w:r>
        </w:p>
        <w:p>
          <w:pPr>
            <w:pStyle w:val="TOC3"/>
            <w:numPr>
              <w:ilvl w:val="2"/>
              <w:numId w:val="2"/>
            </w:numPr>
            <w:tabs>
              <w:tab w:pos="1122" w:val="left" w:leader="none"/>
              <w:tab w:pos="8930" w:val="right" w:leader="dot"/>
            </w:tabs>
            <w:spacing w:line="240" w:lineRule="auto" w:before="43" w:after="0"/>
            <w:ind w:left="1122" w:right="0" w:hanging="540"/>
            <w:jc w:val="left"/>
          </w:pPr>
          <w:r>
            <w:rPr/>
            <w:t>Características de</w:t>
          </w:r>
          <w:r>
            <w:rPr>
              <w:spacing w:val="-2"/>
            </w:rPr>
            <w:t> </w:t>
          </w:r>
          <w:r>
            <w:rPr/>
            <w:t>las</w:t>
          </w:r>
          <w:r>
            <w:rPr>
              <w:spacing w:val="-1"/>
            </w:rPr>
            <w:t> </w:t>
          </w:r>
          <w:r>
            <w:rPr/>
            <w:t>viviendas</w:t>
            <w:tab/>
            <w:t>51</w:t>
          </w:r>
        </w:p>
        <w:p>
          <w:pPr>
            <w:pStyle w:val="TOC3"/>
            <w:tabs>
              <w:tab w:pos="8930" w:val="right" w:leader="dot"/>
            </w:tabs>
            <w:ind w:left="581" w:firstLine="0"/>
          </w:pPr>
          <w:r>
            <w:rPr/>
            <w:t>1.3.2 Tipos</w:t>
          </w:r>
          <w:r>
            <w:rPr>
              <w:spacing w:val="-1"/>
            </w:rPr>
            <w:t> </w:t>
          </w:r>
          <w:r>
            <w:rPr/>
            <w:t>de vivienda</w:t>
            <w:tab/>
            <w:t>54</w:t>
          </w:r>
        </w:p>
        <w:p>
          <w:pPr>
            <w:pStyle w:val="TOC3"/>
            <w:tabs>
              <w:tab w:pos="8930" w:val="right" w:leader="dot"/>
            </w:tabs>
            <w:ind w:left="581" w:firstLine="0"/>
          </w:pPr>
          <w:r>
            <w:rPr/>
            <w:t>1.3.4Derecho a</w:t>
          </w:r>
          <w:r>
            <w:rPr>
              <w:spacing w:val="-2"/>
            </w:rPr>
            <w:t> </w:t>
          </w:r>
          <w:r>
            <w:rPr/>
            <w:t>la</w:t>
          </w:r>
          <w:r>
            <w:rPr>
              <w:spacing w:val="-1"/>
            </w:rPr>
            <w:t> </w:t>
          </w:r>
          <w:r>
            <w:rPr/>
            <w:t>vivienda</w:t>
            <w:tab/>
            <w:t>57</w:t>
          </w:r>
        </w:p>
        <w:p>
          <w:pPr>
            <w:pStyle w:val="TOC2"/>
            <w:numPr>
              <w:ilvl w:val="1"/>
              <w:numId w:val="2"/>
            </w:numPr>
            <w:tabs>
              <w:tab w:pos="765" w:val="left" w:leader="none"/>
              <w:tab w:pos="8933" w:val="right" w:leader="dot"/>
            </w:tabs>
            <w:spacing w:line="240" w:lineRule="auto" w:before="159" w:after="0"/>
            <w:ind w:left="764" w:right="0" w:hanging="422"/>
            <w:jc w:val="left"/>
          </w:pPr>
          <w:hyperlink w:history="true" w:anchor="_TOC_250022">
            <w:r>
              <w:rPr/>
              <w:t>Habitabilidad</w:t>
              <w:tab/>
              <w:t>60</w:t>
            </w:r>
          </w:hyperlink>
        </w:p>
        <w:p>
          <w:pPr>
            <w:pStyle w:val="TOC3"/>
            <w:numPr>
              <w:ilvl w:val="2"/>
              <w:numId w:val="2"/>
            </w:numPr>
            <w:tabs>
              <w:tab w:pos="1063" w:val="left" w:leader="none"/>
              <w:tab w:pos="8930" w:val="right" w:leader="dot"/>
            </w:tabs>
            <w:spacing w:line="240" w:lineRule="auto" w:before="51" w:after="0"/>
            <w:ind w:left="1063" w:right="0" w:hanging="481"/>
            <w:jc w:val="left"/>
          </w:pPr>
          <w:r>
            <w:rPr/>
            <w:t>Definición</w:t>
          </w:r>
          <w:r>
            <w:rPr>
              <w:spacing w:val="-2"/>
            </w:rPr>
            <w:t> </w:t>
          </w:r>
          <w:r>
            <w:rPr/>
            <w:t>de</w:t>
          </w:r>
          <w:r>
            <w:rPr>
              <w:spacing w:val="-1"/>
            </w:rPr>
            <w:t> </w:t>
          </w:r>
          <w:r>
            <w:rPr/>
            <w:t>habitabilidad</w:t>
            <w:tab/>
            <w:t>63</w:t>
          </w:r>
        </w:p>
        <w:p>
          <w:pPr>
            <w:pStyle w:val="TOC3"/>
            <w:numPr>
              <w:ilvl w:val="2"/>
              <w:numId w:val="2"/>
            </w:numPr>
            <w:tabs>
              <w:tab w:pos="1122" w:val="left" w:leader="none"/>
              <w:tab w:pos="8930" w:val="right" w:leader="dot"/>
            </w:tabs>
            <w:spacing w:line="240" w:lineRule="auto" w:before="41" w:after="0"/>
            <w:ind w:left="1122" w:right="0" w:hanging="540"/>
            <w:jc w:val="left"/>
          </w:pPr>
          <w:r>
            <w:rPr/>
            <w:t>Características de</w:t>
          </w:r>
          <w:r>
            <w:rPr>
              <w:spacing w:val="-2"/>
            </w:rPr>
            <w:t> </w:t>
          </w:r>
          <w:r>
            <w:rPr/>
            <w:t>la</w:t>
          </w:r>
          <w:r>
            <w:rPr>
              <w:spacing w:val="-2"/>
            </w:rPr>
            <w:t> </w:t>
          </w:r>
          <w:r>
            <w:rPr/>
            <w:t>habitabilidad</w:t>
            <w:tab/>
            <w:t>68</w:t>
          </w:r>
        </w:p>
        <w:p>
          <w:pPr>
            <w:pStyle w:val="TOC3"/>
            <w:numPr>
              <w:ilvl w:val="2"/>
              <w:numId w:val="2"/>
            </w:numPr>
            <w:tabs>
              <w:tab w:pos="1125" w:val="left" w:leader="none"/>
              <w:tab w:pos="8930" w:val="right" w:leader="dot"/>
            </w:tabs>
            <w:spacing w:line="240" w:lineRule="auto" w:before="41" w:after="0"/>
            <w:ind w:left="1124" w:right="0" w:hanging="542"/>
            <w:jc w:val="left"/>
          </w:pPr>
          <w:r>
            <w:rPr>
              <w:spacing w:val="-3"/>
            </w:rPr>
            <w:t>La </w:t>
          </w:r>
          <w:r>
            <w:rPr/>
            <w:t>habitabilidad de</w:t>
          </w:r>
          <w:r>
            <w:rPr>
              <w:spacing w:val="2"/>
            </w:rPr>
            <w:t> </w:t>
          </w:r>
          <w:r>
            <w:rPr/>
            <w:t>las</w:t>
          </w:r>
          <w:r>
            <w:rPr>
              <w:spacing w:val="-1"/>
            </w:rPr>
            <w:t> </w:t>
          </w:r>
          <w:r>
            <w:rPr/>
            <w:t>viviendas</w:t>
            <w:tab/>
            <w:t>71</w:t>
          </w:r>
        </w:p>
        <w:p>
          <w:pPr>
            <w:pStyle w:val="TOC3"/>
            <w:numPr>
              <w:ilvl w:val="2"/>
              <w:numId w:val="2"/>
            </w:numPr>
            <w:tabs>
              <w:tab w:pos="1122" w:val="left" w:leader="none"/>
              <w:tab w:pos="8930" w:val="right" w:leader="dot"/>
            </w:tabs>
            <w:spacing w:line="240" w:lineRule="auto" w:before="41" w:after="0"/>
            <w:ind w:left="1122" w:right="0" w:hanging="540"/>
            <w:jc w:val="left"/>
          </w:pPr>
          <w:r>
            <w:rPr/>
            <w:t>Evaluando</w:t>
          </w:r>
          <w:r>
            <w:rPr>
              <w:spacing w:val="-1"/>
            </w:rPr>
            <w:t> </w:t>
          </w:r>
          <w:r>
            <w:rPr/>
            <w:t>la</w:t>
          </w:r>
          <w:r>
            <w:rPr>
              <w:spacing w:val="-1"/>
            </w:rPr>
            <w:t> </w:t>
          </w:r>
          <w:r>
            <w:rPr/>
            <w:t>habitabilidad</w:t>
            <w:tab/>
            <w:t>76</w:t>
          </w:r>
        </w:p>
        <w:p>
          <w:pPr>
            <w:pStyle w:val="TOC2"/>
            <w:tabs>
              <w:tab w:pos="8933" w:val="right" w:leader="dot"/>
            </w:tabs>
            <w:spacing w:before="162"/>
            <w:ind w:left="342" w:firstLine="0"/>
          </w:pPr>
          <w:hyperlink w:history="true" w:anchor="_TOC_250021">
            <w:r>
              <w:rPr/>
              <w:t>Conclusiones</w:t>
              <w:tab/>
              <w:t>78</w:t>
            </w:r>
          </w:hyperlink>
        </w:p>
        <w:p>
          <w:pPr>
            <w:pStyle w:val="TOC1"/>
            <w:tabs>
              <w:tab w:pos="8933" w:val="right" w:leader="dot"/>
            </w:tabs>
            <w:spacing w:line="276" w:lineRule="auto"/>
            <w:ind w:right="104"/>
          </w:pPr>
          <w:r>
            <w:rPr>
              <w:i/>
            </w:rPr>
            <w:t>Capítulo 2 Método para evaluar la habitabilidad de la vivienda en </w:t>
          </w:r>
          <w:r>
            <w:rPr/>
            <w:t>la </w:t>
          </w:r>
          <w:r>
            <w:rPr>
              <w:sz w:val="26"/>
            </w:rPr>
            <w:t>ZMT</w:t>
          </w:r>
          <w:r>
            <w:rPr/>
            <w:tab/>
            <w:t>79</w:t>
          </w:r>
        </w:p>
        <w:p>
          <w:pPr>
            <w:pStyle w:val="TOC2"/>
            <w:tabs>
              <w:tab w:pos="8933" w:val="right" w:leader="dot"/>
            </w:tabs>
            <w:spacing w:before="118"/>
            <w:ind w:left="342" w:firstLine="0"/>
          </w:pPr>
          <w:hyperlink w:history="true" w:anchor="_TOC_250020">
            <w:r>
              <w:rPr/>
              <w:t>Introducción</w:t>
              <w:tab/>
              <w:t>80</w:t>
            </w:r>
          </w:hyperlink>
        </w:p>
        <w:p>
          <w:pPr>
            <w:pStyle w:val="TOC2"/>
            <w:numPr>
              <w:ilvl w:val="1"/>
              <w:numId w:val="3"/>
            </w:numPr>
            <w:tabs>
              <w:tab w:pos="765" w:val="left" w:leader="none"/>
              <w:tab w:pos="8933" w:val="right" w:leader="dot"/>
            </w:tabs>
            <w:spacing w:line="240" w:lineRule="auto" w:before="167" w:after="0"/>
            <w:ind w:left="764" w:right="0" w:hanging="422"/>
            <w:jc w:val="left"/>
          </w:pPr>
          <w:hyperlink w:history="true" w:anchor="_TOC_250019">
            <w:r>
              <w:rPr/>
              <w:t>Diseño de</w:t>
            </w:r>
            <w:r>
              <w:rPr>
                <w:spacing w:val="-7"/>
              </w:rPr>
              <w:t> </w:t>
            </w:r>
            <w:r>
              <w:rPr/>
              <w:t>la</w:t>
            </w:r>
            <w:r>
              <w:rPr>
                <w:spacing w:val="-1"/>
              </w:rPr>
              <w:t> </w:t>
            </w:r>
            <w:r>
              <w:rPr/>
              <w:t>investigación</w:t>
              <w:tab/>
              <w:t>89</w:t>
            </w:r>
          </w:hyperlink>
        </w:p>
        <w:p>
          <w:pPr>
            <w:pStyle w:val="TOC2"/>
            <w:numPr>
              <w:ilvl w:val="1"/>
              <w:numId w:val="3"/>
            </w:numPr>
            <w:tabs>
              <w:tab w:pos="765" w:val="left" w:leader="none"/>
              <w:tab w:pos="8933" w:val="right" w:leader="dot"/>
            </w:tabs>
            <w:spacing w:line="240" w:lineRule="auto" w:before="167" w:after="0"/>
            <w:ind w:left="764" w:right="0" w:hanging="422"/>
            <w:jc w:val="left"/>
          </w:pPr>
          <w:hyperlink w:history="true" w:anchor="_TOC_250018">
            <w:r>
              <w:rPr/>
              <w:t>Investigación cuantitativa</w:t>
              <w:tab/>
              <w:t>89</w:t>
            </w:r>
          </w:hyperlink>
        </w:p>
        <w:p>
          <w:pPr>
            <w:pStyle w:val="TOC2"/>
            <w:numPr>
              <w:ilvl w:val="1"/>
              <w:numId w:val="3"/>
            </w:numPr>
            <w:tabs>
              <w:tab w:pos="765" w:val="left" w:leader="none"/>
              <w:tab w:pos="8933" w:val="right" w:leader="dot"/>
            </w:tabs>
            <w:spacing w:line="240" w:lineRule="auto" w:before="167" w:after="0"/>
            <w:ind w:left="764" w:right="0" w:hanging="422"/>
            <w:jc w:val="left"/>
          </w:pPr>
          <w:hyperlink w:history="true" w:anchor="_TOC_250017">
            <w:r>
              <w:rPr/>
              <w:t>Construcción de la base de</w:t>
            </w:r>
            <w:r>
              <w:rPr>
                <w:spacing w:val="-4"/>
              </w:rPr>
              <w:t> </w:t>
            </w:r>
            <w:r>
              <w:rPr/>
              <w:t>datos</w:t>
              <w:tab/>
              <w:t>90</w:t>
            </w:r>
          </w:hyperlink>
        </w:p>
        <w:p>
          <w:pPr>
            <w:pStyle w:val="TOC2"/>
            <w:numPr>
              <w:ilvl w:val="1"/>
              <w:numId w:val="3"/>
            </w:numPr>
            <w:tabs>
              <w:tab w:pos="765" w:val="left" w:leader="none"/>
              <w:tab w:pos="8933" w:val="right" w:leader="dot"/>
            </w:tabs>
            <w:spacing w:line="240" w:lineRule="auto" w:before="49" w:after="0"/>
            <w:ind w:left="764" w:right="0" w:hanging="422"/>
            <w:jc w:val="left"/>
          </w:pPr>
          <w:hyperlink w:history="true" w:anchor="_TOC_250016">
            <w:r>
              <w:rPr/>
              <w:t>Método Análisis Jerárquico</w:t>
            </w:r>
            <w:r>
              <w:rPr>
                <w:spacing w:val="-6"/>
              </w:rPr>
              <w:t> </w:t>
            </w:r>
            <w:r>
              <w:rPr/>
              <w:t>de</w:t>
            </w:r>
            <w:r>
              <w:rPr>
                <w:spacing w:val="-1"/>
              </w:rPr>
              <w:t> </w:t>
            </w:r>
            <w:r>
              <w:rPr/>
              <w:t>Saaty</w:t>
              <w:tab/>
              <w:t>93</w:t>
            </w:r>
          </w:hyperlink>
        </w:p>
        <w:p>
          <w:pPr>
            <w:pStyle w:val="TOC2"/>
            <w:numPr>
              <w:ilvl w:val="1"/>
              <w:numId w:val="3"/>
            </w:numPr>
            <w:tabs>
              <w:tab w:pos="765" w:val="left" w:leader="none"/>
              <w:tab w:pos="8931" w:val="right" w:leader="dot"/>
            </w:tabs>
            <w:spacing w:line="240" w:lineRule="auto" w:before="170" w:after="0"/>
            <w:ind w:left="764" w:right="0" w:hanging="422"/>
            <w:jc w:val="left"/>
          </w:pPr>
          <w:hyperlink w:history="true" w:anchor="_TOC_250015">
            <w:r>
              <w:rPr/>
              <w:t>Índice</w:t>
            </w:r>
            <w:r>
              <w:rPr>
                <w:spacing w:val="-4"/>
              </w:rPr>
              <w:t> </w:t>
            </w:r>
            <w:r>
              <w:rPr/>
              <w:t>de</w:t>
            </w:r>
            <w:r>
              <w:rPr>
                <w:spacing w:val="-1"/>
              </w:rPr>
              <w:t> </w:t>
            </w:r>
            <w:r>
              <w:rPr/>
              <w:t>Accesibilidad</w:t>
              <w:tab/>
              <w:t>101</w:t>
            </w:r>
          </w:hyperlink>
        </w:p>
        <w:p>
          <w:pPr>
            <w:pStyle w:val="TOC1"/>
            <w:tabs>
              <w:tab w:pos="8933" w:val="right" w:leader="dot"/>
            </w:tabs>
            <w:spacing w:before="173"/>
            <w:rPr>
              <w:i/>
            </w:rPr>
          </w:pPr>
          <w:hyperlink w:history="true" w:anchor="_TOC_250014">
            <w:r>
              <w:rPr>
                <w:i/>
              </w:rPr>
              <w:t>Capítulo</w:t>
            </w:r>
            <w:r>
              <w:rPr>
                <w:i/>
                <w:spacing w:val="1"/>
              </w:rPr>
              <w:t> </w:t>
            </w:r>
            <w:r>
              <w:rPr>
                <w:i/>
              </w:rPr>
              <w:t>3</w:t>
              <w:tab/>
              <w:t>108</w:t>
            </w:r>
          </w:hyperlink>
        </w:p>
        <w:p>
          <w:pPr>
            <w:pStyle w:val="TOC1"/>
            <w:tabs>
              <w:tab w:pos="8933" w:val="right" w:leader="dot"/>
            </w:tabs>
            <w:spacing w:line="276" w:lineRule="auto"/>
            <w:ind w:right="104"/>
          </w:pPr>
          <w:hyperlink w:history="true" w:anchor="_TOC_250013">
            <w:r>
              <w:rPr>
                <w:i/>
              </w:rPr>
              <w:t>La habitabilidad de las viviendas en la zona metropolitana de </w:t>
            </w:r>
            <w:r>
              <w:rPr/>
              <w:t>Toluca</w:t>
              <w:tab/>
              <w:t>108</w:t>
            </w:r>
          </w:hyperlink>
        </w:p>
        <w:p>
          <w:pPr>
            <w:pStyle w:val="TOC2"/>
            <w:tabs>
              <w:tab w:pos="8931" w:val="right" w:leader="dot"/>
            </w:tabs>
            <w:spacing w:before="115"/>
            <w:ind w:left="342" w:firstLine="0"/>
          </w:pPr>
          <w:hyperlink w:history="true" w:anchor="_TOC_250012">
            <w:r>
              <w:rPr/>
              <w:t>Introducción</w:t>
              <w:tab/>
              <w:t>109</w:t>
            </w:r>
          </w:hyperlink>
        </w:p>
        <w:p>
          <w:pPr>
            <w:pStyle w:val="TOC2"/>
            <w:tabs>
              <w:tab w:pos="8931" w:val="right" w:leader="dot"/>
            </w:tabs>
            <w:spacing w:line="490" w:lineRule="exact" w:before="37"/>
            <w:ind w:left="342" w:right="106" w:firstLine="0"/>
          </w:pPr>
          <w:r>
            <w:rPr/>
            <w:t>Viviendas</w:t>
          </w:r>
          <w:r>
            <w:rPr>
              <w:spacing w:val="-2"/>
            </w:rPr>
            <w:t> </w:t>
          </w:r>
          <w:r>
            <w:rPr/>
            <w:t>habitadas</w:t>
          </w:r>
          <w:r>
            <w:rPr>
              <w:spacing w:val="-5"/>
            </w:rPr>
            <w:t> </w:t>
          </w:r>
          <w:r>
            <w:rPr/>
            <w:t>y</w:t>
          </w:r>
          <w:r>
            <w:rPr>
              <w:spacing w:val="-4"/>
            </w:rPr>
            <w:t> </w:t>
          </w:r>
          <w:r>
            <w:rPr/>
            <w:t>deshabitadas</w:t>
          </w:r>
          <w:r>
            <w:rPr>
              <w:spacing w:val="-2"/>
            </w:rPr>
            <w:t> </w:t>
          </w:r>
          <w:r>
            <w:rPr/>
            <w:t>en</w:t>
          </w:r>
          <w:r>
            <w:rPr>
              <w:spacing w:val="-2"/>
            </w:rPr>
            <w:t> </w:t>
          </w:r>
          <w:r>
            <w:rPr/>
            <w:t>la</w:t>
          </w:r>
          <w:r>
            <w:rPr>
              <w:spacing w:val="-3"/>
            </w:rPr>
            <w:t> </w:t>
          </w:r>
          <w:r>
            <w:rPr/>
            <w:t>zona</w:t>
          </w:r>
          <w:r>
            <w:rPr>
              <w:spacing w:val="-3"/>
            </w:rPr>
            <w:t> </w:t>
          </w:r>
          <w:r>
            <w:rPr/>
            <w:t>metropolitana</w:t>
          </w:r>
          <w:r>
            <w:rPr>
              <w:spacing w:val="-5"/>
            </w:rPr>
            <w:t> </w:t>
          </w:r>
          <w:r>
            <w:rPr/>
            <w:t>de</w:t>
          </w:r>
          <w:r>
            <w:rPr>
              <w:spacing w:val="-5"/>
            </w:rPr>
            <w:t> </w:t>
          </w:r>
          <w:r>
            <w:rPr/>
            <w:t>Toluca</w:t>
          </w:r>
          <w:r>
            <w:rPr>
              <w:spacing w:val="-42"/>
            </w:rPr>
            <w:t> </w:t>
          </w:r>
          <w:r>
            <w:rPr>
              <w:spacing w:val="2"/>
            </w:rPr>
            <w:t>..111 </w:t>
          </w:r>
          <w:r>
            <w:rPr/>
            <w:t>3.1 Servicios públicos de</w:t>
          </w:r>
          <w:r>
            <w:rPr>
              <w:spacing w:val="-2"/>
            </w:rPr>
            <w:t> </w:t>
          </w:r>
          <w:r>
            <w:rPr/>
            <w:t>las viviendas</w:t>
            <w:tab/>
            <w:t>113</w:t>
          </w:r>
        </w:p>
        <w:p>
          <w:pPr>
            <w:pStyle w:val="TOC3"/>
            <w:numPr>
              <w:ilvl w:val="2"/>
              <w:numId w:val="4"/>
            </w:numPr>
            <w:tabs>
              <w:tab w:pos="1122" w:val="left" w:leader="none"/>
              <w:tab w:pos="8930" w:val="right" w:leader="dot"/>
            </w:tabs>
            <w:spacing w:line="240" w:lineRule="auto" w:before="14" w:after="0"/>
            <w:ind w:left="1122" w:right="0" w:hanging="540"/>
            <w:jc w:val="left"/>
          </w:pPr>
          <w:r>
            <w:rPr/>
            <w:t>Servicio</w:t>
          </w:r>
          <w:r>
            <w:rPr>
              <w:spacing w:val="-1"/>
            </w:rPr>
            <w:t> </w:t>
          </w:r>
          <w:r>
            <w:rPr/>
            <w:t>de</w:t>
          </w:r>
          <w:r>
            <w:rPr>
              <w:spacing w:val="-1"/>
            </w:rPr>
            <w:t> </w:t>
          </w:r>
          <w:r>
            <w:rPr/>
            <w:t>agua</w:t>
            <w:tab/>
            <w:t>114</w:t>
          </w:r>
        </w:p>
        <w:p>
          <w:pPr>
            <w:pStyle w:val="TOC3"/>
            <w:numPr>
              <w:ilvl w:val="2"/>
              <w:numId w:val="4"/>
            </w:numPr>
            <w:tabs>
              <w:tab w:pos="1122" w:val="left" w:leader="none"/>
              <w:tab w:pos="8930" w:val="right" w:leader="dot"/>
            </w:tabs>
            <w:spacing w:line="240" w:lineRule="auto" w:before="41" w:after="0"/>
            <w:ind w:left="1122" w:right="0" w:hanging="540"/>
            <w:jc w:val="left"/>
          </w:pPr>
          <w:r>
            <w:rPr/>
            <w:t>Servicio de</w:t>
          </w:r>
          <w:r>
            <w:rPr>
              <w:spacing w:val="-1"/>
            </w:rPr>
            <w:t> </w:t>
          </w:r>
          <w:r>
            <w:rPr/>
            <w:t>energía eléctrica</w:t>
            <w:tab/>
            <w:t>119</w:t>
          </w:r>
        </w:p>
        <w:p>
          <w:pPr>
            <w:pStyle w:val="TOC3"/>
            <w:numPr>
              <w:ilvl w:val="2"/>
              <w:numId w:val="4"/>
            </w:numPr>
            <w:tabs>
              <w:tab w:pos="1122" w:val="left" w:leader="none"/>
              <w:tab w:pos="8930" w:val="right" w:leader="dot"/>
            </w:tabs>
            <w:spacing w:line="240" w:lineRule="auto" w:before="41" w:after="0"/>
            <w:ind w:left="1122" w:right="0" w:hanging="540"/>
            <w:jc w:val="left"/>
          </w:pPr>
          <w:r>
            <w:rPr/>
            <w:t>Servicio</w:t>
          </w:r>
          <w:r>
            <w:rPr>
              <w:spacing w:val="-1"/>
            </w:rPr>
            <w:t> </w:t>
          </w:r>
          <w:r>
            <w:rPr/>
            <w:t>de</w:t>
          </w:r>
          <w:r>
            <w:rPr>
              <w:spacing w:val="-1"/>
            </w:rPr>
            <w:t> </w:t>
          </w:r>
          <w:r>
            <w:rPr/>
            <w:t>drenaje</w:t>
            <w:tab/>
            <w:t>122</w:t>
          </w:r>
        </w:p>
        <w:p>
          <w:pPr>
            <w:pStyle w:val="TOC3"/>
            <w:numPr>
              <w:ilvl w:val="2"/>
              <w:numId w:val="4"/>
            </w:numPr>
            <w:tabs>
              <w:tab w:pos="1122" w:val="left" w:leader="none"/>
              <w:tab w:pos="8930" w:val="right" w:leader="dot"/>
            </w:tabs>
            <w:spacing w:line="240" w:lineRule="auto" w:before="41" w:after="0"/>
            <w:ind w:left="1122" w:right="0" w:hanging="540"/>
            <w:jc w:val="left"/>
          </w:pPr>
          <w:r>
            <w:rPr/>
            <w:t>Vivienda con sanitario</w:t>
          </w:r>
          <w:r>
            <w:rPr>
              <w:spacing w:val="-3"/>
            </w:rPr>
            <w:t> </w:t>
          </w:r>
          <w:r>
            <w:rPr/>
            <w:t>o</w:t>
          </w:r>
          <w:r>
            <w:rPr>
              <w:spacing w:val="-1"/>
            </w:rPr>
            <w:t> </w:t>
          </w:r>
          <w:r>
            <w:rPr/>
            <w:t>excusado</w:t>
            <w:tab/>
            <w:t>124</w:t>
          </w:r>
        </w:p>
        <w:p>
          <w:pPr>
            <w:pStyle w:val="TOC2"/>
            <w:numPr>
              <w:ilvl w:val="1"/>
              <w:numId w:val="5"/>
            </w:numPr>
            <w:tabs>
              <w:tab w:pos="835" w:val="left" w:leader="none"/>
              <w:tab w:pos="8931" w:val="right" w:leader="dot"/>
            </w:tabs>
            <w:spacing w:line="240" w:lineRule="auto" w:before="162" w:after="0"/>
            <w:ind w:left="834" w:right="0" w:hanging="492"/>
            <w:jc w:val="left"/>
          </w:pPr>
          <w:hyperlink w:history="true" w:anchor="_TOC_250011">
            <w:r>
              <w:rPr/>
              <w:t>Materiales</w:t>
            </w:r>
            <w:r>
              <w:rPr>
                <w:spacing w:val="-3"/>
              </w:rPr>
              <w:t> </w:t>
            </w:r>
            <w:r>
              <w:rPr/>
              <w:t>de</w:t>
            </w:r>
            <w:r>
              <w:rPr>
                <w:spacing w:val="-1"/>
              </w:rPr>
              <w:t> </w:t>
            </w:r>
            <w:r>
              <w:rPr/>
              <w:t>construcción</w:t>
              <w:tab/>
              <w:t>127</w:t>
            </w:r>
          </w:hyperlink>
        </w:p>
        <w:p>
          <w:pPr>
            <w:pStyle w:val="TOC3"/>
            <w:numPr>
              <w:ilvl w:val="2"/>
              <w:numId w:val="5"/>
            </w:numPr>
            <w:tabs>
              <w:tab w:pos="1122" w:val="left" w:leader="none"/>
              <w:tab w:pos="8930" w:val="right" w:leader="dot"/>
            </w:tabs>
            <w:spacing w:line="240" w:lineRule="auto" w:before="49" w:after="0"/>
            <w:ind w:left="1122" w:right="0" w:hanging="540"/>
            <w:jc w:val="left"/>
          </w:pPr>
          <w:r>
            <w:rPr/>
            <w:t>Techo de</w:t>
          </w:r>
          <w:r>
            <w:rPr>
              <w:spacing w:val="-2"/>
            </w:rPr>
            <w:t> </w:t>
          </w:r>
          <w:r>
            <w:rPr/>
            <w:t>las</w:t>
          </w:r>
          <w:r>
            <w:rPr>
              <w:spacing w:val="-1"/>
            </w:rPr>
            <w:t> </w:t>
          </w:r>
          <w:r>
            <w:rPr/>
            <w:t>viviendas</w:t>
            <w:tab/>
            <w:t>128</w:t>
          </w:r>
        </w:p>
        <w:p>
          <w:pPr>
            <w:pStyle w:val="TOC3"/>
            <w:numPr>
              <w:ilvl w:val="2"/>
              <w:numId w:val="5"/>
            </w:numPr>
            <w:tabs>
              <w:tab w:pos="1122" w:val="left" w:leader="none"/>
              <w:tab w:pos="8930" w:val="right" w:leader="dot"/>
            </w:tabs>
            <w:spacing w:line="240" w:lineRule="auto" w:before="41" w:after="0"/>
            <w:ind w:left="1122" w:right="0" w:hanging="540"/>
            <w:jc w:val="left"/>
          </w:pPr>
          <w:r>
            <w:rPr/>
            <w:t>Paredes de</w:t>
          </w:r>
          <w:r>
            <w:rPr>
              <w:spacing w:val="-2"/>
            </w:rPr>
            <w:t> </w:t>
          </w:r>
          <w:r>
            <w:rPr/>
            <w:t>las</w:t>
          </w:r>
          <w:r>
            <w:rPr>
              <w:spacing w:val="-1"/>
            </w:rPr>
            <w:t> </w:t>
          </w:r>
          <w:r>
            <w:rPr/>
            <w:t>viviendas</w:t>
            <w:tab/>
            <w:t>131</w:t>
          </w:r>
        </w:p>
        <w:p>
          <w:pPr>
            <w:pStyle w:val="TOC3"/>
            <w:numPr>
              <w:ilvl w:val="2"/>
              <w:numId w:val="5"/>
            </w:numPr>
            <w:tabs>
              <w:tab w:pos="1122" w:val="left" w:leader="none"/>
              <w:tab w:pos="8930" w:val="right" w:leader="dot"/>
            </w:tabs>
            <w:spacing w:line="240" w:lineRule="auto" w:before="41" w:after="0"/>
            <w:ind w:left="1122" w:right="0" w:hanging="540"/>
            <w:jc w:val="left"/>
          </w:pPr>
          <w:r>
            <w:rPr/>
            <w:t>Piso de tierra de</w:t>
          </w:r>
          <w:r>
            <w:rPr>
              <w:spacing w:val="-4"/>
            </w:rPr>
            <w:t> </w:t>
          </w:r>
          <w:r>
            <w:rPr/>
            <w:t>las viviendas</w:t>
            <w:tab/>
            <w:t>133</w:t>
          </w:r>
        </w:p>
        <w:p>
          <w:pPr>
            <w:pStyle w:val="TOC3"/>
            <w:numPr>
              <w:ilvl w:val="2"/>
              <w:numId w:val="5"/>
            </w:numPr>
            <w:tabs>
              <w:tab w:pos="1122" w:val="left" w:leader="none"/>
              <w:tab w:pos="8930" w:val="right" w:leader="dot"/>
            </w:tabs>
            <w:spacing w:line="240" w:lineRule="auto" w:before="43" w:after="0"/>
            <w:ind w:left="1122" w:right="0" w:hanging="540"/>
            <w:jc w:val="left"/>
          </w:pPr>
          <w:r>
            <w:rPr/>
            <w:t>Tenencia de</w:t>
          </w:r>
          <w:r>
            <w:rPr>
              <w:spacing w:val="-2"/>
            </w:rPr>
            <w:t> </w:t>
          </w:r>
          <w:r>
            <w:rPr/>
            <w:t>las</w:t>
          </w:r>
          <w:r>
            <w:rPr>
              <w:spacing w:val="-1"/>
            </w:rPr>
            <w:t> </w:t>
          </w:r>
          <w:r>
            <w:rPr/>
            <w:t>viviendas</w:t>
            <w:tab/>
            <w:t>136</w:t>
          </w:r>
        </w:p>
        <w:p>
          <w:pPr>
            <w:pStyle w:val="TOC3"/>
            <w:numPr>
              <w:ilvl w:val="2"/>
              <w:numId w:val="5"/>
            </w:numPr>
            <w:tabs>
              <w:tab w:pos="1122" w:val="left" w:leader="none"/>
              <w:tab w:pos="8930" w:val="right" w:leader="dot"/>
            </w:tabs>
            <w:spacing w:line="240" w:lineRule="auto" w:before="41" w:after="0"/>
            <w:ind w:left="1122" w:right="0" w:hanging="540"/>
            <w:jc w:val="left"/>
          </w:pPr>
          <w:r>
            <w:rPr/>
            <w:t>Viviendas con</w:t>
          </w:r>
          <w:r>
            <w:rPr>
              <w:spacing w:val="-1"/>
            </w:rPr>
            <w:t> </w:t>
          </w:r>
          <w:r>
            <w:rPr/>
            <w:t>1</w:t>
          </w:r>
          <w:r>
            <w:rPr>
              <w:spacing w:val="-1"/>
            </w:rPr>
            <w:t> </w:t>
          </w:r>
          <w:r>
            <w:rPr/>
            <w:t>cuarto</w:t>
            <w:tab/>
            <w:t>138</w:t>
          </w:r>
        </w:p>
        <w:p>
          <w:pPr>
            <w:pStyle w:val="TOC3"/>
            <w:numPr>
              <w:ilvl w:val="2"/>
              <w:numId w:val="5"/>
            </w:numPr>
            <w:tabs>
              <w:tab w:pos="1122" w:val="left" w:leader="none"/>
              <w:tab w:pos="8930" w:val="right" w:leader="dot"/>
            </w:tabs>
            <w:spacing w:line="240" w:lineRule="auto" w:before="41" w:after="0"/>
            <w:ind w:left="1122" w:right="0" w:hanging="540"/>
            <w:jc w:val="left"/>
          </w:pPr>
          <w:r>
            <w:rPr/>
            <w:t>Viviendas con</w:t>
          </w:r>
          <w:r>
            <w:rPr>
              <w:spacing w:val="-1"/>
            </w:rPr>
            <w:t> </w:t>
          </w:r>
          <w:r>
            <w:rPr/>
            <w:t>2</w:t>
          </w:r>
          <w:r>
            <w:rPr>
              <w:spacing w:val="-1"/>
            </w:rPr>
            <w:t> </w:t>
          </w:r>
          <w:r>
            <w:rPr/>
            <w:t>cuartos</w:t>
            <w:tab/>
            <w:t>140</w:t>
          </w:r>
        </w:p>
        <w:p>
          <w:pPr>
            <w:pStyle w:val="TOC3"/>
            <w:numPr>
              <w:ilvl w:val="2"/>
              <w:numId w:val="5"/>
            </w:numPr>
            <w:tabs>
              <w:tab w:pos="1122" w:val="left" w:leader="none"/>
              <w:tab w:pos="8930" w:val="right" w:leader="dot"/>
            </w:tabs>
            <w:spacing w:line="240" w:lineRule="auto" w:before="41" w:after="0"/>
            <w:ind w:left="1122" w:right="0" w:hanging="540"/>
            <w:jc w:val="left"/>
          </w:pPr>
          <w:r>
            <w:rPr/>
            <w:t>Ocupantes por cuarto de las</w:t>
          </w:r>
          <w:r>
            <w:rPr>
              <w:spacing w:val="-1"/>
            </w:rPr>
            <w:t> </w:t>
          </w:r>
          <w:r>
            <w:rPr/>
            <w:t>viviendas</w:t>
            <w:tab/>
            <w:t>142</w:t>
          </w:r>
        </w:p>
        <w:p>
          <w:pPr>
            <w:pStyle w:val="TOC2"/>
            <w:numPr>
              <w:ilvl w:val="1"/>
              <w:numId w:val="6"/>
            </w:numPr>
            <w:tabs>
              <w:tab w:pos="765" w:val="left" w:leader="none"/>
              <w:tab w:pos="8931" w:val="right" w:leader="dot"/>
            </w:tabs>
            <w:spacing w:line="240" w:lineRule="auto" w:before="162" w:after="0"/>
            <w:ind w:left="764" w:right="0" w:hanging="422"/>
            <w:jc w:val="left"/>
          </w:pPr>
          <w:hyperlink w:history="true" w:anchor="_TOC_250010">
            <w:r>
              <w:rPr/>
              <w:t>Bienes en</w:t>
            </w:r>
            <w:r>
              <w:rPr>
                <w:spacing w:val="-3"/>
              </w:rPr>
              <w:t> </w:t>
            </w:r>
            <w:r>
              <w:rPr/>
              <w:t>las</w:t>
            </w:r>
            <w:r>
              <w:rPr>
                <w:spacing w:val="-3"/>
              </w:rPr>
              <w:t> </w:t>
            </w:r>
            <w:r>
              <w:rPr/>
              <w:t>viviendas</w:t>
              <w:tab/>
              <w:t>144</w:t>
            </w:r>
          </w:hyperlink>
        </w:p>
        <w:p>
          <w:pPr>
            <w:pStyle w:val="TOC3"/>
            <w:numPr>
              <w:ilvl w:val="2"/>
              <w:numId w:val="6"/>
            </w:numPr>
            <w:tabs>
              <w:tab w:pos="1122" w:val="left" w:leader="none"/>
              <w:tab w:pos="8930" w:val="right" w:leader="dot"/>
            </w:tabs>
            <w:spacing w:line="240" w:lineRule="auto" w:before="49" w:after="0"/>
            <w:ind w:left="1122" w:right="0" w:hanging="540"/>
            <w:jc w:val="left"/>
          </w:pPr>
          <w:r>
            <w:rPr/>
            <w:t>Viviendas</w:t>
          </w:r>
          <w:r>
            <w:rPr>
              <w:spacing w:val="-1"/>
            </w:rPr>
            <w:t> </w:t>
          </w:r>
          <w:r>
            <w:rPr/>
            <w:t>con</w:t>
          </w:r>
          <w:r>
            <w:rPr>
              <w:spacing w:val="-1"/>
            </w:rPr>
            <w:t> </w:t>
          </w:r>
          <w:r>
            <w:rPr/>
            <w:t>radio</w:t>
            <w:tab/>
            <w:t>145</w:t>
          </w:r>
        </w:p>
        <w:p>
          <w:pPr>
            <w:pStyle w:val="TOC3"/>
            <w:numPr>
              <w:ilvl w:val="2"/>
              <w:numId w:val="6"/>
            </w:numPr>
            <w:tabs>
              <w:tab w:pos="1122" w:val="left" w:leader="none"/>
              <w:tab w:pos="8930" w:val="right" w:leader="dot"/>
            </w:tabs>
            <w:spacing w:line="240" w:lineRule="auto" w:before="41" w:after="0"/>
            <w:ind w:left="1122" w:right="0" w:hanging="540"/>
            <w:jc w:val="left"/>
          </w:pPr>
          <w:r>
            <w:rPr/>
            <w:t>Viviendas</w:t>
          </w:r>
          <w:r>
            <w:rPr>
              <w:spacing w:val="-1"/>
            </w:rPr>
            <w:t> </w:t>
          </w:r>
          <w:r>
            <w:rPr/>
            <w:t>con</w:t>
          </w:r>
          <w:r>
            <w:rPr>
              <w:spacing w:val="-1"/>
            </w:rPr>
            <w:t> </w:t>
          </w:r>
          <w:r>
            <w:rPr/>
            <w:t>televisor</w:t>
            <w:tab/>
            <w:t>147</w:t>
          </w:r>
        </w:p>
        <w:p>
          <w:pPr>
            <w:pStyle w:val="TOC3"/>
            <w:numPr>
              <w:ilvl w:val="2"/>
              <w:numId w:val="6"/>
            </w:numPr>
            <w:tabs>
              <w:tab w:pos="1122" w:val="left" w:leader="none"/>
              <w:tab w:pos="8930" w:val="right" w:leader="dot"/>
            </w:tabs>
            <w:spacing w:line="240" w:lineRule="auto" w:before="41" w:after="0"/>
            <w:ind w:left="1122" w:right="0" w:hanging="540"/>
            <w:jc w:val="left"/>
          </w:pPr>
          <w:r>
            <w:rPr/>
            <w:t>Viviendas</w:t>
          </w:r>
          <w:r>
            <w:rPr>
              <w:spacing w:val="-1"/>
            </w:rPr>
            <w:t> </w:t>
          </w:r>
          <w:r>
            <w:rPr/>
            <w:t>con</w:t>
          </w:r>
          <w:r>
            <w:rPr>
              <w:spacing w:val="-1"/>
            </w:rPr>
            <w:t> </w:t>
          </w:r>
          <w:r>
            <w:rPr/>
            <w:t>videocasetera</w:t>
            <w:tab/>
            <w:t>149</w:t>
          </w:r>
        </w:p>
        <w:p>
          <w:pPr>
            <w:pStyle w:val="TOC3"/>
            <w:numPr>
              <w:ilvl w:val="2"/>
              <w:numId w:val="6"/>
            </w:numPr>
            <w:tabs>
              <w:tab w:pos="1122" w:val="left" w:leader="none"/>
              <w:tab w:pos="8930" w:val="right" w:leader="dot"/>
            </w:tabs>
            <w:spacing w:line="240" w:lineRule="auto" w:before="43" w:after="0"/>
            <w:ind w:left="1122" w:right="0" w:hanging="540"/>
            <w:jc w:val="left"/>
          </w:pPr>
          <w:r>
            <w:rPr/>
            <w:t>Viviendas</w:t>
          </w:r>
          <w:r>
            <w:rPr>
              <w:spacing w:val="-1"/>
            </w:rPr>
            <w:t> </w:t>
          </w:r>
          <w:r>
            <w:rPr/>
            <w:t>con</w:t>
          </w:r>
          <w:r>
            <w:rPr>
              <w:spacing w:val="-1"/>
            </w:rPr>
            <w:t> </w:t>
          </w:r>
          <w:r>
            <w:rPr/>
            <w:t>refrigerador</w:t>
            <w:tab/>
            <w:t>150</w:t>
          </w:r>
        </w:p>
        <w:p>
          <w:pPr>
            <w:pStyle w:val="TOC3"/>
            <w:numPr>
              <w:ilvl w:val="2"/>
              <w:numId w:val="6"/>
            </w:numPr>
            <w:tabs>
              <w:tab w:pos="1122" w:val="left" w:leader="none"/>
              <w:tab w:pos="8930" w:val="right" w:leader="dot"/>
            </w:tabs>
            <w:spacing w:line="240" w:lineRule="auto" w:before="41" w:after="0"/>
            <w:ind w:left="1122" w:right="0" w:hanging="540"/>
            <w:jc w:val="left"/>
          </w:pPr>
          <w:r>
            <w:rPr/>
            <w:t>Viviendas</w:t>
          </w:r>
          <w:r>
            <w:rPr>
              <w:spacing w:val="-1"/>
            </w:rPr>
            <w:t> </w:t>
          </w:r>
          <w:r>
            <w:rPr/>
            <w:t>con</w:t>
          </w:r>
          <w:r>
            <w:rPr>
              <w:spacing w:val="-1"/>
            </w:rPr>
            <w:t> </w:t>
          </w:r>
          <w:r>
            <w:rPr/>
            <w:t>lavadora</w:t>
            <w:tab/>
            <w:t>152</w:t>
          </w:r>
        </w:p>
        <w:p>
          <w:pPr>
            <w:pStyle w:val="TOC3"/>
            <w:numPr>
              <w:ilvl w:val="2"/>
              <w:numId w:val="6"/>
            </w:numPr>
            <w:tabs>
              <w:tab w:pos="1122" w:val="left" w:leader="none"/>
              <w:tab w:pos="8930" w:val="right" w:leader="dot"/>
            </w:tabs>
            <w:spacing w:line="240" w:lineRule="auto" w:before="41" w:after="0"/>
            <w:ind w:left="1122" w:right="0" w:hanging="540"/>
            <w:jc w:val="left"/>
          </w:pPr>
          <w:r>
            <w:rPr/>
            <w:t>Viviendas</w:t>
          </w:r>
          <w:r>
            <w:rPr>
              <w:spacing w:val="-1"/>
            </w:rPr>
            <w:t> </w:t>
          </w:r>
          <w:r>
            <w:rPr/>
            <w:t>con</w:t>
          </w:r>
          <w:r>
            <w:rPr>
              <w:spacing w:val="-1"/>
            </w:rPr>
            <w:t> </w:t>
          </w:r>
          <w:r>
            <w:rPr/>
            <w:t>automóvil</w:t>
            <w:tab/>
            <w:t>154</w:t>
          </w:r>
        </w:p>
        <w:p>
          <w:pPr>
            <w:pStyle w:val="TOC3"/>
            <w:numPr>
              <w:ilvl w:val="2"/>
              <w:numId w:val="6"/>
            </w:numPr>
            <w:tabs>
              <w:tab w:pos="1122" w:val="left" w:leader="none"/>
              <w:tab w:pos="8930" w:val="right" w:leader="dot"/>
            </w:tabs>
            <w:spacing w:line="240" w:lineRule="auto" w:before="41" w:after="0"/>
            <w:ind w:left="1122" w:right="0" w:hanging="540"/>
            <w:jc w:val="left"/>
          </w:pPr>
          <w:r>
            <w:rPr/>
            <w:t>Viviendas</w:t>
          </w:r>
          <w:r>
            <w:rPr>
              <w:spacing w:val="-1"/>
            </w:rPr>
            <w:t> </w:t>
          </w:r>
          <w:r>
            <w:rPr/>
            <w:t>con</w:t>
          </w:r>
          <w:r>
            <w:rPr>
              <w:spacing w:val="-1"/>
            </w:rPr>
            <w:t> </w:t>
          </w:r>
          <w:r>
            <w:rPr/>
            <w:t>computadora</w:t>
            <w:tab/>
            <w:t>157</w:t>
          </w:r>
        </w:p>
        <w:p>
          <w:pPr>
            <w:pStyle w:val="TOC3"/>
            <w:numPr>
              <w:ilvl w:val="2"/>
              <w:numId w:val="6"/>
            </w:numPr>
            <w:tabs>
              <w:tab w:pos="1122" w:val="left" w:leader="none"/>
              <w:tab w:pos="8930" w:val="right" w:leader="dot"/>
            </w:tabs>
            <w:spacing w:line="240" w:lineRule="auto" w:before="43" w:after="0"/>
            <w:ind w:left="1122" w:right="0" w:hanging="540"/>
            <w:jc w:val="left"/>
          </w:pPr>
          <w:r>
            <w:rPr/>
            <w:t>Viviendas</w:t>
          </w:r>
          <w:r>
            <w:rPr>
              <w:spacing w:val="-1"/>
            </w:rPr>
            <w:t> </w:t>
          </w:r>
          <w:r>
            <w:rPr/>
            <w:t>con</w:t>
          </w:r>
          <w:r>
            <w:rPr>
              <w:spacing w:val="-1"/>
            </w:rPr>
            <w:t> </w:t>
          </w:r>
          <w:r>
            <w:rPr/>
            <w:t>internet</w:t>
            <w:tab/>
            <w:t>159</w:t>
          </w:r>
        </w:p>
        <w:p>
          <w:pPr>
            <w:pStyle w:val="TOC3"/>
            <w:numPr>
              <w:ilvl w:val="2"/>
              <w:numId w:val="6"/>
            </w:numPr>
            <w:tabs>
              <w:tab w:pos="1122" w:val="left" w:leader="none"/>
              <w:tab w:pos="8930" w:val="right" w:leader="dot"/>
            </w:tabs>
            <w:spacing w:line="240" w:lineRule="auto" w:before="41" w:after="0"/>
            <w:ind w:left="1122" w:right="0" w:hanging="540"/>
            <w:jc w:val="left"/>
          </w:pPr>
          <w:r>
            <w:rPr/>
            <w:t>Viviendas con teléfono</w:t>
            <w:tab/>
            <w:t>161</w:t>
          </w:r>
        </w:p>
        <w:p>
          <w:pPr>
            <w:pStyle w:val="TOC3"/>
            <w:numPr>
              <w:ilvl w:val="2"/>
              <w:numId w:val="6"/>
            </w:numPr>
            <w:tabs>
              <w:tab w:pos="1242" w:val="left" w:leader="none"/>
              <w:tab w:pos="8930" w:val="right" w:leader="dot"/>
            </w:tabs>
            <w:spacing w:line="240" w:lineRule="auto" w:before="41" w:after="0"/>
            <w:ind w:left="1242" w:right="0" w:hanging="660"/>
            <w:jc w:val="left"/>
          </w:pPr>
          <w:r>
            <w:rPr/>
            <w:t>Viviendas con</w:t>
          </w:r>
          <w:r>
            <w:rPr>
              <w:spacing w:val="-1"/>
            </w:rPr>
            <w:t> </w:t>
          </w:r>
          <w:r>
            <w:rPr/>
            <w:t>teléfono</w:t>
          </w:r>
          <w:r>
            <w:rPr>
              <w:spacing w:val="-2"/>
            </w:rPr>
            <w:t> </w:t>
          </w:r>
          <w:r>
            <w:rPr/>
            <w:t>celular</w:t>
            <w:tab/>
            <w:t>163</w:t>
          </w:r>
        </w:p>
        <w:p>
          <w:pPr>
            <w:pStyle w:val="TOC3"/>
            <w:numPr>
              <w:ilvl w:val="2"/>
              <w:numId w:val="6"/>
            </w:numPr>
            <w:tabs>
              <w:tab w:pos="1242" w:val="left" w:leader="none"/>
              <w:tab w:pos="8930" w:val="right" w:leader="dot"/>
            </w:tabs>
            <w:spacing w:line="240" w:lineRule="auto" w:before="41" w:after="0"/>
            <w:ind w:left="1242" w:right="0" w:hanging="660"/>
            <w:jc w:val="left"/>
          </w:pPr>
          <w:r>
            <w:rPr/>
            <w:t>Viviendas con boiler</w:t>
            <w:tab/>
            <w:t>165</w:t>
          </w:r>
        </w:p>
        <w:p>
          <w:pPr>
            <w:pStyle w:val="TOC2"/>
            <w:numPr>
              <w:ilvl w:val="1"/>
              <w:numId w:val="6"/>
            </w:numPr>
            <w:tabs>
              <w:tab w:pos="765" w:val="left" w:leader="none"/>
              <w:tab w:pos="8931" w:val="right" w:leader="dot"/>
            </w:tabs>
            <w:spacing w:line="240" w:lineRule="auto" w:before="162" w:after="0"/>
            <w:ind w:left="764" w:right="0" w:hanging="422"/>
            <w:jc w:val="left"/>
          </w:pPr>
          <w:hyperlink w:history="true" w:anchor="_TOC_250009">
            <w:r>
              <w:rPr/>
              <w:t>Evaluación de la habitabilidad de</w:t>
            </w:r>
            <w:r>
              <w:rPr>
                <w:spacing w:val="-6"/>
              </w:rPr>
              <w:t> </w:t>
            </w:r>
            <w:r>
              <w:rPr/>
              <w:t>las viviendas</w:t>
              <w:tab/>
              <w:t>169</w:t>
            </w:r>
          </w:hyperlink>
        </w:p>
        <w:p>
          <w:pPr>
            <w:pStyle w:val="TOC3"/>
            <w:numPr>
              <w:ilvl w:val="2"/>
              <w:numId w:val="6"/>
            </w:numPr>
            <w:tabs>
              <w:tab w:pos="1063" w:val="left" w:leader="none"/>
            </w:tabs>
            <w:spacing w:line="240" w:lineRule="auto" w:before="49" w:after="0"/>
            <w:ind w:left="582" w:right="0" w:firstLine="0"/>
            <w:jc w:val="center"/>
          </w:pPr>
          <w:r>
            <w:rPr/>
            <w:t>Evaluación de la habitabilidad de las viviendas a nivel municipal en la</w:t>
          </w:r>
          <w:r>
            <w:rPr>
              <w:spacing w:val="-11"/>
            </w:rPr>
            <w:t> </w:t>
          </w:r>
          <w:r>
            <w:rPr>
              <w:sz w:val="19"/>
            </w:rPr>
            <w:t>ZMT</w:t>
          </w:r>
          <w:r>
            <w:rPr/>
            <w:t>,1990.</w:t>
          </w:r>
        </w:p>
        <w:p>
          <w:pPr>
            <w:pStyle w:val="TOC4"/>
          </w:pPr>
          <w:r>
            <w:rPr/>
            <w:t>.................................................................................................................................... 169</w:t>
          </w:r>
        </w:p>
        <w:p>
          <w:pPr>
            <w:pStyle w:val="TOC3"/>
            <w:numPr>
              <w:ilvl w:val="2"/>
              <w:numId w:val="6"/>
            </w:numPr>
            <w:tabs>
              <w:tab w:pos="1122" w:val="left" w:leader="none"/>
              <w:tab w:pos="8930" w:val="right" w:leader="dot"/>
            </w:tabs>
            <w:spacing w:line="278" w:lineRule="auto" w:before="50" w:after="0"/>
            <w:ind w:left="582" w:right="107" w:firstLine="0"/>
            <w:jc w:val="left"/>
          </w:pPr>
          <w:r>
            <w:rPr/>
            <w:t>Evaluación de la habitabilidad de las viviendas a nivel municipal en la  </w:t>
          </w:r>
          <w:r>
            <w:rPr>
              <w:sz w:val="19"/>
            </w:rPr>
            <w:t>ZMT</w:t>
          </w:r>
          <w:r>
            <w:rPr/>
            <w:t>, 2000.</w:t>
            <w:tab/>
            <w:t>173</w:t>
          </w:r>
        </w:p>
        <w:p>
          <w:pPr>
            <w:pStyle w:val="TOC3"/>
            <w:numPr>
              <w:ilvl w:val="2"/>
              <w:numId w:val="6"/>
            </w:numPr>
            <w:tabs>
              <w:tab w:pos="1063" w:val="left" w:leader="none"/>
            </w:tabs>
            <w:spacing w:line="274" w:lineRule="exact" w:before="0" w:after="0"/>
            <w:ind w:left="1063" w:right="0" w:hanging="481"/>
            <w:jc w:val="left"/>
          </w:pPr>
          <w:r>
            <w:rPr/>
            <w:t>Evaluación de la habitabilidad de las viviendas a nivel municipal en la</w:t>
          </w:r>
          <w:r>
            <w:rPr>
              <w:spacing w:val="49"/>
            </w:rPr>
            <w:t> </w:t>
          </w:r>
          <w:r>
            <w:rPr>
              <w:sz w:val="19"/>
            </w:rPr>
            <w:t>ZMT</w:t>
          </w:r>
          <w:r>
            <w:rPr/>
            <w:t>,2010.</w:t>
          </w:r>
        </w:p>
        <w:p>
          <w:pPr>
            <w:pStyle w:val="TOC4"/>
          </w:pPr>
          <w:r>
            <w:rPr/>
            <w:t>.................................................................................................................................... 178</w:t>
          </w:r>
        </w:p>
        <w:p>
          <w:pPr>
            <w:pStyle w:val="TOC3"/>
            <w:numPr>
              <w:ilvl w:val="2"/>
              <w:numId w:val="6"/>
            </w:numPr>
            <w:tabs>
              <w:tab w:pos="1063" w:val="left" w:leader="none"/>
              <w:tab w:pos="8930" w:val="right" w:leader="dot"/>
            </w:tabs>
            <w:spacing w:line="278" w:lineRule="auto" w:before="41" w:after="0"/>
            <w:ind w:left="582" w:right="107" w:firstLine="0"/>
            <w:jc w:val="left"/>
          </w:pPr>
          <w:r>
            <w:rPr/>
            <w:t>Evaluación de la habitabilidad de las viviendas a nivel de ageb´s en la  </w:t>
          </w:r>
          <w:r>
            <w:rPr>
              <w:sz w:val="19"/>
            </w:rPr>
            <w:t>ZMT</w:t>
          </w:r>
          <w:r>
            <w:rPr/>
            <w:t>, 2010.</w:t>
            <w:tab/>
            <w:t>183</w:t>
          </w:r>
        </w:p>
        <w:p>
          <w:pPr>
            <w:pStyle w:val="TOC2"/>
            <w:numPr>
              <w:ilvl w:val="1"/>
              <w:numId w:val="6"/>
            </w:numPr>
            <w:tabs>
              <w:tab w:pos="765" w:val="left" w:leader="none"/>
              <w:tab w:pos="8931" w:val="right" w:leader="dot"/>
            </w:tabs>
            <w:spacing w:line="240" w:lineRule="auto" w:before="117" w:after="0"/>
            <w:ind w:left="764" w:right="0" w:hanging="422"/>
            <w:jc w:val="left"/>
          </w:pPr>
          <w:hyperlink w:history="true" w:anchor="_TOC_250008">
            <w:r>
              <w:rPr/>
              <w:t>Evaluación del entorno de las viviendas y</w:t>
            </w:r>
            <w:r>
              <w:rPr>
                <w:spacing w:val="-17"/>
              </w:rPr>
              <w:t> </w:t>
            </w:r>
            <w:r>
              <w:rPr/>
              <w:t>su</w:t>
            </w:r>
            <w:r>
              <w:rPr>
                <w:spacing w:val="-1"/>
              </w:rPr>
              <w:t> </w:t>
            </w:r>
            <w:r>
              <w:rPr/>
              <w:t>habitabilidad</w:t>
              <w:tab/>
              <w:t>191</w:t>
            </w:r>
          </w:hyperlink>
        </w:p>
        <w:p>
          <w:pPr>
            <w:pStyle w:val="TOC3"/>
            <w:numPr>
              <w:ilvl w:val="2"/>
              <w:numId w:val="6"/>
            </w:numPr>
            <w:tabs>
              <w:tab w:pos="1063" w:val="left" w:leader="none"/>
              <w:tab w:pos="8930" w:val="right" w:leader="dot"/>
            </w:tabs>
            <w:spacing w:line="240" w:lineRule="auto" w:before="49" w:after="0"/>
            <w:ind w:left="1063" w:right="0" w:hanging="481"/>
            <w:jc w:val="left"/>
          </w:pPr>
          <w:r>
            <w:rPr/>
            <w:t>Empleo</w:t>
            <w:tab/>
            <w:t>192</w:t>
          </w:r>
        </w:p>
        <w:p>
          <w:pPr>
            <w:pStyle w:val="TOC3"/>
            <w:numPr>
              <w:ilvl w:val="2"/>
              <w:numId w:val="6"/>
            </w:numPr>
            <w:tabs>
              <w:tab w:pos="1063" w:val="left" w:leader="none"/>
              <w:tab w:pos="8930" w:val="right" w:leader="dot"/>
            </w:tabs>
            <w:spacing w:line="240" w:lineRule="auto" w:before="41" w:after="0"/>
            <w:ind w:left="1063" w:right="0" w:hanging="481"/>
            <w:jc w:val="left"/>
          </w:pPr>
          <w:r>
            <w:rPr/>
            <w:t>Educación</w:t>
            <w:tab/>
            <w:t>194</w:t>
          </w:r>
        </w:p>
        <w:p>
          <w:pPr>
            <w:pStyle w:val="TOC3"/>
            <w:numPr>
              <w:ilvl w:val="2"/>
              <w:numId w:val="6"/>
            </w:numPr>
            <w:tabs>
              <w:tab w:pos="1063" w:val="left" w:leader="none"/>
              <w:tab w:pos="8930" w:val="right" w:leader="dot"/>
            </w:tabs>
            <w:spacing w:line="240" w:lineRule="auto" w:before="43" w:after="0"/>
            <w:ind w:left="1063" w:right="0" w:hanging="481"/>
            <w:jc w:val="left"/>
          </w:pPr>
          <w:r>
            <w:rPr/>
            <w:t>Salud</w:t>
            <w:tab/>
            <w:t>197</w:t>
          </w:r>
        </w:p>
        <w:p>
          <w:pPr>
            <w:pStyle w:val="TOC3"/>
            <w:numPr>
              <w:ilvl w:val="2"/>
              <w:numId w:val="6"/>
            </w:numPr>
            <w:tabs>
              <w:tab w:pos="1122" w:val="left" w:leader="none"/>
              <w:tab w:pos="8930" w:val="right" w:leader="dot"/>
            </w:tabs>
            <w:spacing w:line="240" w:lineRule="auto" w:before="41" w:after="0"/>
            <w:ind w:left="1122" w:right="0" w:hanging="540"/>
            <w:jc w:val="left"/>
          </w:pPr>
          <w:r>
            <w:rPr/>
            <w:t>Abasto</w:t>
          </w:r>
          <w:r>
            <w:rPr>
              <w:spacing w:val="-1"/>
            </w:rPr>
            <w:t> </w:t>
          </w:r>
          <w:r>
            <w:rPr/>
            <w:t>de</w:t>
          </w:r>
          <w:r>
            <w:rPr>
              <w:spacing w:val="-1"/>
            </w:rPr>
            <w:t> </w:t>
          </w:r>
          <w:r>
            <w:rPr/>
            <w:t>alimentos</w:t>
            <w:tab/>
            <w:t>199</w:t>
          </w:r>
        </w:p>
        <w:p>
          <w:pPr>
            <w:pStyle w:val="TOC3"/>
            <w:numPr>
              <w:ilvl w:val="2"/>
              <w:numId w:val="6"/>
            </w:numPr>
            <w:tabs>
              <w:tab w:pos="1122" w:val="left" w:leader="none"/>
              <w:tab w:pos="8930" w:val="right" w:leader="dot"/>
            </w:tabs>
            <w:spacing w:line="240" w:lineRule="auto" w:before="41" w:after="0"/>
            <w:ind w:left="1122" w:right="0" w:hanging="540"/>
            <w:jc w:val="left"/>
          </w:pPr>
          <w:r>
            <w:rPr/>
            <w:t>Áreas</w:t>
          </w:r>
          <w:r>
            <w:rPr>
              <w:spacing w:val="-1"/>
            </w:rPr>
            <w:t> </w:t>
          </w:r>
          <w:r>
            <w:rPr/>
            <w:t>Verdes</w:t>
            <w:tab/>
            <w:t>201</w:t>
          </w:r>
        </w:p>
        <w:p>
          <w:pPr>
            <w:pStyle w:val="TOC3"/>
            <w:numPr>
              <w:ilvl w:val="2"/>
              <w:numId w:val="6"/>
            </w:numPr>
            <w:tabs>
              <w:tab w:pos="1122" w:val="left" w:leader="none"/>
              <w:tab w:pos="8930" w:val="right" w:leader="dot"/>
            </w:tabs>
            <w:spacing w:line="240" w:lineRule="auto" w:before="41" w:after="0"/>
            <w:ind w:left="1122" w:right="0" w:hanging="540"/>
            <w:jc w:val="left"/>
          </w:pPr>
          <w:r>
            <w:rPr/>
            <w:t>Recreación</w:t>
            <w:tab/>
            <w:t>203</w:t>
          </w:r>
        </w:p>
        <w:p>
          <w:pPr>
            <w:pStyle w:val="TOC3"/>
            <w:numPr>
              <w:ilvl w:val="2"/>
              <w:numId w:val="6"/>
            </w:numPr>
            <w:tabs>
              <w:tab w:pos="1125" w:val="left" w:leader="none"/>
              <w:tab w:pos="8930" w:val="right" w:leader="dot"/>
            </w:tabs>
            <w:spacing w:line="240" w:lineRule="auto" w:before="43" w:after="0"/>
            <w:ind w:left="1124" w:right="0" w:hanging="542"/>
            <w:jc w:val="left"/>
          </w:pPr>
          <w:r>
            <w:rPr/>
            <w:t>Índice</w:t>
          </w:r>
          <w:r>
            <w:rPr>
              <w:spacing w:val="-2"/>
            </w:rPr>
            <w:t> </w:t>
          </w:r>
          <w:r>
            <w:rPr/>
            <w:t>de Habitabilidad</w:t>
            <w:tab/>
            <w:t>204</w:t>
          </w:r>
        </w:p>
        <w:p>
          <w:pPr>
            <w:pStyle w:val="TOC1"/>
            <w:tabs>
              <w:tab w:pos="8933" w:val="right" w:leader="dot"/>
            </w:tabs>
            <w:spacing w:before="165"/>
            <w:rPr>
              <w:i/>
            </w:rPr>
          </w:pPr>
          <w:hyperlink w:history="true" w:anchor="_TOC_250007">
            <w:r>
              <w:rPr>
                <w:i/>
              </w:rPr>
              <w:t>Capítulo</w:t>
            </w:r>
            <w:r>
              <w:rPr>
                <w:i/>
                <w:spacing w:val="1"/>
              </w:rPr>
              <w:t> </w:t>
            </w:r>
            <w:r>
              <w:rPr>
                <w:i/>
              </w:rPr>
              <w:t>4</w:t>
              <w:tab/>
              <w:t>214</w:t>
            </w:r>
          </w:hyperlink>
        </w:p>
        <w:p>
          <w:pPr>
            <w:pStyle w:val="TOC1"/>
            <w:tabs>
              <w:tab w:pos="8933" w:val="right" w:leader="dot"/>
            </w:tabs>
            <w:spacing w:line="276" w:lineRule="auto"/>
            <w:ind w:right="104"/>
          </w:pPr>
          <w:hyperlink w:history="true" w:anchor="_TOC_250006">
            <w:r>
              <w:rPr>
                <w:i/>
              </w:rPr>
              <w:t>Conclusiones, propuestas y recomendaciones de habitabilidad de </w:t>
            </w:r>
            <w:r>
              <w:rPr/>
              <w:t>las viviendas, en la zona metropolitana</w:t>
            </w:r>
            <w:r>
              <w:rPr>
                <w:spacing w:val="-7"/>
              </w:rPr>
              <w:t> </w:t>
            </w:r>
            <w:r>
              <w:rPr/>
              <w:t>de</w:t>
            </w:r>
            <w:r>
              <w:rPr>
                <w:spacing w:val="-2"/>
              </w:rPr>
              <w:t> </w:t>
            </w:r>
            <w:r>
              <w:rPr/>
              <w:t>Toluca</w:t>
              <w:tab/>
              <w:t>214</w:t>
            </w:r>
          </w:hyperlink>
        </w:p>
        <w:p>
          <w:pPr>
            <w:pStyle w:val="TOC2"/>
            <w:tabs>
              <w:tab w:pos="8931" w:val="right" w:leader="dot"/>
            </w:tabs>
            <w:spacing w:before="118"/>
            <w:ind w:left="342" w:firstLine="0"/>
          </w:pPr>
          <w:hyperlink w:history="true" w:anchor="_TOC_250005">
            <w:r>
              <w:rPr/>
              <w:t>Introducción</w:t>
              <w:tab/>
              <w:t>215</w:t>
            </w:r>
          </w:hyperlink>
        </w:p>
        <w:p>
          <w:pPr>
            <w:pStyle w:val="TOC2"/>
            <w:numPr>
              <w:ilvl w:val="1"/>
              <w:numId w:val="7"/>
            </w:numPr>
            <w:tabs>
              <w:tab w:pos="765" w:val="left" w:leader="none"/>
              <w:tab w:pos="8931" w:val="right" w:leader="dot"/>
            </w:tabs>
            <w:spacing w:line="240" w:lineRule="auto" w:before="168" w:after="0"/>
            <w:ind w:left="764" w:right="0" w:hanging="422"/>
            <w:jc w:val="left"/>
          </w:pPr>
          <w:hyperlink w:history="true" w:anchor="_TOC_250004">
            <w:r>
              <w:rPr/>
              <w:t>Conclusiones de la habitabilidad de</w:t>
            </w:r>
            <w:r>
              <w:rPr>
                <w:spacing w:val="-5"/>
              </w:rPr>
              <w:t> </w:t>
            </w:r>
            <w:r>
              <w:rPr/>
              <w:t>las</w:t>
            </w:r>
            <w:r>
              <w:rPr>
                <w:spacing w:val="-4"/>
              </w:rPr>
              <w:t> </w:t>
            </w:r>
            <w:r>
              <w:rPr/>
              <w:t>viviendas</w:t>
              <w:tab/>
              <w:t>216</w:t>
            </w:r>
          </w:hyperlink>
        </w:p>
        <w:p>
          <w:pPr>
            <w:pStyle w:val="TOC2"/>
            <w:numPr>
              <w:ilvl w:val="1"/>
              <w:numId w:val="7"/>
            </w:numPr>
            <w:tabs>
              <w:tab w:pos="765" w:val="left" w:leader="none"/>
              <w:tab w:pos="8931" w:val="right" w:leader="dot"/>
            </w:tabs>
            <w:spacing w:line="240" w:lineRule="auto" w:before="167" w:after="0"/>
            <w:ind w:left="764" w:right="0" w:hanging="422"/>
            <w:jc w:val="left"/>
          </w:pPr>
          <w:hyperlink w:history="true" w:anchor="_TOC_250003">
            <w:r>
              <w:rPr/>
              <w:t>Propuestas y recomendaciones de la habitabilidad de</w:t>
            </w:r>
            <w:r>
              <w:rPr>
                <w:spacing w:val="-21"/>
              </w:rPr>
              <w:t> </w:t>
            </w:r>
            <w:r>
              <w:rPr/>
              <w:t>las</w:t>
            </w:r>
            <w:r>
              <w:rPr>
                <w:spacing w:val="-2"/>
              </w:rPr>
              <w:t> </w:t>
            </w:r>
            <w:r>
              <w:rPr/>
              <w:t>viviendas</w:t>
              <w:tab/>
              <w:t>223</w:t>
            </w:r>
          </w:hyperlink>
        </w:p>
        <w:p>
          <w:pPr>
            <w:pStyle w:val="TOC2"/>
            <w:numPr>
              <w:ilvl w:val="1"/>
              <w:numId w:val="7"/>
            </w:numPr>
            <w:tabs>
              <w:tab w:pos="765" w:val="left" w:leader="none"/>
              <w:tab w:pos="8931" w:val="right" w:leader="dot"/>
            </w:tabs>
            <w:spacing w:line="240" w:lineRule="auto" w:before="170" w:after="0"/>
            <w:ind w:left="764" w:right="0" w:hanging="422"/>
            <w:jc w:val="left"/>
          </w:pPr>
          <w:hyperlink w:history="true" w:anchor="_TOC_250002">
            <w:r>
              <w:rPr/>
              <w:t>Agenda</w:t>
            </w:r>
            <w:r>
              <w:rPr>
                <w:spacing w:val="-4"/>
              </w:rPr>
              <w:t> </w:t>
            </w:r>
            <w:r>
              <w:rPr/>
              <w:t>de</w:t>
            </w:r>
            <w:r>
              <w:rPr>
                <w:spacing w:val="-1"/>
              </w:rPr>
              <w:t> </w:t>
            </w:r>
            <w:r>
              <w:rPr/>
              <w:t>investigación</w:t>
              <w:tab/>
              <w:t>225</w:t>
            </w:r>
          </w:hyperlink>
        </w:p>
        <w:p>
          <w:pPr>
            <w:pStyle w:val="TOC2"/>
            <w:numPr>
              <w:ilvl w:val="1"/>
              <w:numId w:val="7"/>
            </w:numPr>
            <w:tabs>
              <w:tab w:pos="765" w:val="left" w:leader="none"/>
              <w:tab w:pos="8931" w:val="right" w:leader="dot"/>
            </w:tabs>
            <w:spacing w:line="240" w:lineRule="auto" w:before="167" w:after="0"/>
            <w:ind w:left="764" w:right="0" w:hanging="422"/>
            <w:jc w:val="left"/>
          </w:pPr>
          <w:hyperlink w:history="true" w:anchor="_TOC_250001">
            <w:r>
              <w:rPr/>
              <w:t>Fortalezas y debilidades de</w:t>
            </w:r>
            <w:r>
              <w:rPr>
                <w:spacing w:val="-4"/>
              </w:rPr>
              <w:t> </w:t>
            </w:r>
            <w:r>
              <w:rPr/>
              <w:t>la</w:t>
            </w:r>
            <w:r>
              <w:rPr>
                <w:spacing w:val="-3"/>
              </w:rPr>
              <w:t> </w:t>
            </w:r>
            <w:r>
              <w:rPr/>
              <w:t>tesis</w:t>
              <w:tab/>
              <w:t>226</w:t>
            </w:r>
          </w:hyperlink>
        </w:p>
        <w:p>
          <w:pPr>
            <w:pStyle w:val="TOC2"/>
            <w:tabs>
              <w:tab w:pos="8931" w:val="right" w:leader="dot"/>
            </w:tabs>
            <w:ind w:left="342" w:firstLine="0"/>
          </w:pPr>
          <w:hyperlink w:history="true" w:anchor="_TOC_250000">
            <w:r>
              <w:rPr/>
              <w:t>Bibliografía</w:t>
              <w:tab/>
              <w:t>231</w:t>
            </w:r>
          </w:hyperlink>
        </w:p>
      </w:sdtContent>
    </w:sdt>
    <w:p>
      <w:pPr>
        <w:spacing w:after="0"/>
        <w:sectPr>
          <w:type w:val="continuous"/>
          <w:pgSz w:w="12240" w:h="15840"/>
          <w:pgMar w:top="1360" w:bottom="1467" w:left="1600" w:right="1600"/>
        </w:sectPr>
      </w:pPr>
    </w:p>
    <w:p>
      <w:pPr>
        <w:spacing w:before="54"/>
        <w:ind w:left="102" w:right="0" w:firstLine="0"/>
        <w:jc w:val="left"/>
        <w:rPr>
          <w:b/>
          <w:sz w:val="24"/>
        </w:rPr>
      </w:pPr>
      <w:r>
        <w:rPr>
          <w:b/>
          <w:sz w:val="24"/>
        </w:rPr>
        <w:t>Índice de Cuadros</w:t>
      </w:r>
    </w:p>
    <w:p>
      <w:pPr>
        <w:pStyle w:val="BodyText"/>
        <w:rPr>
          <w:b/>
        </w:rPr>
      </w:pPr>
    </w:p>
    <w:p>
      <w:pPr>
        <w:pStyle w:val="BodyText"/>
        <w:rPr>
          <w:b/>
        </w:rPr>
      </w:pPr>
    </w:p>
    <w:p>
      <w:pPr>
        <w:tabs>
          <w:tab w:pos="8695" w:val="left" w:leader="none"/>
        </w:tabs>
        <w:spacing w:line="252" w:lineRule="exact" w:before="208"/>
        <w:ind w:left="102" w:right="0" w:firstLine="0"/>
        <w:jc w:val="left"/>
        <w:rPr>
          <w:sz w:val="22"/>
        </w:rPr>
      </w:pPr>
      <w:r>
        <w:rPr>
          <w:sz w:val="22"/>
        </w:rPr>
        <w:t>Cuadro No. 1 Características de</w:t>
      </w:r>
      <w:r>
        <w:rPr>
          <w:spacing w:val="-11"/>
          <w:sz w:val="22"/>
        </w:rPr>
        <w:t> </w:t>
      </w:r>
      <w:r>
        <w:rPr>
          <w:sz w:val="22"/>
        </w:rPr>
        <w:t>las</w:t>
      </w:r>
      <w:r>
        <w:rPr>
          <w:spacing w:val="-3"/>
          <w:sz w:val="22"/>
        </w:rPr>
        <w:t> </w:t>
      </w:r>
      <w:r>
        <w:rPr>
          <w:sz w:val="22"/>
        </w:rPr>
        <w:t>viviendas</w:t>
        <w:tab/>
        <w:t>52</w:t>
      </w:r>
    </w:p>
    <w:p>
      <w:pPr>
        <w:tabs>
          <w:tab w:pos="8695" w:val="left" w:leader="none"/>
        </w:tabs>
        <w:spacing w:line="252" w:lineRule="exact" w:before="0"/>
        <w:ind w:left="102" w:right="0" w:firstLine="0"/>
        <w:jc w:val="left"/>
        <w:rPr>
          <w:sz w:val="22"/>
        </w:rPr>
      </w:pPr>
      <w:r>
        <w:rPr>
          <w:sz w:val="22"/>
        </w:rPr>
        <w:t>Cuadro No. 2 Definiciones de</w:t>
      </w:r>
      <w:r>
        <w:rPr>
          <w:spacing w:val="-10"/>
          <w:sz w:val="22"/>
        </w:rPr>
        <w:t> </w:t>
      </w:r>
      <w:r>
        <w:rPr>
          <w:sz w:val="22"/>
        </w:rPr>
        <w:t>la</w:t>
      </w:r>
      <w:r>
        <w:rPr>
          <w:spacing w:val="-3"/>
          <w:sz w:val="22"/>
        </w:rPr>
        <w:t> </w:t>
      </w:r>
      <w:r>
        <w:rPr>
          <w:sz w:val="22"/>
        </w:rPr>
        <w:t>habitabilidad</w:t>
        <w:tab/>
        <w:t>67</w:t>
      </w:r>
    </w:p>
    <w:p>
      <w:pPr>
        <w:tabs>
          <w:tab w:pos="8695" w:val="left" w:leader="none"/>
        </w:tabs>
        <w:spacing w:before="0"/>
        <w:ind w:left="102" w:right="117" w:firstLine="0"/>
        <w:jc w:val="left"/>
        <w:rPr>
          <w:sz w:val="22"/>
        </w:rPr>
      </w:pPr>
      <w:r>
        <w:rPr>
          <w:sz w:val="22"/>
        </w:rPr>
        <w:t>Cuadro  No.3  Zona  metropolitana  de  Toluca:  municipios  centrales  y</w:t>
      </w:r>
      <w:r>
        <w:rPr>
          <w:spacing w:val="33"/>
          <w:sz w:val="22"/>
        </w:rPr>
        <w:t> </w:t>
      </w:r>
      <w:r>
        <w:rPr>
          <w:sz w:val="22"/>
        </w:rPr>
        <w:t>criterios</w:t>
      </w:r>
      <w:r>
        <w:rPr>
          <w:spacing w:val="57"/>
          <w:sz w:val="22"/>
        </w:rPr>
        <w:t> </w:t>
      </w:r>
      <w:r>
        <w:rPr>
          <w:sz w:val="22"/>
        </w:rPr>
        <w:t>de</w:t>
        <w:tab/>
        <w:t>83 incorporación por</w:t>
      </w:r>
      <w:r>
        <w:rPr>
          <w:spacing w:val="-9"/>
          <w:sz w:val="22"/>
        </w:rPr>
        <w:t> </w:t>
      </w:r>
      <w:r>
        <w:rPr>
          <w:sz w:val="22"/>
        </w:rPr>
        <w:t>municipio.</w:t>
      </w:r>
    </w:p>
    <w:p>
      <w:pPr>
        <w:tabs>
          <w:tab w:pos="8695" w:val="left" w:leader="none"/>
        </w:tabs>
        <w:spacing w:before="0"/>
        <w:ind w:left="102" w:right="117" w:firstLine="0"/>
        <w:jc w:val="left"/>
        <w:rPr>
          <w:sz w:val="22"/>
        </w:rPr>
      </w:pPr>
      <w:r>
        <w:rPr>
          <w:sz w:val="22"/>
        </w:rPr>
        <w:t>Cuadro</w:t>
      </w:r>
      <w:r>
        <w:rPr>
          <w:spacing w:val="26"/>
          <w:sz w:val="22"/>
        </w:rPr>
        <w:t> </w:t>
      </w:r>
      <w:r>
        <w:rPr>
          <w:sz w:val="22"/>
        </w:rPr>
        <w:t>No.</w:t>
      </w:r>
      <w:r>
        <w:rPr>
          <w:spacing w:val="27"/>
          <w:sz w:val="22"/>
        </w:rPr>
        <w:t> </w:t>
      </w:r>
      <w:r>
        <w:rPr>
          <w:sz w:val="22"/>
        </w:rPr>
        <w:t>4</w:t>
      </w:r>
      <w:r>
        <w:rPr>
          <w:spacing w:val="26"/>
          <w:sz w:val="22"/>
        </w:rPr>
        <w:t> </w:t>
      </w:r>
      <w:r>
        <w:rPr>
          <w:sz w:val="22"/>
        </w:rPr>
        <w:t>Población</w:t>
      </w:r>
      <w:r>
        <w:rPr>
          <w:spacing w:val="27"/>
          <w:sz w:val="22"/>
        </w:rPr>
        <w:t> </w:t>
      </w:r>
      <w:r>
        <w:rPr>
          <w:sz w:val="22"/>
        </w:rPr>
        <w:t>total</w:t>
      </w:r>
      <w:r>
        <w:rPr>
          <w:spacing w:val="25"/>
          <w:sz w:val="22"/>
        </w:rPr>
        <w:t> </w:t>
      </w:r>
      <w:r>
        <w:rPr>
          <w:sz w:val="22"/>
        </w:rPr>
        <w:t>y</w:t>
      </w:r>
      <w:r>
        <w:rPr>
          <w:spacing w:val="26"/>
          <w:sz w:val="22"/>
        </w:rPr>
        <w:t> </w:t>
      </w:r>
      <w:r>
        <w:rPr>
          <w:sz w:val="22"/>
        </w:rPr>
        <w:t>total</w:t>
      </w:r>
      <w:r>
        <w:rPr>
          <w:spacing w:val="25"/>
          <w:sz w:val="22"/>
        </w:rPr>
        <w:t> </w:t>
      </w:r>
      <w:r>
        <w:rPr>
          <w:sz w:val="22"/>
        </w:rPr>
        <w:t>de</w:t>
      </w:r>
      <w:r>
        <w:rPr>
          <w:spacing w:val="28"/>
          <w:sz w:val="22"/>
        </w:rPr>
        <w:t> </w:t>
      </w:r>
      <w:r>
        <w:rPr>
          <w:sz w:val="22"/>
        </w:rPr>
        <w:t>viviendas</w:t>
      </w:r>
      <w:r>
        <w:rPr>
          <w:spacing w:val="26"/>
          <w:sz w:val="22"/>
        </w:rPr>
        <w:t> </w:t>
      </w:r>
      <w:r>
        <w:rPr>
          <w:sz w:val="22"/>
        </w:rPr>
        <w:t>por</w:t>
      </w:r>
      <w:r>
        <w:rPr>
          <w:spacing w:val="27"/>
          <w:sz w:val="22"/>
        </w:rPr>
        <w:t> </w:t>
      </w:r>
      <w:r>
        <w:rPr>
          <w:sz w:val="22"/>
        </w:rPr>
        <w:t>municipio</w:t>
      </w:r>
      <w:r>
        <w:rPr>
          <w:spacing w:val="26"/>
          <w:sz w:val="22"/>
        </w:rPr>
        <w:t> </w:t>
      </w:r>
      <w:r>
        <w:rPr>
          <w:sz w:val="22"/>
        </w:rPr>
        <w:t>de</w:t>
      </w:r>
      <w:r>
        <w:rPr>
          <w:spacing w:val="28"/>
          <w:sz w:val="22"/>
        </w:rPr>
        <w:t> </w:t>
      </w:r>
      <w:r>
        <w:rPr>
          <w:sz w:val="22"/>
        </w:rPr>
        <w:t>la</w:t>
      </w:r>
      <w:r>
        <w:rPr>
          <w:spacing w:val="26"/>
          <w:sz w:val="22"/>
        </w:rPr>
        <w:t> </w:t>
      </w:r>
      <w:r>
        <w:rPr>
          <w:sz w:val="22"/>
        </w:rPr>
        <w:t>ZMT,</w:t>
      </w:r>
      <w:r>
        <w:rPr>
          <w:spacing w:val="27"/>
          <w:sz w:val="22"/>
        </w:rPr>
        <w:t> </w:t>
      </w:r>
      <w:r>
        <w:rPr>
          <w:sz w:val="22"/>
        </w:rPr>
        <w:t>2000-</w:t>
        <w:tab/>
        <w:t>85 2010</w:t>
      </w:r>
    </w:p>
    <w:p>
      <w:pPr>
        <w:tabs>
          <w:tab w:pos="8940" w:val="right" w:leader="none"/>
        </w:tabs>
        <w:spacing w:line="252" w:lineRule="exact" w:before="0"/>
        <w:ind w:left="102" w:right="0" w:firstLine="0"/>
        <w:jc w:val="left"/>
        <w:rPr>
          <w:sz w:val="22"/>
        </w:rPr>
      </w:pPr>
      <w:r>
        <w:rPr>
          <w:sz w:val="22"/>
        </w:rPr>
        <w:t>Cuadro No. 5 Grado de urbanización por municipio de la</w:t>
      </w:r>
      <w:r>
        <w:rPr>
          <w:spacing w:val="-12"/>
          <w:sz w:val="22"/>
        </w:rPr>
        <w:t> </w:t>
      </w:r>
      <w:r>
        <w:rPr>
          <w:sz w:val="22"/>
        </w:rPr>
        <w:t>ZMT,</w:t>
      </w:r>
      <w:r>
        <w:rPr>
          <w:spacing w:val="-2"/>
          <w:sz w:val="22"/>
        </w:rPr>
        <w:t> </w:t>
      </w:r>
      <w:r>
        <w:rPr>
          <w:sz w:val="22"/>
        </w:rPr>
        <w:t>2000-2010</w:t>
        <w:tab/>
        <w:t>86</w:t>
      </w:r>
    </w:p>
    <w:p>
      <w:pPr>
        <w:tabs>
          <w:tab w:pos="8940" w:val="right" w:leader="none"/>
        </w:tabs>
        <w:spacing w:line="252" w:lineRule="exact" w:before="0"/>
        <w:ind w:left="102" w:right="0" w:firstLine="0"/>
        <w:jc w:val="left"/>
        <w:rPr>
          <w:sz w:val="22"/>
        </w:rPr>
      </w:pPr>
      <w:r>
        <w:rPr>
          <w:sz w:val="22"/>
        </w:rPr>
        <w:t>Cuadro No. 6</w:t>
      </w:r>
      <w:r>
        <w:rPr>
          <w:spacing w:val="-3"/>
          <w:sz w:val="22"/>
        </w:rPr>
        <w:t> </w:t>
      </w:r>
      <w:r>
        <w:rPr>
          <w:sz w:val="22"/>
        </w:rPr>
        <w:t>Identificación</w:t>
      </w:r>
      <w:r>
        <w:rPr>
          <w:spacing w:val="-3"/>
          <w:sz w:val="22"/>
        </w:rPr>
        <w:t> </w:t>
      </w:r>
      <w:r>
        <w:rPr>
          <w:sz w:val="22"/>
        </w:rPr>
        <w:t>geográfica</w:t>
        <w:tab/>
        <w:t>91</w:t>
      </w:r>
    </w:p>
    <w:p>
      <w:pPr>
        <w:tabs>
          <w:tab w:pos="8940" w:val="right" w:leader="none"/>
        </w:tabs>
        <w:spacing w:line="253" w:lineRule="exact" w:before="1"/>
        <w:ind w:left="102" w:right="0" w:firstLine="0"/>
        <w:jc w:val="left"/>
        <w:rPr>
          <w:sz w:val="22"/>
        </w:rPr>
      </w:pPr>
      <w:r>
        <w:rPr>
          <w:sz w:val="22"/>
        </w:rPr>
        <w:t>Cuadro No. 7 Indicadores</w:t>
      </w:r>
      <w:r>
        <w:rPr>
          <w:spacing w:val="-2"/>
          <w:sz w:val="22"/>
        </w:rPr>
        <w:t> </w:t>
      </w:r>
      <w:r>
        <w:rPr>
          <w:sz w:val="22"/>
        </w:rPr>
        <w:t>de Población</w:t>
        <w:tab/>
        <w:t>92</w:t>
      </w:r>
    </w:p>
    <w:p>
      <w:pPr>
        <w:tabs>
          <w:tab w:pos="8940" w:val="right" w:leader="none"/>
        </w:tabs>
        <w:spacing w:before="0"/>
        <w:ind w:left="102" w:right="0" w:firstLine="0"/>
        <w:jc w:val="left"/>
        <w:rPr>
          <w:sz w:val="22"/>
        </w:rPr>
      </w:pPr>
      <w:r>
        <w:rPr>
          <w:sz w:val="22"/>
        </w:rPr>
        <w:t>Cuadro No. 8 Indicadores de</w:t>
      </w:r>
      <w:r>
        <w:rPr>
          <w:spacing w:val="-2"/>
          <w:sz w:val="22"/>
        </w:rPr>
        <w:t> </w:t>
      </w:r>
      <w:r>
        <w:rPr>
          <w:sz w:val="22"/>
        </w:rPr>
        <w:t>la</w:t>
      </w:r>
      <w:r>
        <w:rPr>
          <w:spacing w:val="-1"/>
          <w:sz w:val="22"/>
        </w:rPr>
        <w:t> </w:t>
      </w:r>
      <w:r>
        <w:rPr>
          <w:sz w:val="22"/>
        </w:rPr>
        <w:t>Vivienda</w:t>
        <w:tab/>
        <w:t>93</w:t>
      </w:r>
    </w:p>
    <w:p>
      <w:pPr>
        <w:tabs>
          <w:tab w:pos="8940" w:val="right" w:leader="none"/>
        </w:tabs>
        <w:spacing w:line="252" w:lineRule="exact" w:before="1"/>
        <w:ind w:left="102" w:right="0" w:firstLine="0"/>
        <w:jc w:val="left"/>
        <w:rPr>
          <w:sz w:val="22"/>
        </w:rPr>
      </w:pPr>
      <w:r>
        <w:rPr>
          <w:sz w:val="22"/>
        </w:rPr>
        <w:t>Cuadro No. 9 Escala</w:t>
      </w:r>
      <w:r>
        <w:rPr>
          <w:spacing w:val="-3"/>
          <w:sz w:val="22"/>
        </w:rPr>
        <w:t> </w:t>
      </w:r>
      <w:r>
        <w:rPr>
          <w:sz w:val="22"/>
        </w:rPr>
        <w:t>de</w:t>
      </w:r>
      <w:r>
        <w:rPr>
          <w:spacing w:val="-2"/>
          <w:sz w:val="22"/>
        </w:rPr>
        <w:t> </w:t>
      </w:r>
      <w:r>
        <w:rPr>
          <w:sz w:val="22"/>
        </w:rPr>
        <w:t>Saaty</w:t>
        <w:tab/>
        <w:t>97</w:t>
      </w:r>
    </w:p>
    <w:p>
      <w:pPr>
        <w:tabs>
          <w:tab w:pos="8940" w:val="right" w:leader="none"/>
        </w:tabs>
        <w:spacing w:before="0"/>
        <w:ind w:left="102" w:right="117" w:firstLine="0"/>
        <w:jc w:val="left"/>
        <w:rPr>
          <w:sz w:val="22"/>
        </w:rPr>
      </w:pPr>
      <w:r>
        <w:rPr>
          <w:sz w:val="22"/>
        </w:rPr>
        <w:t>Cuadro No.10 Dimensiones, variables e  indicadores  de  la  habitabilidad  de  las  viviendas en la </w:t>
      </w:r>
      <w:r>
        <w:rPr>
          <w:sz w:val="18"/>
        </w:rPr>
        <w:t>ZMT</w:t>
      </w:r>
      <w:r>
        <w:rPr>
          <w:sz w:val="22"/>
        </w:rPr>
        <w:t>.</w:t>
        <w:tab/>
        <w:t>111</w:t>
      </w:r>
    </w:p>
    <w:p>
      <w:pPr>
        <w:tabs>
          <w:tab w:pos="8573" w:val="left" w:leader="none"/>
        </w:tabs>
        <w:spacing w:before="1"/>
        <w:ind w:left="102" w:right="117" w:firstLine="0"/>
        <w:jc w:val="left"/>
        <w:rPr>
          <w:sz w:val="22"/>
        </w:rPr>
      </w:pPr>
      <w:r>
        <w:rPr>
          <w:sz w:val="22"/>
        </w:rPr>
        <w:t>Cuadro No. 11 Viviendas que contaron con servicio de agua en la</w:t>
      </w:r>
      <w:r>
        <w:rPr>
          <w:spacing w:val="-17"/>
          <w:sz w:val="22"/>
        </w:rPr>
        <w:t> </w:t>
      </w:r>
      <w:r>
        <w:rPr>
          <w:sz w:val="18"/>
        </w:rPr>
        <w:t>ZMT</w:t>
      </w:r>
      <w:r>
        <w:rPr>
          <w:sz w:val="22"/>
        </w:rPr>
        <w:t>,</w:t>
      </w:r>
      <w:r>
        <w:rPr>
          <w:spacing w:val="1"/>
          <w:sz w:val="22"/>
        </w:rPr>
        <w:t> </w:t>
      </w:r>
      <w:r>
        <w:rPr>
          <w:sz w:val="22"/>
        </w:rPr>
        <w:t>1990-2010.</w:t>
        <w:tab/>
        <w:t>116 Cuadro No. 12 Viviendas que contaron con servicio de energía eléctrica en la   </w:t>
      </w:r>
      <w:r>
        <w:rPr>
          <w:spacing w:val="8"/>
          <w:sz w:val="22"/>
        </w:rPr>
        <w:t> </w:t>
      </w:r>
      <w:r>
        <w:rPr>
          <w:sz w:val="18"/>
        </w:rPr>
        <w:t>ZMT</w:t>
      </w:r>
      <w:r>
        <w:rPr>
          <w:sz w:val="22"/>
        </w:rPr>
        <w:t>,</w:t>
      </w:r>
    </w:p>
    <w:p>
      <w:pPr>
        <w:tabs>
          <w:tab w:pos="8573" w:val="left" w:leader="none"/>
        </w:tabs>
        <w:spacing w:line="252" w:lineRule="exact" w:before="1"/>
        <w:ind w:left="102" w:right="0" w:firstLine="0"/>
        <w:jc w:val="left"/>
        <w:rPr>
          <w:sz w:val="22"/>
        </w:rPr>
      </w:pPr>
      <w:r>
        <w:rPr>
          <w:sz w:val="22"/>
        </w:rPr>
        <w:t>1990-2010.</w:t>
        <w:tab/>
        <w:t>120</w:t>
      </w:r>
    </w:p>
    <w:p>
      <w:pPr>
        <w:spacing w:line="252" w:lineRule="exact" w:before="0"/>
        <w:ind w:left="102" w:right="0" w:firstLine="0"/>
        <w:jc w:val="left"/>
        <w:rPr>
          <w:sz w:val="22"/>
        </w:rPr>
      </w:pPr>
      <w:r>
        <w:rPr>
          <w:sz w:val="22"/>
        </w:rPr>
        <w:t>Cuadro No. 13 Viviendas que contaron con servicio de drenaje en la </w:t>
      </w:r>
      <w:r>
        <w:rPr>
          <w:sz w:val="18"/>
        </w:rPr>
        <w:t>ZMT</w:t>
      </w:r>
      <w:r>
        <w:rPr>
          <w:sz w:val="22"/>
        </w:rPr>
        <w:t>, 1990-</w:t>
      </w:r>
    </w:p>
    <w:p>
      <w:pPr>
        <w:tabs>
          <w:tab w:pos="8573" w:val="left" w:leader="none"/>
        </w:tabs>
        <w:spacing w:line="252" w:lineRule="exact" w:before="0"/>
        <w:ind w:left="102" w:right="0" w:firstLine="0"/>
        <w:jc w:val="left"/>
        <w:rPr>
          <w:sz w:val="22"/>
        </w:rPr>
      </w:pPr>
      <w:r>
        <w:rPr>
          <w:sz w:val="22"/>
        </w:rPr>
        <w:t>2010.</w:t>
        <w:tab/>
        <w:t>122</w:t>
      </w:r>
    </w:p>
    <w:p>
      <w:pPr>
        <w:tabs>
          <w:tab w:pos="8940" w:val="right" w:leader="none"/>
        </w:tabs>
        <w:spacing w:before="1"/>
        <w:ind w:left="102" w:right="117" w:firstLine="0"/>
        <w:jc w:val="left"/>
        <w:rPr>
          <w:sz w:val="22"/>
        </w:rPr>
      </w:pPr>
      <w:r>
        <w:rPr>
          <w:sz w:val="22"/>
        </w:rPr>
        <w:t>Cuadro  No.14  Viviendas  que  contaron  con  sanitario  o  excusado  en  la  </w:t>
      </w:r>
      <w:r>
        <w:rPr>
          <w:sz w:val="18"/>
        </w:rPr>
        <w:t>ZMT</w:t>
      </w:r>
      <w:r>
        <w:rPr>
          <w:sz w:val="22"/>
        </w:rPr>
        <w:t>,  2000- 2010.</w:t>
        <w:tab/>
        <w:t>125</w:t>
      </w:r>
    </w:p>
    <w:p>
      <w:pPr>
        <w:spacing w:after="0"/>
        <w:jc w:val="left"/>
        <w:rPr>
          <w:sz w:val="22"/>
        </w:rPr>
        <w:sectPr>
          <w:pgSz w:w="12240" w:h="15840"/>
          <w:pgMar w:header="0" w:footer="1003" w:top="1360" w:bottom="1200" w:left="1600" w:right="1580"/>
        </w:sectPr>
      </w:pPr>
    </w:p>
    <w:p>
      <w:pPr>
        <w:spacing w:before="1"/>
        <w:ind w:left="102" w:right="-20" w:firstLine="0"/>
        <w:jc w:val="left"/>
        <w:rPr>
          <w:sz w:val="22"/>
        </w:rPr>
      </w:pPr>
      <w:r>
        <w:rPr>
          <w:sz w:val="22"/>
        </w:rPr>
        <w:t>Cuadro No. 15 Matriz de servicios públicos, materiales de construcción y bienes en las viviendas en la </w:t>
      </w:r>
      <w:r>
        <w:rPr>
          <w:sz w:val="18"/>
        </w:rPr>
        <w:t>ZMT</w:t>
      </w:r>
      <w:r>
        <w:rPr>
          <w:sz w:val="22"/>
        </w:rPr>
        <w:t>, 1990-2010.</w:t>
      </w:r>
    </w:p>
    <w:p>
      <w:pPr>
        <w:spacing w:before="1"/>
        <w:ind w:left="102" w:right="0" w:firstLine="0"/>
        <w:jc w:val="left"/>
        <w:rPr>
          <w:sz w:val="22"/>
        </w:rPr>
      </w:pPr>
      <w:r>
        <w:rPr/>
        <w:br w:type="column"/>
      </w:r>
      <w:r>
        <w:rPr>
          <w:sz w:val="22"/>
        </w:rPr>
        <w:t>168</w:t>
      </w:r>
    </w:p>
    <w:p>
      <w:pPr>
        <w:spacing w:after="0"/>
        <w:jc w:val="left"/>
        <w:rPr>
          <w:sz w:val="22"/>
        </w:rPr>
        <w:sectPr>
          <w:type w:val="continuous"/>
          <w:pgSz w:w="12240" w:h="15840"/>
          <w:pgMar w:top="1420" w:bottom="280" w:left="1600" w:right="1580"/>
          <w:cols w:num="2" w:equalWidth="0">
            <w:col w:w="8210" w:space="261"/>
            <w:col w:w="589"/>
          </w:cols>
        </w:sectPr>
      </w:pPr>
    </w:p>
    <w:p>
      <w:pPr>
        <w:tabs>
          <w:tab w:pos="8940" w:val="right" w:leader="none"/>
        </w:tabs>
        <w:spacing w:line="253" w:lineRule="exact" w:before="1"/>
        <w:ind w:left="102" w:right="0" w:firstLine="0"/>
        <w:jc w:val="left"/>
        <w:rPr>
          <w:sz w:val="22"/>
        </w:rPr>
      </w:pPr>
      <w:r>
        <w:rPr>
          <w:sz w:val="22"/>
        </w:rPr>
        <w:t>Cuadro No. 16 Niveles de habitabilidad a nivel localidad en la</w:t>
      </w:r>
      <w:r>
        <w:rPr>
          <w:spacing w:val="-5"/>
          <w:sz w:val="22"/>
        </w:rPr>
        <w:t> </w:t>
      </w:r>
      <w:r>
        <w:rPr>
          <w:sz w:val="18"/>
        </w:rPr>
        <w:t>ZMT</w:t>
      </w:r>
      <w:r>
        <w:rPr>
          <w:sz w:val="22"/>
        </w:rPr>
        <w:t>,</w:t>
      </w:r>
      <w:r>
        <w:rPr>
          <w:spacing w:val="1"/>
          <w:sz w:val="22"/>
        </w:rPr>
        <w:t> </w:t>
      </w:r>
      <w:r>
        <w:rPr>
          <w:sz w:val="22"/>
        </w:rPr>
        <w:t>1990.</w:t>
        <w:tab/>
        <w:t>171</w:t>
      </w:r>
    </w:p>
    <w:p>
      <w:pPr>
        <w:tabs>
          <w:tab w:pos="8940" w:val="right" w:leader="none"/>
        </w:tabs>
        <w:spacing w:line="252" w:lineRule="exact" w:before="0"/>
        <w:ind w:left="102" w:right="0" w:firstLine="0"/>
        <w:jc w:val="left"/>
        <w:rPr>
          <w:sz w:val="22"/>
        </w:rPr>
      </w:pPr>
      <w:r>
        <w:rPr>
          <w:sz w:val="22"/>
        </w:rPr>
        <w:t>Cuadro No. 17 Niveles de habitabilidad a nivel localidad en la</w:t>
      </w:r>
      <w:r>
        <w:rPr>
          <w:spacing w:val="-5"/>
          <w:sz w:val="22"/>
        </w:rPr>
        <w:t> </w:t>
      </w:r>
      <w:r>
        <w:rPr>
          <w:sz w:val="18"/>
        </w:rPr>
        <w:t>ZMT</w:t>
      </w:r>
      <w:r>
        <w:rPr>
          <w:sz w:val="22"/>
        </w:rPr>
        <w:t>,</w:t>
      </w:r>
      <w:r>
        <w:rPr>
          <w:spacing w:val="1"/>
          <w:sz w:val="22"/>
        </w:rPr>
        <w:t> </w:t>
      </w:r>
      <w:r>
        <w:rPr>
          <w:sz w:val="22"/>
        </w:rPr>
        <w:t>2000.</w:t>
        <w:tab/>
        <w:t>176</w:t>
      </w:r>
    </w:p>
    <w:p>
      <w:pPr>
        <w:tabs>
          <w:tab w:pos="8940" w:val="right" w:leader="none"/>
        </w:tabs>
        <w:spacing w:line="252" w:lineRule="exact" w:before="0"/>
        <w:ind w:left="102" w:right="0" w:firstLine="0"/>
        <w:jc w:val="left"/>
        <w:rPr>
          <w:sz w:val="22"/>
        </w:rPr>
      </w:pPr>
      <w:r>
        <w:rPr>
          <w:sz w:val="22"/>
        </w:rPr>
        <w:t>Cuadro No. 18 Niveles de habitabilidad a nivel localidad en la</w:t>
      </w:r>
      <w:r>
        <w:rPr>
          <w:spacing w:val="-5"/>
          <w:sz w:val="22"/>
        </w:rPr>
        <w:t> </w:t>
      </w:r>
      <w:r>
        <w:rPr>
          <w:sz w:val="18"/>
        </w:rPr>
        <w:t>ZMT</w:t>
      </w:r>
      <w:r>
        <w:rPr>
          <w:sz w:val="22"/>
        </w:rPr>
        <w:t>,</w:t>
      </w:r>
      <w:r>
        <w:rPr>
          <w:spacing w:val="1"/>
          <w:sz w:val="22"/>
        </w:rPr>
        <w:t> </w:t>
      </w:r>
      <w:r>
        <w:rPr>
          <w:sz w:val="22"/>
        </w:rPr>
        <w:t>2010.</w:t>
        <w:tab/>
        <w:t>180</w:t>
      </w:r>
    </w:p>
    <w:p>
      <w:pPr>
        <w:tabs>
          <w:tab w:pos="8940" w:val="right" w:leader="none"/>
        </w:tabs>
        <w:spacing w:line="252" w:lineRule="exact" w:before="1"/>
        <w:ind w:left="102" w:right="0" w:firstLine="0"/>
        <w:jc w:val="left"/>
        <w:rPr>
          <w:sz w:val="22"/>
        </w:rPr>
      </w:pPr>
      <w:r>
        <w:rPr>
          <w:sz w:val="22"/>
        </w:rPr>
        <w:t>Cuadro No. 19 Niveles de habitabilidad a nivel ageb´s en la</w:t>
      </w:r>
      <w:r>
        <w:rPr>
          <w:spacing w:val="-5"/>
          <w:sz w:val="22"/>
        </w:rPr>
        <w:t> </w:t>
      </w:r>
      <w:r>
        <w:rPr>
          <w:sz w:val="18"/>
        </w:rPr>
        <w:t>ZMT</w:t>
      </w:r>
      <w:r>
        <w:rPr>
          <w:sz w:val="22"/>
        </w:rPr>
        <w:t>,</w:t>
      </w:r>
      <w:r>
        <w:rPr>
          <w:spacing w:val="1"/>
          <w:sz w:val="22"/>
        </w:rPr>
        <w:t> </w:t>
      </w:r>
      <w:r>
        <w:rPr>
          <w:sz w:val="22"/>
        </w:rPr>
        <w:t>2010.</w:t>
        <w:tab/>
        <w:t>185</w:t>
      </w:r>
    </w:p>
    <w:p>
      <w:pPr>
        <w:tabs>
          <w:tab w:pos="8940" w:val="right" w:leader="none"/>
        </w:tabs>
        <w:spacing w:before="0"/>
        <w:ind w:left="102" w:right="117" w:firstLine="0"/>
        <w:jc w:val="left"/>
        <w:rPr>
          <w:sz w:val="22"/>
        </w:rPr>
      </w:pPr>
      <w:r>
        <w:rPr>
          <w:sz w:val="22"/>
        </w:rPr>
        <w:t>Cuadro  No.20  Habitabilidad  muy  baja  en  las  viviendas  a  nivel  ageb´s  de  la  </w:t>
      </w:r>
      <w:r>
        <w:rPr>
          <w:sz w:val="18"/>
        </w:rPr>
        <w:t>ZMT</w:t>
      </w:r>
      <w:r>
        <w:rPr>
          <w:sz w:val="22"/>
        </w:rPr>
        <w:t>, 2010.</w:t>
        <w:tab/>
        <w:t>190</w:t>
      </w:r>
    </w:p>
    <w:p>
      <w:pPr>
        <w:spacing w:line="252" w:lineRule="exact" w:before="0"/>
        <w:ind w:left="102" w:right="0" w:firstLine="0"/>
        <w:jc w:val="left"/>
        <w:rPr>
          <w:sz w:val="22"/>
        </w:rPr>
      </w:pPr>
      <w:r>
        <w:rPr>
          <w:sz w:val="22"/>
        </w:rPr>
        <w:t>Cuadro No. 21 Varianza total explicada por el grupo de indicadores espaciales en la</w:t>
      </w:r>
    </w:p>
    <w:p>
      <w:pPr>
        <w:tabs>
          <w:tab w:pos="8940" w:val="right" w:leader="none"/>
        </w:tabs>
        <w:spacing w:line="252" w:lineRule="exact" w:before="0"/>
        <w:ind w:left="102" w:right="0" w:firstLine="0"/>
        <w:jc w:val="left"/>
        <w:rPr>
          <w:sz w:val="22"/>
        </w:rPr>
      </w:pPr>
      <w:r>
        <w:rPr>
          <w:sz w:val="18"/>
        </w:rPr>
        <w:t>ZMT</w:t>
      </w:r>
      <w:r>
        <w:rPr>
          <w:sz w:val="22"/>
        </w:rPr>
        <w:t>,</w:t>
      </w:r>
      <w:r>
        <w:rPr>
          <w:spacing w:val="1"/>
          <w:sz w:val="22"/>
        </w:rPr>
        <w:t> </w:t>
      </w:r>
      <w:r>
        <w:rPr>
          <w:sz w:val="22"/>
        </w:rPr>
        <w:t>2014</w:t>
        <w:tab/>
        <w:t>207</w:t>
      </w:r>
    </w:p>
    <w:p>
      <w:pPr>
        <w:spacing w:line="252" w:lineRule="exact" w:before="1"/>
        <w:ind w:left="102" w:right="0" w:firstLine="0"/>
        <w:jc w:val="left"/>
        <w:rPr>
          <w:sz w:val="22"/>
        </w:rPr>
      </w:pPr>
      <w:r>
        <w:rPr>
          <w:sz w:val="22"/>
        </w:rPr>
        <w:t>Cuadro No. 22 Comunalidades obtenidas del grupo de indicadores espaciales en  la</w:t>
      </w:r>
    </w:p>
    <w:p>
      <w:pPr>
        <w:tabs>
          <w:tab w:pos="8940" w:val="right" w:leader="none"/>
        </w:tabs>
        <w:spacing w:line="252" w:lineRule="exact" w:before="0"/>
        <w:ind w:left="102" w:right="0" w:firstLine="0"/>
        <w:jc w:val="left"/>
        <w:rPr>
          <w:sz w:val="22"/>
        </w:rPr>
      </w:pPr>
      <w:r>
        <w:rPr>
          <w:sz w:val="18"/>
        </w:rPr>
        <w:t>ZMT</w:t>
      </w:r>
      <w:r>
        <w:rPr>
          <w:sz w:val="22"/>
        </w:rPr>
        <w:t>,</w:t>
      </w:r>
      <w:r>
        <w:rPr>
          <w:spacing w:val="1"/>
          <w:sz w:val="22"/>
        </w:rPr>
        <w:t> </w:t>
      </w:r>
      <w:r>
        <w:rPr>
          <w:sz w:val="22"/>
        </w:rPr>
        <w:t>2014</w:t>
        <w:tab/>
        <w:t>208</w:t>
      </w:r>
    </w:p>
    <w:p>
      <w:pPr>
        <w:pStyle w:val="Heading4"/>
        <w:spacing w:before="518"/>
        <w:jc w:val="left"/>
      </w:pPr>
      <w:r>
        <w:rPr/>
        <w:t>Índice de Figuras</w:t>
      </w:r>
    </w:p>
    <w:p>
      <w:pPr>
        <w:tabs>
          <w:tab w:pos="8940" w:val="right" w:leader="none"/>
        </w:tabs>
        <w:spacing w:line="252" w:lineRule="exact" w:before="242"/>
        <w:ind w:left="102" w:right="0" w:firstLine="0"/>
        <w:jc w:val="left"/>
        <w:rPr>
          <w:sz w:val="22"/>
        </w:rPr>
      </w:pPr>
      <w:r>
        <w:rPr>
          <w:sz w:val="22"/>
        </w:rPr>
        <w:t>Figura No. 1 Origen</w:t>
      </w:r>
      <w:r>
        <w:rPr>
          <w:spacing w:val="-6"/>
          <w:sz w:val="22"/>
        </w:rPr>
        <w:t> </w:t>
      </w:r>
      <w:r>
        <w:rPr>
          <w:sz w:val="22"/>
        </w:rPr>
        <w:t>del</w:t>
      </w:r>
      <w:r>
        <w:rPr>
          <w:spacing w:val="-4"/>
          <w:sz w:val="22"/>
        </w:rPr>
        <w:t> </w:t>
      </w:r>
      <w:r>
        <w:rPr>
          <w:sz w:val="22"/>
        </w:rPr>
        <w:t>espacio</w:t>
        <w:tab/>
        <w:t>33</w:t>
      </w:r>
    </w:p>
    <w:p>
      <w:pPr>
        <w:tabs>
          <w:tab w:pos="8940" w:val="right" w:leader="none"/>
        </w:tabs>
        <w:spacing w:line="252" w:lineRule="exact" w:before="0"/>
        <w:ind w:left="102" w:right="0" w:firstLine="0"/>
        <w:jc w:val="left"/>
        <w:rPr>
          <w:sz w:val="22"/>
        </w:rPr>
      </w:pPr>
      <w:r>
        <w:rPr>
          <w:sz w:val="22"/>
        </w:rPr>
        <w:t>Figura No. 2Dimensiones de la habitabilidad de</w:t>
      </w:r>
      <w:r>
        <w:rPr>
          <w:spacing w:val="-5"/>
          <w:sz w:val="22"/>
        </w:rPr>
        <w:t> </w:t>
      </w:r>
      <w:r>
        <w:rPr>
          <w:sz w:val="22"/>
        </w:rPr>
        <w:t>las</w:t>
      </w:r>
      <w:r>
        <w:rPr>
          <w:spacing w:val="-1"/>
          <w:sz w:val="22"/>
        </w:rPr>
        <w:t> </w:t>
      </w:r>
      <w:r>
        <w:rPr>
          <w:sz w:val="22"/>
        </w:rPr>
        <w:t>viviendas</w:t>
        <w:tab/>
        <w:t>46</w:t>
      </w:r>
    </w:p>
    <w:p>
      <w:pPr>
        <w:tabs>
          <w:tab w:pos="8940" w:val="right" w:leader="none"/>
        </w:tabs>
        <w:spacing w:before="1"/>
        <w:ind w:left="102" w:right="117" w:firstLine="0"/>
        <w:jc w:val="left"/>
        <w:rPr>
          <w:sz w:val="22"/>
        </w:rPr>
      </w:pPr>
      <w:r>
        <w:rPr>
          <w:sz w:val="22"/>
        </w:rPr>
        <w:t>Figura No. 3 Evaluación de la habitabilidad de las viviendas en la  </w:t>
      </w:r>
      <w:r>
        <w:rPr>
          <w:sz w:val="18"/>
        </w:rPr>
        <w:t>ZMT</w:t>
      </w:r>
      <w:r>
        <w:rPr>
          <w:sz w:val="22"/>
        </w:rPr>
        <w:t>, 1990, por      medio de sus dimensiones</w:t>
      </w:r>
      <w:r>
        <w:rPr>
          <w:spacing w:val="-3"/>
          <w:sz w:val="22"/>
        </w:rPr>
        <w:t> </w:t>
      </w:r>
      <w:r>
        <w:rPr>
          <w:sz w:val="22"/>
        </w:rPr>
        <w:t>y</w:t>
      </w:r>
      <w:r>
        <w:rPr>
          <w:spacing w:val="-2"/>
          <w:sz w:val="22"/>
        </w:rPr>
        <w:t> </w:t>
      </w:r>
      <w:r>
        <w:rPr>
          <w:sz w:val="22"/>
        </w:rPr>
        <w:t>variables.</w:t>
        <w:tab/>
        <w:t>169</w:t>
      </w:r>
    </w:p>
    <w:p>
      <w:pPr>
        <w:tabs>
          <w:tab w:pos="8940" w:val="right" w:leader="none"/>
        </w:tabs>
        <w:spacing w:before="0"/>
        <w:ind w:left="102" w:right="117" w:firstLine="0"/>
        <w:jc w:val="left"/>
        <w:rPr>
          <w:sz w:val="22"/>
        </w:rPr>
      </w:pPr>
      <w:r>
        <w:rPr>
          <w:sz w:val="22"/>
        </w:rPr>
        <w:t>Figura No. 4 Evaluación de la habitabilidad de las viviendas en la  </w:t>
      </w:r>
      <w:r>
        <w:rPr>
          <w:sz w:val="18"/>
        </w:rPr>
        <w:t>ZMT</w:t>
      </w:r>
      <w:r>
        <w:rPr>
          <w:sz w:val="22"/>
        </w:rPr>
        <w:t>, 2000, por      medio de sus dimensiones</w:t>
      </w:r>
      <w:r>
        <w:rPr>
          <w:spacing w:val="-3"/>
          <w:sz w:val="22"/>
        </w:rPr>
        <w:t> </w:t>
      </w:r>
      <w:r>
        <w:rPr>
          <w:sz w:val="22"/>
        </w:rPr>
        <w:t>y</w:t>
      </w:r>
      <w:r>
        <w:rPr>
          <w:spacing w:val="-2"/>
          <w:sz w:val="22"/>
        </w:rPr>
        <w:t> </w:t>
      </w:r>
      <w:r>
        <w:rPr>
          <w:sz w:val="22"/>
        </w:rPr>
        <w:t>variables.</w:t>
        <w:tab/>
        <w:t>174</w:t>
      </w:r>
    </w:p>
    <w:p>
      <w:pPr>
        <w:tabs>
          <w:tab w:pos="8940" w:val="right" w:leader="none"/>
        </w:tabs>
        <w:spacing w:before="0"/>
        <w:ind w:left="102" w:right="117" w:firstLine="0"/>
        <w:jc w:val="left"/>
        <w:rPr>
          <w:sz w:val="22"/>
        </w:rPr>
      </w:pPr>
      <w:r>
        <w:rPr>
          <w:sz w:val="22"/>
        </w:rPr>
        <w:t>Figura  No.  5  Evaluación  de  la  habitabilidad  de  las  viviendas  en  la  </w:t>
      </w:r>
      <w:r>
        <w:rPr>
          <w:sz w:val="18"/>
        </w:rPr>
        <w:t>ZMT</w:t>
      </w:r>
      <w:r>
        <w:rPr>
          <w:sz w:val="22"/>
        </w:rPr>
        <w:t>,  2010  por medio de sus dimensiones</w:t>
      </w:r>
      <w:r>
        <w:rPr>
          <w:spacing w:val="-3"/>
          <w:sz w:val="22"/>
        </w:rPr>
        <w:t> </w:t>
      </w:r>
      <w:r>
        <w:rPr>
          <w:sz w:val="22"/>
        </w:rPr>
        <w:t>y</w:t>
      </w:r>
      <w:r>
        <w:rPr>
          <w:spacing w:val="-2"/>
          <w:sz w:val="22"/>
        </w:rPr>
        <w:t> </w:t>
      </w:r>
      <w:r>
        <w:rPr>
          <w:sz w:val="22"/>
        </w:rPr>
        <w:t>variables.</w:t>
        <w:tab/>
        <w:t>179</w:t>
      </w:r>
    </w:p>
    <w:p>
      <w:pPr>
        <w:tabs>
          <w:tab w:pos="8940" w:val="right" w:leader="none"/>
        </w:tabs>
        <w:spacing w:before="0"/>
        <w:ind w:left="102" w:right="117" w:firstLine="0"/>
        <w:jc w:val="left"/>
        <w:rPr>
          <w:sz w:val="22"/>
        </w:rPr>
      </w:pPr>
      <w:r>
        <w:rPr>
          <w:sz w:val="22"/>
        </w:rPr>
        <w:t>Figura No. 6 Evaluación de la habitabilidad de las viviendas en la  </w:t>
      </w:r>
      <w:r>
        <w:rPr>
          <w:sz w:val="18"/>
        </w:rPr>
        <w:t>ZMT</w:t>
      </w:r>
      <w:r>
        <w:rPr>
          <w:sz w:val="22"/>
        </w:rPr>
        <w:t>, 2010, por      medio de sus dimensiones</w:t>
      </w:r>
      <w:r>
        <w:rPr>
          <w:spacing w:val="-3"/>
          <w:sz w:val="22"/>
        </w:rPr>
        <w:t> </w:t>
      </w:r>
      <w:r>
        <w:rPr>
          <w:sz w:val="22"/>
        </w:rPr>
        <w:t>y</w:t>
      </w:r>
      <w:r>
        <w:rPr>
          <w:spacing w:val="-2"/>
          <w:sz w:val="22"/>
        </w:rPr>
        <w:t> </w:t>
      </w:r>
      <w:r>
        <w:rPr>
          <w:sz w:val="22"/>
        </w:rPr>
        <w:t>variables.</w:t>
        <w:tab/>
        <w:t>184</w:t>
      </w:r>
    </w:p>
    <w:p>
      <w:pPr>
        <w:spacing w:after="0"/>
        <w:jc w:val="left"/>
        <w:rPr>
          <w:sz w:val="22"/>
        </w:rPr>
        <w:sectPr>
          <w:type w:val="continuous"/>
          <w:pgSz w:w="12240" w:h="15840"/>
          <w:pgMar w:top="1420" w:bottom="280" w:left="1600" w:right="1580"/>
        </w:sectPr>
      </w:pPr>
    </w:p>
    <w:p>
      <w:pPr>
        <w:pStyle w:val="Heading4"/>
        <w:jc w:val="left"/>
      </w:pPr>
      <w:r>
        <w:rPr/>
        <w:t>Índice de Gráficas</w:t>
      </w:r>
    </w:p>
    <w:p>
      <w:pPr>
        <w:pStyle w:val="BodyText"/>
        <w:rPr>
          <w:b/>
        </w:rPr>
      </w:pPr>
    </w:p>
    <w:p>
      <w:pPr>
        <w:pStyle w:val="BodyText"/>
        <w:rPr>
          <w:b/>
        </w:rPr>
      </w:pPr>
    </w:p>
    <w:p>
      <w:pPr>
        <w:tabs>
          <w:tab w:pos="8573" w:val="left" w:leader="none"/>
        </w:tabs>
        <w:spacing w:before="208"/>
        <w:ind w:left="102" w:right="117" w:firstLine="0"/>
        <w:jc w:val="left"/>
        <w:rPr>
          <w:sz w:val="22"/>
        </w:rPr>
      </w:pPr>
      <w:r>
        <w:rPr>
          <w:sz w:val="22"/>
        </w:rPr>
        <w:t>Gráfica No. 1 Viviendas habitadas, deshabitadas y de uso temporal en la</w:t>
      </w:r>
      <w:r>
        <w:rPr>
          <w:spacing w:val="-23"/>
          <w:sz w:val="22"/>
        </w:rPr>
        <w:t> </w:t>
      </w:r>
      <w:r>
        <w:rPr>
          <w:sz w:val="18"/>
        </w:rPr>
        <w:t>ZMT</w:t>
      </w:r>
      <w:r>
        <w:rPr>
          <w:sz w:val="22"/>
        </w:rPr>
        <w:t>,</w:t>
      </w:r>
      <w:r>
        <w:rPr>
          <w:spacing w:val="1"/>
          <w:sz w:val="22"/>
        </w:rPr>
        <w:t> </w:t>
      </w:r>
      <w:r>
        <w:rPr>
          <w:sz w:val="22"/>
        </w:rPr>
        <w:t>2010.</w:t>
        <w:tab/>
        <w:t>113 Gráfica</w:t>
      </w:r>
      <w:r>
        <w:rPr>
          <w:spacing w:val="34"/>
          <w:sz w:val="22"/>
        </w:rPr>
        <w:t> </w:t>
      </w:r>
      <w:r>
        <w:rPr>
          <w:sz w:val="22"/>
        </w:rPr>
        <w:t>No.</w:t>
      </w:r>
      <w:r>
        <w:rPr>
          <w:spacing w:val="34"/>
          <w:sz w:val="22"/>
        </w:rPr>
        <w:t> </w:t>
      </w:r>
      <w:r>
        <w:rPr>
          <w:sz w:val="22"/>
        </w:rPr>
        <w:t>2</w:t>
      </w:r>
      <w:r>
        <w:rPr>
          <w:spacing w:val="34"/>
          <w:sz w:val="22"/>
        </w:rPr>
        <w:t> </w:t>
      </w:r>
      <w:r>
        <w:rPr>
          <w:sz w:val="22"/>
        </w:rPr>
        <w:t>Viviendas</w:t>
      </w:r>
      <w:r>
        <w:rPr>
          <w:spacing w:val="35"/>
          <w:sz w:val="22"/>
        </w:rPr>
        <w:t> </w:t>
      </w:r>
      <w:r>
        <w:rPr>
          <w:sz w:val="22"/>
        </w:rPr>
        <w:t>habitadas</w:t>
      </w:r>
      <w:r>
        <w:rPr>
          <w:spacing w:val="32"/>
          <w:sz w:val="22"/>
        </w:rPr>
        <w:t> </w:t>
      </w:r>
      <w:r>
        <w:rPr>
          <w:sz w:val="22"/>
        </w:rPr>
        <w:t>que</w:t>
      </w:r>
      <w:r>
        <w:rPr>
          <w:spacing w:val="31"/>
          <w:sz w:val="22"/>
        </w:rPr>
        <w:t> </w:t>
      </w:r>
      <w:r>
        <w:rPr>
          <w:sz w:val="22"/>
        </w:rPr>
        <w:t>contaron</w:t>
      </w:r>
      <w:r>
        <w:rPr>
          <w:spacing w:val="34"/>
          <w:sz w:val="22"/>
        </w:rPr>
        <w:t> </w:t>
      </w:r>
      <w:r>
        <w:rPr>
          <w:sz w:val="22"/>
        </w:rPr>
        <w:t>con</w:t>
      </w:r>
      <w:r>
        <w:rPr>
          <w:spacing w:val="34"/>
          <w:sz w:val="22"/>
        </w:rPr>
        <w:t> </w:t>
      </w:r>
      <w:r>
        <w:rPr>
          <w:sz w:val="22"/>
        </w:rPr>
        <w:t>servicio</w:t>
      </w:r>
      <w:r>
        <w:rPr>
          <w:spacing w:val="34"/>
          <w:sz w:val="22"/>
        </w:rPr>
        <w:t> </w:t>
      </w:r>
      <w:r>
        <w:rPr>
          <w:sz w:val="22"/>
        </w:rPr>
        <w:t>de</w:t>
      </w:r>
      <w:r>
        <w:rPr>
          <w:spacing w:val="34"/>
          <w:sz w:val="22"/>
        </w:rPr>
        <w:t> </w:t>
      </w:r>
      <w:r>
        <w:rPr>
          <w:sz w:val="22"/>
        </w:rPr>
        <w:t>agua</w:t>
      </w:r>
      <w:r>
        <w:rPr>
          <w:spacing w:val="31"/>
          <w:sz w:val="22"/>
        </w:rPr>
        <w:t> </w:t>
      </w:r>
      <w:r>
        <w:rPr>
          <w:sz w:val="22"/>
        </w:rPr>
        <w:t>en</w:t>
      </w:r>
      <w:r>
        <w:rPr>
          <w:spacing w:val="34"/>
          <w:sz w:val="22"/>
        </w:rPr>
        <w:t> </w:t>
      </w:r>
      <w:r>
        <w:rPr>
          <w:sz w:val="22"/>
        </w:rPr>
        <w:t>la</w:t>
      </w:r>
      <w:r>
        <w:rPr>
          <w:spacing w:val="39"/>
          <w:sz w:val="22"/>
        </w:rPr>
        <w:t> </w:t>
      </w:r>
      <w:r>
        <w:rPr>
          <w:sz w:val="18"/>
        </w:rPr>
        <w:t>ZMT</w:t>
      </w:r>
      <w:r>
        <w:rPr>
          <w:sz w:val="22"/>
        </w:rPr>
        <w:t>,</w:t>
      </w:r>
    </w:p>
    <w:p>
      <w:pPr>
        <w:tabs>
          <w:tab w:pos="8573" w:val="left" w:leader="none"/>
        </w:tabs>
        <w:spacing w:line="252" w:lineRule="exact" w:before="0"/>
        <w:ind w:left="102" w:right="0" w:firstLine="0"/>
        <w:jc w:val="left"/>
        <w:rPr>
          <w:sz w:val="22"/>
        </w:rPr>
      </w:pPr>
      <w:r>
        <w:rPr>
          <w:sz w:val="22"/>
        </w:rPr>
        <w:t>1990-2010.</w:t>
        <w:tab/>
        <w:t>119</w:t>
      </w:r>
    </w:p>
    <w:p>
      <w:pPr>
        <w:tabs>
          <w:tab w:pos="8573" w:val="left" w:leader="none"/>
        </w:tabs>
        <w:spacing w:before="1"/>
        <w:ind w:left="102" w:right="117" w:firstLine="0"/>
        <w:jc w:val="left"/>
        <w:rPr>
          <w:sz w:val="22"/>
        </w:rPr>
      </w:pPr>
      <w:r>
        <w:rPr>
          <w:sz w:val="22"/>
        </w:rPr>
        <w:t>Gráfica No. 3 Viviendas de la </w:t>
      </w:r>
      <w:r>
        <w:rPr>
          <w:sz w:val="18"/>
        </w:rPr>
        <w:t>ZMT</w:t>
      </w:r>
      <w:r>
        <w:rPr>
          <w:sz w:val="22"/>
        </w:rPr>
        <w:t>, con techo de lámina, cartón o desechos, 1990-      2000.</w:t>
        <w:tab/>
        <w:t>129</w:t>
      </w:r>
    </w:p>
    <w:p>
      <w:pPr>
        <w:tabs>
          <w:tab w:pos="8573" w:val="left" w:leader="none"/>
        </w:tabs>
        <w:spacing w:before="1"/>
        <w:ind w:left="102" w:right="117" w:firstLine="0"/>
        <w:jc w:val="left"/>
        <w:rPr>
          <w:sz w:val="22"/>
        </w:rPr>
      </w:pPr>
      <w:r>
        <w:rPr>
          <w:sz w:val="22"/>
        </w:rPr>
        <w:t>Gráfica No. 4 Viviendas de la </w:t>
      </w:r>
      <w:r>
        <w:rPr>
          <w:sz w:val="18"/>
        </w:rPr>
        <w:t>ZMT</w:t>
      </w:r>
      <w:r>
        <w:rPr>
          <w:sz w:val="22"/>
        </w:rPr>
        <w:t>, con paredes de lámina, cartón o desechos, 1990- 2000.</w:t>
        <w:tab/>
        <w:t>131</w:t>
      </w:r>
    </w:p>
    <w:p>
      <w:pPr>
        <w:tabs>
          <w:tab w:pos="8573" w:val="left" w:leader="none"/>
        </w:tabs>
        <w:spacing w:line="252" w:lineRule="exact" w:before="0"/>
        <w:ind w:left="102" w:right="0" w:firstLine="0"/>
        <w:jc w:val="left"/>
        <w:rPr>
          <w:sz w:val="22"/>
        </w:rPr>
      </w:pPr>
      <w:r>
        <w:rPr>
          <w:sz w:val="22"/>
        </w:rPr>
        <w:t>Gráfica No. 5 Viviendas con piso de tierra de la</w:t>
      </w:r>
      <w:r>
        <w:rPr>
          <w:spacing w:val="-18"/>
          <w:sz w:val="22"/>
        </w:rPr>
        <w:t> </w:t>
      </w:r>
      <w:r>
        <w:rPr>
          <w:sz w:val="18"/>
        </w:rPr>
        <w:t>ZMT</w:t>
      </w:r>
      <w:r>
        <w:rPr>
          <w:sz w:val="22"/>
        </w:rPr>
        <w:t>, 1990-2010.</w:t>
        <w:tab/>
        <w:t>134</w:t>
      </w:r>
    </w:p>
    <w:p>
      <w:pPr>
        <w:tabs>
          <w:tab w:pos="8573" w:val="left" w:leader="none"/>
        </w:tabs>
        <w:spacing w:line="253" w:lineRule="exact" w:before="1"/>
        <w:ind w:left="102" w:right="0" w:firstLine="0"/>
        <w:jc w:val="left"/>
        <w:rPr>
          <w:sz w:val="22"/>
        </w:rPr>
      </w:pPr>
      <w:r>
        <w:rPr>
          <w:sz w:val="22"/>
        </w:rPr>
        <w:t>Gráfica No. 6 Viviendas que no son propias en la</w:t>
      </w:r>
      <w:r>
        <w:rPr>
          <w:spacing w:val="-16"/>
          <w:sz w:val="22"/>
        </w:rPr>
        <w:t> </w:t>
      </w:r>
      <w:r>
        <w:rPr>
          <w:sz w:val="18"/>
        </w:rPr>
        <w:t>ZMT</w:t>
      </w:r>
      <w:r>
        <w:rPr>
          <w:sz w:val="22"/>
        </w:rPr>
        <w:t>,</w:t>
      </w:r>
      <w:r>
        <w:rPr>
          <w:spacing w:val="1"/>
          <w:sz w:val="22"/>
        </w:rPr>
        <w:t> </w:t>
      </w:r>
      <w:r>
        <w:rPr>
          <w:sz w:val="22"/>
        </w:rPr>
        <w:t>1990-2000.</w:t>
        <w:tab/>
        <w:t>137</w:t>
      </w:r>
    </w:p>
    <w:p>
      <w:pPr>
        <w:tabs>
          <w:tab w:pos="8573" w:val="left" w:leader="none"/>
        </w:tabs>
        <w:spacing w:before="0"/>
        <w:ind w:left="102" w:right="0" w:firstLine="0"/>
        <w:jc w:val="left"/>
        <w:rPr>
          <w:sz w:val="22"/>
        </w:rPr>
      </w:pPr>
      <w:r>
        <w:rPr>
          <w:sz w:val="22"/>
        </w:rPr>
        <w:t>Gráfica No. 7 Viviendas con 1 cuarto en la</w:t>
      </w:r>
      <w:r>
        <w:rPr>
          <w:spacing w:val="-17"/>
          <w:sz w:val="22"/>
        </w:rPr>
        <w:t> </w:t>
      </w:r>
      <w:r>
        <w:rPr>
          <w:sz w:val="18"/>
        </w:rPr>
        <w:t>ZMT</w:t>
      </w:r>
      <w:r>
        <w:rPr>
          <w:sz w:val="22"/>
        </w:rPr>
        <w:t>, 1990-2010.</w:t>
        <w:tab/>
        <w:t>140</w:t>
      </w:r>
    </w:p>
    <w:p>
      <w:pPr>
        <w:tabs>
          <w:tab w:pos="8573" w:val="left" w:leader="none"/>
        </w:tabs>
        <w:spacing w:line="252" w:lineRule="exact" w:before="1"/>
        <w:ind w:left="102" w:right="0" w:firstLine="0"/>
        <w:jc w:val="left"/>
        <w:rPr>
          <w:sz w:val="22"/>
        </w:rPr>
      </w:pPr>
      <w:r>
        <w:rPr>
          <w:sz w:val="22"/>
        </w:rPr>
        <w:t>Gráfica No. 8 Viviendas con 2 cuartos en la </w:t>
      </w:r>
      <w:r>
        <w:rPr>
          <w:sz w:val="18"/>
        </w:rPr>
        <w:t>ZMT</w:t>
      </w:r>
      <w:r>
        <w:rPr>
          <w:sz w:val="22"/>
        </w:rPr>
        <w:t>, 1990</w:t>
      </w:r>
      <w:r>
        <w:rPr>
          <w:spacing w:val="-12"/>
          <w:sz w:val="22"/>
        </w:rPr>
        <w:t> </w:t>
      </w:r>
      <w:r>
        <w:rPr>
          <w:sz w:val="22"/>
        </w:rPr>
        <w:t>y</w:t>
      </w:r>
      <w:r>
        <w:rPr>
          <w:spacing w:val="-3"/>
          <w:sz w:val="22"/>
        </w:rPr>
        <w:t> </w:t>
      </w:r>
      <w:r>
        <w:rPr>
          <w:sz w:val="22"/>
        </w:rPr>
        <w:t>2010.</w:t>
        <w:tab/>
        <w:t>142</w:t>
      </w:r>
    </w:p>
    <w:p>
      <w:pPr>
        <w:tabs>
          <w:tab w:pos="8573" w:val="left" w:leader="none"/>
        </w:tabs>
        <w:spacing w:line="252" w:lineRule="exact" w:before="0"/>
        <w:ind w:left="102" w:right="0" w:firstLine="0"/>
        <w:jc w:val="left"/>
        <w:rPr>
          <w:sz w:val="22"/>
        </w:rPr>
      </w:pPr>
      <w:r>
        <w:rPr>
          <w:sz w:val="22"/>
        </w:rPr>
        <w:t>Gráfica No. 9 Ocupantes por cuarto en las viviendas de la</w:t>
      </w:r>
      <w:r>
        <w:rPr>
          <w:spacing w:val="-19"/>
          <w:sz w:val="22"/>
        </w:rPr>
        <w:t> </w:t>
      </w:r>
      <w:r>
        <w:rPr>
          <w:sz w:val="18"/>
        </w:rPr>
        <w:t>ZMT</w:t>
      </w:r>
      <w:r>
        <w:rPr>
          <w:sz w:val="22"/>
        </w:rPr>
        <w:t>, 1990-2010.</w:t>
        <w:tab/>
        <w:t>144</w:t>
      </w:r>
    </w:p>
    <w:p>
      <w:pPr>
        <w:tabs>
          <w:tab w:pos="8573" w:val="left" w:leader="none"/>
        </w:tabs>
        <w:spacing w:line="252" w:lineRule="exact" w:before="0"/>
        <w:ind w:left="102" w:right="0" w:firstLine="0"/>
        <w:jc w:val="left"/>
        <w:rPr>
          <w:sz w:val="22"/>
        </w:rPr>
      </w:pPr>
      <w:r>
        <w:rPr>
          <w:sz w:val="22"/>
        </w:rPr>
        <w:t>Gráfica No. 10 Viviendas con radio en la</w:t>
      </w:r>
      <w:r>
        <w:rPr>
          <w:spacing w:val="-15"/>
          <w:sz w:val="22"/>
        </w:rPr>
        <w:t> </w:t>
      </w:r>
      <w:r>
        <w:rPr>
          <w:sz w:val="18"/>
        </w:rPr>
        <w:t>ZMT</w:t>
      </w:r>
      <w:r>
        <w:rPr>
          <w:sz w:val="22"/>
        </w:rPr>
        <w:t>, 2000-2010.</w:t>
        <w:tab/>
        <w:t>146</w:t>
      </w:r>
    </w:p>
    <w:p>
      <w:pPr>
        <w:tabs>
          <w:tab w:pos="8573" w:val="left" w:leader="none"/>
        </w:tabs>
        <w:spacing w:line="252" w:lineRule="exact" w:before="1"/>
        <w:ind w:left="102" w:right="0" w:firstLine="0"/>
        <w:jc w:val="left"/>
        <w:rPr>
          <w:sz w:val="22"/>
        </w:rPr>
      </w:pPr>
      <w:r>
        <w:rPr>
          <w:sz w:val="22"/>
        </w:rPr>
        <w:t>Gráfica No. 11 Viviendas con televisor en la</w:t>
      </w:r>
      <w:r>
        <w:rPr>
          <w:spacing w:val="-11"/>
          <w:sz w:val="22"/>
        </w:rPr>
        <w:t> </w:t>
      </w:r>
      <w:r>
        <w:rPr>
          <w:sz w:val="18"/>
        </w:rPr>
        <w:t>ZMT</w:t>
      </w:r>
      <w:r>
        <w:rPr>
          <w:sz w:val="22"/>
        </w:rPr>
        <w:t>, 2000-2010.</w:t>
        <w:tab/>
        <w:t>148</w:t>
      </w:r>
    </w:p>
    <w:p>
      <w:pPr>
        <w:tabs>
          <w:tab w:pos="8573" w:val="left" w:leader="none"/>
        </w:tabs>
        <w:spacing w:line="252" w:lineRule="exact" w:before="0"/>
        <w:ind w:left="102" w:right="0" w:firstLine="0"/>
        <w:jc w:val="left"/>
        <w:rPr>
          <w:sz w:val="22"/>
        </w:rPr>
      </w:pPr>
      <w:r>
        <w:rPr>
          <w:sz w:val="22"/>
        </w:rPr>
        <w:t>Gráfica No. 12 Viviendas con videocaseteras en la</w:t>
      </w:r>
      <w:r>
        <w:rPr>
          <w:spacing w:val="-9"/>
          <w:sz w:val="22"/>
        </w:rPr>
        <w:t> </w:t>
      </w:r>
      <w:r>
        <w:rPr>
          <w:sz w:val="18"/>
        </w:rPr>
        <w:t>ZMT</w:t>
      </w:r>
      <w:r>
        <w:rPr>
          <w:sz w:val="22"/>
        </w:rPr>
        <w:t>, 2000.</w:t>
        <w:tab/>
        <w:t>150</w:t>
      </w:r>
    </w:p>
    <w:p>
      <w:pPr>
        <w:tabs>
          <w:tab w:pos="8573" w:val="left" w:leader="none"/>
        </w:tabs>
        <w:spacing w:line="252" w:lineRule="exact" w:before="1"/>
        <w:ind w:left="102" w:right="0" w:firstLine="0"/>
        <w:jc w:val="left"/>
        <w:rPr>
          <w:sz w:val="22"/>
        </w:rPr>
      </w:pPr>
      <w:r>
        <w:rPr>
          <w:sz w:val="22"/>
        </w:rPr>
        <w:t>Gráfica No. 13 Viviendas con refrigerador en la</w:t>
      </w:r>
      <w:r>
        <w:rPr>
          <w:spacing w:val="-18"/>
          <w:sz w:val="22"/>
        </w:rPr>
        <w:t> </w:t>
      </w:r>
      <w:r>
        <w:rPr>
          <w:sz w:val="18"/>
        </w:rPr>
        <w:t>ZMT</w:t>
      </w:r>
      <w:r>
        <w:rPr>
          <w:sz w:val="22"/>
        </w:rPr>
        <w:t>, 2000-2010.</w:t>
        <w:tab/>
        <w:t>151</w:t>
      </w:r>
    </w:p>
    <w:p>
      <w:pPr>
        <w:tabs>
          <w:tab w:pos="8573" w:val="left" w:leader="none"/>
        </w:tabs>
        <w:spacing w:line="252" w:lineRule="exact" w:before="0"/>
        <w:ind w:left="102" w:right="0" w:firstLine="0"/>
        <w:jc w:val="left"/>
        <w:rPr>
          <w:sz w:val="22"/>
        </w:rPr>
      </w:pPr>
      <w:r>
        <w:rPr>
          <w:sz w:val="22"/>
        </w:rPr>
        <w:t>Gráfica No. 14 Viviendas con lavadora en la</w:t>
      </w:r>
      <w:r>
        <w:rPr>
          <w:spacing w:val="-12"/>
          <w:sz w:val="22"/>
        </w:rPr>
        <w:t> </w:t>
      </w:r>
      <w:r>
        <w:rPr>
          <w:sz w:val="18"/>
        </w:rPr>
        <w:t>ZMT</w:t>
      </w:r>
      <w:r>
        <w:rPr>
          <w:sz w:val="22"/>
        </w:rPr>
        <w:t>, 2000-2010.</w:t>
        <w:tab/>
        <w:t>153</w:t>
      </w:r>
    </w:p>
    <w:p>
      <w:pPr>
        <w:tabs>
          <w:tab w:pos="8573" w:val="left" w:leader="none"/>
        </w:tabs>
        <w:spacing w:line="252" w:lineRule="exact" w:before="0"/>
        <w:ind w:left="102" w:right="0" w:firstLine="0"/>
        <w:jc w:val="left"/>
        <w:rPr>
          <w:sz w:val="22"/>
        </w:rPr>
      </w:pPr>
      <w:r>
        <w:rPr>
          <w:sz w:val="22"/>
        </w:rPr>
        <w:t>Gráfica No. 15 Viviendas con automóvil o camioneta en la</w:t>
      </w:r>
      <w:r>
        <w:rPr>
          <w:spacing w:val="-17"/>
          <w:sz w:val="22"/>
        </w:rPr>
        <w:t> </w:t>
      </w:r>
      <w:r>
        <w:rPr>
          <w:sz w:val="18"/>
        </w:rPr>
        <w:t>ZMT</w:t>
      </w:r>
      <w:r>
        <w:rPr>
          <w:sz w:val="22"/>
        </w:rPr>
        <w:t>, 2000-2010.</w:t>
        <w:tab/>
        <w:t>155</w:t>
      </w:r>
    </w:p>
    <w:p>
      <w:pPr>
        <w:tabs>
          <w:tab w:pos="8573" w:val="left" w:leader="none"/>
        </w:tabs>
        <w:spacing w:line="252" w:lineRule="exact" w:before="1"/>
        <w:ind w:left="102" w:right="0" w:firstLine="0"/>
        <w:jc w:val="left"/>
        <w:rPr>
          <w:sz w:val="22"/>
        </w:rPr>
      </w:pPr>
      <w:r>
        <w:rPr>
          <w:sz w:val="22"/>
        </w:rPr>
        <w:t>Gráfica No. 16 Viviendas con computadora en la</w:t>
      </w:r>
      <w:r>
        <w:rPr>
          <w:spacing w:val="-11"/>
          <w:sz w:val="22"/>
        </w:rPr>
        <w:t> </w:t>
      </w:r>
      <w:r>
        <w:rPr>
          <w:sz w:val="18"/>
        </w:rPr>
        <w:t>ZMT</w:t>
      </w:r>
      <w:r>
        <w:rPr>
          <w:sz w:val="22"/>
        </w:rPr>
        <w:t>, 2010.</w:t>
        <w:tab/>
        <w:t>157</w:t>
      </w:r>
    </w:p>
    <w:p>
      <w:pPr>
        <w:tabs>
          <w:tab w:pos="8573" w:val="left" w:leader="none"/>
        </w:tabs>
        <w:spacing w:line="252" w:lineRule="exact" w:before="0"/>
        <w:ind w:left="102" w:right="0" w:firstLine="0"/>
        <w:jc w:val="left"/>
        <w:rPr>
          <w:sz w:val="22"/>
        </w:rPr>
      </w:pPr>
      <w:r>
        <w:rPr>
          <w:sz w:val="22"/>
        </w:rPr>
        <w:t>Gráfica No. 17 Viviendas con internet en la</w:t>
      </w:r>
      <w:r>
        <w:rPr>
          <w:spacing w:val="-12"/>
          <w:sz w:val="22"/>
        </w:rPr>
        <w:t> </w:t>
      </w:r>
      <w:r>
        <w:rPr>
          <w:sz w:val="18"/>
        </w:rPr>
        <w:t>ZMT</w:t>
      </w:r>
      <w:r>
        <w:rPr>
          <w:sz w:val="22"/>
        </w:rPr>
        <w:t>, 2010.</w:t>
        <w:tab/>
        <w:t>160</w:t>
      </w:r>
    </w:p>
    <w:p>
      <w:pPr>
        <w:tabs>
          <w:tab w:pos="8573" w:val="left" w:leader="none"/>
        </w:tabs>
        <w:spacing w:line="252" w:lineRule="exact" w:before="1"/>
        <w:ind w:left="102" w:right="0" w:firstLine="0"/>
        <w:jc w:val="left"/>
        <w:rPr>
          <w:sz w:val="22"/>
        </w:rPr>
      </w:pPr>
      <w:r>
        <w:rPr>
          <w:sz w:val="22"/>
        </w:rPr>
        <w:t>Gráfica No. 18 Viviendas con teléfono en la</w:t>
      </w:r>
      <w:r>
        <w:rPr>
          <w:spacing w:val="-13"/>
          <w:sz w:val="22"/>
        </w:rPr>
        <w:t> </w:t>
      </w:r>
      <w:r>
        <w:rPr>
          <w:sz w:val="18"/>
        </w:rPr>
        <w:t>ZMT</w:t>
      </w:r>
      <w:r>
        <w:rPr>
          <w:sz w:val="22"/>
        </w:rPr>
        <w:t>, 2000-2010.</w:t>
        <w:tab/>
        <w:t>162</w:t>
      </w:r>
    </w:p>
    <w:p>
      <w:pPr>
        <w:tabs>
          <w:tab w:pos="8573" w:val="left" w:leader="none"/>
        </w:tabs>
        <w:spacing w:line="252" w:lineRule="exact" w:before="0"/>
        <w:ind w:left="102" w:right="0" w:firstLine="0"/>
        <w:jc w:val="left"/>
        <w:rPr>
          <w:sz w:val="22"/>
        </w:rPr>
      </w:pPr>
      <w:r>
        <w:rPr>
          <w:sz w:val="22"/>
        </w:rPr>
        <w:t>Gráfica No. 19 Viviendas con teléfono celular en la</w:t>
      </w:r>
      <w:r>
        <w:rPr>
          <w:spacing w:val="-11"/>
          <w:sz w:val="22"/>
        </w:rPr>
        <w:t> </w:t>
      </w:r>
      <w:r>
        <w:rPr>
          <w:sz w:val="18"/>
        </w:rPr>
        <w:t>ZMT</w:t>
      </w:r>
      <w:r>
        <w:rPr>
          <w:sz w:val="22"/>
        </w:rPr>
        <w:t>,</w:t>
      </w:r>
      <w:r>
        <w:rPr>
          <w:spacing w:val="1"/>
          <w:sz w:val="22"/>
        </w:rPr>
        <w:t> </w:t>
      </w:r>
      <w:r>
        <w:rPr>
          <w:sz w:val="22"/>
        </w:rPr>
        <w:t>2010.</w:t>
        <w:tab/>
        <w:t>164</w:t>
      </w:r>
    </w:p>
    <w:p>
      <w:pPr>
        <w:tabs>
          <w:tab w:pos="8573" w:val="left" w:leader="none"/>
        </w:tabs>
        <w:spacing w:before="1"/>
        <w:ind w:left="102" w:right="0" w:firstLine="0"/>
        <w:jc w:val="left"/>
        <w:rPr>
          <w:sz w:val="22"/>
        </w:rPr>
      </w:pPr>
      <w:r>
        <w:rPr>
          <w:sz w:val="22"/>
        </w:rPr>
        <w:t>Gráfica No. 20 Viviendas con boiler en la</w:t>
      </w:r>
      <w:r>
        <w:rPr>
          <w:spacing w:val="-11"/>
          <w:sz w:val="22"/>
        </w:rPr>
        <w:t> </w:t>
      </w:r>
      <w:r>
        <w:rPr>
          <w:sz w:val="18"/>
        </w:rPr>
        <w:t>ZMT</w:t>
      </w:r>
      <w:r>
        <w:rPr>
          <w:sz w:val="22"/>
        </w:rPr>
        <w:t>, 2000.</w:t>
        <w:tab/>
        <w:t>166</w:t>
      </w:r>
    </w:p>
    <w:p>
      <w:pPr>
        <w:spacing w:after="0"/>
        <w:jc w:val="left"/>
        <w:rPr>
          <w:sz w:val="22"/>
        </w:rPr>
        <w:sectPr>
          <w:pgSz w:w="12240" w:h="15840"/>
          <w:pgMar w:header="0" w:footer="1003" w:top="1360" w:bottom="1200" w:left="1600" w:right="1580"/>
        </w:sectPr>
      </w:pPr>
    </w:p>
    <w:p>
      <w:pPr>
        <w:pStyle w:val="Heading4"/>
        <w:jc w:val="left"/>
      </w:pPr>
      <w:r>
        <w:rPr/>
        <w:t>Índice de Mapas</w:t>
      </w:r>
    </w:p>
    <w:p>
      <w:pPr>
        <w:tabs>
          <w:tab w:pos="8940" w:val="right" w:leader="none"/>
        </w:tabs>
        <w:spacing w:line="252" w:lineRule="exact" w:before="760"/>
        <w:ind w:left="102" w:right="0" w:firstLine="0"/>
        <w:jc w:val="left"/>
        <w:rPr>
          <w:sz w:val="22"/>
        </w:rPr>
      </w:pPr>
      <w:r>
        <w:rPr>
          <w:sz w:val="22"/>
        </w:rPr>
        <w:t>Mapa No. 1 Ubicación de la Zona Metropolitana</w:t>
      </w:r>
      <w:r>
        <w:rPr>
          <w:spacing w:val="-2"/>
          <w:sz w:val="22"/>
        </w:rPr>
        <w:t> </w:t>
      </w:r>
      <w:r>
        <w:rPr>
          <w:sz w:val="22"/>
        </w:rPr>
        <w:t>de</w:t>
      </w:r>
      <w:r>
        <w:rPr>
          <w:spacing w:val="-3"/>
          <w:sz w:val="22"/>
        </w:rPr>
        <w:t> </w:t>
      </w:r>
      <w:r>
        <w:rPr>
          <w:sz w:val="22"/>
        </w:rPr>
        <w:t>Toluca</w:t>
        <w:tab/>
        <w:t>88</w:t>
      </w:r>
    </w:p>
    <w:p>
      <w:pPr>
        <w:spacing w:line="252" w:lineRule="exact" w:before="0"/>
        <w:ind w:left="102" w:right="0" w:firstLine="0"/>
        <w:jc w:val="left"/>
        <w:rPr>
          <w:sz w:val="22"/>
        </w:rPr>
      </w:pPr>
      <w:r>
        <w:rPr>
          <w:sz w:val="22"/>
        </w:rPr>
        <w:t>Mapa No. 2 Porcentaje de viviendas que contaron con servicio de agua en la </w:t>
      </w:r>
      <w:r>
        <w:rPr>
          <w:sz w:val="18"/>
        </w:rPr>
        <w:t>ZMT</w:t>
      </w:r>
      <w:r>
        <w:rPr>
          <w:sz w:val="22"/>
        </w:rPr>
        <w:t>,</w:t>
      </w:r>
    </w:p>
    <w:p>
      <w:pPr>
        <w:tabs>
          <w:tab w:pos="8573" w:val="left" w:leader="none"/>
        </w:tabs>
        <w:spacing w:line="252" w:lineRule="exact" w:before="0"/>
        <w:ind w:left="102" w:right="0" w:firstLine="0"/>
        <w:jc w:val="left"/>
        <w:rPr>
          <w:sz w:val="22"/>
        </w:rPr>
      </w:pPr>
      <w:r>
        <w:rPr>
          <w:sz w:val="22"/>
        </w:rPr>
        <w:t>1990-2010.</w:t>
        <w:tab/>
        <w:t>118</w:t>
      </w:r>
    </w:p>
    <w:p>
      <w:pPr>
        <w:spacing w:line="252" w:lineRule="exact" w:before="1"/>
        <w:ind w:left="102" w:right="0" w:firstLine="0"/>
        <w:jc w:val="left"/>
        <w:rPr>
          <w:sz w:val="22"/>
        </w:rPr>
      </w:pPr>
      <w:r>
        <w:rPr>
          <w:sz w:val="22"/>
        </w:rPr>
        <w:t>Mapa No. 3 Porcentaje de viviendas que contaron con servicio de energía   eléctrica</w:t>
      </w:r>
    </w:p>
    <w:p>
      <w:pPr>
        <w:tabs>
          <w:tab w:pos="8573" w:val="left" w:leader="none"/>
        </w:tabs>
        <w:spacing w:line="252" w:lineRule="exact" w:before="0"/>
        <w:ind w:left="102" w:right="0" w:firstLine="0"/>
        <w:jc w:val="left"/>
        <w:rPr>
          <w:sz w:val="22"/>
        </w:rPr>
      </w:pPr>
      <w:r>
        <w:rPr>
          <w:sz w:val="22"/>
        </w:rPr>
        <w:t>en la</w:t>
      </w:r>
      <w:r>
        <w:rPr>
          <w:spacing w:val="-4"/>
          <w:sz w:val="22"/>
        </w:rPr>
        <w:t> </w:t>
      </w:r>
      <w:r>
        <w:rPr>
          <w:sz w:val="18"/>
        </w:rPr>
        <w:t>ZMT</w:t>
      </w:r>
      <w:r>
        <w:rPr>
          <w:sz w:val="22"/>
        </w:rPr>
        <w:t>,</w:t>
      </w:r>
      <w:r>
        <w:rPr>
          <w:spacing w:val="-1"/>
          <w:sz w:val="22"/>
        </w:rPr>
        <w:t> </w:t>
      </w:r>
      <w:r>
        <w:rPr>
          <w:sz w:val="22"/>
        </w:rPr>
        <w:t>1990-2010.</w:t>
        <w:tab/>
        <w:t>121</w:t>
      </w:r>
    </w:p>
    <w:p>
      <w:pPr>
        <w:spacing w:line="252" w:lineRule="exact" w:before="1"/>
        <w:ind w:left="102" w:right="0" w:firstLine="0"/>
        <w:jc w:val="left"/>
        <w:rPr>
          <w:sz w:val="22"/>
        </w:rPr>
      </w:pPr>
      <w:r>
        <w:rPr>
          <w:sz w:val="22"/>
        </w:rPr>
        <w:t>Mapa No. 4 Porcentaje de viviendas que contaron con servicio de drenaje en la </w:t>
      </w:r>
      <w:r>
        <w:rPr>
          <w:sz w:val="18"/>
        </w:rPr>
        <w:t>ZMT</w:t>
      </w:r>
      <w:r>
        <w:rPr>
          <w:sz w:val="22"/>
        </w:rPr>
        <w:t>,</w:t>
      </w:r>
    </w:p>
    <w:p>
      <w:pPr>
        <w:tabs>
          <w:tab w:pos="8573" w:val="left" w:leader="none"/>
        </w:tabs>
        <w:spacing w:line="252" w:lineRule="exact" w:before="0"/>
        <w:ind w:left="102" w:right="0" w:firstLine="0"/>
        <w:jc w:val="left"/>
        <w:rPr>
          <w:sz w:val="22"/>
        </w:rPr>
      </w:pPr>
      <w:r>
        <w:rPr>
          <w:sz w:val="22"/>
        </w:rPr>
        <w:t>1990-2010.</w:t>
        <w:tab/>
        <w:t>124</w:t>
      </w:r>
    </w:p>
    <w:p>
      <w:pPr>
        <w:spacing w:line="252" w:lineRule="exact" w:before="0"/>
        <w:ind w:left="102" w:right="0" w:firstLine="0"/>
        <w:jc w:val="left"/>
        <w:rPr>
          <w:sz w:val="22"/>
        </w:rPr>
      </w:pPr>
      <w:r>
        <w:rPr>
          <w:sz w:val="22"/>
        </w:rPr>
        <w:t>Mapa No. 5 Porcentaje de viviendas que contaron con servicio de sanitario en la</w:t>
      </w:r>
    </w:p>
    <w:p>
      <w:pPr>
        <w:tabs>
          <w:tab w:pos="8573" w:val="left" w:leader="none"/>
        </w:tabs>
        <w:spacing w:line="253" w:lineRule="exact" w:before="1"/>
        <w:ind w:left="102" w:right="0" w:firstLine="0"/>
        <w:jc w:val="left"/>
        <w:rPr>
          <w:sz w:val="22"/>
        </w:rPr>
      </w:pPr>
      <w:r>
        <w:rPr>
          <w:sz w:val="18"/>
        </w:rPr>
        <w:t>ZMT</w:t>
      </w:r>
      <w:r>
        <w:rPr>
          <w:sz w:val="22"/>
        </w:rPr>
        <w:t>,</w:t>
      </w:r>
      <w:r>
        <w:rPr>
          <w:spacing w:val="-1"/>
          <w:sz w:val="22"/>
        </w:rPr>
        <w:t> </w:t>
      </w:r>
      <w:r>
        <w:rPr>
          <w:sz w:val="22"/>
        </w:rPr>
        <w:t>2000-2010.</w:t>
        <w:tab/>
        <w:t>126</w:t>
      </w:r>
    </w:p>
    <w:p>
      <w:pPr>
        <w:spacing w:before="0"/>
        <w:ind w:left="102" w:right="0" w:firstLine="0"/>
        <w:jc w:val="left"/>
        <w:rPr>
          <w:sz w:val="22"/>
        </w:rPr>
      </w:pPr>
      <w:r>
        <w:rPr>
          <w:sz w:val="22"/>
        </w:rPr>
        <w:t>Mapa No. 6 Porcentaje de viviendas con techo de lámina, cartón o desechos en la</w:t>
      </w:r>
    </w:p>
    <w:p>
      <w:pPr>
        <w:tabs>
          <w:tab w:pos="8573" w:val="left" w:leader="none"/>
        </w:tabs>
        <w:spacing w:line="252" w:lineRule="exact" w:before="1"/>
        <w:ind w:left="102" w:right="0" w:firstLine="0"/>
        <w:jc w:val="left"/>
        <w:rPr>
          <w:sz w:val="22"/>
        </w:rPr>
      </w:pPr>
      <w:r>
        <w:rPr>
          <w:sz w:val="18"/>
        </w:rPr>
        <w:t>ZMT</w:t>
      </w:r>
      <w:r>
        <w:rPr>
          <w:sz w:val="22"/>
        </w:rPr>
        <w:t>,</w:t>
      </w:r>
      <w:r>
        <w:rPr>
          <w:spacing w:val="-1"/>
          <w:sz w:val="22"/>
        </w:rPr>
        <w:t> </w:t>
      </w:r>
      <w:r>
        <w:rPr>
          <w:sz w:val="22"/>
        </w:rPr>
        <w:t>1990-2000.</w:t>
        <w:tab/>
        <w:t>130</w:t>
      </w:r>
    </w:p>
    <w:p>
      <w:pPr>
        <w:spacing w:line="252" w:lineRule="exact" w:before="0"/>
        <w:ind w:left="102" w:right="0" w:firstLine="0"/>
        <w:jc w:val="left"/>
        <w:rPr>
          <w:sz w:val="22"/>
        </w:rPr>
      </w:pPr>
      <w:r>
        <w:rPr>
          <w:sz w:val="22"/>
        </w:rPr>
        <w:t>Mapa No. 7 Porcentaje de viviendas con paredes de lámina, cartón o desechos    en</w:t>
      </w:r>
    </w:p>
    <w:p>
      <w:pPr>
        <w:tabs>
          <w:tab w:pos="8573" w:val="left" w:leader="none"/>
        </w:tabs>
        <w:spacing w:line="252" w:lineRule="exact" w:before="0"/>
        <w:ind w:left="102" w:right="0" w:firstLine="0"/>
        <w:jc w:val="left"/>
        <w:rPr>
          <w:sz w:val="22"/>
        </w:rPr>
      </w:pPr>
      <w:r>
        <w:rPr>
          <w:sz w:val="22"/>
        </w:rPr>
        <w:t>la</w:t>
      </w:r>
      <w:r>
        <w:rPr>
          <w:spacing w:val="-2"/>
          <w:sz w:val="22"/>
        </w:rPr>
        <w:t> </w:t>
      </w:r>
      <w:r>
        <w:rPr>
          <w:sz w:val="18"/>
        </w:rPr>
        <w:t>ZMT</w:t>
      </w:r>
      <w:r>
        <w:rPr>
          <w:sz w:val="22"/>
        </w:rPr>
        <w:t>,</w:t>
      </w:r>
      <w:r>
        <w:rPr>
          <w:spacing w:val="-1"/>
          <w:sz w:val="22"/>
        </w:rPr>
        <w:t> </w:t>
      </w:r>
      <w:r>
        <w:rPr>
          <w:sz w:val="22"/>
        </w:rPr>
        <w:t>1990-2000.</w:t>
        <w:tab/>
        <w:t>132</w:t>
      </w:r>
    </w:p>
    <w:p>
      <w:pPr>
        <w:tabs>
          <w:tab w:pos="8573" w:val="left" w:leader="none"/>
        </w:tabs>
        <w:spacing w:line="252" w:lineRule="exact" w:before="1"/>
        <w:ind w:left="102" w:right="0" w:firstLine="0"/>
        <w:jc w:val="left"/>
        <w:rPr>
          <w:sz w:val="22"/>
        </w:rPr>
      </w:pPr>
      <w:r>
        <w:rPr>
          <w:sz w:val="22"/>
        </w:rPr>
        <w:t>Mapa No. 8 Porcentaje de viviendas con piso de tierra en la</w:t>
      </w:r>
      <w:r>
        <w:rPr>
          <w:spacing w:val="-16"/>
          <w:sz w:val="22"/>
        </w:rPr>
        <w:t> </w:t>
      </w:r>
      <w:r>
        <w:rPr>
          <w:sz w:val="18"/>
        </w:rPr>
        <w:t>ZMT</w:t>
      </w:r>
      <w:r>
        <w:rPr>
          <w:sz w:val="22"/>
        </w:rPr>
        <w:t>, 1990-2010.</w:t>
        <w:tab/>
        <w:t>135</w:t>
      </w:r>
    </w:p>
    <w:p>
      <w:pPr>
        <w:tabs>
          <w:tab w:pos="8573" w:val="left" w:leader="none"/>
        </w:tabs>
        <w:spacing w:line="252" w:lineRule="exact" w:before="0"/>
        <w:ind w:left="102" w:right="0" w:firstLine="0"/>
        <w:jc w:val="left"/>
        <w:rPr>
          <w:sz w:val="22"/>
        </w:rPr>
      </w:pPr>
      <w:r>
        <w:rPr>
          <w:sz w:val="22"/>
        </w:rPr>
        <w:t>Mapa No. 9 Porcentaje de viviendas que no son propias en la</w:t>
      </w:r>
      <w:r>
        <w:rPr>
          <w:spacing w:val="-13"/>
          <w:sz w:val="22"/>
        </w:rPr>
        <w:t> </w:t>
      </w:r>
      <w:r>
        <w:rPr>
          <w:sz w:val="18"/>
        </w:rPr>
        <w:t>ZMT</w:t>
      </w:r>
      <w:r>
        <w:rPr>
          <w:sz w:val="22"/>
        </w:rPr>
        <w:t>,</w:t>
      </w:r>
      <w:r>
        <w:rPr>
          <w:spacing w:val="1"/>
          <w:sz w:val="22"/>
        </w:rPr>
        <w:t> </w:t>
      </w:r>
      <w:r>
        <w:rPr>
          <w:sz w:val="22"/>
        </w:rPr>
        <w:t>1990-2000.</w:t>
        <w:tab/>
        <w:t>138</w:t>
      </w:r>
    </w:p>
    <w:p>
      <w:pPr>
        <w:tabs>
          <w:tab w:pos="8573" w:val="left" w:leader="none"/>
        </w:tabs>
        <w:spacing w:line="252" w:lineRule="exact" w:before="1"/>
        <w:ind w:left="102" w:right="0" w:firstLine="0"/>
        <w:jc w:val="left"/>
        <w:rPr>
          <w:sz w:val="22"/>
        </w:rPr>
      </w:pPr>
      <w:r>
        <w:rPr>
          <w:sz w:val="22"/>
        </w:rPr>
        <w:t>Mapa No. 10 Porcentaje de viviendas con radio en la</w:t>
      </w:r>
      <w:r>
        <w:rPr>
          <w:spacing w:val="-14"/>
          <w:sz w:val="22"/>
        </w:rPr>
        <w:t> </w:t>
      </w:r>
      <w:r>
        <w:rPr>
          <w:sz w:val="18"/>
        </w:rPr>
        <w:t>ZMT</w:t>
      </w:r>
      <w:r>
        <w:rPr>
          <w:sz w:val="22"/>
        </w:rPr>
        <w:t>, 2000-2010.</w:t>
        <w:tab/>
        <w:t>146</w:t>
      </w:r>
    </w:p>
    <w:p>
      <w:pPr>
        <w:tabs>
          <w:tab w:pos="8573" w:val="left" w:leader="none"/>
        </w:tabs>
        <w:spacing w:line="252" w:lineRule="exact" w:before="0"/>
        <w:ind w:left="102" w:right="0" w:firstLine="0"/>
        <w:jc w:val="left"/>
        <w:rPr>
          <w:sz w:val="22"/>
        </w:rPr>
      </w:pPr>
      <w:r>
        <w:rPr>
          <w:sz w:val="22"/>
        </w:rPr>
        <w:t>Mapa No. 11 Porcentaje de viviendas con televisión en la</w:t>
      </w:r>
      <w:r>
        <w:rPr>
          <w:spacing w:val="-13"/>
          <w:sz w:val="22"/>
        </w:rPr>
        <w:t> </w:t>
      </w:r>
      <w:r>
        <w:rPr>
          <w:sz w:val="18"/>
        </w:rPr>
        <w:t>ZMT</w:t>
      </w:r>
      <w:r>
        <w:rPr>
          <w:sz w:val="22"/>
        </w:rPr>
        <w:t>, 2000-2010.</w:t>
        <w:tab/>
        <w:t>148</w:t>
      </w:r>
    </w:p>
    <w:p>
      <w:pPr>
        <w:tabs>
          <w:tab w:pos="8573" w:val="left" w:leader="none"/>
        </w:tabs>
        <w:spacing w:line="252" w:lineRule="exact" w:before="0"/>
        <w:ind w:left="102" w:right="0" w:firstLine="0"/>
        <w:jc w:val="left"/>
        <w:rPr>
          <w:sz w:val="22"/>
        </w:rPr>
      </w:pPr>
      <w:r>
        <w:rPr>
          <w:sz w:val="22"/>
        </w:rPr>
        <w:t>Mapa No. 12 Porcentaje de viviendas con refrigerador en la</w:t>
      </w:r>
      <w:r>
        <w:rPr>
          <w:spacing w:val="-15"/>
          <w:sz w:val="22"/>
        </w:rPr>
        <w:t> </w:t>
      </w:r>
      <w:r>
        <w:rPr>
          <w:sz w:val="18"/>
        </w:rPr>
        <w:t>ZMT</w:t>
      </w:r>
      <w:r>
        <w:rPr>
          <w:sz w:val="22"/>
        </w:rPr>
        <w:t>, 2000-2010.</w:t>
        <w:tab/>
        <w:t>152</w:t>
      </w:r>
    </w:p>
    <w:p>
      <w:pPr>
        <w:tabs>
          <w:tab w:pos="8573" w:val="left" w:leader="none"/>
        </w:tabs>
        <w:spacing w:line="252" w:lineRule="exact" w:before="1"/>
        <w:ind w:left="102" w:right="0" w:firstLine="0"/>
        <w:jc w:val="left"/>
        <w:rPr>
          <w:sz w:val="22"/>
        </w:rPr>
      </w:pPr>
      <w:r>
        <w:rPr>
          <w:sz w:val="22"/>
        </w:rPr>
        <w:t>Mapa No. 13 Porcentaje de viviendas con lavadora en la</w:t>
      </w:r>
      <w:r>
        <w:rPr>
          <w:spacing w:val="-13"/>
          <w:sz w:val="22"/>
        </w:rPr>
        <w:t> </w:t>
      </w:r>
      <w:r>
        <w:rPr>
          <w:sz w:val="18"/>
        </w:rPr>
        <w:t>ZMT</w:t>
      </w:r>
      <w:r>
        <w:rPr>
          <w:sz w:val="22"/>
        </w:rPr>
        <w:t>, 2000-2010.</w:t>
        <w:tab/>
        <w:t>154</w:t>
      </w:r>
    </w:p>
    <w:p>
      <w:pPr>
        <w:tabs>
          <w:tab w:pos="8573" w:val="left" w:leader="none"/>
        </w:tabs>
        <w:spacing w:line="252" w:lineRule="exact" w:before="0"/>
        <w:ind w:left="102" w:right="0" w:firstLine="0"/>
        <w:jc w:val="left"/>
        <w:rPr>
          <w:sz w:val="22"/>
        </w:rPr>
      </w:pPr>
      <w:r>
        <w:rPr>
          <w:sz w:val="22"/>
        </w:rPr>
        <w:t>Mapa No. 14 Porcentaje de viviendas con automóvil en la</w:t>
      </w:r>
      <w:r>
        <w:rPr>
          <w:spacing w:val="-16"/>
          <w:sz w:val="22"/>
        </w:rPr>
        <w:t> </w:t>
      </w:r>
      <w:r>
        <w:rPr>
          <w:sz w:val="18"/>
        </w:rPr>
        <w:t>ZMT</w:t>
      </w:r>
      <w:r>
        <w:rPr>
          <w:sz w:val="22"/>
        </w:rPr>
        <w:t>, 2000-2010.</w:t>
        <w:tab/>
        <w:t>156</w:t>
      </w:r>
    </w:p>
    <w:p>
      <w:pPr>
        <w:tabs>
          <w:tab w:pos="8573" w:val="left" w:leader="none"/>
        </w:tabs>
        <w:spacing w:line="252" w:lineRule="exact" w:before="1"/>
        <w:ind w:left="102" w:right="0" w:firstLine="0"/>
        <w:jc w:val="left"/>
        <w:rPr>
          <w:sz w:val="22"/>
        </w:rPr>
      </w:pPr>
      <w:r>
        <w:rPr>
          <w:sz w:val="22"/>
        </w:rPr>
        <w:t>Mapa No. 15 Porcentaje de viviendas con computadora en la</w:t>
      </w:r>
      <w:r>
        <w:rPr>
          <w:spacing w:val="-11"/>
          <w:sz w:val="22"/>
        </w:rPr>
        <w:t> </w:t>
      </w:r>
      <w:r>
        <w:rPr>
          <w:sz w:val="18"/>
        </w:rPr>
        <w:t>ZMT</w:t>
      </w:r>
      <w:r>
        <w:rPr>
          <w:sz w:val="22"/>
        </w:rPr>
        <w:t>, 2010.</w:t>
        <w:tab/>
        <w:t>158</w:t>
      </w:r>
    </w:p>
    <w:p>
      <w:pPr>
        <w:tabs>
          <w:tab w:pos="8573" w:val="left" w:leader="none"/>
        </w:tabs>
        <w:spacing w:line="252" w:lineRule="exact" w:before="0"/>
        <w:ind w:left="102" w:right="0" w:firstLine="0"/>
        <w:jc w:val="left"/>
        <w:rPr>
          <w:sz w:val="22"/>
        </w:rPr>
      </w:pPr>
      <w:r>
        <w:rPr>
          <w:sz w:val="22"/>
        </w:rPr>
        <w:t>Mapa No. 16 Porcentaje de viviendas con internet en la</w:t>
      </w:r>
      <w:r>
        <w:rPr>
          <w:spacing w:val="-12"/>
          <w:sz w:val="22"/>
        </w:rPr>
        <w:t> </w:t>
      </w:r>
      <w:r>
        <w:rPr>
          <w:sz w:val="18"/>
        </w:rPr>
        <w:t>ZMT</w:t>
      </w:r>
      <w:r>
        <w:rPr>
          <w:sz w:val="22"/>
        </w:rPr>
        <w:t>, 2010.</w:t>
        <w:tab/>
        <w:t>161</w:t>
      </w:r>
    </w:p>
    <w:p>
      <w:pPr>
        <w:tabs>
          <w:tab w:pos="8573" w:val="left" w:leader="none"/>
        </w:tabs>
        <w:spacing w:line="253" w:lineRule="exact" w:before="1"/>
        <w:ind w:left="102" w:right="0" w:firstLine="0"/>
        <w:jc w:val="left"/>
        <w:rPr>
          <w:sz w:val="22"/>
        </w:rPr>
      </w:pPr>
      <w:r>
        <w:rPr>
          <w:sz w:val="22"/>
        </w:rPr>
        <w:t>Mapa No. 17 Porcentaje de viviendas con teléfono en la</w:t>
      </w:r>
      <w:r>
        <w:rPr>
          <w:spacing w:val="-14"/>
          <w:sz w:val="22"/>
        </w:rPr>
        <w:t> </w:t>
      </w:r>
      <w:r>
        <w:rPr>
          <w:sz w:val="18"/>
        </w:rPr>
        <w:t>ZMT</w:t>
      </w:r>
      <w:r>
        <w:rPr>
          <w:sz w:val="22"/>
        </w:rPr>
        <w:t>, 2000-2010.</w:t>
        <w:tab/>
        <w:t>163</w:t>
      </w:r>
    </w:p>
    <w:p>
      <w:pPr>
        <w:tabs>
          <w:tab w:pos="8573" w:val="left" w:leader="none"/>
        </w:tabs>
        <w:spacing w:line="252" w:lineRule="exact" w:before="0"/>
        <w:ind w:left="102" w:right="0" w:firstLine="0"/>
        <w:jc w:val="left"/>
        <w:rPr>
          <w:sz w:val="22"/>
        </w:rPr>
      </w:pPr>
      <w:r>
        <w:rPr>
          <w:sz w:val="22"/>
        </w:rPr>
        <w:t>Mapa No. 18 Porcentaje de viviendas con teléfono celular en la</w:t>
      </w:r>
      <w:r>
        <w:rPr>
          <w:spacing w:val="-13"/>
          <w:sz w:val="22"/>
        </w:rPr>
        <w:t> </w:t>
      </w:r>
      <w:r>
        <w:rPr>
          <w:sz w:val="18"/>
        </w:rPr>
        <w:t>ZMT</w:t>
      </w:r>
      <w:r>
        <w:rPr>
          <w:sz w:val="22"/>
        </w:rPr>
        <w:t>, 2010.</w:t>
        <w:tab/>
        <w:t>165</w:t>
      </w:r>
    </w:p>
    <w:p>
      <w:pPr>
        <w:spacing w:line="252" w:lineRule="exact" w:before="0"/>
        <w:ind w:left="102" w:right="0" w:firstLine="0"/>
        <w:jc w:val="left"/>
        <w:rPr>
          <w:sz w:val="22"/>
        </w:rPr>
      </w:pPr>
      <w:r>
        <w:rPr>
          <w:sz w:val="22"/>
        </w:rPr>
        <w:t>Mapa No. 19 Porcentaje de habitabilidad de las viviendas a nivel localidad en la</w:t>
      </w:r>
    </w:p>
    <w:p>
      <w:pPr>
        <w:tabs>
          <w:tab w:pos="8573" w:val="left" w:leader="none"/>
        </w:tabs>
        <w:spacing w:line="252" w:lineRule="exact" w:before="1"/>
        <w:ind w:left="102" w:right="0" w:firstLine="0"/>
        <w:jc w:val="left"/>
        <w:rPr>
          <w:sz w:val="22"/>
        </w:rPr>
      </w:pPr>
      <w:r>
        <w:rPr>
          <w:sz w:val="18"/>
        </w:rPr>
        <w:t>ZMT</w:t>
      </w:r>
      <w:r>
        <w:rPr>
          <w:sz w:val="22"/>
        </w:rPr>
        <w:t>, 1990.</w:t>
        <w:tab/>
        <w:t>172</w:t>
      </w:r>
    </w:p>
    <w:p>
      <w:pPr>
        <w:spacing w:line="252" w:lineRule="exact" w:before="0"/>
        <w:ind w:left="102" w:right="0" w:firstLine="0"/>
        <w:jc w:val="left"/>
        <w:rPr>
          <w:sz w:val="22"/>
        </w:rPr>
      </w:pPr>
      <w:r>
        <w:rPr>
          <w:sz w:val="22"/>
        </w:rPr>
        <w:t>Mapa No. 20 Porcentaje de habitabilidad de las viviendas a nivel localidad en la</w:t>
      </w:r>
    </w:p>
    <w:p>
      <w:pPr>
        <w:tabs>
          <w:tab w:pos="8573" w:val="left" w:leader="none"/>
        </w:tabs>
        <w:spacing w:line="252" w:lineRule="exact" w:before="1"/>
        <w:ind w:left="102" w:right="0" w:firstLine="0"/>
        <w:jc w:val="left"/>
        <w:rPr>
          <w:sz w:val="22"/>
        </w:rPr>
      </w:pPr>
      <w:r>
        <w:rPr>
          <w:sz w:val="18"/>
        </w:rPr>
        <w:t>ZMT</w:t>
      </w:r>
      <w:r>
        <w:rPr>
          <w:sz w:val="22"/>
        </w:rPr>
        <w:t>, 2000.</w:t>
        <w:tab/>
        <w:t>177</w:t>
      </w:r>
    </w:p>
    <w:p>
      <w:pPr>
        <w:spacing w:line="252" w:lineRule="exact" w:before="0"/>
        <w:ind w:left="102" w:right="0" w:firstLine="0"/>
        <w:jc w:val="left"/>
        <w:rPr>
          <w:sz w:val="22"/>
        </w:rPr>
      </w:pPr>
      <w:r>
        <w:rPr>
          <w:sz w:val="22"/>
        </w:rPr>
        <w:t>Mapa No. 21 Porcentaje de habitabilidad de las viviendas a nivel localidad en la</w:t>
      </w:r>
    </w:p>
    <w:p>
      <w:pPr>
        <w:tabs>
          <w:tab w:pos="8573" w:val="left" w:leader="none"/>
        </w:tabs>
        <w:spacing w:line="252" w:lineRule="exact" w:before="0"/>
        <w:ind w:left="102" w:right="0" w:firstLine="0"/>
        <w:jc w:val="left"/>
        <w:rPr>
          <w:sz w:val="22"/>
        </w:rPr>
      </w:pPr>
      <w:r>
        <w:rPr>
          <w:sz w:val="18"/>
        </w:rPr>
        <w:t>ZMT</w:t>
      </w:r>
      <w:r>
        <w:rPr>
          <w:sz w:val="22"/>
        </w:rPr>
        <w:t>, 2010.</w:t>
        <w:tab/>
        <w:t>182</w:t>
      </w:r>
    </w:p>
    <w:p>
      <w:pPr>
        <w:tabs>
          <w:tab w:pos="8573" w:val="left" w:leader="none"/>
        </w:tabs>
        <w:spacing w:before="1"/>
        <w:ind w:left="102" w:right="117" w:firstLine="0"/>
        <w:jc w:val="left"/>
        <w:rPr>
          <w:sz w:val="22"/>
        </w:rPr>
      </w:pPr>
      <w:r>
        <w:rPr>
          <w:sz w:val="22"/>
        </w:rPr>
        <w:t>Mapa No. 22 Porcentaje de habitabilidad de las viviendas a nivel ageb´s en la </w:t>
      </w:r>
      <w:r>
        <w:rPr>
          <w:sz w:val="18"/>
        </w:rPr>
        <w:t>ZMT</w:t>
      </w:r>
      <w:r>
        <w:rPr>
          <w:sz w:val="22"/>
        </w:rPr>
        <w:t>,    2010.</w:t>
        <w:tab/>
        <w:t>189</w:t>
      </w:r>
    </w:p>
    <w:p>
      <w:pPr>
        <w:tabs>
          <w:tab w:pos="8573" w:val="left" w:leader="none"/>
        </w:tabs>
        <w:spacing w:line="252" w:lineRule="exact" w:before="1"/>
        <w:ind w:left="102" w:right="0" w:firstLine="0"/>
        <w:jc w:val="left"/>
        <w:rPr>
          <w:sz w:val="22"/>
        </w:rPr>
      </w:pPr>
      <w:r>
        <w:rPr>
          <w:sz w:val="22"/>
        </w:rPr>
        <w:t>Mapa No. 23 Densidad de la oferta de empleo a nivel ageb´s en la</w:t>
      </w:r>
      <w:r>
        <w:rPr>
          <w:spacing w:val="-16"/>
          <w:sz w:val="22"/>
        </w:rPr>
        <w:t> </w:t>
      </w:r>
      <w:r>
        <w:rPr>
          <w:sz w:val="18"/>
        </w:rPr>
        <w:t>ZMT</w:t>
      </w:r>
      <w:r>
        <w:rPr>
          <w:sz w:val="22"/>
        </w:rPr>
        <w:t>, 2014</w:t>
        <w:tab/>
        <w:t>194</w:t>
      </w:r>
    </w:p>
    <w:p>
      <w:pPr>
        <w:tabs>
          <w:tab w:pos="8573" w:val="left" w:leader="none"/>
        </w:tabs>
        <w:spacing w:line="252" w:lineRule="exact" w:before="0"/>
        <w:ind w:left="102" w:right="0" w:firstLine="0"/>
        <w:jc w:val="left"/>
        <w:rPr>
          <w:sz w:val="22"/>
        </w:rPr>
      </w:pPr>
      <w:r>
        <w:rPr>
          <w:sz w:val="22"/>
        </w:rPr>
        <w:t>Mapa No. 24 Oferta de educación básica a nivel ageb´s en la</w:t>
      </w:r>
      <w:r>
        <w:rPr>
          <w:spacing w:val="-15"/>
          <w:sz w:val="22"/>
        </w:rPr>
        <w:t> </w:t>
      </w:r>
      <w:r>
        <w:rPr>
          <w:sz w:val="18"/>
        </w:rPr>
        <w:t>ZMT</w:t>
      </w:r>
      <w:r>
        <w:rPr>
          <w:sz w:val="22"/>
        </w:rPr>
        <w:t>, 2014</w:t>
        <w:tab/>
        <w:t>196</w:t>
      </w:r>
    </w:p>
    <w:p>
      <w:pPr>
        <w:tabs>
          <w:tab w:pos="8573" w:val="left" w:leader="none"/>
        </w:tabs>
        <w:spacing w:line="252" w:lineRule="exact" w:before="0"/>
        <w:ind w:left="102" w:right="0" w:firstLine="0"/>
        <w:jc w:val="left"/>
        <w:rPr>
          <w:sz w:val="22"/>
        </w:rPr>
      </w:pPr>
      <w:r>
        <w:rPr>
          <w:sz w:val="22"/>
        </w:rPr>
        <w:t>Mapa No. 25 Salud a nivel ageb´s en la</w:t>
      </w:r>
      <w:r>
        <w:rPr>
          <w:spacing w:val="-8"/>
          <w:sz w:val="22"/>
        </w:rPr>
        <w:t> </w:t>
      </w:r>
      <w:r>
        <w:rPr>
          <w:sz w:val="18"/>
        </w:rPr>
        <w:t>ZMT</w:t>
      </w:r>
      <w:r>
        <w:rPr>
          <w:sz w:val="22"/>
        </w:rPr>
        <w:t>, 2014</w:t>
        <w:tab/>
        <w:t>198</w:t>
      </w:r>
    </w:p>
    <w:p>
      <w:pPr>
        <w:tabs>
          <w:tab w:pos="8573" w:val="left" w:leader="none"/>
        </w:tabs>
        <w:spacing w:line="253" w:lineRule="exact" w:before="1"/>
        <w:ind w:left="102" w:right="0" w:firstLine="0"/>
        <w:jc w:val="left"/>
        <w:rPr>
          <w:sz w:val="22"/>
        </w:rPr>
      </w:pPr>
      <w:r>
        <w:rPr>
          <w:sz w:val="22"/>
        </w:rPr>
        <w:t>Mapa No. 26 Oferta de abasto de alimentos a nivel ageb´s en la</w:t>
      </w:r>
      <w:r>
        <w:rPr>
          <w:spacing w:val="-15"/>
          <w:sz w:val="22"/>
        </w:rPr>
        <w:t> </w:t>
      </w:r>
      <w:r>
        <w:rPr>
          <w:sz w:val="18"/>
        </w:rPr>
        <w:t>ZMT</w:t>
      </w:r>
      <w:r>
        <w:rPr>
          <w:sz w:val="22"/>
        </w:rPr>
        <w:t>,</w:t>
      </w:r>
      <w:r>
        <w:rPr>
          <w:spacing w:val="1"/>
          <w:sz w:val="22"/>
        </w:rPr>
        <w:t> </w:t>
      </w:r>
      <w:r>
        <w:rPr>
          <w:sz w:val="22"/>
        </w:rPr>
        <w:t>2014</w:t>
        <w:tab/>
        <w:t>200</w:t>
      </w:r>
    </w:p>
    <w:p>
      <w:pPr>
        <w:tabs>
          <w:tab w:pos="8573" w:val="left" w:leader="none"/>
        </w:tabs>
        <w:spacing w:before="0"/>
        <w:ind w:left="102" w:right="0" w:firstLine="0"/>
        <w:jc w:val="left"/>
        <w:rPr>
          <w:sz w:val="22"/>
        </w:rPr>
      </w:pPr>
      <w:r>
        <w:rPr>
          <w:sz w:val="22"/>
        </w:rPr>
        <w:t>Mapa No. 27 Áreas verdes a nivel ageb´s en la</w:t>
      </w:r>
      <w:r>
        <w:rPr>
          <w:spacing w:val="-8"/>
          <w:sz w:val="22"/>
        </w:rPr>
        <w:t> </w:t>
      </w:r>
      <w:r>
        <w:rPr>
          <w:sz w:val="18"/>
        </w:rPr>
        <w:t>ZMT</w:t>
      </w:r>
      <w:r>
        <w:rPr>
          <w:sz w:val="22"/>
        </w:rPr>
        <w:t>,</w:t>
      </w:r>
      <w:r>
        <w:rPr>
          <w:spacing w:val="1"/>
          <w:sz w:val="22"/>
        </w:rPr>
        <w:t> </w:t>
      </w:r>
      <w:r>
        <w:rPr>
          <w:sz w:val="22"/>
        </w:rPr>
        <w:t>2014</w:t>
        <w:tab/>
        <w:t>202</w:t>
      </w:r>
    </w:p>
    <w:p>
      <w:pPr>
        <w:tabs>
          <w:tab w:pos="8573" w:val="left" w:leader="none"/>
        </w:tabs>
        <w:spacing w:line="252" w:lineRule="exact" w:before="1"/>
        <w:ind w:left="102" w:right="0" w:firstLine="0"/>
        <w:jc w:val="left"/>
        <w:rPr>
          <w:sz w:val="22"/>
        </w:rPr>
      </w:pPr>
      <w:r>
        <w:rPr>
          <w:sz w:val="22"/>
        </w:rPr>
        <w:t>Mapa No. 28 Lugares de recreación a nivel ageb´s en la</w:t>
      </w:r>
      <w:r>
        <w:rPr>
          <w:spacing w:val="-11"/>
          <w:sz w:val="22"/>
        </w:rPr>
        <w:t> </w:t>
      </w:r>
      <w:r>
        <w:rPr>
          <w:sz w:val="18"/>
        </w:rPr>
        <w:t>ZMT</w:t>
      </w:r>
      <w:r>
        <w:rPr>
          <w:sz w:val="22"/>
        </w:rPr>
        <w:t>,</w:t>
      </w:r>
      <w:r>
        <w:rPr>
          <w:spacing w:val="1"/>
          <w:sz w:val="22"/>
        </w:rPr>
        <w:t> </w:t>
      </w:r>
      <w:r>
        <w:rPr>
          <w:sz w:val="22"/>
        </w:rPr>
        <w:t>2014</w:t>
        <w:tab/>
        <w:t>204</w:t>
      </w:r>
    </w:p>
    <w:p>
      <w:pPr>
        <w:tabs>
          <w:tab w:pos="8573" w:val="left" w:leader="none"/>
        </w:tabs>
        <w:spacing w:line="252" w:lineRule="exact" w:before="0"/>
        <w:ind w:left="102" w:right="0" w:firstLine="0"/>
        <w:jc w:val="left"/>
        <w:rPr>
          <w:sz w:val="22"/>
        </w:rPr>
      </w:pPr>
      <w:r>
        <w:rPr>
          <w:sz w:val="22"/>
        </w:rPr>
        <w:t>Mapa No. 29 Índice de habitabilidad a nivel ageb´s en la</w:t>
      </w:r>
      <w:r>
        <w:rPr>
          <w:spacing w:val="-12"/>
          <w:sz w:val="22"/>
        </w:rPr>
        <w:t> </w:t>
      </w:r>
      <w:r>
        <w:rPr>
          <w:sz w:val="18"/>
        </w:rPr>
        <w:t>ZMT</w:t>
      </w:r>
      <w:r>
        <w:rPr>
          <w:sz w:val="22"/>
        </w:rPr>
        <w:t>, 2014</w:t>
        <w:tab/>
        <w:t>210</w:t>
      </w:r>
    </w:p>
    <w:p>
      <w:pPr>
        <w:spacing w:after="0" w:line="252" w:lineRule="exact"/>
        <w:jc w:val="left"/>
        <w:rPr>
          <w:sz w:val="22"/>
        </w:rPr>
        <w:sectPr>
          <w:footerReference w:type="default" r:id="rId16"/>
          <w:pgSz w:w="12240" w:h="15840"/>
          <w:pgMar w:footer="1003" w:header="0" w:top="1360" w:bottom="1200" w:left="1600" w:right="1580"/>
        </w:sectPr>
      </w:pPr>
    </w:p>
    <w:p>
      <w:pPr>
        <w:pStyle w:val="Heading3"/>
        <w:ind w:left="102" w:firstLine="0"/>
      </w:pPr>
      <w:bookmarkStart w:name="_TOC_250031" w:id="3"/>
      <w:bookmarkEnd w:id="3"/>
      <w:r>
        <w:rPr>
          <w:color w:val="4F81BC"/>
        </w:rPr>
        <w:t>Resumen</w:t>
      </w:r>
    </w:p>
    <w:p>
      <w:pPr>
        <w:pStyle w:val="BodyText"/>
        <w:rPr>
          <w:rFonts w:ascii="Cambria"/>
          <w:b/>
          <w:sz w:val="26"/>
        </w:rPr>
      </w:pPr>
    </w:p>
    <w:p>
      <w:pPr>
        <w:pStyle w:val="BodyText"/>
        <w:spacing w:before="6"/>
        <w:rPr>
          <w:rFonts w:ascii="Cambria"/>
          <w:b/>
          <w:sz w:val="23"/>
        </w:rPr>
      </w:pPr>
    </w:p>
    <w:p>
      <w:pPr>
        <w:pStyle w:val="BodyText"/>
        <w:spacing w:line="360" w:lineRule="auto"/>
        <w:ind w:left="102" w:right="115"/>
        <w:jc w:val="both"/>
      </w:pPr>
      <w:r>
        <w:rPr/>
        <w:t>La investigación analiza y evalúa la habitabilidad de las viviendas en la zona metropolitana de Toluca, esta entendida como el espacio geográfico que cubre la necesidad humana de residencia, con accesibilidad a servicios públicos (agua potable, energía eléctrica, drenaje, saneamiento), materiales de construcción durables y acordes al lugar geográfico, cercanía con el trabajo, educación, salud y recreación, sin riesgos naturales y ambientales. Esto para contar con un diagnóstico con base en los datos oficiales de las viviendas referidos a servicios públicos, materiales de construcción, bienes en la vivienda, así como la legalidad y el entorno donde están ubicadas, que registran los Censos de Población y Vivienda y el Directorio Estadístico Nacional de Unidades Económicas (</w:t>
      </w:r>
      <w:r>
        <w:rPr>
          <w:sz w:val="19"/>
        </w:rPr>
        <w:t>DENUE</w:t>
      </w:r>
      <w:r>
        <w:rPr/>
        <w:t>, 2014) del Instituto Nacional de Estadística y Geografía (</w:t>
      </w:r>
      <w:r>
        <w:rPr>
          <w:sz w:val="19"/>
        </w:rPr>
        <w:t>INEGI</w:t>
      </w:r>
      <w:r>
        <w:rPr/>
        <w:t>), se evalúa la habitabilidad de las viviendas por medio del método de análisis jerárquico de Thomas Saaty y el indicador de accesibilidad con base a la estimación de servicios, el primero es un método de trabajo que optimiza la toma de decisiones complejas cuando existen dimensiones, variables y se requiere construir un índice resumen, mediante la descomposición del problema en una estructura jerárquica; el segundo, es la estimación de índices de accesibilidad a seis servicios complementarios, empleo, salud, educación, abasto, áreas verdes y</w:t>
      </w:r>
      <w:r>
        <w:rPr>
          <w:spacing w:val="-19"/>
        </w:rPr>
        <w:t> </w:t>
      </w:r>
      <w:r>
        <w:rPr/>
        <w:t>recreación.</w:t>
      </w:r>
    </w:p>
    <w:p>
      <w:pPr>
        <w:pStyle w:val="BodyText"/>
        <w:spacing w:line="360" w:lineRule="auto" w:before="204"/>
        <w:ind w:left="102" w:right="114"/>
        <w:jc w:val="both"/>
      </w:pPr>
      <w:r>
        <w:rPr/>
        <w:t>Como resultados del método jerárquico de Saaty, encontramos que los ageb´s con muy baja habitabilidad en las viviendas de la zona metropolitana representan más del 35 por ciento. Y del índice de habitabilidad existe un claro patrón centro- periferia donde las zonas con mayores ventajas corresponden a las partes centrales de los municipios de Toluca y Metepec y las partes cercanas a estos centros.</w:t>
      </w:r>
    </w:p>
    <w:p>
      <w:pPr>
        <w:pStyle w:val="BodyText"/>
        <w:spacing w:line="360" w:lineRule="auto" w:before="204"/>
        <w:ind w:left="102" w:right="115"/>
        <w:jc w:val="both"/>
      </w:pPr>
      <w:r>
        <w:rPr/>
        <w:t>Partiendo del marco de habitabilidad, se investiga el conjunto de fuerzas motrices que se refiere a la urbanización de la zona metropolitana de Toluca dada con el crecimiento urbano y que está estrechamente ligado con el crecimiento de la población.</w:t>
      </w:r>
    </w:p>
    <w:p>
      <w:pPr>
        <w:spacing w:after="0" w:line="360" w:lineRule="auto"/>
        <w:jc w:val="both"/>
        <w:sectPr>
          <w:footerReference w:type="default" r:id="rId17"/>
          <w:pgSz w:w="12240" w:h="15840"/>
          <w:pgMar w:footer="1003" w:header="0" w:top="1380" w:bottom="1200" w:left="1600" w:right="1580"/>
          <w:pgNumType w:start="11"/>
        </w:sectPr>
      </w:pPr>
    </w:p>
    <w:p>
      <w:pPr>
        <w:pStyle w:val="Heading4"/>
        <w:jc w:val="left"/>
      </w:pPr>
      <w:r>
        <w:rPr/>
        <w:t>Palabras clave:</w:t>
      </w:r>
    </w:p>
    <w:p>
      <w:pPr>
        <w:pStyle w:val="BodyText"/>
        <w:spacing w:before="4"/>
        <w:rPr>
          <w:b/>
          <w:sz w:val="29"/>
        </w:rPr>
      </w:pPr>
    </w:p>
    <w:p>
      <w:pPr>
        <w:pStyle w:val="BodyText"/>
        <w:spacing w:before="1"/>
        <w:ind w:left="102"/>
      </w:pPr>
      <w:r>
        <w:rPr/>
        <w:t>Habitabilidad, vivienda, urbanización, zona metropolitana de Toluca.</w:t>
      </w:r>
    </w:p>
    <w:p>
      <w:pPr>
        <w:spacing w:after="0"/>
        <w:sectPr>
          <w:pgSz w:w="12240" w:h="15840"/>
          <w:pgMar w:header="0" w:footer="1003" w:top="1360" w:bottom="1200" w:left="1600" w:right="1720"/>
        </w:sectPr>
      </w:pPr>
    </w:p>
    <w:p>
      <w:pPr>
        <w:spacing w:before="52"/>
        <w:ind w:left="0" w:right="118" w:firstLine="0"/>
        <w:jc w:val="right"/>
        <w:rPr>
          <w:i/>
          <w:sz w:val="24"/>
        </w:rPr>
      </w:pPr>
      <w:r>
        <w:rPr>
          <w:i/>
          <w:sz w:val="24"/>
        </w:rPr>
        <w:t>“La ciudad es, simultáneamente, un marco material, un complejo social y cultural”</w:t>
      </w:r>
    </w:p>
    <w:p>
      <w:pPr>
        <w:spacing w:before="139"/>
        <w:ind w:left="0" w:right="118" w:firstLine="0"/>
        <w:jc w:val="right"/>
        <w:rPr>
          <w:i/>
          <w:sz w:val="24"/>
        </w:rPr>
      </w:pPr>
      <w:r>
        <w:rPr>
          <w:i/>
          <w:sz w:val="24"/>
        </w:rPr>
        <w:t>Chombart de Lauwe</w:t>
      </w:r>
    </w:p>
    <w:p>
      <w:pPr>
        <w:pStyle w:val="BodyText"/>
        <w:spacing w:before="9"/>
        <w:rPr>
          <w:i/>
          <w:sz w:val="29"/>
        </w:rPr>
      </w:pPr>
    </w:p>
    <w:p>
      <w:pPr>
        <w:pStyle w:val="Heading3"/>
        <w:spacing w:before="0"/>
        <w:ind w:left="122" w:firstLine="0"/>
      </w:pPr>
      <w:bookmarkStart w:name="_TOC_250030" w:id="4"/>
      <w:bookmarkEnd w:id="4"/>
      <w:r>
        <w:rPr>
          <w:color w:val="4F81BC"/>
        </w:rPr>
        <w:t>Introducción</w:t>
      </w:r>
    </w:p>
    <w:p>
      <w:pPr>
        <w:pStyle w:val="BodyText"/>
        <w:rPr>
          <w:rFonts w:ascii="Cambria"/>
          <w:b/>
          <w:sz w:val="26"/>
        </w:rPr>
      </w:pPr>
    </w:p>
    <w:p>
      <w:pPr>
        <w:pStyle w:val="BodyText"/>
        <w:spacing w:before="4"/>
        <w:rPr>
          <w:rFonts w:ascii="Cambria"/>
          <w:b/>
          <w:sz w:val="23"/>
        </w:rPr>
      </w:pPr>
    </w:p>
    <w:p>
      <w:pPr>
        <w:pStyle w:val="BodyText"/>
        <w:spacing w:line="360" w:lineRule="auto"/>
        <w:ind w:left="122" w:right="116"/>
        <w:jc w:val="both"/>
      </w:pPr>
      <w:r>
        <w:rPr/>
        <w:t>La zona metropolitana de Toluca está considerada como la quinta zona metropolitana más urbanizada de México, de ahí la importancia de analizar y evaluar la habitabilidad de las viviendas como un proceso de urbanización, da a esta investigación relevancia para aquellos interesados en analizar los desafíos y oportunidades del desarrollo urbano.</w:t>
      </w:r>
    </w:p>
    <w:p>
      <w:pPr>
        <w:pStyle w:val="BodyText"/>
      </w:pPr>
    </w:p>
    <w:p>
      <w:pPr>
        <w:pStyle w:val="BodyText"/>
        <w:spacing w:line="360" w:lineRule="auto" w:before="142"/>
        <w:ind w:left="122" w:right="119"/>
        <w:jc w:val="both"/>
      </w:pPr>
      <w:r>
        <w:rPr/>
        <w:t>Con la mayoría de las personas viviendo en ciudades es necesario cambiar el actual modelo de urbanización y plantearnos el nuevo reto de lograr viviendas habitables mejor pensadas para las personas, con mayores oportunidades de desarrollo económico, social y político.</w:t>
      </w:r>
    </w:p>
    <w:p>
      <w:pPr>
        <w:pStyle w:val="BodyText"/>
      </w:pPr>
    </w:p>
    <w:p>
      <w:pPr>
        <w:pStyle w:val="BodyText"/>
        <w:spacing w:line="360" w:lineRule="auto" w:before="142"/>
        <w:ind w:left="122" w:right="115"/>
        <w:jc w:val="both"/>
      </w:pPr>
      <w:r>
        <w:rPr/>
        <w:t>En México en el siglo XX se presentó un crecimiento urbano de forma acelerada, esto ha generado importantes desequilibrios territoriales vinculados con la urbanización. En ese ámbito existen desafíos sobre la planificación de ciudades, uno de los más preocupantes es el de la vivienda, la falta de equipamiento e infraestructura y acceso a servicios básicos, pues el crecimiento urbano está asociado al desarrollo tecnológico y económico del país. Aunque también se presentaron acontecimientos importantes a favor de la urbanización nacional; como la ley de asentamientos humanos, programa general de desarrollo urbano, así como políticas de suelo y</w:t>
      </w:r>
      <w:r>
        <w:rPr>
          <w:spacing w:val="-15"/>
        </w:rPr>
        <w:t> </w:t>
      </w:r>
      <w:r>
        <w:rPr/>
        <w:t>vivienda.</w:t>
      </w:r>
    </w:p>
    <w:p>
      <w:pPr>
        <w:pStyle w:val="BodyText"/>
      </w:pPr>
    </w:p>
    <w:p>
      <w:pPr>
        <w:pStyle w:val="BodyText"/>
        <w:spacing w:line="357" w:lineRule="auto" w:before="142"/>
        <w:ind w:left="122" w:right="117"/>
        <w:jc w:val="both"/>
      </w:pPr>
      <w:r>
        <w:rPr/>
        <w:t>En la presente investigación se analiza la habitabilidad de las viviendas en la Zona Metropolitana de Toluca (</w:t>
      </w:r>
      <w:r>
        <w:rPr>
          <w:sz w:val="19"/>
        </w:rPr>
        <w:t>ZMT</w:t>
      </w:r>
      <w:r>
        <w:rPr/>
        <w:t>)</w:t>
      </w:r>
      <w:r>
        <w:rPr>
          <w:position w:val="8"/>
          <w:sz w:val="16"/>
        </w:rPr>
        <w:t>1 </w:t>
      </w:r>
      <w:r>
        <w:rPr/>
        <w:t>en el año 2010, por medio de la evaluación de cuatro dimensiones; las características propias de las viviendas y las condiciones del   entorno,   por   medio   del   Directorio   Estadístico   Nacional   de    Unidades</w:t>
      </w:r>
    </w:p>
    <w:p>
      <w:pPr>
        <w:pStyle w:val="BodyText"/>
        <w:spacing w:before="9"/>
        <w:rPr>
          <w:sz w:val="29"/>
        </w:rPr>
      </w:pPr>
      <w:r>
        <w:rPr/>
        <w:pict>
          <v:line style="position:absolute;mso-position-horizontal-relative:page;mso-position-vertical-relative:paragraph;z-index:1072;mso-wrap-distance-left:0;mso-wrap-distance-right:0" from="85.103996pt,19.50395pt" to="229.123996pt,19.50395pt" stroked="true" strokeweight=".84003pt" strokecolor="#000000">
            <w10:wrap type="topAndBottom"/>
          </v:line>
        </w:pict>
      </w:r>
    </w:p>
    <w:p>
      <w:pPr>
        <w:spacing w:before="74"/>
        <w:ind w:left="122" w:right="214" w:firstLine="0"/>
        <w:jc w:val="left"/>
        <w:rPr>
          <w:rFonts w:ascii="Calibri"/>
          <w:sz w:val="20"/>
        </w:rPr>
      </w:pPr>
      <w:r>
        <w:rPr>
          <w:rFonts w:ascii="Calibri"/>
          <w:position w:val="7"/>
          <w:sz w:val="13"/>
        </w:rPr>
        <w:t>1 </w:t>
      </w:r>
      <w:r>
        <w:rPr>
          <w:rFonts w:ascii="Calibri"/>
          <w:sz w:val="20"/>
        </w:rPr>
        <w:t>En adelante se utiliza la </w:t>
      </w:r>
      <w:r>
        <w:rPr>
          <w:rFonts w:ascii="Calibri"/>
          <w:sz w:val="16"/>
        </w:rPr>
        <w:t>ZMT </w:t>
      </w:r>
      <w:r>
        <w:rPr>
          <w:rFonts w:ascii="Calibri"/>
          <w:sz w:val="20"/>
        </w:rPr>
        <w:t>para referirnos a la Zona Metropolita de Toluca.</w:t>
      </w:r>
    </w:p>
    <w:p>
      <w:pPr>
        <w:spacing w:after="0"/>
        <w:jc w:val="left"/>
        <w:rPr>
          <w:rFonts w:ascii="Calibri"/>
          <w:sz w:val="20"/>
        </w:rPr>
        <w:sectPr>
          <w:pgSz w:w="12240" w:h="15840"/>
          <w:pgMar w:header="0" w:footer="1003" w:top="1360" w:bottom="1200" w:left="1580" w:right="1580"/>
        </w:sectPr>
      </w:pPr>
    </w:p>
    <w:p>
      <w:pPr>
        <w:pStyle w:val="BodyText"/>
        <w:spacing w:line="360" w:lineRule="auto" w:before="54"/>
        <w:ind w:left="102" w:right="112"/>
        <w:jc w:val="both"/>
      </w:pPr>
      <w:r>
        <w:rPr/>
        <w:t>Económicas (</w:t>
      </w:r>
      <w:r>
        <w:rPr>
          <w:sz w:val="19"/>
        </w:rPr>
        <w:t>DENUE</w:t>
      </w:r>
      <w:r>
        <w:rPr/>
        <w:t>), geográficos (ubicación, localización), salud (consultorios médicos públicos y privados), sociales (educación básica, preescolar- preparatoria), económicos (empleo), áreas verdes, abastecimiento (alimentos) y recreación, con las que cuentan las viviendas, la investigación es de gran importancia ya que “</w:t>
      </w:r>
      <w:r>
        <w:rPr>
          <w:i/>
        </w:rPr>
        <w:t>la </w:t>
      </w:r>
      <w:r>
        <w:rPr>
          <w:i/>
          <w:sz w:val="19"/>
        </w:rPr>
        <w:t>ZMT </w:t>
      </w:r>
      <w:r>
        <w:rPr>
          <w:i/>
        </w:rPr>
        <w:t>es la quinta zona más grande del país” </w:t>
      </w:r>
      <w:r>
        <w:rPr/>
        <w:t>(</w:t>
      </w:r>
      <w:r>
        <w:rPr>
          <w:sz w:val="19"/>
        </w:rPr>
        <w:t>CONAPO</w:t>
      </w:r>
      <w:r>
        <w:rPr/>
        <w:t>/</w:t>
      </w:r>
      <w:r>
        <w:rPr>
          <w:sz w:val="19"/>
        </w:rPr>
        <w:t>SEDESOL</w:t>
      </w:r>
      <w:r>
        <w:rPr/>
        <w:t>/</w:t>
      </w:r>
      <w:r>
        <w:rPr>
          <w:sz w:val="19"/>
        </w:rPr>
        <w:t>INEGI </w:t>
      </w:r>
      <w:r>
        <w:rPr/>
        <w:t>2012).</w:t>
      </w:r>
    </w:p>
    <w:p>
      <w:pPr>
        <w:pStyle w:val="BodyText"/>
      </w:pPr>
    </w:p>
    <w:p>
      <w:pPr>
        <w:pStyle w:val="BodyText"/>
        <w:spacing w:line="360" w:lineRule="auto" w:before="142"/>
        <w:ind w:left="102" w:right="112"/>
        <w:jc w:val="both"/>
      </w:pPr>
      <w:r>
        <w:rPr/>
        <w:t>Para que las viviendas sean habitables, deben proveer estructuras sólidas y servicios públicos básicos (agua potable, energía eléctrica, drenaje) que sostengan el bienestar y la productividad de sus residentes. Las personas requieren entornos de vida fáciles y de apoyo para compensar los cambios físicos y sociales asociados a la</w:t>
      </w:r>
      <w:r>
        <w:rPr>
          <w:spacing w:val="-4"/>
        </w:rPr>
        <w:t> </w:t>
      </w:r>
      <w:r>
        <w:rPr/>
        <w:t>urbanización.</w:t>
      </w:r>
    </w:p>
    <w:p>
      <w:pPr>
        <w:pStyle w:val="BodyText"/>
        <w:spacing w:before="10"/>
        <w:rPr>
          <w:sz w:val="35"/>
        </w:rPr>
      </w:pPr>
    </w:p>
    <w:p>
      <w:pPr>
        <w:spacing w:before="0"/>
        <w:ind w:left="385" w:right="451" w:firstLine="0"/>
        <w:jc w:val="both"/>
        <w:rPr>
          <w:sz w:val="24"/>
        </w:rPr>
      </w:pPr>
      <w:r>
        <w:rPr>
          <w:i/>
          <w:sz w:val="24"/>
        </w:rPr>
        <w:t>“Una vivienda con buenas condiciones de habitabilidad alienta el desarrollo </w:t>
      </w:r>
      <w:r>
        <w:rPr>
          <w:i/>
          <w:sz w:val="24"/>
        </w:rPr>
        <w:t>de las personas, mediante la optimización de las oportunidades de educación, trabajo, salud, participación y seguridad, con el fin de mejorar la calidad de vida, así como de los habitantes vulnerables (niños, con capacidades diferentes, adultos mayores)” </w:t>
      </w:r>
      <w:r>
        <w:rPr>
          <w:sz w:val="24"/>
        </w:rPr>
        <w:t>(</w:t>
      </w:r>
      <w:r>
        <w:rPr>
          <w:sz w:val="19"/>
        </w:rPr>
        <w:t>OPS</w:t>
      </w:r>
      <w:r>
        <w:rPr>
          <w:sz w:val="24"/>
        </w:rPr>
        <w:t>, 2009).</w:t>
      </w:r>
    </w:p>
    <w:p>
      <w:pPr>
        <w:pStyle w:val="BodyText"/>
      </w:pPr>
    </w:p>
    <w:p>
      <w:pPr>
        <w:pStyle w:val="BodyText"/>
        <w:spacing w:line="360" w:lineRule="auto" w:before="142"/>
        <w:ind w:left="102" w:right="115"/>
        <w:jc w:val="both"/>
      </w:pPr>
      <w:r>
        <w:rPr/>
        <w:t>Las personas no constituyen un grupo homogéneo así que una vivienda debe ser habitable con todas las personas que las habitan.</w:t>
      </w:r>
    </w:p>
    <w:p>
      <w:pPr>
        <w:pStyle w:val="BodyText"/>
      </w:pPr>
    </w:p>
    <w:p>
      <w:pPr>
        <w:spacing w:line="360" w:lineRule="auto" w:before="142"/>
        <w:ind w:left="102" w:right="115" w:firstLine="0"/>
        <w:jc w:val="both"/>
        <w:rPr>
          <w:sz w:val="24"/>
        </w:rPr>
      </w:pPr>
      <w:r>
        <w:rPr>
          <w:sz w:val="24"/>
        </w:rPr>
        <w:t>La vivienda es esencial para la seguridad y el bienestar. Además, hay una relación entre la vivienda habitable y el acceso a los servicios públicos y sociales que influye sobre la independencia y la calidad de vida de las personas. “</w:t>
      </w:r>
      <w:r>
        <w:rPr>
          <w:i/>
          <w:sz w:val="24"/>
        </w:rPr>
        <w:t>Existe una </w:t>
      </w:r>
      <w:r>
        <w:rPr>
          <w:i/>
          <w:sz w:val="24"/>
        </w:rPr>
        <w:t>valoración universal por la vivienda y el apoyo que les permite a las personas vivir de forma cómoda y segura en el seno de su comunidad” </w:t>
      </w:r>
      <w:r>
        <w:rPr>
          <w:sz w:val="24"/>
        </w:rPr>
        <w:t>(</w:t>
      </w:r>
      <w:r>
        <w:rPr>
          <w:sz w:val="19"/>
        </w:rPr>
        <w:t>OMS</w:t>
      </w:r>
      <w:r>
        <w:rPr>
          <w:sz w:val="24"/>
        </w:rPr>
        <w:t>, 2007).</w:t>
      </w:r>
    </w:p>
    <w:p>
      <w:pPr>
        <w:pStyle w:val="BodyText"/>
      </w:pPr>
    </w:p>
    <w:p>
      <w:pPr>
        <w:pStyle w:val="BodyText"/>
        <w:spacing w:line="360" w:lineRule="auto" w:before="144"/>
        <w:ind w:left="102" w:right="115"/>
        <w:jc w:val="both"/>
        <w:rPr>
          <w:i/>
        </w:rPr>
      </w:pPr>
      <w:r>
        <w:rPr/>
        <w:t>Un factor importante que determina la habitabilidad de las viviendas es el costo de las mismas ya que influye sobre la ubicación o localización, encontrando viviendas económicas en la periferia de las ciudades, las cuales no cuentan con la infraestructura  y  equipamiento  urbano  necesario.  “</w:t>
      </w:r>
      <w:r>
        <w:rPr>
          <w:i/>
        </w:rPr>
        <w:t>Se  considera  que       varios</w:t>
      </w:r>
    </w:p>
    <w:p>
      <w:pPr>
        <w:spacing w:after="0" w:line="360" w:lineRule="auto"/>
        <w:jc w:val="both"/>
        <w:sectPr>
          <w:pgSz w:w="12240" w:h="15840"/>
          <w:pgMar w:header="0" w:footer="1003" w:top="1360" w:bottom="1200" w:left="1600" w:right="1580"/>
        </w:sectPr>
      </w:pPr>
    </w:p>
    <w:p>
      <w:pPr>
        <w:spacing w:line="360" w:lineRule="auto" w:before="52"/>
        <w:ind w:left="102" w:right="123" w:firstLine="0"/>
        <w:jc w:val="both"/>
        <w:rPr>
          <w:sz w:val="24"/>
        </w:rPr>
      </w:pPr>
      <w:r>
        <w:rPr>
          <w:i/>
          <w:sz w:val="24"/>
        </w:rPr>
        <w:t>aspectos referidos al diseño de las viviendas afectan la capacidad de las personas </w:t>
      </w:r>
      <w:r>
        <w:rPr>
          <w:i/>
          <w:sz w:val="24"/>
        </w:rPr>
        <w:t>de vivir cómodamente dentro de ellas” </w:t>
      </w:r>
      <w:r>
        <w:rPr>
          <w:sz w:val="24"/>
        </w:rPr>
        <w:t>(</w:t>
      </w:r>
      <w:r>
        <w:rPr>
          <w:sz w:val="19"/>
        </w:rPr>
        <w:t>ONU</w:t>
      </w:r>
      <w:r>
        <w:rPr>
          <w:sz w:val="24"/>
        </w:rPr>
        <w:t>-</w:t>
      </w:r>
      <w:r>
        <w:rPr>
          <w:sz w:val="19"/>
        </w:rPr>
        <w:t>HABITAT</w:t>
      </w:r>
      <w:r>
        <w:rPr>
          <w:sz w:val="24"/>
        </w:rPr>
        <w:t>, 2012).</w:t>
      </w:r>
    </w:p>
    <w:p>
      <w:pPr>
        <w:pStyle w:val="BodyText"/>
      </w:pPr>
    </w:p>
    <w:p>
      <w:pPr>
        <w:pStyle w:val="BodyText"/>
        <w:spacing w:line="360" w:lineRule="auto" w:before="144"/>
        <w:ind w:left="102" w:right="116"/>
        <w:jc w:val="both"/>
      </w:pPr>
      <w:r>
        <w:rPr/>
        <w:t>Diferentes organismos internacionales (v.g. </w:t>
      </w:r>
      <w:r>
        <w:rPr>
          <w:sz w:val="19"/>
        </w:rPr>
        <w:t>ONU</w:t>
      </w:r>
      <w:r>
        <w:rPr/>
        <w:t>, 2012, </w:t>
      </w:r>
      <w:r>
        <w:rPr>
          <w:sz w:val="19"/>
        </w:rPr>
        <w:t>OMS</w:t>
      </w:r>
      <w:r>
        <w:rPr/>
        <w:t>, 2007) consideran importante que</w:t>
      </w:r>
    </w:p>
    <w:p>
      <w:pPr>
        <w:pStyle w:val="BodyText"/>
        <w:spacing w:before="10"/>
        <w:rPr>
          <w:sz w:val="35"/>
        </w:rPr>
      </w:pPr>
    </w:p>
    <w:p>
      <w:pPr>
        <w:spacing w:before="0"/>
        <w:ind w:left="385" w:right="447" w:firstLine="0"/>
        <w:jc w:val="both"/>
        <w:rPr>
          <w:sz w:val="24"/>
        </w:rPr>
      </w:pPr>
      <w:r>
        <w:rPr>
          <w:sz w:val="24"/>
        </w:rPr>
        <w:t>“</w:t>
      </w:r>
      <w:r>
        <w:rPr>
          <w:i/>
          <w:sz w:val="24"/>
        </w:rPr>
        <w:t>las personas vivan en instalaciones construidas con materiales adecuados y </w:t>
      </w:r>
      <w:r>
        <w:rPr>
          <w:i/>
          <w:sz w:val="24"/>
        </w:rPr>
        <w:t>estructuralmente sólidos, que presenten superficies lisas y niveladas, que tengan instalaciones de baño y cocina adecuadas, con el espacio suficiente para moverse y un espacio de almacenamiento, con pasillos lo suficientemente amplios y equipados para afrontar las condiciones climáticas específicas de cada región”</w:t>
      </w:r>
      <w:r>
        <w:rPr>
          <w:sz w:val="24"/>
        </w:rPr>
        <w:t>.</w:t>
      </w:r>
    </w:p>
    <w:p>
      <w:pPr>
        <w:pStyle w:val="BodyText"/>
      </w:pPr>
    </w:p>
    <w:p>
      <w:pPr>
        <w:pStyle w:val="BodyText"/>
        <w:spacing w:line="360" w:lineRule="auto" w:before="144"/>
        <w:ind w:left="102" w:right="115"/>
        <w:jc w:val="both"/>
      </w:pPr>
      <w:r>
        <w:rPr/>
        <w:t>Además se debe considerar la revisión legal en la construcción de las viviendas, en ocasiones no se lleva a cabo, y esto deriva que existan problemas relativos en las propiedades. La construcción supervisada puede asegurar que la vivienda sea estructuralmente sólida. Las viviendas en la </w:t>
      </w:r>
      <w:r>
        <w:rPr>
          <w:sz w:val="19"/>
        </w:rPr>
        <w:t>ZMT</w:t>
      </w:r>
      <w:r>
        <w:rPr/>
        <w:t>, deben estar construidas con materiales durables, por las condiciones climáticas que se presentan en esta zona metropolitana.</w:t>
      </w:r>
    </w:p>
    <w:p>
      <w:pPr>
        <w:pStyle w:val="BodyText"/>
      </w:pPr>
    </w:p>
    <w:p>
      <w:pPr>
        <w:pStyle w:val="BodyText"/>
        <w:spacing w:before="5"/>
      </w:pPr>
    </w:p>
    <w:p>
      <w:pPr>
        <w:spacing w:line="360" w:lineRule="auto" w:before="0"/>
        <w:ind w:left="102" w:right="116" w:firstLine="0"/>
        <w:jc w:val="both"/>
        <w:rPr>
          <w:sz w:val="24"/>
        </w:rPr>
      </w:pPr>
      <w:r>
        <w:rPr>
          <w:sz w:val="24"/>
        </w:rPr>
        <w:t>El suministro de servicios a personas en sus viviendas reviste particular importancia. Tener servicios públicos e instalaciones se considera como una característica urbana aceptable de habitabilidad. “</w:t>
      </w:r>
      <w:r>
        <w:rPr>
          <w:i/>
          <w:sz w:val="24"/>
        </w:rPr>
        <w:t>La localización de las viviendas, </w:t>
      </w:r>
      <w:r>
        <w:rPr>
          <w:i/>
          <w:sz w:val="24"/>
        </w:rPr>
        <w:t>influye en contar con parques recreativos, espacios públicos de modo que las personas no estén aisladas de la comunidad y tengan una forma de socializar y de identidad” </w:t>
      </w:r>
      <w:r>
        <w:rPr>
          <w:sz w:val="24"/>
        </w:rPr>
        <w:t>(</w:t>
      </w:r>
      <w:r>
        <w:rPr>
          <w:sz w:val="19"/>
        </w:rPr>
        <w:t>ONU</w:t>
      </w:r>
      <w:r>
        <w:rPr>
          <w:sz w:val="24"/>
        </w:rPr>
        <w:t>-</w:t>
      </w:r>
      <w:r>
        <w:rPr>
          <w:sz w:val="19"/>
        </w:rPr>
        <w:t>HABITAT</w:t>
      </w:r>
      <w:r>
        <w:rPr>
          <w:sz w:val="24"/>
        </w:rPr>
        <w:t>, 2012).</w:t>
      </w:r>
    </w:p>
    <w:p>
      <w:pPr>
        <w:pStyle w:val="BodyText"/>
      </w:pPr>
    </w:p>
    <w:p>
      <w:pPr>
        <w:pStyle w:val="BodyText"/>
        <w:spacing w:line="360" w:lineRule="auto" w:before="145"/>
        <w:ind w:left="102" w:right="115"/>
        <w:jc w:val="both"/>
      </w:pPr>
      <w:r>
        <w:rPr/>
        <w:t>El espacio y la privacidad de las viviendas son importantes para la habitabilidad,  ya que con el incremento de la población, y los elevados costos de la vivienda, obligan a que los miembros de la familia vivan juntos, no siempre de forma voluntaria. Otro tema de importancia es el entorno domiciliario, por su localización, las viviendas pueden estar situadas en zonas de vulnerabilidad a desastres naturales.</w:t>
      </w:r>
    </w:p>
    <w:p>
      <w:pPr>
        <w:spacing w:after="0" w:line="360" w:lineRule="auto"/>
        <w:jc w:val="both"/>
        <w:sectPr>
          <w:pgSz w:w="12240" w:h="15840"/>
          <w:pgMar w:header="0" w:footer="1003" w:top="1360" w:bottom="1200" w:left="1600" w:right="1580"/>
        </w:sectPr>
      </w:pPr>
    </w:p>
    <w:p>
      <w:pPr>
        <w:pStyle w:val="BodyText"/>
        <w:spacing w:line="360" w:lineRule="auto" w:before="54"/>
        <w:ind w:left="122" w:right="117"/>
        <w:jc w:val="both"/>
      </w:pPr>
      <w:r>
        <w:rPr/>
        <w:t>En este sentido, los responsables públicos de la toma de decisiones y en el sector privado, en el nivel de la ciudad deberían influir en el número y la ubicación de los servicios y otros aspectos relacionados con la accesibilidad de las instalaciones y los servicios de las viviendas.</w:t>
      </w:r>
    </w:p>
    <w:p>
      <w:pPr>
        <w:pStyle w:val="BodyText"/>
      </w:pPr>
    </w:p>
    <w:p>
      <w:pPr>
        <w:pStyle w:val="BodyText"/>
        <w:spacing w:line="360" w:lineRule="auto" w:before="142"/>
        <w:ind w:left="122" w:right="115"/>
        <w:jc w:val="both"/>
      </w:pPr>
      <w:r>
        <w:rPr/>
        <w:t>Los servicios de empleo, educación y salud cercanos a la vivienda, son  vitales para mantener un desarrollo social e independencia de las personas. El acceso al cuidado de la salud y la diversidad de servicios de salud son un tema importante para los habitantes de la zona de estudio. En particular su ubicación con respecto a la vivienda, es de importancia para la habitabilidad de las personas dentro de esta zona</w:t>
      </w:r>
      <w:r>
        <w:rPr>
          <w:spacing w:val="-8"/>
        </w:rPr>
        <w:t> </w:t>
      </w:r>
      <w:r>
        <w:rPr/>
        <w:t>metropolitana.</w:t>
      </w:r>
    </w:p>
    <w:p>
      <w:pPr>
        <w:pStyle w:val="BodyText"/>
      </w:pPr>
    </w:p>
    <w:p>
      <w:pPr>
        <w:pStyle w:val="BodyText"/>
        <w:spacing w:line="360" w:lineRule="auto" w:before="142"/>
        <w:ind w:left="122" w:right="115"/>
        <w:jc w:val="both"/>
      </w:pPr>
      <w:r>
        <w:rPr/>
        <w:t>En el siglo </w:t>
      </w:r>
      <w:r>
        <w:rPr>
          <w:sz w:val="19"/>
        </w:rPr>
        <w:t>XXI</w:t>
      </w:r>
      <w:r>
        <w:rPr/>
        <w:t>, las condiciones de habitabilidad de las viviendas en áreas geoestadísticas básicas ageb’s</w:t>
      </w:r>
      <w:r>
        <w:rPr>
          <w:position w:val="8"/>
          <w:sz w:val="16"/>
        </w:rPr>
        <w:t>2</w:t>
      </w:r>
      <w:r>
        <w:rPr/>
        <w:t>urbanos</w:t>
      </w:r>
      <w:r>
        <w:rPr>
          <w:position w:val="8"/>
          <w:sz w:val="16"/>
        </w:rPr>
        <w:t>3</w:t>
      </w:r>
      <w:r>
        <w:rPr/>
        <w:t>ubicados en la zona metropolitana de Toluca pueden ser inadecuadas por no contar con servicios públicos básicos o materiales precarios, ya que podrían estar afectando a miles de personas, de no emprenderse análisis y diagnósticos de la problemática, estas condiciones podrían presentar viviendas inhabitables para la población que radica en los municipios que conforman esta zona metropolitana del</w:t>
      </w:r>
      <w:r>
        <w:rPr>
          <w:spacing w:val="-21"/>
        </w:rPr>
        <w:t> </w:t>
      </w:r>
      <w:r>
        <w:rPr/>
        <w:t>país.</w:t>
      </w:r>
    </w:p>
    <w:p>
      <w:pPr>
        <w:pStyle w:val="BodyText"/>
        <w:spacing w:line="360" w:lineRule="auto" w:before="204"/>
        <w:ind w:left="122" w:right="117"/>
        <w:jc w:val="both"/>
      </w:pPr>
      <w:r>
        <w:rPr/>
        <w:t>Entonces se hace evidente los pocos estudios en esta temática en países en desarrollo y en particular en México, así como en las particularidades de la información, esta última arroja datos oficiales de la vivienda a una escala geográfica pequeña; municipal y local, lo que da realce a esta investigación que analiza datos más específicos a escala geográfica grande es decir área geoestadística básica (ageb) haciendo más visible las diferencias de  habitabilidad</w:t>
      </w:r>
    </w:p>
    <w:p>
      <w:pPr>
        <w:pStyle w:val="BodyText"/>
        <w:rPr>
          <w:sz w:val="20"/>
        </w:rPr>
      </w:pPr>
    </w:p>
    <w:p>
      <w:pPr>
        <w:pStyle w:val="BodyText"/>
        <w:rPr>
          <w:sz w:val="20"/>
        </w:rPr>
      </w:pPr>
      <w:r>
        <w:rPr/>
        <w:pict>
          <v:line style="position:absolute;mso-position-horizontal-relative:page;mso-position-vertical-relative:paragraph;z-index:1096;mso-wrap-distance-left:0;mso-wrap-distance-right:0" from="85.103996pt,13.874861pt" to="229.123996pt,13.874861pt" stroked="true" strokeweight=".84003pt" strokecolor="#000000">
            <w10:wrap type="topAndBottom"/>
          </v:line>
        </w:pict>
      </w:r>
    </w:p>
    <w:p>
      <w:pPr>
        <w:spacing w:before="76"/>
        <w:ind w:left="122" w:right="129" w:firstLine="0"/>
        <w:jc w:val="both"/>
        <w:rPr>
          <w:sz w:val="20"/>
        </w:rPr>
      </w:pPr>
      <w:r>
        <w:rPr>
          <w:position w:val="6"/>
          <w:sz w:val="13"/>
        </w:rPr>
        <w:t>2 </w:t>
      </w:r>
      <w:r>
        <w:rPr>
          <w:sz w:val="20"/>
        </w:rPr>
        <w:t>Un área geoestadística básica (AGEB) es la extensión territorial que corresponde a la subdivisión de las áreas geoestadísticas municipales. Dependiendo de sus características, se clasifican en dos tipos: AGEB urbana o AGEB rural.</w:t>
      </w:r>
    </w:p>
    <w:p>
      <w:pPr>
        <w:pStyle w:val="BodyText"/>
        <w:spacing w:before="9"/>
        <w:rPr>
          <w:sz w:val="19"/>
        </w:rPr>
      </w:pPr>
    </w:p>
    <w:p>
      <w:pPr>
        <w:spacing w:before="1"/>
        <w:ind w:left="122" w:right="117" w:firstLine="0"/>
        <w:jc w:val="both"/>
        <w:rPr>
          <w:sz w:val="20"/>
        </w:rPr>
      </w:pPr>
      <w:r>
        <w:rPr>
          <w:position w:val="6"/>
          <w:sz w:val="13"/>
        </w:rPr>
        <w:t>3 </w:t>
      </w:r>
      <w:r>
        <w:rPr>
          <w:sz w:val="20"/>
        </w:rPr>
        <w:t>Un área geoestadística básica urbana, es un área geográfica ocupada por un conjunto de manzanas perfectamente delimitadas por calles, avenidas, andadores o cualquier otro rasgo de  fácil identificación del terreno y cuyo uso del suelo es principalmente habitacional, industrial, de servicios, comercial, etcétera y solo son asignadas al interior de las localidades</w:t>
      </w:r>
      <w:r>
        <w:rPr>
          <w:spacing w:val="-31"/>
          <w:sz w:val="20"/>
        </w:rPr>
        <w:t> </w:t>
      </w:r>
      <w:r>
        <w:rPr>
          <w:sz w:val="20"/>
        </w:rPr>
        <w:t>urbanas.</w:t>
      </w:r>
    </w:p>
    <w:p>
      <w:pPr>
        <w:spacing w:after="0"/>
        <w:jc w:val="both"/>
        <w:rPr>
          <w:sz w:val="20"/>
        </w:rPr>
        <w:sectPr>
          <w:pgSz w:w="12240" w:h="15840"/>
          <w:pgMar w:header="0" w:footer="1003" w:top="1360" w:bottom="1200" w:left="1580" w:right="1580"/>
        </w:sectPr>
      </w:pPr>
    </w:p>
    <w:p>
      <w:pPr>
        <w:pStyle w:val="BodyText"/>
        <w:spacing w:line="360" w:lineRule="auto" w:before="54"/>
        <w:ind w:left="102" w:right="116"/>
        <w:jc w:val="both"/>
      </w:pPr>
      <w:r>
        <w:rPr/>
        <w:t>en el centro de la zona metropolitana comparada con las periferias y áreas de reciente incorporación a esta.</w:t>
      </w:r>
    </w:p>
    <w:p>
      <w:pPr>
        <w:spacing w:line="360" w:lineRule="auto" w:before="202"/>
        <w:ind w:left="102" w:right="114" w:firstLine="0"/>
        <w:jc w:val="both"/>
        <w:rPr>
          <w:sz w:val="24"/>
        </w:rPr>
      </w:pPr>
      <w:r>
        <w:rPr>
          <w:i/>
          <w:sz w:val="24"/>
        </w:rPr>
        <w:t>“Desde el año 2007, más de la mitad de la población mundial vive en ciudades. El </w:t>
      </w:r>
      <w:r>
        <w:rPr>
          <w:i/>
          <w:sz w:val="24"/>
        </w:rPr>
        <w:t>número y la proporción de habitantes urbanos seguirán creciendo en las décadas por venir, en especial en las ciudades con menos de cinco millones de habitantes” </w:t>
      </w:r>
      <w:r>
        <w:rPr>
          <w:sz w:val="24"/>
        </w:rPr>
        <w:t>(</w:t>
      </w:r>
      <w:r>
        <w:rPr>
          <w:sz w:val="19"/>
        </w:rPr>
        <w:t>OMS</w:t>
      </w:r>
      <w:r>
        <w:rPr>
          <w:sz w:val="24"/>
        </w:rPr>
        <w:t>, 2007:8), de la cual la zona metropolitana de Toluca no es la excepción.</w:t>
      </w:r>
    </w:p>
    <w:p>
      <w:pPr>
        <w:pStyle w:val="BodyText"/>
        <w:spacing w:before="10"/>
        <w:rPr>
          <w:sz w:val="35"/>
        </w:rPr>
      </w:pPr>
    </w:p>
    <w:p>
      <w:pPr>
        <w:spacing w:before="0"/>
        <w:ind w:left="385" w:right="449" w:firstLine="0"/>
        <w:jc w:val="both"/>
        <w:rPr>
          <w:sz w:val="24"/>
        </w:rPr>
      </w:pPr>
      <w:r>
        <w:rPr>
          <w:i/>
          <w:sz w:val="24"/>
        </w:rPr>
        <w:t>“El actual y futuro escenario de las viviendas en la zona metropolitana de </w:t>
      </w:r>
      <w:r>
        <w:rPr>
          <w:i/>
          <w:sz w:val="24"/>
        </w:rPr>
        <w:t>Toluca, que experimentaron un significativo desarrollo durante las décadas de la industrialización del corredor industrial Toluca-Lerma durante las décadas sesentas y setentas, hoy en día emiten señales de decadencia para sus habitantes, ya que las viviendas no cuentan con condiciones de habitabilidad para sus moradores” </w:t>
      </w:r>
      <w:r>
        <w:rPr>
          <w:sz w:val="24"/>
        </w:rPr>
        <w:t>(Sobrino, 1993).</w:t>
      </w:r>
    </w:p>
    <w:p>
      <w:pPr>
        <w:pStyle w:val="BodyText"/>
      </w:pPr>
    </w:p>
    <w:p>
      <w:pPr>
        <w:pStyle w:val="BodyText"/>
        <w:spacing w:line="360" w:lineRule="auto" w:before="144"/>
        <w:ind w:left="102" w:right="115"/>
        <w:jc w:val="both"/>
      </w:pPr>
      <w:r>
        <w:rPr/>
        <w:t>Para que la población disponga de viviendas habitables es necesario tomar en cuenta factores urbanos (v.g. servicios públicos, infraestructura, equipamiento), geográficos (v.g. localización, accesibilidad), demográficos (v.g. segregación, grupos de población, indígenas), sociales (v.g. educación, entorno cultural), económicos (v.g. ingreso, niveles de ocupación), ambientales (v.g. riesgos, calidad del aire y del agua) y arquitectónico (v.g. condiciones mínimas de edificación y confort). Esto será clave en los municipios que integran la zona de estudio de esta tesis.</w:t>
      </w:r>
    </w:p>
    <w:p>
      <w:pPr>
        <w:pStyle w:val="BodyText"/>
        <w:spacing w:line="360" w:lineRule="auto" w:before="204"/>
        <w:ind w:left="102" w:right="116"/>
        <w:jc w:val="both"/>
      </w:pPr>
      <w:r>
        <w:rPr/>
        <w:t>Por eso, una estrategia para mejorar las viviendas construidas y por construir en la ciudad, consiste en tener diagnósticos y análisis ligados a la vivienda </w:t>
      </w:r>
      <w:r>
        <w:rPr>
          <w:i/>
        </w:rPr>
        <w:t>habitable </w:t>
      </w:r>
      <w:r>
        <w:rPr/>
        <w:t>para producir resultados que impacten positivamente la calidad de vida de sus habitantes en el corto, mediano y largo plazo.</w:t>
      </w:r>
    </w:p>
    <w:p>
      <w:pPr>
        <w:spacing w:before="200"/>
        <w:ind w:left="385" w:right="446" w:firstLine="0"/>
        <w:jc w:val="both"/>
        <w:rPr>
          <w:i/>
          <w:sz w:val="24"/>
        </w:rPr>
      </w:pPr>
      <w:r>
        <w:rPr>
          <w:i/>
          <w:sz w:val="24"/>
        </w:rPr>
        <w:t>“Las condiciones de vivienda de cualquier ser humano, han sido reconocidas </w:t>
      </w:r>
      <w:r>
        <w:rPr>
          <w:i/>
          <w:sz w:val="24"/>
        </w:rPr>
        <w:t>desde hace tiempo como una de las principales determinantes sociales de la salud” </w:t>
      </w:r>
      <w:r>
        <w:rPr>
          <w:sz w:val="24"/>
        </w:rPr>
        <w:t>(</w:t>
      </w:r>
      <w:r>
        <w:rPr>
          <w:sz w:val="19"/>
        </w:rPr>
        <w:t>WHO</w:t>
      </w:r>
      <w:r>
        <w:rPr>
          <w:sz w:val="24"/>
        </w:rPr>
        <w:t>, 2005a). “</w:t>
      </w:r>
      <w:r>
        <w:rPr>
          <w:i/>
          <w:sz w:val="24"/>
        </w:rPr>
        <w:t>Un diseño urbano inadecuado, hacinamiento, falta de </w:t>
      </w:r>
      <w:r>
        <w:rPr>
          <w:i/>
          <w:sz w:val="24"/>
        </w:rPr>
        <w:t>movilidad dentro de la vivienda (para la población en general), riesgo a desastres naturales, falta de higiene y condiciones sanitarias, además de ruido, humedad, plomo, monóxido de carbono (de vehículos, sobre todo), compuestos orgánicos volátiles, radón (emitido principalmente por industrias), son algunos de los mayores peligros de   </w:t>
      </w:r>
      <w:r>
        <w:rPr>
          <w:i/>
          <w:spacing w:val="8"/>
          <w:sz w:val="24"/>
        </w:rPr>
        <w:t> </w:t>
      </w:r>
      <w:r>
        <w:rPr>
          <w:i/>
          <w:sz w:val="24"/>
        </w:rPr>
        <w:t>salud a los que se está</w:t>
      </w:r>
    </w:p>
    <w:p>
      <w:pPr>
        <w:spacing w:after="0"/>
        <w:jc w:val="both"/>
        <w:rPr>
          <w:sz w:val="24"/>
        </w:rPr>
        <w:sectPr>
          <w:pgSz w:w="12240" w:h="15840"/>
          <w:pgMar w:header="0" w:footer="1003" w:top="1360" w:bottom="1200" w:left="1600" w:right="1580"/>
        </w:sectPr>
      </w:pPr>
    </w:p>
    <w:p>
      <w:pPr>
        <w:spacing w:line="244" w:lineRule="auto" w:before="49"/>
        <w:ind w:left="385" w:right="449" w:firstLine="0"/>
        <w:jc w:val="both"/>
        <w:rPr>
          <w:sz w:val="24"/>
        </w:rPr>
      </w:pPr>
      <w:r>
        <w:rPr>
          <w:i/>
          <w:sz w:val="24"/>
        </w:rPr>
        <w:t>expuesto en la vivienda” </w:t>
      </w:r>
      <w:r>
        <w:rPr>
          <w:sz w:val="24"/>
        </w:rPr>
        <w:t>(Foster, 1992; Ineichen, 1993; Krieger, Higgins, 2002).</w:t>
      </w:r>
    </w:p>
    <w:p>
      <w:pPr>
        <w:pStyle w:val="BodyText"/>
      </w:pPr>
    </w:p>
    <w:p>
      <w:pPr>
        <w:pStyle w:val="BodyText"/>
        <w:spacing w:before="4"/>
        <w:rPr>
          <w:sz w:val="34"/>
        </w:rPr>
      </w:pPr>
    </w:p>
    <w:p>
      <w:pPr>
        <w:pStyle w:val="BodyText"/>
        <w:spacing w:line="360" w:lineRule="auto"/>
        <w:ind w:left="102" w:right="116"/>
        <w:jc w:val="both"/>
      </w:pPr>
      <w:r>
        <w:rPr/>
        <w:t>El derecho a la vivienda adecuada ha sido promovido por la Agenda Hábitat presentada en la Conferencia Hábitat II en Estambul en 1996, y retomado en esta investigación. En particular, que las políticas, planes, programas y proyectos públicos de vivienda de interés social a nivel nacional y local promuevan la habitabilidad de las viviendas. Por su parte el Estado mexicano asumió a la vivienda de una forma integrada usando conceptos de planificación rural-urbano como única unidad, enfocándose no solo en el ambiente físico, sino también en el entorno, la comunidad y respetando, en lo posible, la cultura y costumbres de los pueblos.</w:t>
      </w:r>
    </w:p>
    <w:p>
      <w:pPr>
        <w:pStyle w:val="BodyText"/>
      </w:pPr>
    </w:p>
    <w:p>
      <w:pPr>
        <w:pStyle w:val="BodyText"/>
        <w:spacing w:before="5"/>
        <w:rPr>
          <w:sz w:val="29"/>
        </w:rPr>
      </w:pPr>
    </w:p>
    <w:p>
      <w:pPr>
        <w:spacing w:line="360" w:lineRule="auto" w:before="0"/>
        <w:ind w:left="102" w:right="115" w:firstLine="0"/>
        <w:jc w:val="both"/>
        <w:rPr>
          <w:sz w:val="24"/>
        </w:rPr>
      </w:pPr>
      <w:r>
        <w:rPr>
          <w:sz w:val="24"/>
        </w:rPr>
        <w:t>Se debe incluir el concepto de </w:t>
      </w:r>
      <w:r>
        <w:rPr>
          <w:i/>
          <w:sz w:val="24"/>
        </w:rPr>
        <w:t>vivienda habitable</w:t>
      </w:r>
      <w:r>
        <w:rPr>
          <w:sz w:val="24"/>
        </w:rPr>
        <w:t>, el cual alude a un espacio de residencia que promueve la calidad de vida de sus moradores del cual se propone en esta investigación. Una </w:t>
      </w:r>
      <w:r>
        <w:rPr>
          <w:i/>
          <w:sz w:val="24"/>
        </w:rPr>
        <w:t>vivienda habitable </w:t>
      </w:r>
      <w:r>
        <w:rPr>
          <w:sz w:val="24"/>
        </w:rPr>
        <w:t>carece de factores de riesgo, además promueve la salud y el bienestar de sus habitantes. Analizar la </w:t>
      </w:r>
      <w:r>
        <w:rPr>
          <w:i/>
          <w:sz w:val="24"/>
        </w:rPr>
        <w:t>vivienda </w:t>
      </w:r>
      <w:r>
        <w:rPr>
          <w:i/>
          <w:sz w:val="24"/>
        </w:rPr>
        <w:t>habitable </w:t>
      </w:r>
      <w:r>
        <w:rPr>
          <w:sz w:val="24"/>
        </w:rPr>
        <w:t>es una iniciativa que consiste en fortalecer la ejecución de actividades que promueven el mejoramiento de las viviendas, de las poblaciones más vulnerables de los peligros a los que está expuesto en la vivienda en las zonas más necesitadas y que contribuyen al desarrollo local integrado en los municipios de la </w:t>
      </w:r>
      <w:r>
        <w:rPr>
          <w:sz w:val="19"/>
        </w:rPr>
        <w:t>ZMT</w:t>
      </w:r>
      <w:r>
        <w:rPr>
          <w:sz w:val="24"/>
        </w:rPr>
        <w:t>. “</w:t>
      </w:r>
      <w:r>
        <w:rPr>
          <w:i/>
          <w:sz w:val="24"/>
        </w:rPr>
        <w:t>Con estos principios y líneas de acción de la vivienda habitable se </w:t>
      </w:r>
      <w:r>
        <w:rPr>
          <w:i/>
          <w:sz w:val="24"/>
        </w:rPr>
        <w:t>concreta que una vivienda es un derecho humano básico recogido en las declaraciones internacionales y en constituciones nacionales” </w:t>
      </w:r>
      <w:r>
        <w:rPr>
          <w:sz w:val="24"/>
        </w:rPr>
        <w:t>(Gledhiil, 2010:  103).</w:t>
      </w:r>
    </w:p>
    <w:p>
      <w:pPr>
        <w:pStyle w:val="BodyText"/>
        <w:spacing w:before="10"/>
        <w:rPr>
          <w:sz w:val="35"/>
        </w:rPr>
      </w:pPr>
    </w:p>
    <w:p>
      <w:pPr>
        <w:spacing w:before="0"/>
        <w:ind w:left="385" w:right="446" w:firstLine="0"/>
        <w:jc w:val="both"/>
        <w:rPr>
          <w:sz w:val="24"/>
        </w:rPr>
      </w:pPr>
      <w:r>
        <w:rPr>
          <w:i/>
          <w:sz w:val="24"/>
        </w:rPr>
        <w:t>“Dentro de la vivienda habitable, un servicio público imprescindible es el </w:t>
      </w:r>
      <w:r>
        <w:rPr>
          <w:i/>
          <w:sz w:val="24"/>
        </w:rPr>
        <w:t>acceso al agua y al saneamiento. Incluso, se le considera un derecho inherente a los seres humanos, anclado en el derecho internacional” </w:t>
      </w:r>
      <w:r>
        <w:rPr>
          <w:sz w:val="24"/>
        </w:rPr>
        <w:t>(Domínguez, 2010). “</w:t>
      </w:r>
      <w:r>
        <w:rPr>
          <w:i/>
          <w:sz w:val="24"/>
        </w:rPr>
        <w:t>El derecho humano al agua, y de todas las personas a </w:t>
      </w:r>
      <w:r>
        <w:rPr>
          <w:i/>
          <w:sz w:val="24"/>
        </w:rPr>
        <w:t>disponer de agua suficiente, salubre, limpia, accesible y asequible para el uso personal y doméstico, es fundamental para el bienestar humano y para la salud” </w:t>
      </w:r>
      <w:r>
        <w:rPr>
          <w:sz w:val="24"/>
        </w:rPr>
        <w:t>(Uribe,</w:t>
      </w:r>
      <w:r>
        <w:rPr>
          <w:spacing w:val="-9"/>
          <w:sz w:val="24"/>
        </w:rPr>
        <w:t> </w:t>
      </w:r>
      <w:r>
        <w:rPr>
          <w:sz w:val="24"/>
        </w:rPr>
        <w:t>2010).</w:t>
      </w:r>
    </w:p>
    <w:p>
      <w:pPr>
        <w:spacing w:after="0"/>
        <w:jc w:val="both"/>
        <w:rPr>
          <w:sz w:val="24"/>
        </w:rPr>
        <w:sectPr>
          <w:pgSz w:w="12240" w:h="15840"/>
          <w:pgMar w:header="0" w:footer="1003" w:top="1360" w:bottom="1200" w:left="1600" w:right="1580"/>
        </w:sectPr>
      </w:pPr>
    </w:p>
    <w:p>
      <w:pPr>
        <w:spacing w:line="360" w:lineRule="auto" w:before="54"/>
        <w:ind w:left="122" w:right="115" w:firstLine="0"/>
        <w:jc w:val="both"/>
        <w:rPr>
          <w:sz w:val="24"/>
        </w:rPr>
      </w:pPr>
      <w:r>
        <w:rPr>
          <w:sz w:val="24"/>
        </w:rPr>
        <w:t>Diferentes instituciones vinculan el tema de vivienda y salud con el mejoramiento de la higiene en la vivienda y la comunidad. Las condiciones de </w:t>
      </w:r>
      <w:r>
        <w:rPr>
          <w:i/>
          <w:sz w:val="24"/>
        </w:rPr>
        <w:t>habitabilidad </w:t>
      </w:r>
      <w:r>
        <w:rPr>
          <w:sz w:val="24"/>
        </w:rPr>
        <w:t>se relacionan con la disponibilidad y calidad de los materiales de construcción, servicios públicos, infraestructura y equipamiento urbano con los que cuentan las viviendas. Adicionalmente, las viviendas deben favorecer buenas condiciones de salud y de confort, porqué son fundamentales para la vida de los seres humanos. Las viviendas no deberán ubicarse en zonas de riesgo a desastres naturales. “</w:t>
      </w:r>
      <w:r>
        <w:rPr>
          <w:i/>
          <w:sz w:val="24"/>
        </w:rPr>
        <w:t>Además otras condiciones ambientales influyen no solo en la salud y el bienestar </w:t>
      </w:r>
      <w:r>
        <w:rPr>
          <w:i/>
          <w:sz w:val="24"/>
        </w:rPr>
        <w:t>de la familia, sino en las de la comunidad en general. Las condiciones ambientales deben ser un vínculo amistoso que brinde diferentes satisfactores derivados del entorno natural” </w:t>
      </w:r>
      <w:r>
        <w:rPr>
          <w:sz w:val="24"/>
        </w:rPr>
        <w:t>(Pérez y Puentes, 2009).</w:t>
      </w:r>
    </w:p>
    <w:p>
      <w:pPr>
        <w:pStyle w:val="BodyText"/>
        <w:spacing w:line="360" w:lineRule="auto" w:before="206"/>
        <w:ind w:left="122" w:right="114"/>
        <w:jc w:val="both"/>
      </w:pPr>
      <w:r>
        <w:rPr/>
        <w:t>Entonces el planteamiento del problema es el siguiente; ya que son escasas las investigaciones o trabajos referidos a la habitabilidad de las viviendas en el país, y en el extranjero, esta investigación se concentra en la necesidad de realizar el análisis y la evaluación de la habitabilidad de las viviendas en la zona metropolitana de Toluca, esta entendida como el espacio geográfico que cubre la necesidad humana de residencia, con accesibilidad a servicios públicos (agua potable, energía eléctrica, drenaje, saneamiento), materiales de construcción durables y acordes al lugar geográfico, cercanía con el trabajo, educación, salud y recreación, sin riesgos naturales y ambientales.</w:t>
      </w:r>
    </w:p>
    <w:p>
      <w:pPr>
        <w:pStyle w:val="BodyText"/>
        <w:spacing w:line="360" w:lineRule="auto" w:before="199"/>
        <w:ind w:left="122" w:right="114"/>
        <w:jc w:val="both"/>
      </w:pPr>
      <w:r>
        <w:rPr/>
        <w:t>La situación actual de un urbanismo</w:t>
      </w:r>
      <w:r>
        <w:rPr>
          <w:position w:val="8"/>
          <w:sz w:val="16"/>
        </w:rPr>
        <w:t>4 </w:t>
      </w:r>
      <w:r>
        <w:rPr/>
        <w:t>descontrolado y no planificado, además de  un incremento de la población, demanda la necesidad de investigar las condiciones de habitabilidad de las viviendas en la zona metropolitana de Toluca ya que se plantean grandes retos en materia de política social. Principalmente  para atender las carencias de infraestructura y equipamiento urbano, se debe  tener  un  diagnóstico  previo  de  las  necesidades,  de  los  cambios  urbanos    </w:t>
      </w:r>
      <w:r>
        <w:rPr>
          <w:spacing w:val="24"/>
        </w:rPr>
        <w:t> </w:t>
      </w:r>
      <w:r>
        <w:rPr/>
        <w:t>y</w:t>
      </w:r>
    </w:p>
    <w:p>
      <w:pPr>
        <w:pStyle w:val="BodyText"/>
        <w:rPr>
          <w:sz w:val="20"/>
        </w:rPr>
      </w:pPr>
    </w:p>
    <w:p>
      <w:pPr>
        <w:pStyle w:val="BodyText"/>
        <w:rPr>
          <w:sz w:val="20"/>
        </w:rPr>
      </w:pPr>
    </w:p>
    <w:p>
      <w:pPr>
        <w:pStyle w:val="BodyText"/>
        <w:spacing w:before="5"/>
        <w:rPr>
          <w:sz w:val="26"/>
        </w:rPr>
      </w:pPr>
      <w:r>
        <w:rPr/>
        <w:pict>
          <v:line style="position:absolute;mso-position-horizontal-relative:page;mso-position-vertical-relative:paragraph;z-index:1120;mso-wrap-distance-left:0;mso-wrap-distance-right:0" from="85.103996pt,17.615881pt" to="229.123996pt,17.615881pt" stroked="true" strokeweight=".83997pt" strokecolor="#000000">
            <w10:wrap type="topAndBottom"/>
          </v:line>
        </w:pict>
      </w:r>
    </w:p>
    <w:p>
      <w:pPr>
        <w:spacing w:before="76"/>
        <w:ind w:left="122" w:right="116" w:firstLine="0"/>
        <w:jc w:val="both"/>
        <w:rPr>
          <w:sz w:val="20"/>
        </w:rPr>
      </w:pPr>
      <w:r>
        <w:rPr>
          <w:position w:val="6"/>
          <w:sz w:val="13"/>
        </w:rPr>
        <w:t>4</w:t>
      </w:r>
      <w:r>
        <w:rPr>
          <w:sz w:val="20"/>
        </w:rPr>
        <w:t>El término urbanismo proviene de urbe = ciudad; urbano = lo que es de una ciudad, por tanto, se refiere a todo lo relacionado con la ciudad. El urbanismo tiene como fin la moderación y remodelación de las ciudades, por lo cual es el estudio de las ciudades enfocado a lograr el diseño del ámbito espacial donde se desenvuelven las actividades sociales del hombre. (Ducci, 1989).</w:t>
      </w:r>
    </w:p>
    <w:p>
      <w:pPr>
        <w:spacing w:after="0"/>
        <w:jc w:val="both"/>
        <w:rPr>
          <w:sz w:val="20"/>
        </w:rPr>
        <w:sectPr>
          <w:pgSz w:w="12240" w:h="15840"/>
          <w:pgMar w:header="0" w:footer="1003" w:top="1360" w:bottom="1200" w:left="1580" w:right="1580"/>
        </w:sectPr>
      </w:pPr>
    </w:p>
    <w:p>
      <w:pPr>
        <w:pStyle w:val="BodyText"/>
        <w:spacing w:line="360" w:lineRule="auto" w:before="54"/>
        <w:ind w:left="102" w:right="114"/>
        <w:jc w:val="both"/>
      </w:pPr>
      <w:r>
        <w:rPr/>
        <w:t>demográficos de esta población, principalmente en esta zona metropolitana del país.</w:t>
      </w:r>
    </w:p>
    <w:p>
      <w:pPr>
        <w:pStyle w:val="BodyText"/>
        <w:spacing w:before="204"/>
        <w:ind w:left="102"/>
        <w:jc w:val="both"/>
      </w:pPr>
      <w:r>
        <w:rPr/>
        <w:t>La </w:t>
      </w:r>
      <w:r>
        <w:rPr>
          <w:sz w:val="19"/>
        </w:rPr>
        <w:t>ZMT </w:t>
      </w:r>
      <w:r>
        <w:rPr/>
        <w:t>es la quinta más grande, según la delimitación del </w:t>
      </w:r>
      <w:r>
        <w:rPr>
          <w:sz w:val="19"/>
        </w:rPr>
        <w:t>CONAPO</w:t>
      </w:r>
      <w:r>
        <w:rPr/>
        <w:t>, 2012.</w:t>
      </w:r>
    </w:p>
    <w:p>
      <w:pPr>
        <w:pStyle w:val="BodyText"/>
        <w:rPr>
          <w:sz w:val="29"/>
        </w:rPr>
      </w:pPr>
    </w:p>
    <w:p>
      <w:pPr>
        <w:spacing w:line="240" w:lineRule="auto" w:before="0"/>
        <w:ind w:left="385" w:right="447" w:firstLine="0"/>
        <w:jc w:val="both"/>
        <w:rPr>
          <w:sz w:val="24"/>
        </w:rPr>
      </w:pPr>
      <w:r>
        <w:rPr>
          <w:sz w:val="24"/>
        </w:rPr>
        <w:t>“</w:t>
      </w:r>
      <w:r>
        <w:rPr>
          <w:i/>
          <w:sz w:val="24"/>
        </w:rPr>
        <w:t>Presenta problemas por sus características físico-geográficas, el tamaño de </w:t>
      </w:r>
      <w:r>
        <w:rPr>
          <w:i/>
          <w:sz w:val="24"/>
        </w:rPr>
        <w:t>su población, su dinámica económica, concentración de desempleo, la exclusión y pobreza en la desigualdad socioeconómica al interior de la zona metropolitana, dificultades de la población con mayores rezagos para incorporarse al sector formal de la economía, diferencias en el acceso a servicios y equipamientos básicos; congestión vial, contaminación ambiental, falta de disponibilidad de infraestructura básica, la vivienda y el suelo elementos que definen la configuración del territorio y particularmente los procesos de expansión periférica que generan deseconomías y reducción de la calidad de vida de la población” </w:t>
      </w:r>
      <w:r>
        <w:rPr>
          <w:sz w:val="24"/>
        </w:rPr>
        <w:t>(</w:t>
      </w:r>
      <w:r>
        <w:rPr>
          <w:sz w:val="19"/>
        </w:rPr>
        <w:t>CONAPO</w:t>
      </w:r>
      <w:r>
        <w:rPr>
          <w:sz w:val="24"/>
        </w:rPr>
        <w:t>/</w:t>
      </w:r>
      <w:r>
        <w:rPr>
          <w:sz w:val="19"/>
        </w:rPr>
        <w:t>SEDESOL</w:t>
      </w:r>
      <w:r>
        <w:rPr>
          <w:sz w:val="24"/>
        </w:rPr>
        <w:t>/</w:t>
      </w:r>
      <w:r>
        <w:rPr>
          <w:sz w:val="19"/>
        </w:rPr>
        <w:t>INEGI </w:t>
      </w:r>
      <w:r>
        <w:rPr>
          <w:sz w:val="24"/>
        </w:rPr>
        <w:t>2012; 17).</w:t>
      </w:r>
    </w:p>
    <w:p>
      <w:pPr>
        <w:pStyle w:val="BodyText"/>
      </w:pPr>
    </w:p>
    <w:p>
      <w:pPr>
        <w:pStyle w:val="BodyText"/>
        <w:rPr>
          <w:sz w:val="35"/>
        </w:rPr>
      </w:pPr>
    </w:p>
    <w:p>
      <w:pPr>
        <w:pStyle w:val="BodyText"/>
        <w:spacing w:line="360" w:lineRule="auto"/>
        <w:ind w:left="102" w:right="116"/>
        <w:jc w:val="both"/>
      </w:pPr>
      <w:r>
        <w:rPr/>
        <w:t>Sin duda, las viviendas inhabitables son consideradas como un proceso continuo, que en las próximas décadas se dará de manera muy rápida, enmarcada en un contexto de desarrollo heterogéneo entre los municipios que integran la zona metropolitana de Toluca donde se concentra la mayoría de la población y donde  se sigue presentando crecimiento económico y crecimiento</w:t>
      </w:r>
      <w:r>
        <w:rPr>
          <w:spacing w:val="-14"/>
        </w:rPr>
        <w:t> </w:t>
      </w:r>
      <w:r>
        <w:rPr/>
        <w:t>urbano.</w:t>
      </w:r>
    </w:p>
    <w:p>
      <w:pPr>
        <w:pStyle w:val="BodyText"/>
        <w:spacing w:line="360" w:lineRule="auto" w:before="204"/>
        <w:ind w:left="102" w:right="126"/>
        <w:jc w:val="both"/>
      </w:pPr>
      <w:r>
        <w:rPr/>
        <w:t>Algunos de los aspectos negativos en las condiciones de la vivienda son los siguientes;</w:t>
      </w:r>
    </w:p>
    <w:p>
      <w:pPr>
        <w:spacing w:line="240" w:lineRule="auto" w:before="199"/>
        <w:ind w:left="385" w:right="449" w:firstLine="0"/>
        <w:jc w:val="both"/>
        <w:rPr>
          <w:sz w:val="24"/>
        </w:rPr>
      </w:pPr>
      <w:r>
        <w:rPr>
          <w:sz w:val="24"/>
        </w:rPr>
        <w:t>“</w:t>
      </w:r>
      <w:r>
        <w:rPr>
          <w:i/>
          <w:sz w:val="24"/>
        </w:rPr>
        <w:t>la acelerada urbanización descontrolada, no planificada y en particular, la </w:t>
      </w:r>
      <w:r>
        <w:rPr>
          <w:i/>
          <w:sz w:val="24"/>
        </w:rPr>
        <w:t>creciente importancia de la migración entre las ciudades; el establecimiento de políticas y marcos reguladores ineficaces; el funcionamiento del mercado ilegal de tierras, los desplazamientos por desahucios planificados, y la falta de acceso al financiamiento son causas determinantes de las condiciones de la vivienda” </w:t>
      </w:r>
      <w:r>
        <w:rPr>
          <w:sz w:val="24"/>
        </w:rPr>
        <w:t>(</w:t>
      </w:r>
      <w:r>
        <w:rPr>
          <w:sz w:val="19"/>
        </w:rPr>
        <w:t>OMS</w:t>
      </w:r>
      <w:r>
        <w:rPr>
          <w:sz w:val="24"/>
        </w:rPr>
        <w:t>, 2007).</w:t>
      </w:r>
    </w:p>
    <w:p>
      <w:pPr>
        <w:pStyle w:val="BodyText"/>
        <w:spacing w:line="360" w:lineRule="auto" w:before="202"/>
        <w:ind w:left="102" w:right="116"/>
        <w:jc w:val="both"/>
      </w:pPr>
      <w:r>
        <w:rPr/>
        <w:t>Y la actividad que se observa por medio de la vivienda construida (progreso social).</w:t>
      </w:r>
    </w:p>
    <w:p>
      <w:pPr>
        <w:pStyle w:val="BodyText"/>
        <w:spacing w:line="360" w:lineRule="auto" w:before="204"/>
        <w:ind w:left="102" w:right="119"/>
        <w:jc w:val="both"/>
      </w:pPr>
      <w:r>
        <w:rPr/>
        <w:t>Además de los materiales de construcción de la vivienda, que no son los adecuados, ni duraderos acorde con el clima del lugar, no cuentan con los servicios públicos para cubrir necesidades básicas, además que pueden estar ubicadas en zonas vulnerables de riesgos naturales.</w:t>
      </w:r>
    </w:p>
    <w:p>
      <w:pPr>
        <w:spacing w:after="0" w:line="360" w:lineRule="auto"/>
        <w:jc w:val="both"/>
        <w:sectPr>
          <w:footerReference w:type="default" r:id="rId18"/>
          <w:pgSz w:w="12240" w:h="15840"/>
          <w:pgMar w:footer="1003" w:header="0" w:top="1360" w:bottom="1200" w:left="1600" w:right="1580"/>
        </w:sectPr>
      </w:pPr>
    </w:p>
    <w:p>
      <w:pPr>
        <w:pStyle w:val="BodyText"/>
        <w:spacing w:line="360" w:lineRule="auto" w:before="54"/>
        <w:ind w:left="102" w:right="115"/>
        <w:jc w:val="both"/>
      </w:pPr>
      <w:r>
        <w:rPr/>
        <w:t>Con la evaluación de la habitabilidad de las viviendas en la zona metropolitana de Toluca, el tema vivienda no se trata de manera limitada, enfocándose principalmente en la casa como ambiente físico, también se toma en cuenta las necesidades de sus habitantes, como son las del entorno. Además se tiene que tomar en cuenta la evolución de la vivienda, cuando hay más moradores es necesario hacer modificaciones, o con el paso del tiempo la vivienda se deteriora y hay que repararla y darle mantenimiento.</w:t>
      </w:r>
    </w:p>
    <w:p>
      <w:pPr>
        <w:pStyle w:val="BodyText"/>
        <w:spacing w:line="360" w:lineRule="auto" w:before="204"/>
        <w:ind w:left="102" w:right="116"/>
        <w:jc w:val="both"/>
      </w:pPr>
      <w:r>
        <w:rPr/>
        <w:t>En este contexto, se ve reflejada las viviendas de interés social tienen un enfoque sustancialmente económico, sin tomar en cuenta componentes sociales como los grupos de edades de población que la van a habitar. Las decisiones sobre planes, programas y proyectos de vivienda de interés social deben tomar en cuenta la información y el análisis necesario que ayuden a las autoridades a reconocer su impacto en la población.</w:t>
      </w:r>
    </w:p>
    <w:p>
      <w:pPr>
        <w:pStyle w:val="BodyText"/>
      </w:pPr>
    </w:p>
    <w:p>
      <w:pPr>
        <w:pStyle w:val="BodyText"/>
        <w:spacing w:line="360" w:lineRule="auto" w:before="142"/>
        <w:ind w:left="102" w:right="118"/>
        <w:jc w:val="both"/>
      </w:pPr>
      <w:r>
        <w:rPr/>
        <w:t>Los ejemplos de fallas de calidad urbana que afectan el bienestar de la población son no contar con los servicios básicos en la vivienda, materiales de construcción inadecuados. Los principios de una </w:t>
      </w:r>
      <w:r>
        <w:rPr>
          <w:i/>
        </w:rPr>
        <w:t>vivienda habitable </w:t>
      </w:r>
      <w:r>
        <w:rPr/>
        <w:t>mencionan que debe contar con una ubicación segura, estructura adecuada y espacios suficientes. Es por ello que la investigación se enfoca en el análisis de la habitabilidad de las viviendas.</w:t>
      </w:r>
    </w:p>
    <w:p>
      <w:pPr>
        <w:pStyle w:val="BodyText"/>
        <w:spacing w:line="360" w:lineRule="auto" w:before="204"/>
        <w:ind w:left="102" w:right="118"/>
        <w:jc w:val="both"/>
      </w:pPr>
      <w:r>
        <w:rPr/>
        <w:t>Lo anterior, muestra la necesidad de investigar la habitabilidad de viviendas que  se localizan en la Zona Metropolitana de Toluca donde se concentran altas cantidades de población y como estos centros urbanos ofrecen a la población, a su vez, vivienda, oportunidades de ingreso, servicios de salud, educación, seguridad social, convivencia, el respeto a sus derechos humanos que les permita alcanzar buenos niveles de bienestar de desarrollo humano y mejorar su calidad de vida. Lo que implica analizar el proceso de urbanización, principalmente a través de la geografía urbana, urbanismo y urbanística para esta zona metropolitana del</w:t>
      </w:r>
      <w:r>
        <w:rPr>
          <w:spacing w:val="-10"/>
        </w:rPr>
        <w:t> </w:t>
      </w:r>
      <w:r>
        <w:rPr/>
        <w:t>país.</w:t>
      </w:r>
    </w:p>
    <w:p>
      <w:pPr>
        <w:spacing w:line="357" w:lineRule="auto" w:before="204"/>
        <w:ind w:left="102" w:right="117" w:firstLine="0"/>
        <w:jc w:val="both"/>
        <w:rPr>
          <w:sz w:val="24"/>
        </w:rPr>
      </w:pPr>
      <w:r>
        <w:rPr>
          <w:sz w:val="24"/>
        </w:rPr>
        <w:t>A partir de estas consideraciones se hace una propuesta conceptual y metodológica  para  evaluar  la  </w:t>
      </w:r>
      <w:r>
        <w:rPr>
          <w:i/>
          <w:sz w:val="24"/>
        </w:rPr>
        <w:t>habitabilidad  de  las  viviendas</w:t>
      </w:r>
      <w:r>
        <w:rPr>
          <w:sz w:val="24"/>
        </w:rPr>
        <w:t>,  que  cuenta      la</w:t>
      </w:r>
    </w:p>
    <w:p>
      <w:pPr>
        <w:spacing w:after="0" w:line="357" w:lineRule="auto"/>
        <w:jc w:val="both"/>
        <w:rPr>
          <w:sz w:val="24"/>
        </w:rPr>
        <w:sectPr>
          <w:footerReference w:type="default" r:id="rId19"/>
          <w:pgSz w:w="12240" w:h="15840"/>
          <w:pgMar w:footer="1003" w:header="0" w:top="1360" w:bottom="1200" w:left="1600" w:right="1580"/>
          <w:pgNumType w:start="21"/>
        </w:sectPr>
      </w:pPr>
    </w:p>
    <w:p>
      <w:pPr>
        <w:pStyle w:val="BodyText"/>
        <w:spacing w:line="360" w:lineRule="auto" w:before="54"/>
        <w:ind w:left="102" w:right="116"/>
        <w:jc w:val="both"/>
      </w:pPr>
      <w:r>
        <w:rPr/>
        <w:t>población, en la zona metropolitana de Toluca, 1990-2010. Esta investigación evalúa la habitabilidad de las viviendas, con el objetivo de destacar las viviendas que cuentan con muy baja habitabilidad para que las políticas de viviendas sean focalizadas en apoyo a estas zonas de habitabilidad crítica.</w:t>
      </w:r>
    </w:p>
    <w:p>
      <w:pPr>
        <w:pStyle w:val="BodyText"/>
      </w:pPr>
    </w:p>
    <w:p>
      <w:pPr>
        <w:pStyle w:val="BodyText"/>
        <w:spacing w:before="142"/>
        <w:ind w:left="102"/>
        <w:jc w:val="both"/>
      </w:pPr>
      <w:r>
        <w:rPr/>
        <w:t>La pregunta de investigación que nos planteamos es la siguiente:</w:t>
      </w:r>
    </w:p>
    <w:p>
      <w:pPr>
        <w:pStyle w:val="BodyText"/>
      </w:pPr>
    </w:p>
    <w:p>
      <w:pPr>
        <w:pStyle w:val="BodyText"/>
      </w:pPr>
    </w:p>
    <w:p>
      <w:pPr>
        <w:pStyle w:val="BodyText"/>
        <w:spacing w:line="360" w:lineRule="auto"/>
        <w:ind w:left="102" w:right="126"/>
        <w:jc w:val="both"/>
      </w:pPr>
      <w:r>
        <w:rPr/>
        <w:t>¿Cuáles son las zonas con viviendas en situación de habitabilidad crítica, en la zona metropolitana de Toluca?</w:t>
      </w:r>
    </w:p>
    <w:p>
      <w:pPr>
        <w:pStyle w:val="BodyText"/>
      </w:pPr>
    </w:p>
    <w:p>
      <w:pPr>
        <w:pStyle w:val="BodyText"/>
        <w:spacing w:line="360" w:lineRule="auto" w:before="142"/>
        <w:ind w:left="102" w:right="118"/>
        <w:jc w:val="both"/>
      </w:pPr>
      <w:r>
        <w:rPr/>
        <w:t>Para contestar la anterior pregunta de investigación, propusimos una tentativa respuesta (hipótesis) del trabajo la cual es:</w:t>
      </w:r>
    </w:p>
    <w:p>
      <w:pPr>
        <w:pStyle w:val="BodyText"/>
      </w:pPr>
    </w:p>
    <w:p>
      <w:pPr>
        <w:pStyle w:val="BodyText"/>
        <w:spacing w:before="7"/>
        <w:rPr>
          <w:sz w:val="29"/>
        </w:rPr>
      </w:pPr>
    </w:p>
    <w:p>
      <w:pPr>
        <w:pStyle w:val="BodyText"/>
        <w:spacing w:line="360" w:lineRule="auto"/>
        <w:ind w:left="102" w:right="119"/>
        <w:jc w:val="both"/>
      </w:pPr>
      <w:r>
        <w:rPr/>
        <w:t>Existen contrastes en los niveles de habitabilidad de las viviendas de la zona metropolitana de Toluca, principalmente por el crecimiento urbano, agudizándose por la dotación desigual y acceso a los servicios públicos, materiales de construcción, así como las características del entorno de las viviendas, afectando las condiciones de vida de los habitantes de dicha zona metropolitana.</w:t>
      </w:r>
    </w:p>
    <w:p>
      <w:pPr>
        <w:pStyle w:val="BodyText"/>
      </w:pPr>
    </w:p>
    <w:p>
      <w:pPr>
        <w:pStyle w:val="BodyText"/>
      </w:pPr>
    </w:p>
    <w:p>
      <w:pPr>
        <w:pStyle w:val="BodyText"/>
        <w:spacing w:before="2"/>
        <w:rPr>
          <w:sz w:val="23"/>
        </w:rPr>
      </w:pPr>
    </w:p>
    <w:p>
      <w:pPr>
        <w:pStyle w:val="BodyText"/>
        <w:ind w:left="102"/>
        <w:jc w:val="both"/>
      </w:pPr>
      <w:r>
        <w:rPr/>
        <w:t>Encontramos que el objetivo general de esta investigación es:</w:t>
      </w:r>
    </w:p>
    <w:p>
      <w:pPr>
        <w:pStyle w:val="BodyText"/>
      </w:pPr>
    </w:p>
    <w:p>
      <w:pPr>
        <w:pStyle w:val="BodyText"/>
      </w:pPr>
    </w:p>
    <w:p>
      <w:pPr>
        <w:pStyle w:val="BodyText"/>
        <w:spacing w:before="7"/>
        <w:rPr>
          <w:sz w:val="34"/>
        </w:rPr>
      </w:pPr>
    </w:p>
    <w:p>
      <w:pPr>
        <w:pStyle w:val="BodyText"/>
        <w:spacing w:line="360" w:lineRule="auto"/>
        <w:ind w:left="102" w:right="120"/>
        <w:jc w:val="both"/>
      </w:pPr>
      <w:r>
        <w:rPr/>
        <w:t>Evaluar la habitabilidad de las viviendas de la zona metropolitana de Toluca durante el periodo 1990-2010, por medio de un índice de habitabilidad construido con cuatro dimensiones de estudio.</w:t>
      </w:r>
    </w:p>
    <w:p>
      <w:pPr>
        <w:spacing w:after="0" w:line="360" w:lineRule="auto"/>
        <w:jc w:val="both"/>
        <w:sectPr>
          <w:pgSz w:w="12240" w:h="15840"/>
          <w:pgMar w:header="0" w:footer="1003" w:top="1360" w:bottom="1200" w:left="1600" w:right="1580"/>
        </w:sectPr>
      </w:pPr>
    </w:p>
    <w:p>
      <w:pPr>
        <w:pStyle w:val="BodyText"/>
        <w:spacing w:before="54"/>
        <w:ind w:left="102"/>
        <w:jc w:val="both"/>
      </w:pPr>
      <w:r>
        <w:rPr/>
        <w:t>Entonces los objetivos específicos del trabajo son:</w:t>
      </w:r>
    </w:p>
    <w:p>
      <w:pPr>
        <w:pStyle w:val="BodyText"/>
      </w:pPr>
    </w:p>
    <w:p>
      <w:pPr>
        <w:pStyle w:val="BodyText"/>
      </w:pPr>
    </w:p>
    <w:p>
      <w:pPr>
        <w:pStyle w:val="BodyText"/>
        <w:spacing w:before="9"/>
        <w:rPr>
          <w:sz w:val="34"/>
        </w:rPr>
      </w:pPr>
    </w:p>
    <w:p>
      <w:pPr>
        <w:pStyle w:val="ListParagraph"/>
        <w:numPr>
          <w:ilvl w:val="0"/>
          <w:numId w:val="8"/>
        </w:numPr>
        <w:tabs>
          <w:tab w:pos="822" w:val="left" w:leader="none"/>
        </w:tabs>
        <w:spacing w:line="360" w:lineRule="auto" w:before="1" w:after="0"/>
        <w:ind w:left="822" w:right="122" w:hanging="360"/>
        <w:jc w:val="both"/>
        <w:rPr>
          <w:sz w:val="24"/>
        </w:rPr>
      </w:pPr>
      <w:r>
        <w:rPr>
          <w:sz w:val="24"/>
        </w:rPr>
        <w:t>Fundamentar las bases teóricas y metodológicas que permitan explicar la habitabilidad de las viviendas y su relación con el fenómeno</w:t>
      </w:r>
      <w:r>
        <w:rPr>
          <w:spacing w:val="-30"/>
          <w:sz w:val="24"/>
        </w:rPr>
        <w:t> </w:t>
      </w:r>
      <w:r>
        <w:rPr>
          <w:sz w:val="24"/>
        </w:rPr>
        <w:t>metropolitano.</w:t>
      </w:r>
    </w:p>
    <w:p>
      <w:pPr>
        <w:pStyle w:val="ListParagraph"/>
        <w:numPr>
          <w:ilvl w:val="0"/>
          <w:numId w:val="8"/>
        </w:numPr>
        <w:tabs>
          <w:tab w:pos="822" w:val="left" w:leader="none"/>
        </w:tabs>
        <w:spacing w:line="360" w:lineRule="auto" w:before="202" w:after="0"/>
        <w:ind w:left="822" w:right="116" w:hanging="360"/>
        <w:jc w:val="both"/>
        <w:rPr>
          <w:sz w:val="24"/>
        </w:rPr>
      </w:pPr>
      <w:r>
        <w:rPr>
          <w:sz w:val="24"/>
        </w:rPr>
        <w:t>Plantear el índice de medición de la habitabilidad de las viviendas a través de la evaluación de la vivienda por medio de dimensiones e indicadores, derivado de las variables censales y unidades económicas de la zona metropolitana de</w:t>
      </w:r>
      <w:r>
        <w:rPr>
          <w:spacing w:val="-10"/>
          <w:sz w:val="24"/>
        </w:rPr>
        <w:t> </w:t>
      </w:r>
      <w:r>
        <w:rPr>
          <w:sz w:val="24"/>
        </w:rPr>
        <w:t>Toluca.</w:t>
      </w:r>
    </w:p>
    <w:p>
      <w:pPr>
        <w:pStyle w:val="ListParagraph"/>
        <w:numPr>
          <w:ilvl w:val="0"/>
          <w:numId w:val="8"/>
        </w:numPr>
        <w:tabs>
          <w:tab w:pos="822" w:val="left" w:leader="none"/>
        </w:tabs>
        <w:spacing w:line="360" w:lineRule="auto" w:before="204" w:after="0"/>
        <w:ind w:left="822" w:right="118" w:hanging="360"/>
        <w:jc w:val="both"/>
        <w:rPr>
          <w:sz w:val="24"/>
        </w:rPr>
      </w:pPr>
      <w:r>
        <w:rPr>
          <w:sz w:val="24"/>
        </w:rPr>
        <w:t>Caracterizar las transformaciones históricas, las dinámicas sociales, la apropiación de espacios y los cambios constantes de la habitabilidad de las viviendas en la zona metropolitana de</w:t>
      </w:r>
      <w:r>
        <w:rPr>
          <w:spacing w:val="-13"/>
          <w:sz w:val="24"/>
        </w:rPr>
        <w:t> </w:t>
      </w:r>
      <w:r>
        <w:rPr>
          <w:sz w:val="24"/>
        </w:rPr>
        <w:t>Toluca.</w:t>
      </w:r>
    </w:p>
    <w:p>
      <w:pPr>
        <w:pStyle w:val="ListParagraph"/>
        <w:numPr>
          <w:ilvl w:val="0"/>
          <w:numId w:val="8"/>
        </w:numPr>
        <w:tabs>
          <w:tab w:pos="822" w:val="left" w:leader="none"/>
        </w:tabs>
        <w:spacing w:line="360" w:lineRule="auto" w:before="202" w:after="0"/>
        <w:ind w:left="822" w:right="117" w:hanging="360"/>
        <w:jc w:val="both"/>
        <w:rPr>
          <w:sz w:val="24"/>
        </w:rPr>
      </w:pPr>
      <w:r>
        <w:rPr>
          <w:sz w:val="24"/>
        </w:rPr>
        <w:t>Realizar y proponer recomendaciones generales de política urbana orientadas a mejorar las condiciones de la </w:t>
      </w:r>
      <w:r>
        <w:rPr>
          <w:i/>
          <w:sz w:val="24"/>
        </w:rPr>
        <w:t>habitabilidad de las viviendas </w:t>
      </w:r>
      <w:r>
        <w:rPr>
          <w:sz w:val="24"/>
        </w:rPr>
        <w:t>en la zona metropolitana de</w:t>
      </w:r>
      <w:r>
        <w:rPr>
          <w:spacing w:val="-9"/>
          <w:sz w:val="24"/>
        </w:rPr>
        <w:t> </w:t>
      </w:r>
      <w:r>
        <w:rPr>
          <w:sz w:val="24"/>
        </w:rPr>
        <w:t>Toluca.</w:t>
      </w:r>
    </w:p>
    <w:p>
      <w:pPr>
        <w:pStyle w:val="BodyText"/>
      </w:pPr>
    </w:p>
    <w:p>
      <w:pPr>
        <w:pStyle w:val="BodyText"/>
        <w:spacing w:before="10"/>
        <w:rPr>
          <w:sz w:val="29"/>
        </w:rPr>
      </w:pPr>
    </w:p>
    <w:p>
      <w:pPr>
        <w:pStyle w:val="BodyText"/>
        <w:ind w:left="102"/>
        <w:jc w:val="both"/>
      </w:pPr>
      <w:r>
        <w:rPr/>
        <w:t>¿Por qué realizar esta investigación?</w:t>
      </w:r>
    </w:p>
    <w:p>
      <w:pPr>
        <w:pStyle w:val="BodyText"/>
      </w:pPr>
    </w:p>
    <w:p>
      <w:pPr>
        <w:pStyle w:val="BodyText"/>
      </w:pPr>
    </w:p>
    <w:p>
      <w:pPr>
        <w:pStyle w:val="BodyText"/>
        <w:spacing w:line="360" w:lineRule="auto"/>
        <w:ind w:left="102" w:right="116"/>
        <w:jc w:val="both"/>
      </w:pPr>
      <w:r>
        <w:rPr/>
        <w:t>Se realiza la presente investigación por la necesidad de ubicar y localizar el problema de la habitabilidad que cuentan las viviendas que se hallan en la zona metropolitana de Toluca, por medio de la carencia o ausencia de servicios públicos, materiales de construcción inadecuados, los bienes que existen dentro de ellas, además por el entorno, es decir, la accesibilidad o no a la oferta de trabajo, de educación, de salud, así como al abasto de alimentos, a las áreas verdes (principalmente parques) y lugares de recreación (museos, zoológico), todo esto derivado del crecimiento poblacional, económico y urbano que se ha presentado en las últimas décadas en este</w:t>
      </w:r>
      <w:r>
        <w:rPr>
          <w:spacing w:val="-17"/>
        </w:rPr>
        <w:t> </w:t>
      </w:r>
      <w:r>
        <w:rPr/>
        <w:t>lugar.</w:t>
      </w:r>
    </w:p>
    <w:p>
      <w:pPr>
        <w:spacing w:after="0" w:line="360" w:lineRule="auto"/>
        <w:jc w:val="both"/>
        <w:sectPr>
          <w:pgSz w:w="12240" w:h="15840"/>
          <w:pgMar w:header="0" w:footer="1003" w:top="1360" w:bottom="1200" w:left="1600" w:right="1580"/>
        </w:sectPr>
      </w:pPr>
    </w:p>
    <w:p>
      <w:pPr>
        <w:pStyle w:val="BodyText"/>
        <w:spacing w:line="360" w:lineRule="auto" w:before="54"/>
        <w:ind w:left="102" w:right="116"/>
        <w:jc w:val="both"/>
      </w:pPr>
      <w:r>
        <w:rPr/>
        <w:t>En el caso de la zona metropolitana de Toluca, la aparición y crecimiento de los asentamientos periféricos urbanos, dan indicios para que se presente baja habitabilidad por la ubicación de estas viviendas y el aumento del déficit de la vivienda y los servicios sociales, no son hechos espontáneos o aislados. Aunque en sentido estricto, estos problemas no son exclusivos de la ZMT, el problema de la habitabilidad es extensivo de todas las ciudades mexicanas.</w:t>
      </w:r>
    </w:p>
    <w:p>
      <w:pPr>
        <w:pStyle w:val="BodyText"/>
        <w:spacing w:before="10"/>
        <w:rPr>
          <w:sz w:val="35"/>
        </w:rPr>
      </w:pPr>
    </w:p>
    <w:p>
      <w:pPr>
        <w:spacing w:line="240" w:lineRule="auto" w:before="0"/>
        <w:ind w:left="385" w:right="449" w:firstLine="0"/>
        <w:jc w:val="both"/>
        <w:rPr>
          <w:sz w:val="24"/>
        </w:rPr>
      </w:pPr>
      <w:r>
        <w:rPr>
          <w:sz w:val="24"/>
        </w:rPr>
        <w:t>“</w:t>
      </w:r>
      <w:r>
        <w:rPr>
          <w:i/>
          <w:sz w:val="24"/>
        </w:rPr>
        <w:t>Estos fenómenos son un reflejo de la baja inversión en el proceso de </w:t>
      </w:r>
      <w:r>
        <w:rPr>
          <w:i/>
          <w:sz w:val="24"/>
        </w:rPr>
        <w:t>urbanización por el que transcurrió el siglo </w:t>
      </w:r>
      <w:r>
        <w:rPr>
          <w:i/>
          <w:sz w:val="19"/>
        </w:rPr>
        <w:t>XX</w:t>
      </w:r>
      <w:r>
        <w:rPr>
          <w:i/>
          <w:sz w:val="24"/>
        </w:rPr>
        <w:t>, y de la desindustrialización ocurrida en las siguientes décadas, que aumentó la precarización del trabajo y dificultó el acceso al suelo urbano a los sectores más pobres” </w:t>
      </w:r>
      <w:r>
        <w:rPr>
          <w:sz w:val="24"/>
        </w:rPr>
        <w:t>(Esquivel, 2006).</w:t>
      </w:r>
    </w:p>
    <w:p>
      <w:pPr>
        <w:pStyle w:val="BodyText"/>
      </w:pPr>
    </w:p>
    <w:p>
      <w:pPr>
        <w:pStyle w:val="BodyText"/>
        <w:spacing w:line="360" w:lineRule="auto" w:before="139"/>
        <w:ind w:left="102" w:right="117"/>
        <w:jc w:val="both"/>
      </w:pPr>
      <w:r>
        <w:rPr/>
        <w:t>Se necesita tener un diagnóstico del grado de urbanización y de las viviendas inhabitables a la que está sometida la población en la zona metropolitana de Toluca, a partir de datos recientes sobre la situación de la vivienda.</w:t>
      </w:r>
    </w:p>
    <w:p>
      <w:pPr>
        <w:pStyle w:val="BodyText"/>
      </w:pPr>
    </w:p>
    <w:p>
      <w:pPr>
        <w:pStyle w:val="BodyText"/>
        <w:spacing w:line="360" w:lineRule="auto" w:before="142"/>
        <w:ind w:left="102" w:right="116"/>
        <w:jc w:val="both"/>
      </w:pPr>
      <w:r>
        <w:rPr/>
        <w:t>Las zonas metropolitanas son los espacios geográficos que a través del tiempo constituyen la base de los cambios urbanos y demográficos de los habitantes, son el medio donde se desarrollan y habitan la mayoría de la población en general. En este contexto, es conveniente propiciar entornos de infraestructuras urbanas diseñadas por profesionales, partiendo de las viviendas donde radica la población, específicamente en la zona metropolitana de Toluca en el periodo 1990-2010, es por ello que la presente investigación pretende ser analizada en este espacio y tiempo, por los datos oficiales disponibles.</w:t>
      </w:r>
    </w:p>
    <w:p>
      <w:pPr>
        <w:pStyle w:val="BodyText"/>
      </w:pPr>
    </w:p>
    <w:p>
      <w:pPr>
        <w:spacing w:line="360" w:lineRule="auto" w:before="142"/>
        <w:ind w:left="102" w:right="117" w:firstLine="0"/>
        <w:jc w:val="both"/>
        <w:rPr>
          <w:sz w:val="24"/>
        </w:rPr>
      </w:pPr>
      <w:r>
        <w:rPr>
          <w:sz w:val="24"/>
        </w:rPr>
        <w:t>En la actualidad, las características de las viviendas donde radican la población en la zona metropolitana de Toluca, se han ido modificando con la urbanización, generándose una diversidad de formas y estilos de vida que han ido afectando los vínculos sociales entre las personas, ya que “</w:t>
      </w:r>
      <w:r>
        <w:rPr>
          <w:i/>
          <w:sz w:val="24"/>
        </w:rPr>
        <w:t>las viviendas cada vez son más </w:t>
      </w:r>
      <w:r>
        <w:rPr>
          <w:i/>
          <w:sz w:val="24"/>
        </w:rPr>
        <w:t>reducidas, afectando la densidad de las personas que las habitan, lo cual ha generado que las viviendas sean inhabitables, con el consecuente surgimiento de nuevos arreglos familiares y funcionamientos  en las viviendas” </w:t>
      </w:r>
      <w:r>
        <w:rPr>
          <w:sz w:val="24"/>
        </w:rPr>
        <w:t>(Casals, 2013).</w:t>
      </w:r>
    </w:p>
    <w:p>
      <w:pPr>
        <w:spacing w:after="0" w:line="360" w:lineRule="auto"/>
        <w:jc w:val="both"/>
        <w:rPr>
          <w:sz w:val="24"/>
        </w:rPr>
        <w:sectPr>
          <w:pgSz w:w="12240" w:h="15840"/>
          <w:pgMar w:header="0" w:footer="1003" w:top="1360" w:bottom="1200" w:left="1600" w:right="1580"/>
        </w:sectPr>
      </w:pPr>
    </w:p>
    <w:p>
      <w:pPr>
        <w:pStyle w:val="BodyText"/>
        <w:spacing w:line="360" w:lineRule="auto" w:before="54"/>
        <w:ind w:left="102" w:right="124"/>
        <w:jc w:val="both"/>
      </w:pPr>
      <w:r>
        <w:rPr/>
        <w:t>Entre otros aspectos que han ocasionado esta inhabitabilidad en las viviendas de la población, puede contarse la inestabilidad laboral y económica, así como los cambios urbanos, sociales, culturales y demográficos.</w:t>
      </w:r>
    </w:p>
    <w:p>
      <w:pPr>
        <w:pStyle w:val="BodyText"/>
        <w:spacing w:before="10"/>
        <w:rPr>
          <w:sz w:val="35"/>
        </w:rPr>
      </w:pPr>
    </w:p>
    <w:p>
      <w:pPr>
        <w:spacing w:line="240" w:lineRule="auto" w:before="0"/>
        <w:ind w:left="385" w:right="448" w:firstLine="0"/>
        <w:jc w:val="both"/>
        <w:rPr>
          <w:sz w:val="24"/>
        </w:rPr>
      </w:pPr>
      <w:r>
        <w:rPr>
          <w:sz w:val="24"/>
        </w:rPr>
        <w:t>“</w:t>
      </w:r>
      <w:r>
        <w:rPr>
          <w:i/>
          <w:sz w:val="24"/>
        </w:rPr>
        <w:t>Este último aspecto ha afectado directamente la estructura familiar, pues las </w:t>
      </w:r>
      <w:r>
        <w:rPr>
          <w:i/>
          <w:sz w:val="24"/>
        </w:rPr>
        <w:t>modificaciones demográficas suscitadas a lo largo del siglo </w:t>
      </w:r>
      <w:r>
        <w:rPr>
          <w:i/>
          <w:sz w:val="19"/>
        </w:rPr>
        <w:t>XX</w:t>
      </w:r>
      <w:r>
        <w:rPr>
          <w:i/>
          <w:sz w:val="24"/>
        </w:rPr>
        <w:t>, la  disminución de la mortalidad, el control de la fecundidad en niveles bajos y el aumento de la esperanza de vida de la población han prolongado la vida” </w:t>
      </w:r>
      <w:r>
        <w:rPr>
          <w:sz w:val="24"/>
        </w:rPr>
        <w:t>(Avila,</w:t>
      </w:r>
      <w:r>
        <w:rPr>
          <w:spacing w:val="-5"/>
          <w:sz w:val="24"/>
        </w:rPr>
        <w:t> </w:t>
      </w:r>
      <w:r>
        <w:rPr>
          <w:sz w:val="24"/>
        </w:rPr>
        <w:t>2011).</w:t>
      </w:r>
    </w:p>
    <w:p>
      <w:pPr>
        <w:pStyle w:val="BodyText"/>
      </w:pPr>
    </w:p>
    <w:p>
      <w:pPr>
        <w:pStyle w:val="BodyText"/>
        <w:spacing w:line="360" w:lineRule="auto" w:before="142"/>
        <w:ind w:left="102" w:right="115"/>
        <w:jc w:val="both"/>
      </w:pPr>
      <w:r>
        <w:rPr/>
        <w:t>En consecuencia la población vive más tiempo en sus viviendas, las cuales  pueden ser inhabitables si no cuentan con la infraestructura adecuada o los materiales de</w:t>
      </w:r>
      <w:r>
        <w:rPr>
          <w:spacing w:val="-9"/>
        </w:rPr>
        <w:t> </w:t>
      </w:r>
      <w:r>
        <w:rPr/>
        <w:t>construcción.</w:t>
      </w:r>
    </w:p>
    <w:p>
      <w:pPr>
        <w:pStyle w:val="BodyText"/>
      </w:pPr>
    </w:p>
    <w:p>
      <w:pPr>
        <w:pStyle w:val="BodyText"/>
        <w:spacing w:line="360" w:lineRule="auto" w:before="142"/>
        <w:ind w:left="102" w:right="118"/>
        <w:jc w:val="both"/>
      </w:pPr>
      <w:r>
        <w:rPr/>
        <w:t>Llevar a cabo la presente investigación, permite hacer el análisis de la viviendas  en situación crítica de habitabilidad de la población en esta zona metropolitana, con el objetivo de hacer propuestas en la mejora de las viviendas, así como en la calidad de vida de la</w:t>
      </w:r>
      <w:r>
        <w:rPr>
          <w:spacing w:val="-12"/>
        </w:rPr>
        <w:t> </w:t>
      </w:r>
      <w:r>
        <w:rPr/>
        <w:t>población.</w:t>
      </w:r>
    </w:p>
    <w:p>
      <w:pPr>
        <w:pStyle w:val="BodyText"/>
      </w:pPr>
    </w:p>
    <w:p>
      <w:pPr>
        <w:pStyle w:val="BodyText"/>
        <w:spacing w:before="142"/>
        <w:ind w:left="102"/>
        <w:jc w:val="both"/>
      </w:pPr>
      <w:r>
        <w:rPr/>
        <w:t>Entonces la metodología utilizada para la realizar la investigación es la siguiente:</w:t>
      </w:r>
    </w:p>
    <w:p>
      <w:pPr>
        <w:pStyle w:val="BodyText"/>
      </w:pPr>
    </w:p>
    <w:p>
      <w:pPr>
        <w:pStyle w:val="BodyText"/>
      </w:pPr>
    </w:p>
    <w:p>
      <w:pPr>
        <w:pStyle w:val="BodyText"/>
        <w:spacing w:line="360" w:lineRule="auto"/>
        <w:ind w:left="102" w:right="116"/>
        <w:jc w:val="both"/>
      </w:pPr>
      <w:r>
        <w:rPr/>
        <w:t>De acuerdo con el periodo que se capta la información, el estudio es retrospectivo, ya que es un estudio en el que toda la información se recopiló, de acuerdo con los criterios y con los fines específicos de la investigación. Y longitudinal; se miden las características de uno o más grupos de unidades en un momento dado, pretendiendo evaluar la evolución de esas unidades.</w:t>
      </w:r>
    </w:p>
    <w:p>
      <w:pPr>
        <w:pStyle w:val="BodyText"/>
        <w:spacing w:line="360" w:lineRule="auto" w:before="205"/>
        <w:ind w:left="102" w:right="115"/>
        <w:jc w:val="both"/>
      </w:pPr>
      <w:r>
        <w:rPr/>
        <w:t>De acuerdo con la interferencia en el fenómeno que se analiza, el estudio es observacional, es el estudio en el cual solo puede caracterizar o evaluar </w:t>
      </w:r>
      <w:r>
        <w:rPr>
          <w:i/>
        </w:rPr>
        <w:t>la </w:t>
      </w:r>
      <w:r>
        <w:rPr>
          <w:i/>
        </w:rPr>
        <w:t>habitabilidad de las viviendas </w:t>
      </w:r>
      <w:r>
        <w:rPr/>
        <w:t>en la </w:t>
      </w:r>
      <w:r>
        <w:rPr>
          <w:sz w:val="19"/>
        </w:rPr>
        <w:t>ZMT</w:t>
      </w:r>
      <w:r>
        <w:rPr/>
        <w:t>.</w:t>
      </w:r>
    </w:p>
    <w:p>
      <w:pPr>
        <w:pStyle w:val="BodyText"/>
        <w:spacing w:line="360" w:lineRule="auto" w:before="206"/>
        <w:ind w:left="102" w:right="117"/>
        <w:jc w:val="both"/>
      </w:pPr>
      <w:r>
        <w:rPr/>
        <w:t>La importancia y utilidad de contar en la República Mexicana con un sistema de información estadística y oficial, da veracidad a la investigación ya que se puede realizar la  </w:t>
      </w:r>
      <w:r>
        <w:rPr>
          <w:i/>
        </w:rPr>
        <w:t>evaluación de  la habitabilidad  </w:t>
      </w:r>
      <w:r>
        <w:rPr/>
        <w:t>con  la que  cuentan las viviendas  en la</w:t>
      </w:r>
    </w:p>
    <w:p>
      <w:pPr>
        <w:spacing w:after="0" w:line="360" w:lineRule="auto"/>
        <w:jc w:val="both"/>
        <w:sectPr>
          <w:pgSz w:w="12240" w:h="15840"/>
          <w:pgMar w:header="0" w:footer="1003" w:top="1360" w:bottom="1200" w:left="1600" w:right="1580"/>
        </w:sectPr>
      </w:pPr>
    </w:p>
    <w:p>
      <w:pPr>
        <w:pStyle w:val="BodyText"/>
        <w:spacing w:line="360" w:lineRule="auto" w:before="54"/>
        <w:ind w:left="102" w:right="114"/>
        <w:jc w:val="both"/>
      </w:pPr>
      <w:r>
        <w:rPr>
          <w:sz w:val="19"/>
        </w:rPr>
        <w:t>ZMT</w:t>
      </w:r>
      <w:r>
        <w:rPr/>
        <w:t>. Establecido con base en el artículo 26 de la Constitución Política de los Estados Unidos Mexicanos, el cual menciona que se debe de contar con un Sistema Nacional de Información Estadística y Geográfica representado por el Instituto Nacional de Geografía y Estadística, las fuentes de información son los Censos de Población y Vivienda y el Directorio Estadístico Nacional de Unidades Económicas, para evaluar las condiciones habitables de las viviendas de la </w:t>
      </w:r>
      <w:r>
        <w:rPr>
          <w:sz w:val="19"/>
        </w:rPr>
        <w:t>ZMT</w:t>
      </w:r>
      <w:r>
        <w:rPr/>
        <w:t>.Las fuentes de información del Sistema Nacional de Información Estadística y Geográfica, nos permiten aproximarnos a un diagnóstico cercano a las  condiciones y necesidades sociales de esta</w:t>
      </w:r>
      <w:r>
        <w:rPr>
          <w:spacing w:val="-20"/>
        </w:rPr>
        <w:t> </w:t>
      </w:r>
      <w:r>
        <w:rPr/>
        <w:t>población.</w:t>
      </w:r>
    </w:p>
    <w:p>
      <w:pPr>
        <w:pStyle w:val="BodyText"/>
      </w:pPr>
    </w:p>
    <w:p>
      <w:pPr>
        <w:pStyle w:val="BodyText"/>
        <w:spacing w:line="360" w:lineRule="auto" w:before="139"/>
        <w:ind w:left="102" w:right="115"/>
        <w:jc w:val="both"/>
      </w:pPr>
      <w:r>
        <w:rPr/>
        <w:t>El análisis de la </w:t>
      </w:r>
      <w:r>
        <w:rPr>
          <w:i/>
        </w:rPr>
        <w:t>habitabilidad en las viviendas </w:t>
      </w:r>
      <w:r>
        <w:rPr/>
        <w:t>en la </w:t>
      </w:r>
      <w:r>
        <w:rPr>
          <w:sz w:val="19"/>
        </w:rPr>
        <w:t>ZMT</w:t>
      </w:r>
      <w:r>
        <w:rPr/>
        <w:t>, se llevará a cabo por medio del marco territorial establecido; este establece en primer lugar el nivel municipal, segundo nivel de localidad, tercero por medio de las ageb´s, en cuarto es a nivel manzana, quinto a nivel de sección electoral que ofrece la información censal, dejando en claro que la investigación se realiza a nivel ageb´s, además de realizar ejemplos a nivel municipal y por localidad de la zona metropolitana.</w:t>
      </w:r>
    </w:p>
    <w:p>
      <w:pPr>
        <w:pStyle w:val="BodyText"/>
      </w:pPr>
    </w:p>
    <w:p>
      <w:pPr>
        <w:pStyle w:val="BodyText"/>
        <w:spacing w:line="360" w:lineRule="auto" w:before="142"/>
        <w:ind w:left="102" w:right="115"/>
        <w:jc w:val="both"/>
      </w:pPr>
      <w:r>
        <w:rPr/>
        <w:t>Las bases de datos con los que se analizó la información son los datos censales (viviendas, personas) del XI Censo de Población y Vivienda 1990, XII Censo de Población y Vivienda 2000, el XIII Censo de Población y Vivienda 2010 del </w:t>
      </w:r>
      <w:r>
        <w:rPr>
          <w:sz w:val="19"/>
        </w:rPr>
        <w:t>INEGI</w:t>
      </w:r>
      <w:r>
        <w:rPr/>
        <w:t>, además de los datos del Directorio Estadístico Nacional de Unidades Económicas </w:t>
      </w:r>
      <w:r>
        <w:rPr>
          <w:sz w:val="19"/>
        </w:rPr>
        <w:t>DENUE</w:t>
      </w:r>
      <w:r>
        <w:rPr/>
        <w:t>, 2014, la investigación da énfasis a una escala grande a nivel ageb´s, ejemplificando la evaluación por localidad y a nivel municipal.</w:t>
      </w:r>
    </w:p>
    <w:p>
      <w:pPr>
        <w:pStyle w:val="BodyText"/>
      </w:pPr>
    </w:p>
    <w:p>
      <w:pPr>
        <w:pStyle w:val="BodyText"/>
        <w:spacing w:line="360" w:lineRule="auto" w:before="142"/>
        <w:ind w:left="102" w:right="118"/>
        <w:jc w:val="both"/>
      </w:pPr>
      <w:r>
        <w:rPr/>
        <w:t>Las fuentes principales de información socioeconómica utilizada son los Censos  de Población y Vivienda (1990, 2000, 2010) </w:t>
      </w:r>
      <w:r>
        <w:rPr>
          <w:sz w:val="19"/>
        </w:rPr>
        <w:t>INEGI</w:t>
      </w:r>
      <w:r>
        <w:rPr/>
        <w:t>; Los índices de Marginación (1990, 2000, 2005), las proyecciones de población (2005-2050), elaborados por el Consejo Nacional de Población (</w:t>
      </w:r>
      <w:r>
        <w:rPr>
          <w:sz w:val="19"/>
        </w:rPr>
        <w:t>CONAPO</w:t>
      </w:r>
      <w:r>
        <w:rPr/>
        <w:t>); la delimitación de zonas metropolitanas (2008, 2012), elaborados por el Instituto Nacional de Geografía y Estadística (</w:t>
      </w:r>
      <w:r>
        <w:rPr>
          <w:sz w:val="19"/>
        </w:rPr>
        <w:t>INEGI</w:t>
      </w:r>
      <w:r>
        <w:rPr/>
        <w:t>),</w:t>
      </w:r>
      <w:r>
        <w:rPr>
          <w:spacing w:val="39"/>
        </w:rPr>
        <w:t> </w:t>
      </w:r>
      <w:r>
        <w:rPr/>
        <w:t>el</w:t>
      </w:r>
      <w:r>
        <w:rPr>
          <w:spacing w:val="37"/>
        </w:rPr>
        <w:t> </w:t>
      </w:r>
      <w:r>
        <w:rPr/>
        <w:t>Consejo</w:t>
      </w:r>
      <w:r>
        <w:rPr>
          <w:spacing w:val="38"/>
        </w:rPr>
        <w:t> </w:t>
      </w:r>
      <w:r>
        <w:rPr/>
        <w:t>Nacional</w:t>
      </w:r>
      <w:r>
        <w:rPr>
          <w:spacing w:val="37"/>
        </w:rPr>
        <w:t> </w:t>
      </w:r>
      <w:r>
        <w:rPr/>
        <w:t>de</w:t>
      </w:r>
      <w:r>
        <w:rPr>
          <w:spacing w:val="36"/>
        </w:rPr>
        <w:t> </w:t>
      </w:r>
      <w:r>
        <w:rPr/>
        <w:t>Población</w:t>
      </w:r>
      <w:r>
        <w:rPr>
          <w:spacing w:val="43"/>
        </w:rPr>
        <w:t> </w:t>
      </w:r>
      <w:r>
        <w:rPr>
          <w:sz w:val="19"/>
        </w:rPr>
        <w:t>CONAPO </w:t>
      </w:r>
      <w:r>
        <w:rPr>
          <w:spacing w:val="1"/>
          <w:sz w:val="19"/>
        </w:rPr>
        <w:t> </w:t>
      </w:r>
      <w:r>
        <w:rPr/>
        <w:t>y</w:t>
      </w:r>
      <w:r>
        <w:rPr>
          <w:spacing w:val="36"/>
        </w:rPr>
        <w:t> </w:t>
      </w:r>
      <w:r>
        <w:rPr/>
        <w:t>la</w:t>
      </w:r>
      <w:r>
        <w:rPr>
          <w:spacing w:val="38"/>
        </w:rPr>
        <w:t> </w:t>
      </w:r>
      <w:r>
        <w:rPr/>
        <w:t>Secretaria</w:t>
      </w:r>
      <w:r>
        <w:rPr>
          <w:spacing w:val="39"/>
        </w:rPr>
        <w:t> </w:t>
      </w:r>
      <w:r>
        <w:rPr/>
        <w:t>de</w:t>
      </w:r>
      <w:r>
        <w:rPr>
          <w:spacing w:val="39"/>
        </w:rPr>
        <w:t> </w:t>
      </w:r>
      <w:r>
        <w:rPr/>
        <w:t>Desarrollo</w:t>
      </w:r>
    </w:p>
    <w:p>
      <w:pPr>
        <w:spacing w:after="0" w:line="360" w:lineRule="auto"/>
        <w:jc w:val="both"/>
        <w:sectPr>
          <w:pgSz w:w="12240" w:h="15840"/>
          <w:pgMar w:header="0" w:footer="1003" w:top="1360" w:bottom="1200" w:left="1600" w:right="1580"/>
        </w:sectPr>
      </w:pPr>
    </w:p>
    <w:p>
      <w:pPr>
        <w:pStyle w:val="BodyText"/>
        <w:spacing w:line="360" w:lineRule="auto" w:before="54"/>
        <w:ind w:left="102" w:right="119"/>
        <w:jc w:val="both"/>
      </w:pPr>
      <w:r>
        <w:rPr/>
        <w:t>Social (</w:t>
      </w:r>
      <w:r>
        <w:rPr>
          <w:sz w:val="19"/>
        </w:rPr>
        <w:t>SEDESOL</w:t>
      </w:r>
      <w:r>
        <w:rPr/>
        <w:t>), además delDirectorio Estadístico Nacional de Unidades Económicas </w:t>
      </w:r>
      <w:r>
        <w:rPr>
          <w:sz w:val="19"/>
        </w:rPr>
        <w:t>DENUE</w:t>
      </w:r>
      <w:r>
        <w:rPr/>
        <w:t>, </w:t>
      </w:r>
      <w:r>
        <w:rPr>
          <w:sz w:val="19"/>
        </w:rPr>
        <w:t>INEGI </w:t>
      </w:r>
      <w:r>
        <w:rPr/>
        <w:t>(2014).</w:t>
      </w:r>
    </w:p>
    <w:p>
      <w:pPr>
        <w:pStyle w:val="BodyText"/>
      </w:pPr>
    </w:p>
    <w:p>
      <w:pPr>
        <w:pStyle w:val="BodyText"/>
        <w:spacing w:line="360" w:lineRule="auto" w:before="142"/>
        <w:ind w:left="102" w:right="114"/>
        <w:jc w:val="both"/>
      </w:pPr>
      <w:r>
        <w:rPr/>
        <w:t>La parte normativa a nivel internacional y nacional, la Constitución Política de los Estados Unidos Mexicanos, el Plan Nacional de Desarrollo 2006-2012 (</w:t>
      </w:r>
      <w:r>
        <w:rPr>
          <w:sz w:val="19"/>
        </w:rPr>
        <w:t>PND</w:t>
      </w:r>
      <w:r>
        <w:rPr/>
        <w:t>), el Plan Nacional de Desarrollo 2012-2018 (</w:t>
      </w:r>
      <w:r>
        <w:rPr>
          <w:sz w:val="19"/>
        </w:rPr>
        <w:t>PND</w:t>
      </w:r>
      <w:r>
        <w:rPr/>
        <w:t>), los tratados internacionales  firmados por el Estado Mexicano, los Objetivos de Desarrollo del Milenio de las Naciones Unidas</w:t>
      </w:r>
      <w:r>
        <w:rPr>
          <w:spacing w:val="-8"/>
        </w:rPr>
        <w:t> </w:t>
      </w:r>
      <w:r>
        <w:rPr/>
        <w:t>(</w:t>
      </w:r>
      <w:r>
        <w:rPr>
          <w:sz w:val="19"/>
        </w:rPr>
        <w:t>ONU</w:t>
      </w:r>
      <w:r>
        <w:rPr/>
        <w:t>).</w:t>
      </w:r>
    </w:p>
    <w:p>
      <w:pPr>
        <w:pStyle w:val="BodyText"/>
      </w:pPr>
    </w:p>
    <w:p>
      <w:pPr>
        <w:pStyle w:val="BodyText"/>
        <w:spacing w:line="535" w:lineRule="auto" w:before="142"/>
        <w:ind w:left="102" w:right="720"/>
      </w:pPr>
      <w:r>
        <w:rPr/>
        <w:t>Por medio de los siguientes métodos se llevará a cabo el análisis estadístico: Método Análisis Jerárquico de Thomas L. Saaty</w:t>
      </w:r>
    </w:p>
    <w:p>
      <w:pPr>
        <w:pStyle w:val="BodyText"/>
        <w:spacing w:line="360" w:lineRule="auto" w:before="6"/>
        <w:ind w:left="102" w:right="116"/>
        <w:jc w:val="both"/>
      </w:pPr>
      <w:r>
        <w:rPr/>
        <w:t>El Proceso Analítico Jerárquico (PAJ, por sus siglas en español) mejor conocido como Analytic Hierarchy Process (AHT, por sus siglas en inglés). El PAJ es un lógico y estructurado método de trabajo que optimiza la toma de decisiones complejas cuando existen múltiples criterios o atributos, mediante la descomposición del problema en una estructura jerárquica.</w:t>
      </w:r>
    </w:p>
    <w:p>
      <w:pPr>
        <w:spacing w:line="360" w:lineRule="auto" w:before="204"/>
        <w:ind w:left="102" w:right="117" w:firstLine="0"/>
        <w:jc w:val="both"/>
        <w:rPr>
          <w:i/>
          <w:sz w:val="24"/>
        </w:rPr>
      </w:pPr>
      <w:r>
        <w:rPr>
          <w:sz w:val="24"/>
        </w:rPr>
        <w:t>Este Proceso Analítico Jerárquico (PAJ) es un método de toma de decisiones creado por Thomas L. Saaty en 1980, “</w:t>
      </w:r>
      <w:r>
        <w:rPr>
          <w:i/>
          <w:sz w:val="24"/>
        </w:rPr>
        <w:t>formando parte de los métodos de </w:t>
      </w:r>
      <w:r>
        <w:rPr>
          <w:i/>
          <w:sz w:val="24"/>
        </w:rPr>
        <w:t>comparaciones pareadas que facilitan la transformación sistemática de la información en acción”.</w:t>
      </w:r>
    </w:p>
    <w:p>
      <w:pPr>
        <w:pStyle w:val="BodyText"/>
        <w:spacing w:before="204"/>
        <w:ind w:left="102"/>
        <w:jc w:val="both"/>
      </w:pPr>
      <w:r>
        <w:rPr/>
        <w:t>Índice de accesibilidad</w:t>
      </w:r>
    </w:p>
    <w:p>
      <w:pPr>
        <w:pStyle w:val="BodyText"/>
        <w:spacing w:before="4"/>
        <w:rPr>
          <w:sz w:val="29"/>
        </w:rPr>
      </w:pPr>
    </w:p>
    <w:p>
      <w:pPr>
        <w:pStyle w:val="BodyText"/>
        <w:spacing w:line="360" w:lineRule="auto" w:before="1"/>
        <w:ind w:left="102" w:right="115"/>
        <w:jc w:val="both"/>
      </w:pPr>
      <w:r>
        <w:rPr/>
        <w:t>Este índice de accesibilidad pretende tener una aproximación a la habitabilidad de las viviendas en la </w:t>
      </w:r>
      <w:r>
        <w:rPr>
          <w:sz w:val="19"/>
        </w:rPr>
        <w:t>ZMT</w:t>
      </w:r>
      <w:r>
        <w:rPr/>
        <w:t>, a través de la dimensión espacial para el entendimiento de dicho proceso se incluyen variables de localización, distribución, y magnitud de la oferta de servicios complementarios como son; educación básica (kínder- preparatoria), salud, empleo, abastecimiento de alimentos, áreas verdes y recreación, características del entorno de las viviendas y del espacio geográfico analizado.</w:t>
      </w:r>
    </w:p>
    <w:p>
      <w:pPr>
        <w:spacing w:after="0" w:line="360" w:lineRule="auto"/>
        <w:jc w:val="both"/>
        <w:sectPr>
          <w:pgSz w:w="12240" w:h="15840"/>
          <w:pgMar w:header="0" w:footer="1003" w:top="1360" w:bottom="1200" w:left="1600" w:right="1580"/>
        </w:sectPr>
      </w:pPr>
    </w:p>
    <w:p>
      <w:pPr>
        <w:spacing w:line="360" w:lineRule="auto" w:before="52"/>
        <w:ind w:left="102" w:right="118" w:firstLine="0"/>
        <w:jc w:val="both"/>
        <w:rPr>
          <w:sz w:val="24"/>
        </w:rPr>
      </w:pPr>
      <w:r>
        <w:rPr>
          <w:i/>
          <w:sz w:val="24"/>
        </w:rPr>
        <w:t>“La discusión de la desigualdad en la distribución de los servicios ha sido  </w:t>
      </w:r>
      <w:r>
        <w:rPr>
          <w:i/>
          <w:sz w:val="24"/>
        </w:rPr>
        <w:t>retomada por los urbanistas, planificadores urbanos y geógrafos ya  que mencionan que debe existir una justicia espacial” </w:t>
      </w:r>
      <w:r>
        <w:rPr>
          <w:sz w:val="24"/>
        </w:rPr>
        <w:t>(Gervais-Lambony, 2007: Bromberg et al, 2007:</w:t>
      </w:r>
      <w:r>
        <w:rPr>
          <w:spacing w:val="-8"/>
          <w:sz w:val="24"/>
        </w:rPr>
        <w:t> </w:t>
      </w:r>
      <w:r>
        <w:rPr>
          <w:sz w:val="24"/>
        </w:rPr>
        <w:t>1-3).</w:t>
      </w:r>
    </w:p>
    <w:p>
      <w:pPr>
        <w:spacing w:line="360" w:lineRule="auto" w:before="202"/>
        <w:ind w:left="102" w:right="122" w:firstLine="0"/>
        <w:jc w:val="both"/>
        <w:rPr>
          <w:sz w:val="24"/>
        </w:rPr>
      </w:pPr>
      <w:r>
        <w:rPr>
          <w:sz w:val="24"/>
        </w:rPr>
        <w:t>Según Goodall (1987), “</w:t>
      </w:r>
      <w:r>
        <w:rPr>
          <w:i/>
          <w:sz w:val="24"/>
        </w:rPr>
        <w:t>accesibilidad se refiere a las oportunidades de interacción </w:t>
      </w:r>
      <w:r>
        <w:rPr>
          <w:i/>
          <w:sz w:val="24"/>
        </w:rPr>
        <w:t>entre orígenes y destinos (es decir, entre áreas o puntos), más que la interacción efectiva entre individuos y destinos”. </w:t>
      </w:r>
      <w:r>
        <w:rPr>
          <w:sz w:val="24"/>
        </w:rPr>
        <w:t>Entonces se puede considerar el enfoque de justicia espacial en la habitabilidad de las viviendas, como complementario al análisis de las condiciones relativas de vida.</w:t>
      </w:r>
    </w:p>
    <w:p>
      <w:pPr>
        <w:pStyle w:val="BodyText"/>
        <w:spacing w:before="5"/>
      </w:pPr>
    </w:p>
    <w:p>
      <w:pPr>
        <w:pStyle w:val="BodyText"/>
        <w:ind w:left="102"/>
        <w:jc w:val="both"/>
      </w:pPr>
      <w:r>
        <w:rPr/>
        <w:t>Paquetes estadísticos y Sistemas de Información Geográfica (SIG)</w:t>
      </w:r>
    </w:p>
    <w:p>
      <w:pPr>
        <w:pStyle w:val="BodyText"/>
      </w:pPr>
    </w:p>
    <w:p>
      <w:pPr>
        <w:pStyle w:val="BodyText"/>
        <w:spacing w:line="360" w:lineRule="auto" w:before="144"/>
        <w:ind w:left="102" w:right="115"/>
        <w:jc w:val="both"/>
      </w:pPr>
      <w:r>
        <w:rPr/>
        <w:t>Los paquetes estadísticos que se utilizarán son los siguientes: SPSS V.21, Excel y los Sistemas de Información Geográfica serán los siguientes Arc Gis 10.1, Arc View.</w:t>
      </w:r>
    </w:p>
    <w:p>
      <w:pPr>
        <w:spacing w:after="0" w:line="360" w:lineRule="auto"/>
        <w:jc w:val="both"/>
        <w:sectPr>
          <w:pgSz w:w="12240" w:h="15840"/>
          <w:pgMar w:header="0" w:footer="1003"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197"/>
      </w:pPr>
      <w:r>
        <w:rPr>
          <w:color w:val="365F91"/>
        </w:rPr>
        <w:t>Capítulo I</w:t>
      </w:r>
    </w:p>
    <w:p>
      <w:pPr>
        <w:pStyle w:val="BodyText"/>
        <w:rPr>
          <w:rFonts w:ascii="Cambria"/>
          <w:b/>
          <w:sz w:val="28"/>
        </w:rPr>
      </w:pPr>
    </w:p>
    <w:p>
      <w:pPr>
        <w:spacing w:before="202"/>
        <w:ind w:left="102" w:right="0" w:firstLine="0"/>
        <w:jc w:val="left"/>
        <w:rPr>
          <w:rFonts w:ascii="Cambria" w:hAnsi="Cambria"/>
          <w:b/>
          <w:sz w:val="28"/>
        </w:rPr>
      </w:pPr>
      <w:r>
        <w:rPr>
          <w:rFonts w:ascii="Cambria" w:hAnsi="Cambria"/>
          <w:b/>
          <w:color w:val="365F91"/>
          <w:sz w:val="28"/>
        </w:rPr>
        <w:t>Marco Teórico: estado del conocimiento</w:t>
      </w:r>
    </w:p>
    <w:p>
      <w:pPr>
        <w:spacing w:after="0"/>
        <w:jc w:val="left"/>
        <w:rPr>
          <w:rFonts w:ascii="Cambria" w:hAnsi="Cambria"/>
          <w:sz w:val="28"/>
        </w:rPr>
        <w:sectPr>
          <w:pgSz w:w="12240" w:h="15840"/>
          <w:pgMar w:header="0" w:footer="1003" w:top="1500" w:bottom="1200" w:left="1600" w:right="1720"/>
        </w:sectPr>
      </w:pPr>
    </w:p>
    <w:p>
      <w:pPr>
        <w:pStyle w:val="Heading3"/>
        <w:ind w:left="102" w:firstLine="0"/>
      </w:pPr>
      <w:bookmarkStart w:name="_TOC_250029" w:id="5"/>
      <w:bookmarkEnd w:id="5"/>
      <w:r>
        <w:rPr>
          <w:color w:val="4F81BC"/>
        </w:rPr>
        <w:t>Introducción</w:t>
      </w:r>
    </w:p>
    <w:p>
      <w:pPr>
        <w:pStyle w:val="BodyText"/>
        <w:rPr>
          <w:rFonts w:ascii="Cambria"/>
          <w:b/>
          <w:sz w:val="26"/>
        </w:rPr>
      </w:pPr>
    </w:p>
    <w:p>
      <w:pPr>
        <w:pStyle w:val="BodyText"/>
        <w:spacing w:before="6"/>
        <w:rPr>
          <w:rFonts w:ascii="Cambria"/>
          <w:b/>
          <w:sz w:val="23"/>
        </w:rPr>
      </w:pPr>
    </w:p>
    <w:p>
      <w:pPr>
        <w:pStyle w:val="BodyText"/>
        <w:spacing w:line="360" w:lineRule="auto"/>
        <w:ind w:left="102" w:right="117"/>
        <w:jc w:val="both"/>
      </w:pPr>
      <w:r>
        <w:rPr/>
        <w:t>El objetivo del presente capítulo es explicar los elementos teóricos y conceptuales del espacio urbano, diferenciando lo que espacio público del espacio privado, analizando el espacio residencial que es fundamental para la investigación, también se identifica el concepto de la vivienda y cómo este concepto se ha ido definiendo a través del tiempo, además se definen las características que deben tener las viviendas para que sean habitables, y los tipos de viviendas existentes en la Zona Metropolitana de Toluca (</w:t>
      </w:r>
      <w:r>
        <w:rPr>
          <w:sz w:val="19"/>
        </w:rPr>
        <w:t>ZMT</w:t>
      </w:r>
      <w:r>
        <w:rPr/>
        <w:t>).</w:t>
      </w:r>
    </w:p>
    <w:p>
      <w:pPr>
        <w:pStyle w:val="BodyText"/>
        <w:spacing w:line="360" w:lineRule="auto" w:before="204"/>
        <w:ind w:left="102" w:right="116"/>
        <w:jc w:val="both"/>
      </w:pPr>
      <w:r>
        <w:rPr/>
        <w:t>Luego se exploró la transición de la perspectiva de la habitabilidad de las  viviendas a través del tiempo, subrayando las diferencias y similitudes de este concepto. Posteriormente se analiza la idea de habitabilidad con accesibilidad a servicios complementarios en esta zona metropolitana de</w:t>
      </w:r>
      <w:r>
        <w:rPr>
          <w:spacing w:val="-19"/>
        </w:rPr>
        <w:t> </w:t>
      </w:r>
      <w:r>
        <w:rPr/>
        <w:t>Toluca.</w:t>
      </w:r>
    </w:p>
    <w:p>
      <w:pPr>
        <w:spacing w:line="360" w:lineRule="auto" w:before="204"/>
        <w:ind w:left="102" w:right="115" w:firstLine="0"/>
        <w:jc w:val="both"/>
        <w:rPr>
          <w:sz w:val="24"/>
        </w:rPr>
      </w:pPr>
      <w:r>
        <w:rPr>
          <w:sz w:val="24"/>
        </w:rPr>
        <w:t>El crecimiento urbano de esta zona metropolitana y las ciudades del país, así como las ciudades de América Latina y el Caribe; estas últimas como lo menciona las Naciones Unidas (</w:t>
      </w:r>
      <w:r>
        <w:rPr>
          <w:sz w:val="19"/>
        </w:rPr>
        <w:t>ONU</w:t>
      </w:r>
      <w:r>
        <w:rPr>
          <w:sz w:val="24"/>
        </w:rPr>
        <w:t>, 2005), “</w:t>
      </w:r>
      <w:r>
        <w:rPr>
          <w:i/>
          <w:sz w:val="24"/>
        </w:rPr>
        <w:t>no está preparado para ofrecer servicios y </w:t>
      </w:r>
      <w:r>
        <w:rPr>
          <w:i/>
          <w:sz w:val="24"/>
        </w:rPr>
        <w:t>satisfactores públicos y privados de calidad, como vivienda, transporte, agua potable, empleo, salud y educación, entre muchos</w:t>
      </w:r>
      <w:r>
        <w:rPr>
          <w:i/>
          <w:spacing w:val="-18"/>
          <w:sz w:val="24"/>
        </w:rPr>
        <w:t> </w:t>
      </w:r>
      <w:r>
        <w:rPr>
          <w:i/>
          <w:sz w:val="24"/>
        </w:rPr>
        <w:t>otros”</w:t>
      </w:r>
      <w:r>
        <w:rPr>
          <w:sz w:val="24"/>
        </w:rPr>
        <w:t>.</w:t>
      </w:r>
    </w:p>
    <w:p>
      <w:pPr>
        <w:pStyle w:val="BodyText"/>
        <w:spacing w:before="206"/>
        <w:ind w:left="102"/>
        <w:jc w:val="both"/>
      </w:pPr>
      <w:r>
        <w:rPr/>
        <w:t>De las zonas metropolitanas     </w:t>
      </w:r>
      <w:r>
        <w:rPr>
          <w:spacing w:val="59"/>
        </w:rPr>
        <w:t> </w:t>
      </w:r>
      <w:r>
        <w:rPr/>
        <w:t>del país, la </w:t>
      </w:r>
      <w:r>
        <w:rPr>
          <w:sz w:val="19"/>
        </w:rPr>
        <w:t>ZMT  </w:t>
      </w:r>
      <w:r>
        <w:rPr/>
        <w:t>es la quinta más grande, según el</w:t>
      </w:r>
    </w:p>
    <w:p>
      <w:pPr>
        <w:spacing w:before="137"/>
        <w:ind w:left="102" w:right="0" w:firstLine="0"/>
        <w:jc w:val="both"/>
        <w:rPr>
          <w:sz w:val="24"/>
        </w:rPr>
      </w:pPr>
      <w:r>
        <w:rPr>
          <w:sz w:val="19"/>
        </w:rPr>
        <w:t>CONAPO</w:t>
      </w:r>
      <w:r>
        <w:rPr>
          <w:sz w:val="24"/>
        </w:rPr>
        <w:t>, 2012.</w:t>
      </w:r>
    </w:p>
    <w:p>
      <w:pPr>
        <w:pStyle w:val="BodyText"/>
        <w:rPr>
          <w:sz w:val="29"/>
        </w:rPr>
      </w:pPr>
    </w:p>
    <w:p>
      <w:pPr>
        <w:spacing w:line="240" w:lineRule="auto" w:before="0"/>
        <w:ind w:left="385" w:right="450" w:firstLine="0"/>
        <w:jc w:val="both"/>
        <w:rPr>
          <w:sz w:val="24"/>
        </w:rPr>
      </w:pPr>
      <w:r>
        <w:rPr>
          <w:sz w:val="24"/>
        </w:rPr>
        <w:t>“</w:t>
      </w:r>
      <w:r>
        <w:rPr>
          <w:i/>
          <w:sz w:val="24"/>
        </w:rPr>
        <w:t>Presenta problemas por sus características físico-geográficas, el tamaño de </w:t>
      </w:r>
      <w:r>
        <w:rPr>
          <w:i/>
          <w:sz w:val="24"/>
        </w:rPr>
        <w:t>su población, su dinámica económica, concentración de desempleo, la exclusión y pobreza en la desigualdad socioeconómica al interior de la zona metropolitana, dificultades de la población con mayores rezagos para incorporarse al sector formal de la economía, diferencias en el acceso a servicios y equipamientos básicos; congestión vial, contaminación ambiental, falta de disponibilidad de infraestructura básica, la vivienda y el suelo elementos que definen la configuración del territorio y particularmente los procesos de expansión periférica que generan deseconomías y reducción de la calidad de vida de la población</w:t>
      </w:r>
      <w:r>
        <w:rPr>
          <w:sz w:val="24"/>
        </w:rPr>
        <w:t>” (</w:t>
      </w:r>
      <w:r>
        <w:rPr>
          <w:sz w:val="19"/>
        </w:rPr>
        <w:t>CONAPO</w:t>
      </w:r>
      <w:r>
        <w:rPr>
          <w:sz w:val="24"/>
        </w:rPr>
        <w:t>/</w:t>
      </w:r>
      <w:r>
        <w:rPr>
          <w:sz w:val="19"/>
        </w:rPr>
        <w:t>SEDESOL</w:t>
      </w:r>
      <w:r>
        <w:rPr>
          <w:sz w:val="24"/>
        </w:rPr>
        <w:t>/</w:t>
      </w:r>
      <w:r>
        <w:rPr>
          <w:sz w:val="19"/>
        </w:rPr>
        <w:t>INEGI </w:t>
      </w:r>
      <w:r>
        <w:rPr>
          <w:sz w:val="24"/>
        </w:rPr>
        <w:t>2012; 17).</w:t>
      </w:r>
    </w:p>
    <w:p>
      <w:pPr>
        <w:spacing w:after="0" w:line="240" w:lineRule="auto"/>
        <w:jc w:val="both"/>
        <w:rPr>
          <w:sz w:val="24"/>
        </w:rPr>
        <w:sectPr>
          <w:footerReference w:type="default" r:id="rId20"/>
          <w:pgSz w:w="12240" w:h="15840"/>
          <w:pgMar w:footer="1003" w:header="0" w:top="1380" w:bottom="1200" w:left="1600" w:right="1580"/>
        </w:sectPr>
      </w:pPr>
    </w:p>
    <w:p>
      <w:pPr>
        <w:pStyle w:val="BodyText"/>
        <w:spacing w:line="360" w:lineRule="auto" w:before="54"/>
        <w:ind w:left="102" w:right="114"/>
        <w:jc w:val="both"/>
      </w:pPr>
      <w:r>
        <w:rPr/>
        <w:t>Asociando estos problemas de alta complejidad se realiza un estudio integrado. Por lo que este trabajo intenta profundizar en la problemática relacionado a la habitabilidad (servicios públicos, materiales de construcción, bienes, el entorno) dentro de las viviendas que integran la </w:t>
      </w:r>
      <w:r>
        <w:rPr>
          <w:sz w:val="19"/>
        </w:rPr>
        <w:t>ZMT</w:t>
      </w:r>
      <w:r>
        <w:rPr/>
        <w:t>.</w:t>
      </w:r>
    </w:p>
    <w:p>
      <w:pPr>
        <w:pStyle w:val="BodyText"/>
        <w:spacing w:line="360" w:lineRule="auto" w:before="204"/>
        <w:ind w:left="102" w:right="117"/>
        <w:jc w:val="both"/>
      </w:pPr>
      <w:r>
        <w:rPr/>
        <w:t>Una de las líneas de trabajo, influye en la vivienda que aborda la cantidad de personas que residen en viviendas inadecuadas, deterioradas y con pésimas condiciones de habitabilidad. Este proceso de urbanización parece irreversible, lo que es de interés es aprovechar sus ventajas y minimizar sus efectos negativos, en materia de habitabilidad de las viviendas, sin dejar de lado el crecimiento y desarrollo económico, ligado al desarrollo social y la conservación del medio ambiente.</w:t>
      </w:r>
    </w:p>
    <w:p>
      <w:pPr>
        <w:pStyle w:val="Heading3"/>
        <w:numPr>
          <w:ilvl w:val="1"/>
          <w:numId w:val="9"/>
        </w:numPr>
        <w:tabs>
          <w:tab w:pos="527" w:val="left" w:leader="none"/>
        </w:tabs>
        <w:spacing w:line="240" w:lineRule="auto" w:before="204" w:after="0"/>
        <w:ind w:left="526" w:right="0" w:hanging="424"/>
        <w:jc w:val="both"/>
      </w:pPr>
      <w:bookmarkStart w:name="_TOC_250028" w:id="6"/>
      <w:r>
        <w:rPr>
          <w:color w:val="4F81BC"/>
        </w:rPr>
        <w:t>El contexto de la vivienda: el espacio</w:t>
      </w:r>
      <w:r>
        <w:rPr>
          <w:color w:val="4F81BC"/>
          <w:spacing w:val="-27"/>
        </w:rPr>
        <w:t> </w:t>
      </w:r>
      <w:bookmarkEnd w:id="6"/>
      <w:r>
        <w:rPr>
          <w:color w:val="4F81BC"/>
        </w:rPr>
        <w:t>urbano</w:t>
      </w:r>
    </w:p>
    <w:p>
      <w:pPr>
        <w:pStyle w:val="BodyText"/>
        <w:rPr>
          <w:rFonts w:ascii="Cambria"/>
          <w:b/>
          <w:sz w:val="26"/>
        </w:rPr>
      </w:pPr>
    </w:p>
    <w:p>
      <w:pPr>
        <w:pStyle w:val="BodyText"/>
        <w:spacing w:before="1"/>
        <w:rPr>
          <w:rFonts w:ascii="Cambria"/>
          <w:b/>
          <w:sz w:val="30"/>
        </w:rPr>
      </w:pPr>
    </w:p>
    <w:p>
      <w:pPr>
        <w:pStyle w:val="BodyText"/>
        <w:spacing w:line="360" w:lineRule="auto"/>
        <w:ind w:left="102" w:right="117"/>
        <w:jc w:val="both"/>
      </w:pPr>
      <w:r>
        <w:rPr/>
        <w:t>El concepto espacio es uno de los ejes centrales de este estudio, en él se desarrollan los complejos procesos de la vida, que enlazan lo urbano, con lo social y cultural, reflejando la realidad de la </w:t>
      </w:r>
      <w:r>
        <w:rPr>
          <w:i/>
        </w:rPr>
        <w:t>habitabilidad </w:t>
      </w:r>
      <w:r>
        <w:rPr/>
        <w:t>de las viviendas.</w:t>
      </w:r>
    </w:p>
    <w:p>
      <w:pPr>
        <w:pStyle w:val="BodyText"/>
        <w:spacing w:line="360" w:lineRule="auto" w:before="206"/>
        <w:ind w:left="102" w:right="116"/>
        <w:jc w:val="both"/>
      </w:pPr>
      <w:r>
        <w:rPr/>
        <w:t>Existe una marcada diferencia con la necesidad de una disponibilidad de servicios públicos, equipamiento urbano, vivienda que es tema central de este trabajo, así mismo definir los conceptos de espacio público, privado y residencial. Debido a que la zona metropolitana de Toluca tiene origen y procesos de urbanización, la cantidad de espacios públicos y equipamientos colectivos es</w:t>
      </w:r>
      <w:r>
        <w:rPr>
          <w:spacing w:val="-25"/>
        </w:rPr>
        <w:t> </w:t>
      </w:r>
      <w:r>
        <w:rPr/>
        <w:t>deficitaria.</w:t>
      </w:r>
    </w:p>
    <w:p>
      <w:pPr>
        <w:pStyle w:val="BodyText"/>
        <w:spacing w:line="360" w:lineRule="auto" w:before="204"/>
        <w:ind w:left="102" w:right="117"/>
        <w:jc w:val="both"/>
      </w:pPr>
      <w:r>
        <w:rPr/>
        <w:t>El espacio urbano donde se localizan las viviendas, es el espacio más importante en la zona metropolitana, puesto que es ahí donde se realizan las actividades de las personas que las habitan.</w:t>
      </w:r>
    </w:p>
    <w:p>
      <w:pPr>
        <w:pStyle w:val="BodyText"/>
        <w:spacing w:line="360" w:lineRule="auto" w:before="204"/>
        <w:ind w:left="102" w:right="116"/>
        <w:jc w:val="both"/>
      </w:pPr>
      <w:r>
        <w:rPr/>
        <w:t>Ciertos espacios urbanos o partes de la ciudad desaparecen en el siglo </w:t>
      </w:r>
      <w:r>
        <w:rPr>
          <w:sz w:val="19"/>
        </w:rPr>
        <w:t>XX </w:t>
      </w:r>
      <w:r>
        <w:rPr/>
        <w:t>en la zona metropolitana de Toluca, para abrir paso a la zonificación: los barrios residenciales, los centros de oficinas y de negocios, los centros comerciales son las que han adquirido esta separación en el siglo    </w:t>
      </w:r>
      <w:r>
        <w:rPr>
          <w:sz w:val="19"/>
        </w:rPr>
        <w:t>XXI</w:t>
      </w:r>
      <w:r>
        <w:rPr/>
        <w:t>. Las cualidades del espacio</w:t>
      </w:r>
    </w:p>
    <w:p>
      <w:pPr>
        <w:spacing w:after="0" w:line="360" w:lineRule="auto"/>
        <w:jc w:val="both"/>
        <w:sectPr>
          <w:footerReference w:type="default" r:id="rId21"/>
          <w:pgSz w:w="12240" w:h="15840"/>
          <w:pgMar w:footer="1003" w:header="0" w:top="1360" w:bottom="1200" w:left="1600" w:right="1580"/>
          <w:pgNumType w:start="31"/>
        </w:sectPr>
      </w:pPr>
    </w:p>
    <w:p>
      <w:pPr>
        <w:pStyle w:val="BodyText"/>
        <w:spacing w:line="360" w:lineRule="auto" w:before="54"/>
        <w:ind w:left="102" w:right="118"/>
        <w:jc w:val="both"/>
      </w:pPr>
      <w:r>
        <w:rPr/>
        <w:t>urbano, hacen ver las carencias, incoherencias y contradicciones de estas áreas construidas a lo largo del siglo </w:t>
      </w:r>
      <w:r>
        <w:rPr>
          <w:sz w:val="19"/>
        </w:rPr>
        <w:t>XX</w:t>
      </w:r>
      <w:r>
        <w:rPr/>
        <w:t>.</w:t>
      </w:r>
    </w:p>
    <w:p>
      <w:pPr>
        <w:pStyle w:val="BodyText"/>
        <w:spacing w:line="360" w:lineRule="auto" w:before="204"/>
        <w:ind w:left="102" w:right="115"/>
        <w:jc w:val="both"/>
      </w:pPr>
      <w:r>
        <w:rPr/>
        <w:t>El espacio urbano de la </w:t>
      </w:r>
      <w:r>
        <w:rPr>
          <w:sz w:val="19"/>
        </w:rPr>
        <w:t>ZMT</w:t>
      </w:r>
      <w:r>
        <w:rPr/>
        <w:t>, se divide en espacio público y espacio privado. Los espacios públicos que de alguna manera construyen la ciudad; son la plaza, las calles, los parques, las plazas comerciales son usados por todos los habitantes de la ciudad, le dan una coherencia y la hacen reconocible, mientras que los espacios privados como lo es la vivienda solo es usado por las personas que moran ahí, ocasionalmente por familiares, amigos y vecinos.</w:t>
      </w:r>
    </w:p>
    <w:p>
      <w:pPr>
        <w:spacing w:line="240" w:lineRule="auto" w:before="200"/>
        <w:ind w:left="385" w:right="449" w:firstLine="0"/>
        <w:jc w:val="both"/>
        <w:rPr>
          <w:sz w:val="24"/>
        </w:rPr>
      </w:pPr>
      <w:r>
        <w:rPr>
          <w:i/>
          <w:sz w:val="24"/>
        </w:rPr>
        <w:t>“Las tensiones provocadas por el uso del espacio urbano, las cuales  </w:t>
      </w:r>
      <w:r>
        <w:rPr>
          <w:i/>
          <w:sz w:val="24"/>
        </w:rPr>
        <w:t>abordan temas como: las presiones para expulsar familias de escasos recursos de los espacios destinados o cercanos físicamente a modernos proyectos urbanísticos, limitaciones a la libre circulación de personas alrededor de esos proyectos, disputas por terrenos ubicados cerca de los mantos acuíferos, planificación de la expansión de las ciudades, crecimiento espontáneo de las áreas habitadas y muchos otros” </w:t>
      </w:r>
      <w:r>
        <w:rPr>
          <w:sz w:val="24"/>
        </w:rPr>
        <w:t>(Salazar,</w:t>
      </w:r>
      <w:r>
        <w:rPr>
          <w:spacing w:val="-20"/>
          <w:sz w:val="24"/>
        </w:rPr>
        <w:t> </w:t>
      </w:r>
      <w:r>
        <w:rPr>
          <w:sz w:val="24"/>
        </w:rPr>
        <w:t>2010).</w:t>
      </w:r>
    </w:p>
    <w:p>
      <w:pPr>
        <w:pStyle w:val="BodyText"/>
      </w:pPr>
    </w:p>
    <w:p>
      <w:pPr>
        <w:pStyle w:val="BodyText"/>
        <w:rPr>
          <w:sz w:val="35"/>
        </w:rPr>
      </w:pPr>
    </w:p>
    <w:p>
      <w:pPr>
        <w:spacing w:line="360" w:lineRule="auto" w:before="0"/>
        <w:ind w:left="102" w:right="116" w:firstLine="0"/>
        <w:jc w:val="both"/>
        <w:rPr>
          <w:sz w:val="24"/>
        </w:rPr>
      </w:pPr>
      <w:r>
        <w:rPr>
          <w:sz w:val="24"/>
        </w:rPr>
        <w:t>El espacio como objeto de estudio del urbanismo y la geografía es interpretado por Milton Santos (1992) “</w:t>
      </w:r>
      <w:r>
        <w:rPr>
          <w:i/>
          <w:sz w:val="24"/>
        </w:rPr>
        <w:t>como una instancia de la sociedad, que es contenida y que </w:t>
      </w:r>
      <w:r>
        <w:rPr>
          <w:i/>
          <w:sz w:val="24"/>
        </w:rPr>
        <w:t>contiene a las demás instancias: económica, cultural, ideológica, política, institucional entre otras. Es decir el espacio no está constituido por las cosas (objetos geográficos naturales o sociales), sino que incluye a la sociedad”</w:t>
      </w:r>
      <w:r>
        <w:rPr>
          <w:sz w:val="24"/>
        </w:rPr>
        <w:t>.</w:t>
      </w:r>
    </w:p>
    <w:p>
      <w:pPr>
        <w:pStyle w:val="BodyText"/>
        <w:spacing w:line="360" w:lineRule="auto" w:before="206"/>
        <w:ind w:left="102" w:right="119"/>
        <w:jc w:val="both"/>
      </w:pPr>
      <w:r>
        <w:rPr/>
        <w:t>Al realizar el análisis desde el punto de vista del espacio, el propósito es observar las transformaciones históricas, las dinámicas sociales, la apropiación de espacios y los cambios constantes que se han dado a través del tiempo, en la zona metropolitana de Toluca.</w:t>
      </w:r>
    </w:p>
    <w:p>
      <w:pPr>
        <w:pStyle w:val="BodyText"/>
        <w:spacing w:line="360" w:lineRule="auto" w:before="205"/>
        <w:ind w:left="102" w:right="115"/>
        <w:jc w:val="both"/>
      </w:pPr>
      <w:r>
        <w:rPr/>
        <w:t>Para entender el significado del espacio urbano en la </w:t>
      </w:r>
      <w:r>
        <w:rPr>
          <w:sz w:val="19"/>
        </w:rPr>
        <w:t>ZMT</w:t>
      </w:r>
      <w:r>
        <w:rPr/>
        <w:t>, debemos tener en cuenta el crecimiento económico y poblacional del lugar en estudio cuyas vertientes dan pauta al estudio del proceso de urbanización y la aplicación en el proceso del ordenamiento del territorio.</w:t>
      </w:r>
    </w:p>
    <w:p>
      <w:pPr>
        <w:spacing w:before="199"/>
        <w:ind w:left="385" w:right="459" w:firstLine="0"/>
        <w:jc w:val="both"/>
        <w:rPr>
          <w:i/>
          <w:sz w:val="24"/>
        </w:rPr>
      </w:pPr>
      <w:r>
        <w:rPr>
          <w:sz w:val="24"/>
        </w:rPr>
        <w:t>“</w:t>
      </w:r>
      <w:r>
        <w:rPr>
          <w:i/>
          <w:sz w:val="24"/>
        </w:rPr>
        <w:t>Se define al espacio como un conjunto indisoluble de sistemas de objetos y </w:t>
      </w:r>
      <w:r>
        <w:rPr>
          <w:i/>
          <w:sz w:val="24"/>
        </w:rPr>
        <w:t>sistemas de acciones que se integran y se relacionan con la naturaleza,</w:t>
      </w:r>
    </w:p>
    <w:p>
      <w:pPr>
        <w:spacing w:after="0"/>
        <w:jc w:val="both"/>
        <w:rPr>
          <w:sz w:val="24"/>
        </w:rPr>
        <w:sectPr>
          <w:pgSz w:w="12240" w:h="15840"/>
          <w:pgMar w:header="0" w:footer="1003" w:top="1360" w:bottom="1200" w:left="1600" w:right="1580"/>
        </w:sectPr>
      </w:pPr>
    </w:p>
    <w:p>
      <w:pPr>
        <w:spacing w:line="240" w:lineRule="auto" w:before="49"/>
        <w:ind w:left="445" w:right="551" w:firstLine="0"/>
        <w:jc w:val="both"/>
        <w:rPr>
          <w:sz w:val="24"/>
        </w:rPr>
      </w:pPr>
      <w:r>
        <w:rPr>
          <w:i/>
          <w:sz w:val="24"/>
        </w:rPr>
        <w:t>donde se construyen y consolidan los elementos físicos, naturales y </w:t>
      </w:r>
      <w:r>
        <w:rPr>
          <w:i/>
          <w:sz w:val="24"/>
        </w:rPr>
        <w:t>artificiales para darle vida y funcionalidad, el fin más tarde son las relaciones sociales</w:t>
      </w:r>
      <w:r>
        <w:rPr>
          <w:sz w:val="24"/>
        </w:rPr>
        <w:t>” (Santos, 2000), (ver figura 1).</w:t>
      </w:r>
    </w:p>
    <w:p>
      <w:pPr>
        <w:pStyle w:val="BodyText"/>
      </w:pPr>
    </w:p>
    <w:p>
      <w:pPr>
        <w:pStyle w:val="BodyText"/>
        <w:spacing w:before="2"/>
        <w:rPr>
          <w:sz w:val="35"/>
        </w:rPr>
      </w:pPr>
    </w:p>
    <w:p>
      <w:pPr>
        <w:spacing w:before="0"/>
        <w:ind w:left="2100" w:right="2161" w:firstLine="0"/>
        <w:jc w:val="center"/>
        <w:rPr>
          <w:sz w:val="20"/>
        </w:rPr>
      </w:pPr>
      <w:r>
        <w:rPr/>
        <w:drawing>
          <wp:anchor distT="0" distB="0" distL="0" distR="0" allowOverlap="1" layoutInCell="1" locked="0" behindDoc="1" simplePos="0" relativeHeight="268099271">
            <wp:simplePos x="0" y="0"/>
            <wp:positionH relativeFrom="page">
              <wp:posOffset>5800725</wp:posOffset>
            </wp:positionH>
            <wp:positionV relativeFrom="paragraph">
              <wp:posOffset>624330</wp:posOffset>
            </wp:positionV>
            <wp:extent cx="161289" cy="76200"/>
            <wp:effectExtent l="0" t="0" r="0" b="0"/>
            <wp:wrapNone/>
            <wp:docPr id="7" name="image11.png" descr=""/>
            <wp:cNvGraphicFramePr>
              <a:graphicFrameLocks noChangeAspect="1"/>
            </wp:cNvGraphicFramePr>
            <a:graphic>
              <a:graphicData uri="http://schemas.openxmlformats.org/drawingml/2006/picture">
                <pic:pic>
                  <pic:nvPicPr>
                    <pic:cNvPr id="8" name="image11.png"/>
                    <pic:cNvPicPr/>
                  </pic:nvPicPr>
                  <pic:blipFill>
                    <a:blip r:embed="rId22" cstate="print"/>
                    <a:stretch>
                      <a:fillRect/>
                    </a:stretch>
                  </pic:blipFill>
                  <pic:spPr>
                    <a:xfrm>
                      <a:off x="0" y="0"/>
                      <a:ext cx="161289" cy="76200"/>
                    </a:xfrm>
                    <a:prstGeom prst="rect">
                      <a:avLst/>
                    </a:prstGeom>
                  </pic:spPr>
                </pic:pic>
              </a:graphicData>
            </a:graphic>
          </wp:anchor>
        </w:drawing>
      </w:r>
      <w:r>
        <w:rPr/>
        <w:drawing>
          <wp:anchor distT="0" distB="0" distL="0" distR="0" allowOverlap="1" layoutInCell="1" locked="0" behindDoc="1" simplePos="0" relativeHeight="268099295">
            <wp:simplePos x="0" y="0"/>
            <wp:positionH relativeFrom="page">
              <wp:posOffset>4140200</wp:posOffset>
            </wp:positionH>
            <wp:positionV relativeFrom="paragraph">
              <wp:posOffset>653540</wp:posOffset>
            </wp:positionV>
            <wp:extent cx="201295" cy="76200"/>
            <wp:effectExtent l="0" t="0" r="0" b="0"/>
            <wp:wrapNone/>
            <wp:docPr id="9" name="image12.png" descr=""/>
            <wp:cNvGraphicFramePr>
              <a:graphicFrameLocks noChangeAspect="1"/>
            </wp:cNvGraphicFramePr>
            <a:graphic>
              <a:graphicData uri="http://schemas.openxmlformats.org/drawingml/2006/picture">
                <pic:pic>
                  <pic:nvPicPr>
                    <pic:cNvPr id="10" name="image12.png"/>
                    <pic:cNvPicPr/>
                  </pic:nvPicPr>
                  <pic:blipFill>
                    <a:blip r:embed="rId23" cstate="print"/>
                    <a:stretch>
                      <a:fillRect/>
                    </a:stretch>
                  </pic:blipFill>
                  <pic:spPr>
                    <a:xfrm>
                      <a:off x="0" y="0"/>
                      <a:ext cx="201295" cy="76200"/>
                    </a:xfrm>
                    <a:prstGeom prst="rect">
                      <a:avLst/>
                    </a:prstGeom>
                  </pic:spPr>
                </pic:pic>
              </a:graphicData>
            </a:graphic>
          </wp:anchor>
        </w:drawing>
      </w:r>
      <w:r>
        <w:rPr>
          <w:sz w:val="20"/>
        </w:rPr>
        <w:t>Figura 1. Origen del espacio</w:t>
      </w:r>
    </w:p>
    <w:p>
      <w:pPr>
        <w:pStyle w:val="BodyText"/>
        <w:spacing w:before="10"/>
        <w:rPr>
          <w:sz w:val="23"/>
        </w:rPr>
      </w:pPr>
      <w:r>
        <w:rPr/>
        <w:pict>
          <v:group style="position:absolute;margin-left:82.925003pt;margin-top:15.675341pt;width:243.45pt;height:54pt;mso-position-horizontal-relative:page;mso-position-vertical-relative:paragraph;z-index:1216;mso-wrap-distance-left:0;mso-wrap-distance-right:0" coordorigin="1659,314" coordsize="4869,1080">
            <v:rect style="position:absolute;left:1741;top:320;width:2004;height:368" filled="false" stroked="true" strokeweight=".648106pt" strokecolor="#000000"/>
            <v:shape style="position:absolute;left:3937;top:799;width:254;height:120" type="#_x0000_t75" stroked="false">
              <v:imagedata r:id="rId22" o:title=""/>
            </v:shape>
            <v:shape style="position:absolute;left:3731;top:596;width:206;height:526" coordorigin="3731,596" coordsize="206,526" path="m3731,596l3811,600,3877,609,3921,623,3937,640,3937,1078,3921,1095,3877,1109,3811,1119,3731,1122e" filled="false" stroked="true" strokeweight=".75pt" strokecolor="#000000">
              <v:path arrowok="t"/>
            </v:shape>
            <v:line style="position:absolute" from="2605,709" to="2605,934" stroked="true" strokeweight=".75pt" strokecolor="#000000"/>
            <v:rect style="position:absolute;left:1666;top:934;width:2065;height:451" filled="false" stroked="true" strokeweight=".75pt" strokecolor="#000000"/>
            <v:shape style="position:absolute;left:1703;top:320;width:2035;height:369" type="#_x0000_t202" filled="false" stroked="false">
              <v:textbox inset="0,0,0,0">
                <w:txbxContent>
                  <w:p>
                    <w:pPr>
                      <w:spacing w:before="75"/>
                      <w:ind w:left="167" w:right="0" w:firstLine="0"/>
                      <w:jc w:val="left"/>
                      <w:rPr>
                        <w:rFonts w:ascii="Calibri"/>
                        <w:sz w:val="19"/>
                      </w:rPr>
                    </w:pPr>
                    <w:r>
                      <w:rPr>
                        <w:rFonts w:ascii="Calibri"/>
                        <w:sz w:val="19"/>
                      </w:rPr>
                      <w:t>Naturaleza</w:t>
                    </w:r>
                  </w:p>
                </w:txbxContent>
              </v:textbox>
              <w10:wrap type="none"/>
            </v:shape>
            <v:shape style="position:absolute;left:1703;top:934;width:2035;height:451" type="#_x0000_t202" filled="false" stroked="false">
              <v:textbox inset="0,0,0,0">
                <w:txbxContent>
                  <w:p>
                    <w:pPr>
                      <w:spacing w:before="79"/>
                      <w:ind w:left="529" w:right="0" w:firstLine="0"/>
                      <w:jc w:val="left"/>
                      <w:rPr>
                        <w:rFonts w:ascii="Calibri"/>
                        <w:sz w:val="24"/>
                      </w:rPr>
                    </w:pPr>
                    <w:r>
                      <w:rPr>
                        <w:rFonts w:ascii="Calibri"/>
                        <w:sz w:val="24"/>
                      </w:rPr>
                      <w:t>Territorio</w:t>
                    </w:r>
                  </w:p>
                </w:txbxContent>
              </v:textbox>
              <w10:wrap type="none"/>
            </v:shape>
            <v:shape style="position:absolute;left:4191;top:508;width:2329;height:733" type="#_x0000_t202" filled="false" stroked="true" strokeweight=".75pt" strokecolor="#000000">
              <v:textbox inset="0,0,0,0">
                <w:txbxContent>
                  <w:p>
                    <w:pPr>
                      <w:spacing w:line="276" w:lineRule="auto" w:before="72"/>
                      <w:ind w:left="772" w:right="357" w:hanging="408"/>
                      <w:jc w:val="left"/>
                      <w:rPr>
                        <w:rFonts w:ascii="Calibri" w:hAnsi="Calibri"/>
                        <w:sz w:val="24"/>
                      </w:rPr>
                    </w:pPr>
                    <w:r>
                      <w:rPr>
                        <w:rFonts w:ascii="Calibri" w:hAnsi="Calibri"/>
                        <w:sz w:val="24"/>
                      </w:rPr>
                      <w:t>Intervención del hombre</w:t>
                    </w:r>
                  </w:p>
                </w:txbxContent>
              </v:textbox>
              <w10:wrap type="none"/>
            </v:shape>
            <w10:wrap type="topAndBottom"/>
          </v:group>
        </w:pict>
      </w:r>
      <w:r>
        <w:rPr/>
        <w:pict>
          <v:shape style="position:absolute;margin-left:341.850006pt;margin-top:25.510876pt;width:116.45pt;height:41.95pt;mso-position-horizontal-relative:page;mso-position-vertical-relative:paragraph;z-index:1240;mso-wrap-distance-left:0;mso-wrap-distance-right:0" type="#_x0000_t202" filled="false" stroked="true" strokeweight=".75pt" strokecolor="#000000">
            <v:textbox inset="0,0,0,0">
              <w:txbxContent>
                <w:p>
                  <w:pPr>
                    <w:pStyle w:val="BodyText"/>
                    <w:spacing w:line="276" w:lineRule="auto" w:before="73"/>
                    <w:ind w:left="642" w:right="258" w:hanging="382"/>
                    <w:rPr>
                      <w:rFonts w:ascii="Calibri" w:hAnsi="Calibri"/>
                    </w:rPr>
                  </w:pPr>
                  <w:r>
                    <w:rPr>
                      <w:rFonts w:ascii="Calibri" w:hAnsi="Calibri"/>
                    </w:rPr>
                    <w:t>Modificación de la naturaleza</w:t>
                  </w:r>
                </w:p>
              </w:txbxContent>
            </v:textbox>
            <w10:wrap type="topAndBottom"/>
          </v:shape>
        </w:pict>
      </w:r>
      <w:r>
        <w:rPr/>
        <w:pict>
          <v:shape style="position:absolute;margin-left:469.450012pt;margin-top:29.810877pt;width:63.25pt;height:21.3pt;mso-position-horizontal-relative:page;mso-position-vertical-relative:paragraph;z-index:1264;mso-wrap-distance-left:0;mso-wrap-distance-right:0" type="#_x0000_t202" filled="false" stroked="true" strokeweight=".75pt" strokecolor="#000000">
            <v:textbox inset="0,0,0,0">
              <w:txbxContent>
                <w:p>
                  <w:pPr>
                    <w:pStyle w:val="BodyText"/>
                    <w:spacing w:before="73"/>
                    <w:ind w:left="145"/>
                    <w:rPr>
                      <w:rFonts w:ascii="Calibri"/>
                    </w:rPr>
                  </w:pPr>
                  <w:r>
                    <w:rPr>
                      <w:rFonts w:ascii="Calibri"/>
                    </w:rPr>
                    <w:t>Espacio</w:t>
                  </w:r>
                </w:p>
              </w:txbxContent>
            </v:textbox>
            <w10:wrap type="topAndBottom"/>
          </v:shape>
        </w:pict>
      </w:r>
    </w:p>
    <w:p>
      <w:pPr>
        <w:spacing w:before="136"/>
        <w:ind w:left="2104" w:right="2161" w:firstLine="0"/>
        <w:jc w:val="center"/>
        <w:rPr>
          <w:sz w:val="20"/>
        </w:rPr>
      </w:pPr>
      <w:r>
        <w:rPr>
          <w:sz w:val="20"/>
        </w:rPr>
        <w:t>Fuente: Elaboración propia con base en Santos (2000).</w:t>
      </w:r>
    </w:p>
    <w:p>
      <w:pPr>
        <w:pStyle w:val="BodyText"/>
        <w:rPr>
          <w:sz w:val="20"/>
        </w:rPr>
      </w:pPr>
    </w:p>
    <w:p>
      <w:pPr>
        <w:pStyle w:val="BodyText"/>
        <w:rPr>
          <w:sz w:val="20"/>
        </w:rPr>
      </w:pPr>
    </w:p>
    <w:p>
      <w:pPr>
        <w:pStyle w:val="BodyText"/>
        <w:rPr>
          <w:sz w:val="20"/>
        </w:rPr>
      </w:pPr>
    </w:p>
    <w:p>
      <w:pPr>
        <w:spacing w:line="360" w:lineRule="auto" w:before="159"/>
        <w:ind w:left="162" w:right="219" w:firstLine="0"/>
        <w:jc w:val="both"/>
        <w:rPr>
          <w:sz w:val="24"/>
        </w:rPr>
      </w:pPr>
      <w:r>
        <w:rPr>
          <w:sz w:val="24"/>
        </w:rPr>
        <w:t>Por tanto, el espacio tiene su origen en el proceso de transformación de las características naturales y geográficas del territorio. “</w:t>
      </w:r>
      <w:r>
        <w:rPr>
          <w:i/>
          <w:sz w:val="24"/>
        </w:rPr>
        <w:t>Hoy en día, el espacio es un </w:t>
      </w:r>
      <w:r>
        <w:rPr>
          <w:i/>
          <w:sz w:val="24"/>
        </w:rPr>
        <w:t>sistema de objetos cada vez más artificial, poblado por sistemas de acciones igualmente inspirados de artificialidad y cada vez más tendientes a fines extraños al lugar y a sus habitantes</w:t>
      </w:r>
      <w:r>
        <w:rPr>
          <w:sz w:val="24"/>
        </w:rPr>
        <w:t>” (Santos, 2000: 54).</w:t>
      </w:r>
    </w:p>
    <w:p>
      <w:pPr>
        <w:spacing w:line="360" w:lineRule="auto" w:before="204"/>
        <w:ind w:left="162" w:right="215" w:firstLine="0"/>
        <w:jc w:val="both"/>
        <w:rPr>
          <w:sz w:val="24"/>
        </w:rPr>
      </w:pPr>
      <w:r>
        <w:rPr>
          <w:sz w:val="24"/>
        </w:rPr>
        <w:t>Como conclusión el estudio del “</w:t>
      </w:r>
      <w:r>
        <w:rPr>
          <w:i/>
          <w:sz w:val="24"/>
        </w:rPr>
        <w:t>espacio debe situarse con relación a otras </w:t>
      </w:r>
      <w:r>
        <w:rPr>
          <w:i/>
          <w:sz w:val="24"/>
        </w:rPr>
        <w:t>realidades: la naturaleza y la sociedad. Para satisfacer las demandas de uso, los hombres modifican su medio ambiente natural y construyen en el sentido más amplio del término espacio” </w:t>
      </w:r>
      <w:r>
        <w:rPr>
          <w:sz w:val="24"/>
        </w:rPr>
        <w:t>(Browne, 1978). Puede tratarse de espacios cerrados por medio de levantamiento de estructuras físicas (viviendas, oficinas, templos) o de habitar espacios abiertos (calles, plazas, parques). En cualquier caso se trata de crear espacios habitables que los protejan de los riesgos naturales y sociales mientras desarrollan sus actividades.</w:t>
      </w:r>
    </w:p>
    <w:p>
      <w:pPr>
        <w:spacing w:line="360" w:lineRule="auto" w:before="202"/>
        <w:ind w:left="162" w:right="215" w:firstLine="0"/>
        <w:jc w:val="both"/>
        <w:rPr>
          <w:sz w:val="24"/>
        </w:rPr>
      </w:pPr>
      <w:r>
        <w:rPr>
          <w:sz w:val="24"/>
        </w:rPr>
        <w:t>El espacio urbano en el cual están ubicadas las viviendas también “</w:t>
      </w:r>
      <w:r>
        <w:rPr>
          <w:i/>
          <w:sz w:val="24"/>
        </w:rPr>
        <w:t>se le concibe </w:t>
      </w:r>
      <w:r>
        <w:rPr>
          <w:i/>
          <w:sz w:val="24"/>
        </w:rPr>
        <w:t>como espacio edificado, existiendo un distanciamiento con el centro de la ciudad, ocasionando una gran cantidad de centros urbanos sin urbanidad” </w:t>
      </w:r>
      <w:r>
        <w:rPr>
          <w:sz w:val="24"/>
        </w:rPr>
        <w:t>(Mariani, 2013). La </w:t>
      </w:r>
      <w:r>
        <w:rPr>
          <w:sz w:val="19"/>
        </w:rPr>
        <w:t>ZMT </w:t>
      </w:r>
      <w:r>
        <w:rPr>
          <w:sz w:val="24"/>
        </w:rPr>
        <w:t>no es primordialmente un conjunto de casas habitables. En Teoría los conjuntos habitacionales periféricos deberían tener garantizado su acceso y conexión con el resto de la </w:t>
      </w:r>
      <w:r>
        <w:rPr>
          <w:sz w:val="19"/>
        </w:rPr>
        <w:t>ZMT</w:t>
      </w:r>
      <w:r>
        <w:rPr>
          <w:sz w:val="24"/>
        </w:rPr>
        <w:t>, lo cual no sucede.</w:t>
      </w:r>
    </w:p>
    <w:p>
      <w:pPr>
        <w:spacing w:after="0" w:line="360" w:lineRule="auto"/>
        <w:jc w:val="both"/>
        <w:rPr>
          <w:sz w:val="24"/>
        </w:rPr>
        <w:sectPr>
          <w:pgSz w:w="12240" w:h="15840"/>
          <w:pgMar w:header="0" w:footer="1003" w:top="1360" w:bottom="1200" w:left="1540" w:right="1480"/>
        </w:sectPr>
      </w:pPr>
    </w:p>
    <w:p>
      <w:pPr>
        <w:pStyle w:val="ListParagraph"/>
        <w:numPr>
          <w:ilvl w:val="2"/>
          <w:numId w:val="9"/>
        </w:numPr>
        <w:tabs>
          <w:tab w:pos="594" w:val="left" w:leader="none"/>
        </w:tabs>
        <w:spacing w:line="240" w:lineRule="auto" w:before="56" w:after="0"/>
        <w:ind w:left="593" w:right="0" w:hanging="491"/>
        <w:jc w:val="both"/>
        <w:rPr>
          <w:rFonts w:ascii="Cambria"/>
          <w:b/>
          <w:color w:val="4F81BC"/>
          <w:sz w:val="22"/>
        </w:rPr>
      </w:pPr>
      <w:r>
        <w:rPr>
          <w:rFonts w:ascii="Cambria"/>
          <w:b/>
          <w:color w:val="4F81BC"/>
          <w:sz w:val="22"/>
        </w:rPr>
        <w:t>Concepto de espacio</w:t>
      </w:r>
      <w:r>
        <w:rPr>
          <w:rFonts w:ascii="Cambria"/>
          <w:b/>
          <w:color w:val="4F81BC"/>
          <w:spacing w:val="-8"/>
          <w:sz w:val="22"/>
        </w:rPr>
        <w:t> </w:t>
      </w:r>
      <w:r>
        <w:rPr>
          <w:rFonts w:ascii="Cambria"/>
          <w:b/>
          <w:color w:val="4F81BC"/>
          <w:sz w:val="22"/>
        </w:rPr>
        <w:t>urbano</w:t>
      </w:r>
    </w:p>
    <w:p>
      <w:pPr>
        <w:pStyle w:val="BodyText"/>
        <w:rPr>
          <w:rFonts w:ascii="Cambria"/>
          <w:b/>
          <w:sz w:val="22"/>
        </w:rPr>
      </w:pPr>
    </w:p>
    <w:p>
      <w:pPr>
        <w:pStyle w:val="BodyText"/>
        <w:rPr>
          <w:rFonts w:ascii="Cambria"/>
          <w:b/>
          <w:sz w:val="22"/>
        </w:rPr>
      </w:pPr>
    </w:p>
    <w:p>
      <w:pPr>
        <w:spacing w:line="360" w:lineRule="auto" w:before="134"/>
        <w:ind w:left="102" w:right="112" w:firstLine="0"/>
        <w:jc w:val="both"/>
        <w:rPr>
          <w:sz w:val="24"/>
        </w:rPr>
      </w:pPr>
      <w:r>
        <w:rPr>
          <w:sz w:val="24"/>
        </w:rPr>
        <w:t>El espacio urbano es “</w:t>
      </w:r>
      <w:r>
        <w:rPr>
          <w:i/>
          <w:sz w:val="24"/>
        </w:rPr>
        <w:t>entendido por los habitantes de la ciudad como el emisor de </w:t>
      </w:r>
      <w:r>
        <w:rPr>
          <w:i/>
          <w:sz w:val="24"/>
        </w:rPr>
        <w:t>servicios de todo tipo (vivienda, educativo, sanitario, financiero, cultural, de ocio)” </w:t>
      </w:r>
      <w:r>
        <w:rPr>
          <w:sz w:val="24"/>
        </w:rPr>
        <w:t>(Gutiérrez, 2007) y productos de alto valor añadido para la población que radica en esta zona metropolitana del país.</w:t>
      </w:r>
    </w:p>
    <w:p>
      <w:pPr>
        <w:spacing w:line="360" w:lineRule="auto" w:before="202"/>
        <w:ind w:left="102" w:right="118" w:firstLine="0"/>
        <w:jc w:val="both"/>
        <w:rPr>
          <w:sz w:val="24"/>
        </w:rPr>
      </w:pPr>
      <w:r>
        <w:rPr>
          <w:sz w:val="24"/>
        </w:rPr>
        <w:t>Se puede expresar que el “</w:t>
      </w:r>
      <w:r>
        <w:rPr>
          <w:i/>
          <w:sz w:val="24"/>
        </w:rPr>
        <w:t>espacio urbano debe ser entendido como una relación </w:t>
      </w:r>
      <w:r>
        <w:rPr>
          <w:i/>
          <w:sz w:val="24"/>
        </w:rPr>
        <w:t>entre objetos porque estos existen y se relacionan entre sí, una manera de concebir el espacio urbano es como un espacio social” </w:t>
      </w:r>
      <w:r>
        <w:rPr>
          <w:sz w:val="24"/>
        </w:rPr>
        <w:t>(Harvey, 1979). Es compuesto por un conjunto de sentimientos, imágenes y reacciones con respecto al simbolismo espacial que rodea al individuo, por lo que la relación sociedad espacio se vuelve una necesidad para entender las relaciones sociales, particularmente aquellas que se derivan de los fenómenos urbanos, es decir del espacio urbano.</w:t>
      </w:r>
    </w:p>
    <w:p>
      <w:pPr>
        <w:spacing w:line="360" w:lineRule="auto" w:before="202"/>
        <w:ind w:left="102" w:right="118" w:firstLine="0"/>
        <w:jc w:val="both"/>
        <w:rPr>
          <w:sz w:val="24"/>
        </w:rPr>
      </w:pPr>
      <w:r>
        <w:rPr>
          <w:sz w:val="24"/>
        </w:rPr>
        <w:t>Para entender el espacio urbano, “</w:t>
      </w:r>
      <w:r>
        <w:rPr>
          <w:i/>
          <w:sz w:val="24"/>
        </w:rPr>
        <w:t>una aproximación es a partir de su </w:t>
      </w:r>
      <w:r>
        <w:rPr>
          <w:i/>
          <w:sz w:val="24"/>
        </w:rPr>
        <w:t>representación en objetos físicos, reconociendo a la ciudad como el ámbito donde se desarrollan las relaciones sociales” </w:t>
      </w:r>
      <w:r>
        <w:rPr>
          <w:sz w:val="24"/>
        </w:rPr>
        <w:t>(Becerril, 2012). Entonces el problema urbano de la </w:t>
      </w:r>
      <w:r>
        <w:rPr>
          <w:i/>
          <w:sz w:val="24"/>
        </w:rPr>
        <w:t>habitabilidad </w:t>
      </w:r>
      <w:r>
        <w:rPr>
          <w:sz w:val="24"/>
        </w:rPr>
        <w:t>de las viviendas en la </w:t>
      </w:r>
      <w:r>
        <w:rPr>
          <w:sz w:val="19"/>
        </w:rPr>
        <w:t>ZMT</w:t>
      </w:r>
      <w:r>
        <w:rPr>
          <w:sz w:val="24"/>
        </w:rPr>
        <w:t>, es decir, no contar con servicios públicos, sin bienes en la vivienda y materiales de construcción inadecuados está íntimamente relacionado con la vida cotidiana, ya que las relaciones sociales con el sistema capitalista se reproducen todos los días por medio de la utilización cotidiana del espacio.</w:t>
      </w:r>
    </w:p>
    <w:p>
      <w:pPr>
        <w:spacing w:line="360" w:lineRule="auto" w:before="204"/>
        <w:ind w:left="102" w:right="117" w:firstLine="0"/>
        <w:jc w:val="both"/>
        <w:rPr>
          <w:sz w:val="24"/>
        </w:rPr>
      </w:pPr>
      <w:r>
        <w:rPr>
          <w:sz w:val="24"/>
        </w:rPr>
        <w:t>El espacio constituye el desarrollo de actividades sociales y económicas manifestadas en las relaciones sociales como forma de representación más  directa de la intervención del hombre sobre el espacio. Existen instituciones que regulan, ordenan y orientan la trasformación del espacio urbano, mediante instrumentos de planeación, jurídica y administrativa. “</w:t>
      </w:r>
      <w:r>
        <w:rPr>
          <w:i/>
          <w:sz w:val="24"/>
        </w:rPr>
        <w:t>Los instrumentos como el </w:t>
      </w:r>
      <w:r>
        <w:rPr>
          <w:i/>
          <w:sz w:val="24"/>
        </w:rPr>
        <w:t>conjunto de elementos, financieros, fiscales, sociales, administrativos y legales  que fomentan, coordinan, regulan y controlan diversos aspectos que inciden en el desarrollo urbano de la ciudad</w:t>
      </w:r>
      <w:r>
        <w:rPr>
          <w:sz w:val="24"/>
        </w:rPr>
        <w:t>“ (Gutiérrez,</w:t>
      </w:r>
      <w:r>
        <w:rPr>
          <w:spacing w:val="-18"/>
          <w:sz w:val="24"/>
        </w:rPr>
        <w:t> </w:t>
      </w:r>
      <w:r>
        <w:rPr>
          <w:sz w:val="24"/>
        </w:rPr>
        <w:t>2007).</w:t>
      </w:r>
    </w:p>
    <w:p>
      <w:pPr>
        <w:spacing w:after="0" w:line="360" w:lineRule="auto"/>
        <w:jc w:val="both"/>
        <w:rPr>
          <w:sz w:val="24"/>
        </w:rPr>
        <w:sectPr>
          <w:pgSz w:w="12240" w:h="15840"/>
          <w:pgMar w:header="0" w:footer="1003" w:top="1360" w:bottom="1200" w:left="1600" w:right="1580"/>
        </w:sectPr>
      </w:pPr>
    </w:p>
    <w:p>
      <w:pPr>
        <w:pStyle w:val="BodyText"/>
        <w:spacing w:before="54"/>
        <w:ind w:left="385" w:hanging="284"/>
      </w:pPr>
      <w:r>
        <w:rPr/>
        <w:t>Dentro del espacio urbano se da una característica particular el precio del suelo.</w:t>
      </w:r>
    </w:p>
    <w:p>
      <w:pPr>
        <w:pStyle w:val="BodyText"/>
        <w:rPr>
          <w:sz w:val="29"/>
        </w:rPr>
      </w:pPr>
    </w:p>
    <w:p>
      <w:pPr>
        <w:spacing w:line="240" w:lineRule="auto" w:before="0"/>
        <w:ind w:left="385" w:right="447" w:firstLine="0"/>
        <w:jc w:val="both"/>
        <w:rPr>
          <w:sz w:val="24"/>
        </w:rPr>
      </w:pPr>
      <w:r>
        <w:rPr>
          <w:sz w:val="24"/>
        </w:rPr>
        <w:t>“</w:t>
      </w:r>
      <w:r>
        <w:rPr>
          <w:i/>
          <w:sz w:val="24"/>
        </w:rPr>
        <w:t>El alto precio del suelo, resultado de </w:t>
      </w:r>
      <w:r>
        <w:rPr>
          <w:i/>
          <w:spacing w:val="2"/>
          <w:sz w:val="24"/>
        </w:rPr>
        <w:t>la </w:t>
      </w:r>
      <w:r>
        <w:rPr>
          <w:i/>
          <w:sz w:val="24"/>
        </w:rPr>
        <w:t>alta demanda de viviendas, locales </w:t>
      </w:r>
      <w:r>
        <w:rPr>
          <w:i/>
          <w:sz w:val="24"/>
        </w:rPr>
        <w:t>comerciales y todo tipo de actividades económicas, la falta de infraestructuras homogéneas en la ciudad y la falta de cobro de impuestos al suelo adecuados, refuerza que se presente una densificación de viviendas en altura, aun cuando esto también es producto de la localización“ </w:t>
      </w:r>
      <w:r>
        <w:rPr>
          <w:sz w:val="24"/>
        </w:rPr>
        <w:t>(Ceballos, 2006).</w:t>
      </w:r>
    </w:p>
    <w:p>
      <w:pPr>
        <w:pStyle w:val="BodyText"/>
        <w:spacing w:line="360" w:lineRule="auto" w:before="201"/>
        <w:ind w:left="102" w:right="123"/>
        <w:jc w:val="both"/>
      </w:pPr>
      <w:r>
        <w:rPr/>
        <w:t>Las viviendas ocupan un espacio dentro de esta zona metropolitana, las cuales presentan diferentes tipologías y deterioros, los cuales han surgido a través del tiempo, ya que en cierto momento funcionaron, pero hoy en día presentan deficiencias ocasionando que las viviendas en ciertos casos lleguen a ser inhabitables para sus moradores.</w:t>
      </w:r>
    </w:p>
    <w:p>
      <w:pPr>
        <w:pStyle w:val="BodyText"/>
        <w:spacing w:line="360" w:lineRule="auto" w:before="204"/>
        <w:ind w:left="102" w:right="116"/>
        <w:jc w:val="both"/>
      </w:pPr>
      <w:r>
        <w:rPr/>
        <w:t>La ubicación de viviendas dentro del espacio urbano en la periferia de la zona metropolitana, está sufriendo un proceso de deterioro, ya que desde que las viviendas se construyeron no contaban con la infraestructura necesaria o por la urbanización ya no cuentan con los servicios, ni equipamientos adecuados, además actualmente cuentan con problemas de seguridad en una diversidad de clases sociales.</w:t>
      </w:r>
    </w:p>
    <w:p>
      <w:pPr>
        <w:pStyle w:val="BodyText"/>
        <w:spacing w:line="360" w:lineRule="auto" w:before="202"/>
        <w:ind w:left="102" w:right="119"/>
        <w:jc w:val="both"/>
      </w:pPr>
      <w:r>
        <w:rPr/>
        <w:t>Recuperar la </w:t>
      </w:r>
      <w:r>
        <w:rPr>
          <w:i/>
        </w:rPr>
        <w:t>habitabilidad </w:t>
      </w:r>
      <w:r>
        <w:rPr/>
        <w:t>de estas viviendas, es decir, brindar servicios públicos de calidad dentro del espacio urbano puede mejorar la calidad de vida de las personas que viven en los municipios estudiados, con el resto de la trama urbana, con acciones concretas como la localización de espacios públicos, edificaciones relevantes, reorganización del transporte, definir la centralidad y el mejoramiento de la conectividad desde el centro de la ciudad hacia la periferia lo cual en términos económicos atrae inversión y desarrollo</w:t>
      </w:r>
      <w:r>
        <w:rPr>
          <w:spacing w:val="-21"/>
        </w:rPr>
        <w:t> </w:t>
      </w:r>
      <w:r>
        <w:rPr/>
        <w:t>económico.</w:t>
      </w:r>
    </w:p>
    <w:p>
      <w:pPr>
        <w:pStyle w:val="BodyText"/>
        <w:spacing w:line="360" w:lineRule="auto" w:before="205"/>
        <w:ind w:left="102" w:right="116"/>
        <w:jc w:val="both"/>
      </w:pPr>
      <w:r>
        <w:rPr/>
        <w:t>Para dar continuidad al tejido urbano en los municipios de la zona metropolitana  en estudio se debe realizar; una mejora en la calidad de las viviendas de baja calidad constructiva, intensificar el uso del suelo incrementando la densidad y dando lugar a más actividades comerciales y equipamiento público. De esta manera se abre paso la integración de nuevas tipologías de viviendas de </w:t>
      </w:r>
      <w:r>
        <w:rPr>
          <w:spacing w:val="37"/>
        </w:rPr>
        <w:t> </w:t>
      </w:r>
      <w:r>
        <w:rPr/>
        <w:t>acuerdo</w:t>
      </w:r>
    </w:p>
    <w:p>
      <w:pPr>
        <w:spacing w:after="0" w:line="360" w:lineRule="auto"/>
        <w:jc w:val="both"/>
        <w:sectPr>
          <w:pgSz w:w="12240" w:h="15840"/>
          <w:pgMar w:header="0" w:footer="1003" w:top="1360" w:bottom="1200" w:left="1600" w:right="1580"/>
        </w:sectPr>
      </w:pPr>
    </w:p>
    <w:p>
      <w:pPr>
        <w:pStyle w:val="BodyText"/>
        <w:spacing w:line="360" w:lineRule="auto" w:before="54"/>
        <w:ind w:left="102" w:right="122"/>
        <w:jc w:val="both"/>
      </w:pPr>
      <w:r>
        <w:rPr/>
        <w:t>a las características de los habitantes, considerando los cambios que han sufrido el núcleo familiar y el crecimiento en las expectativas de</w:t>
      </w:r>
      <w:r>
        <w:rPr>
          <w:spacing w:val="-16"/>
        </w:rPr>
        <w:t> </w:t>
      </w:r>
      <w:r>
        <w:rPr/>
        <w:t>vida.</w:t>
      </w:r>
    </w:p>
    <w:p>
      <w:pPr>
        <w:pStyle w:val="BodyText"/>
        <w:spacing w:line="360" w:lineRule="auto" w:before="204"/>
        <w:ind w:left="102" w:right="116"/>
        <w:jc w:val="both"/>
      </w:pPr>
      <w:r>
        <w:rPr/>
        <w:t>El espacio urbano es fundamental ya que sirve como una herramienta para intensificar los movimientos en una sección, para así activar los vacíos que  existan, prevaleciendo la lógica y heterogeneidad</w:t>
      </w:r>
      <w:r>
        <w:rPr>
          <w:b/>
        </w:rPr>
        <w:t>. </w:t>
      </w:r>
      <w:r>
        <w:rPr/>
        <w:t>Este espacio urbano está en directa relación con el estatus de propiedad de la vivienda. La característica distintiva de las viviendas como espacio urbano es su grado de </w:t>
      </w:r>
      <w:r>
        <w:rPr>
          <w:i/>
        </w:rPr>
        <w:t>habitabilidad </w:t>
      </w:r>
      <w:r>
        <w:rPr/>
        <w:t>o la posibilidad de uso sin restricciones para cualquier</w:t>
      </w:r>
      <w:r>
        <w:rPr>
          <w:spacing w:val="-18"/>
        </w:rPr>
        <w:t> </w:t>
      </w:r>
      <w:r>
        <w:rPr/>
        <w:t>persona.</w:t>
      </w:r>
    </w:p>
    <w:p>
      <w:pPr>
        <w:pStyle w:val="BodyText"/>
        <w:spacing w:line="360" w:lineRule="auto" w:before="202"/>
        <w:ind w:left="102" w:right="116"/>
        <w:jc w:val="both"/>
      </w:pPr>
      <w:r>
        <w:rPr/>
        <w:t>Mejorar la </w:t>
      </w:r>
      <w:r>
        <w:rPr>
          <w:i/>
        </w:rPr>
        <w:t>habitabilidad </w:t>
      </w:r>
      <w:r>
        <w:rPr/>
        <w:t>en las viviendas en la </w:t>
      </w:r>
      <w:r>
        <w:rPr>
          <w:sz w:val="19"/>
        </w:rPr>
        <w:t>ZMT</w:t>
      </w:r>
      <w:r>
        <w:rPr/>
        <w:t>, dentro del desarrollo de la ciudad pasa por elevar las condiciones de vida de los habitantes, a través del mejoramiento de la estructura urbana y el espacio urbano, además de intensificar el uso de suelo habitable de acuerdo a su ubicación.</w:t>
      </w:r>
    </w:p>
    <w:p>
      <w:pPr>
        <w:pStyle w:val="BodyText"/>
        <w:spacing w:line="360" w:lineRule="auto" w:before="204"/>
        <w:ind w:left="102" w:right="116"/>
        <w:jc w:val="both"/>
      </w:pPr>
      <w:r>
        <w:rPr/>
        <w:t>El espacio urbano es considerado en la investigación como prioridad de la habitabilidad de las viviendas, ya que son necesidades de la población, como lo es la red vial, los parques, espacios apropiados para diversas actividades y necesidades fisiológicas de quienes ocupan ese espacio.</w:t>
      </w:r>
    </w:p>
    <w:p>
      <w:pPr>
        <w:spacing w:line="360" w:lineRule="auto" w:before="202"/>
        <w:ind w:left="102" w:right="115" w:firstLine="0"/>
        <w:jc w:val="both"/>
        <w:rPr>
          <w:sz w:val="24"/>
        </w:rPr>
      </w:pPr>
      <w:r>
        <w:rPr>
          <w:i/>
          <w:sz w:val="24"/>
        </w:rPr>
        <w:t>“El diseño urbano moderno del siglo </w:t>
      </w:r>
      <w:r>
        <w:rPr>
          <w:i/>
          <w:sz w:val="19"/>
        </w:rPr>
        <w:t>XXI </w:t>
      </w:r>
      <w:r>
        <w:rPr>
          <w:i/>
          <w:sz w:val="24"/>
        </w:rPr>
        <w:t>ha generado ciudades insostenibles en el </w:t>
      </w:r>
      <w:r>
        <w:rPr>
          <w:i/>
          <w:sz w:val="24"/>
        </w:rPr>
        <w:t>tiempo, altos índices de contaminación ambiental, inhabitabilidad de las viviendas, exceso de fricción social, individualización horizontal y vertical del escenario urbano” </w:t>
      </w:r>
      <w:r>
        <w:rPr>
          <w:sz w:val="24"/>
        </w:rPr>
        <w:t>(</w:t>
      </w:r>
      <w:r>
        <w:rPr>
          <w:sz w:val="19"/>
        </w:rPr>
        <w:t>UPV</w:t>
      </w:r>
      <w:r>
        <w:rPr>
          <w:sz w:val="24"/>
        </w:rPr>
        <w:t>, 2009). El proceso mental previo al proceso creativo de espacios urbanos debe ser la conceptualización. En él se definen los principales conceptos que regirán el diseño de la </w:t>
      </w:r>
      <w:r>
        <w:rPr>
          <w:i/>
          <w:sz w:val="24"/>
        </w:rPr>
        <w:t>habitabilidad urbana</w:t>
      </w:r>
      <w:r>
        <w:rPr>
          <w:sz w:val="24"/>
        </w:rPr>
        <w:t>.</w:t>
      </w:r>
    </w:p>
    <w:p>
      <w:pPr>
        <w:pStyle w:val="BodyText"/>
        <w:spacing w:line="360" w:lineRule="auto" w:before="205"/>
        <w:ind w:left="102" w:right="114"/>
        <w:jc w:val="both"/>
      </w:pPr>
      <w:r>
        <w:rPr/>
        <w:t>El nuevo paradigma es la transformación del </w:t>
      </w:r>
      <w:r>
        <w:rPr>
          <w:i/>
        </w:rPr>
        <w:t>hábitat</w:t>
      </w:r>
      <w:r>
        <w:rPr/>
        <w:t>. Es factible concebir espacios urbanos como las viviendas habitables, que propicien el desarrollo de la sociedad. En párrafos posteriores se define la noción de vivienda que se ubica en un primer lugar, por las políticas o planes de desarrollo, presentándose en un  espacio urbano donde se pretende ser visible la habitabilidad de las viviendas en los espacios públicos y privados de la zona metropolitana.</w:t>
      </w:r>
    </w:p>
    <w:p>
      <w:pPr>
        <w:spacing w:after="0" w:line="360" w:lineRule="auto"/>
        <w:jc w:val="both"/>
        <w:sectPr>
          <w:pgSz w:w="12240" w:h="15840"/>
          <w:pgMar w:header="0" w:footer="1003" w:top="1360" w:bottom="1200" w:left="1600" w:right="1580"/>
        </w:sectPr>
      </w:pPr>
    </w:p>
    <w:p>
      <w:pPr>
        <w:pStyle w:val="Heading3"/>
        <w:numPr>
          <w:ilvl w:val="2"/>
          <w:numId w:val="9"/>
        </w:numPr>
        <w:tabs>
          <w:tab w:pos="741" w:val="left" w:leader="none"/>
        </w:tabs>
        <w:spacing w:line="240" w:lineRule="auto" w:before="36" w:after="0"/>
        <w:ind w:left="740" w:right="0" w:hanging="638"/>
        <w:jc w:val="both"/>
        <w:rPr>
          <w:color w:val="4F81BC"/>
        </w:rPr>
      </w:pPr>
      <w:bookmarkStart w:name="_TOC_250027" w:id="7"/>
      <w:r>
        <w:rPr>
          <w:color w:val="4F81BC"/>
        </w:rPr>
        <w:t>Espacio público y</w:t>
      </w:r>
      <w:r>
        <w:rPr>
          <w:color w:val="4F81BC"/>
          <w:spacing w:val="-13"/>
        </w:rPr>
        <w:t> </w:t>
      </w:r>
      <w:bookmarkEnd w:id="7"/>
      <w:r>
        <w:rPr>
          <w:color w:val="4F81BC"/>
        </w:rPr>
        <w:t>privado</w:t>
      </w:r>
    </w:p>
    <w:p>
      <w:pPr>
        <w:pStyle w:val="BodyText"/>
        <w:rPr>
          <w:rFonts w:ascii="Cambria"/>
          <w:b/>
          <w:sz w:val="26"/>
        </w:rPr>
      </w:pPr>
    </w:p>
    <w:p>
      <w:pPr>
        <w:pStyle w:val="BodyText"/>
        <w:spacing w:before="1"/>
        <w:rPr>
          <w:rFonts w:ascii="Cambria"/>
          <w:b/>
          <w:sz w:val="30"/>
        </w:rPr>
      </w:pPr>
    </w:p>
    <w:p>
      <w:pPr>
        <w:pStyle w:val="BodyText"/>
        <w:spacing w:line="360" w:lineRule="auto"/>
        <w:ind w:left="102" w:right="99"/>
        <w:jc w:val="both"/>
      </w:pPr>
      <w:r>
        <w:rPr/>
        <w:t>Dentro del espacio urbano de la </w:t>
      </w:r>
      <w:r>
        <w:rPr>
          <w:sz w:val="19"/>
        </w:rPr>
        <w:t>ZMT</w:t>
      </w:r>
      <w:r>
        <w:rPr/>
        <w:t>, se delimitan dos tipos de espacio los cuales son el espacio público y privado con los que cuentan los habitantes de esta zona. Son espacios dentro de la zona metropolitana donde los habitantes desarrollan sus actividades</w:t>
      </w:r>
      <w:r>
        <w:rPr>
          <w:spacing w:val="-6"/>
        </w:rPr>
        <w:t> </w:t>
      </w:r>
      <w:r>
        <w:rPr/>
        <w:t>cotidianas.</w:t>
      </w:r>
    </w:p>
    <w:p>
      <w:pPr>
        <w:pStyle w:val="ListParagraph"/>
        <w:numPr>
          <w:ilvl w:val="3"/>
          <w:numId w:val="9"/>
        </w:numPr>
        <w:tabs>
          <w:tab w:pos="823" w:val="left" w:leader="none"/>
        </w:tabs>
        <w:spacing w:line="240" w:lineRule="auto" w:before="206" w:after="0"/>
        <w:ind w:left="822" w:right="0" w:hanging="720"/>
        <w:jc w:val="both"/>
        <w:rPr>
          <w:rFonts w:ascii="Cambria" w:hAnsi="Cambria"/>
          <w:b/>
          <w:sz w:val="22"/>
        </w:rPr>
      </w:pPr>
      <w:r>
        <w:rPr>
          <w:rFonts w:ascii="Cambria" w:hAnsi="Cambria"/>
          <w:b/>
          <w:color w:val="4F81BC"/>
          <w:sz w:val="22"/>
        </w:rPr>
        <w:t>Espacio</w:t>
      </w:r>
      <w:r>
        <w:rPr>
          <w:rFonts w:ascii="Cambria" w:hAnsi="Cambria"/>
          <w:b/>
          <w:color w:val="4F81BC"/>
          <w:spacing w:val="-7"/>
          <w:sz w:val="22"/>
        </w:rPr>
        <w:t> </w:t>
      </w:r>
      <w:r>
        <w:rPr>
          <w:rFonts w:ascii="Cambria" w:hAnsi="Cambria"/>
          <w:b/>
          <w:color w:val="4F81BC"/>
          <w:sz w:val="22"/>
        </w:rPr>
        <w:t>público</w:t>
      </w:r>
    </w:p>
    <w:p>
      <w:pPr>
        <w:pStyle w:val="BodyText"/>
        <w:rPr>
          <w:rFonts w:ascii="Cambria"/>
          <w:b/>
          <w:sz w:val="22"/>
        </w:rPr>
      </w:pPr>
    </w:p>
    <w:p>
      <w:pPr>
        <w:pStyle w:val="BodyText"/>
        <w:spacing w:before="11"/>
        <w:rPr>
          <w:rFonts w:ascii="Cambria"/>
          <w:b/>
          <w:sz w:val="26"/>
        </w:rPr>
      </w:pPr>
    </w:p>
    <w:p>
      <w:pPr>
        <w:spacing w:line="360" w:lineRule="auto" w:before="0"/>
        <w:ind w:left="102" w:right="98" w:firstLine="0"/>
        <w:jc w:val="both"/>
        <w:rPr>
          <w:sz w:val="24"/>
        </w:rPr>
      </w:pPr>
      <w:r>
        <w:rPr>
          <w:sz w:val="24"/>
        </w:rPr>
        <w:t>El concepto de espacio público, está presente en la medida en que los habitantes encuentren disponible para el uso por parte de su familia, vecinos y amigos. Público es un adjetivo que califica a la cosa que para nuestro asunto es el espacio, identificado un bien de propiedad, disposición y uso común. “</w:t>
      </w:r>
      <w:r>
        <w:rPr>
          <w:i/>
          <w:sz w:val="24"/>
        </w:rPr>
        <w:t>El espacio público </w:t>
      </w:r>
      <w:r>
        <w:rPr>
          <w:i/>
          <w:sz w:val="24"/>
        </w:rPr>
        <w:t>expresa el máximo grado de libertad, a su vez, es ámbito productor de cultura urbana, que en ocasiones transgrede las regulaciones impuestas</w:t>
      </w:r>
      <w:r>
        <w:rPr>
          <w:sz w:val="24"/>
        </w:rPr>
        <w:t>” (López, 2012).</w:t>
      </w:r>
    </w:p>
    <w:p>
      <w:pPr>
        <w:pStyle w:val="BodyText"/>
        <w:spacing w:line="360" w:lineRule="auto" w:before="206"/>
        <w:ind w:left="102" w:right="100"/>
        <w:jc w:val="both"/>
      </w:pPr>
      <w:r>
        <w:rPr/>
        <w:t>La idea de que el espacio público es de todos tiene muchos siglos de existencia, pero también la condición del espacio público como lugar normado y administrado por alguien que ejerce dominio. Lo público deviene en sí mismo un espacio urbano donde lo privado se hace presente con desigualdades entre los ciudadanos. Por no contar con espacios públicos para</w:t>
      </w:r>
      <w:r>
        <w:rPr>
          <w:spacing w:val="-21"/>
        </w:rPr>
        <w:t> </w:t>
      </w:r>
      <w:r>
        <w:rPr/>
        <w:t>sociabilizar.</w:t>
      </w:r>
    </w:p>
    <w:p>
      <w:pPr>
        <w:spacing w:line="360" w:lineRule="auto" w:before="202"/>
        <w:ind w:left="102" w:right="105" w:firstLine="0"/>
        <w:jc w:val="both"/>
        <w:rPr>
          <w:sz w:val="24"/>
        </w:rPr>
      </w:pPr>
      <w:r>
        <w:rPr>
          <w:i/>
          <w:sz w:val="24"/>
        </w:rPr>
        <w:t>“La construcción del espacio público contemporáneo se entiende como perdido. El </w:t>
      </w:r>
      <w:r>
        <w:rPr>
          <w:i/>
          <w:sz w:val="24"/>
        </w:rPr>
        <w:t>espacio público es la libertad de la sociedad. Sin espacio público no hay libertad, calidad de vida, igualdad ni solidaridad” </w:t>
      </w:r>
      <w:r>
        <w:rPr>
          <w:sz w:val="24"/>
        </w:rPr>
        <w:t>(Borja, 2000).</w:t>
      </w:r>
    </w:p>
    <w:p>
      <w:pPr>
        <w:pStyle w:val="BodyText"/>
        <w:spacing w:line="360" w:lineRule="auto" w:before="207"/>
        <w:ind w:left="102" w:right="100"/>
        <w:jc w:val="both"/>
      </w:pPr>
      <w:r>
        <w:rPr/>
        <w:t>Dentro de los derechos humanos, se encuentra el derecho al espacio público, como parte fundamental del derecho a la ciudad. La ausencia de este espacio como derecho ha favorecido a la exclusión, la pérdida de identidad y comunicación, la segregación, movilidad, accesibilidad, privatización, la fragmentación e inseguridad. Además de limitar la práctica del deporte y la recreación e impide la participación de la</w:t>
      </w:r>
      <w:r>
        <w:rPr>
          <w:spacing w:val="-18"/>
        </w:rPr>
        <w:t> </w:t>
      </w:r>
      <w:r>
        <w:rPr/>
        <w:t>ciudadanía.</w:t>
      </w:r>
    </w:p>
    <w:p>
      <w:pPr>
        <w:spacing w:after="0" w:line="360" w:lineRule="auto"/>
        <w:jc w:val="both"/>
        <w:sectPr>
          <w:pgSz w:w="12240" w:h="15840"/>
          <w:pgMar w:header="0" w:footer="1003" w:top="1380" w:bottom="1200" w:left="1600" w:right="1600"/>
        </w:sectPr>
      </w:pPr>
    </w:p>
    <w:p>
      <w:pPr>
        <w:spacing w:line="360" w:lineRule="auto" w:before="52"/>
        <w:ind w:left="102" w:right="114" w:firstLine="0"/>
        <w:jc w:val="both"/>
        <w:rPr>
          <w:sz w:val="24"/>
        </w:rPr>
      </w:pPr>
      <w:r>
        <w:rPr>
          <w:sz w:val="24"/>
        </w:rPr>
        <w:t>Entre los derechos básicos de los ciudadanos, debía incluirse en “</w:t>
      </w:r>
      <w:r>
        <w:rPr>
          <w:i/>
          <w:sz w:val="24"/>
        </w:rPr>
        <w:t>el derecho de la </w:t>
      </w:r>
      <w:r>
        <w:rPr>
          <w:i/>
          <w:sz w:val="24"/>
        </w:rPr>
        <w:t>ciudad pues ello implicaba una garantía, para que los ciudadanos pudieran vivir en territorios dotados de espacios públicos adecuados para la sana convivencia, el desarrollo individual y colectivo, la cohesión social y la identidad cultural”  </w:t>
      </w:r>
      <w:r>
        <w:rPr>
          <w:sz w:val="24"/>
        </w:rPr>
        <w:t>(Lefebvre,</w:t>
      </w:r>
      <w:r>
        <w:rPr>
          <w:spacing w:val="-5"/>
          <w:sz w:val="24"/>
        </w:rPr>
        <w:t> </w:t>
      </w:r>
      <w:r>
        <w:rPr>
          <w:sz w:val="24"/>
        </w:rPr>
        <w:t>1968).</w:t>
      </w:r>
    </w:p>
    <w:p>
      <w:pPr>
        <w:spacing w:line="362" w:lineRule="auto" w:before="202"/>
        <w:ind w:left="102" w:right="114" w:firstLine="0"/>
        <w:jc w:val="both"/>
        <w:rPr>
          <w:sz w:val="24"/>
        </w:rPr>
      </w:pPr>
      <w:r>
        <w:rPr>
          <w:sz w:val="24"/>
        </w:rPr>
        <w:t>Cuando se habla del </w:t>
      </w:r>
      <w:r>
        <w:rPr>
          <w:i/>
          <w:sz w:val="24"/>
        </w:rPr>
        <w:t>derecho a la ciudad</w:t>
      </w:r>
      <w:r>
        <w:rPr>
          <w:sz w:val="24"/>
        </w:rPr>
        <w:t>, no pueden obviarse los aportes del geógrafo y urbanista español Jordi Borja, pues es quien le imprime una precisión “</w:t>
      </w:r>
      <w:r>
        <w:rPr>
          <w:i/>
          <w:sz w:val="24"/>
        </w:rPr>
        <w:t>conceptual clara donde está presente la calidad de vida y al derecho a la ciudad” </w:t>
      </w:r>
      <w:r>
        <w:rPr>
          <w:sz w:val="24"/>
        </w:rPr>
        <w:t>(Borja, 2000).</w:t>
      </w:r>
    </w:p>
    <w:p>
      <w:pPr>
        <w:spacing w:line="240" w:lineRule="auto" w:before="194"/>
        <w:ind w:left="385" w:right="453" w:firstLine="0"/>
        <w:jc w:val="both"/>
        <w:rPr>
          <w:sz w:val="24"/>
        </w:rPr>
      </w:pPr>
      <w:r>
        <w:rPr>
          <w:i/>
          <w:sz w:val="24"/>
        </w:rPr>
        <w:t>“El derecho a la ciudad comprende o se desagrega en los siguientes </w:t>
      </w:r>
      <w:r>
        <w:rPr>
          <w:i/>
          <w:sz w:val="24"/>
        </w:rPr>
        <w:t>derechos; derecho a la vivienda, derecho al lugar, derecho a servicios de calidad, derecho a la centralidad, espacio público y monumentalidad, derecho a la belleza, a la identidad comunitaria, a la movilidad y accesibilidad, a la inclusión, al gobierno de proximidad, a las nuevas tecnologías, a la independencia, a la justicia local, a la seguridad, a demandar cambios en la legalidad, a la calidad del medio ambiente, a la intimidad y a la diferencia, a igual status de ciudadanía, a la información a la representación y a la participación” </w:t>
      </w:r>
      <w:r>
        <w:rPr>
          <w:sz w:val="24"/>
        </w:rPr>
        <w:t>(López, 2012:</w:t>
      </w:r>
      <w:r>
        <w:rPr>
          <w:spacing w:val="-16"/>
          <w:sz w:val="24"/>
        </w:rPr>
        <w:t> </w:t>
      </w:r>
      <w:r>
        <w:rPr>
          <w:sz w:val="24"/>
        </w:rPr>
        <w:t>110).</w:t>
      </w:r>
    </w:p>
    <w:p>
      <w:pPr>
        <w:pStyle w:val="BodyText"/>
      </w:pPr>
    </w:p>
    <w:p>
      <w:pPr>
        <w:pStyle w:val="BodyText"/>
        <w:spacing w:before="10"/>
        <w:rPr>
          <w:sz w:val="34"/>
        </w:rPr>
      </w:pPr>
    </w:p>
    <w:p>
      <w:pPr>
        <w:spacing w:line="360" w:lineRule="auto" w:before="0"/>
        <w:ind w:left="102" w:right="115" w:firstLine="0"/>
        <w:jc w:val="both"/>
        <w:rPr>
          <w:sz w:val="24"/>
        </w:rPr>
      </w:pPr>
      <w:r>
        <w:rPr>
          <w:sz w:val="24"/>
        </w:rPr>
        <w:t>El espacio público desempeña un papel fundamental en “</w:t>
      </w:r>
      <w:r>
        <w:rPr>
          <w:i/>
          <w:sz w:val="24"/>
        </w:rPr>
        <w:t>la construcción del </w:t>
      </w:r>
      <w:r>
        <w:rPr>
          <w:i/>
          <w:sz w:val="24"/>
        </w:rPr>
        <w:t>territorio, ya que no sólo articula, estructura y ordena las diferentes actividades y usos del espacio urbano, sino que es por excelencia el escenario de la socialización colectiva de la ciudad” </w:t>
      </w:r>
      <w:r>
        <w:rPr>
          <w:sz w:val="24"/>
        </w:rPr>
        <w:t>(Pérez, 2004: 28).</w:t>
      </w:r>
    </w:p>
    <w:p>
      <w:pPr>
        <w:pStyle w:val="BodyText"/>
        <w:spacing w:line="360" w:lineRule="auto" w:before="206"/>
        <w:ind w:left="102" w:right="116"/>
        <w:jc w:val="both"/>
      </w:pPr>
      <w:r>
        <w:rPr/>
        <w:t>Este tipo de espacio público se percibe y define por Borja también como el espacio de todos, al cual todos pueden tener acceso. El concepto de espacio público  juega un papel importante en la ciudad, además de estar condicionado por la población en el uso restringido, para lo cual el usuario no necesita</w:t>
      </w:r>
      <w:r>
        <w:rPr>
          <w:spacing w:val="-29"/>
        </w:rPr>
        <w:t> </w:t>
      </w:r>
      <w:r>
        <w:rPr/>
        <w:t>pagar.</w:t>
      </w:r>
    </w:p>
    <w:p>
      <w:pPr>
        <w:pStyle w:val="BodyText"/>
        <w:spacing w:line="360" w:lineRule="auto" w:before="204"/>
        <w:ind w:left="102" w:right="117"/>
        <w:jc w:val="both"/>
      </w:pPr>
      <w:r>
        <w:rPr/>
        <w:t>El derecho al espacio público es la búsqueda de una mejor calidad de vida para las personas. Además de la protección de los derechos y libertades de los ciudadanos de forma igualitaria, son fundamentos sobre las cuales esta cimentado todo Estado</w:t>
      </w:r>
      <w:r>
        <w:rPr>
          <w:spacing w:val="-9"/>
        </w:rPr>
        <w:t> </w:t>
      </w:r>
      <w:r>
        <w:rPr/>
        <w:t>democrático.</w:t>
      </w:r>
    </w:p>
    <w:p>
      <w:pPr>
        <w:spacing w:after="0" w:line="360" w:lineRule="auto"/>
        <w:jc w:val="both"/>
        <w:sectPr>
          <w:pgSz w:w="12240" w:h="15840"/>
          <w:pgMar w:header="0" w:footer="1003" w:top="1360" w:bottom="1200" w:left="1600" w:right="1580"/>
        </w:sectPr>
      </w:pPr>
    </w:p>
    <w:p>
      <w:pPr>
        <w:pStyle w:val="BodyText"/>
        <w:spacing w:line="360" w:lineRule="auto" w:before="54"/>
        <w:ind w:left="102" w:right="117"/>
        <w:jc w:val="both"/>
      </w:pPr>
      <w:r>
        <w:rPr/>
        <w:t>Una manera de garantizar el cumplimiento de estos derechos es con la existencia y protección de espacios públicos ordenados y abiertos, como la plaza, el parque, la calle, espacios para la recreación, ocio y descanso, pues donde existen estos lugares, se mejora la moral, las condiciones de vida de la</w:t>
      </w:r>
      <w:r>
        <w:rPr>
          <w:spacing w:val="-25"/>
        </w:rPr>
        <w:t> </w:t>
      </w:r>
      <w:r>
        <w:rPr/>
        <w:t>ciudadanía.</w:t>
      </w:r>
    </w:p>
    <w:p>
      <w:pPr>
        <w:spacing w:line="360" w:lineRule="auto" w:before="204"/>
        <w:ind w:left="102" w:right="117" w:firstLine="0"/>
        <w:jc w:val="both"/>
        <w:rPr>
          <w:sz w:val="24"/>
        </w:rPr>
      </w:pPr>
      <w:r>
        <w:rPr>
          <w:sz w:val="24"/>
        </w:rPr>
        <w:t>El derecho al espacio público es un derecho emergente y colectivo, que pertenece a las más avanzadas tendencias contemporáneas del derecho público, abordado por el derecho ambiental y el derecho urbanístico. “</w:t>
      </w:r>
      <w:r>
        <w:rPr>
          <w:i/>
          <w:sz w:val="24"/>
        </w:rPr>
        <w:t>Se puede decir que el espacio </w:t>
      </w:r>
      <w:r>
        <w:rPr>
          <w:i/>
          <w:sz w:val="24"/>
        </w:rPr>
        <w:t>público es indispensable para la sana subsistencia humana urbana” </w:t>
      </w:r>
      <w:r>
        <w:rPr>
          <w:sz w:val="24"/>
        </w:rPr>
        <w:t>(Borja, 2000).</w:t>
      </w:r>
    </w:p>
    <w:p>
      <w:pPr>
        <w:pStyle w:val="BodyText"/>
        <w:spacing w:line="360" w:lineRule="auto" w:before="207"/>
        <w:ind w:left="102" w:right="117"/>
        <w:jc w:val="both"/>
      </w:pPr>
      <w:r>
        <w:rPr/>
        <w:t>No se puede hablar de ciudad sin espacio público como elemento articulador del territorio y de la sociedad</w:t>
      </w:r>
      <w:r>
        <w:rPr>
          <w:b/>
        </w:rPr>
        <w:t>. </w:t>
      </w:r>
      <w:r>
        <w:rPr/>
        <w:t>La planeación de las ciudades debe estar cimentada en políticas de espacios públicos, de manera que se garantice el uso y disfrute de todos los habitantes sin excepciones de ningún tipo.</w:t>
      </w:r>
    </w:p>
    <w:p>
      <w:pPr>
        <w:spacing w:line="360" w:lineRule="auto" w:before="202"/>
        <w:ind w:left="102" w:right="116" w:firstLine="0"/>
        <w:jc w:val="both"/>
        <w:rPr>
          <w:sz w:val="24"/>
        </w:rPr>
      </w:pPr>
      <w:r>
        <w:rPr>
          <w:i/>
          <w:sz w:val="24"/>
        </w:rPr>
        <w:t>“Todo ciudadano tiene derecho a hacer uso y a disfrutar del espacio público de </w:t>
      </w:r>
      <w:r>
        <w:rPr>
          <w:i/>
          <w:sz w:val="24"/>
        </w:rPr>
        <w:t>una ciudad sin discriminación, de modo que nadie, por más poder que ostente puede apropiarse, crearse o hacerse dueño de este; pues, el espacio público constituye un límite a la propiedad privada y a los intereses particulares” </w:t>
      </w:r>
      <w:r>
        <w:rPr>
          <w:sz w:val="24"/>
        </w:rPr>
        <w:t>(López, 2012:</w:t>
      </w:r>
      <w:r>
        <w:rPr>
          <w:spacing w:val="-5"/>
          <w:sz w:val="24"/>
        </w:rPr>
        <w:t> </w:t>
      </w:r>
      <w:r>
        <w:rPr>
          <w:sz w:val="24"/>
        </w:rPr>
        <w:t>132).</w:t>
      </w:r>
    </w:p>
    <w:p>
      <w:pPr>
        <w:pStyle w:val="BodyText"/>
        <w:spacing w:line="360" w:lineRule="auto" w:before="204"/>
        <w:ind w:left="102" w:right="116"/>
        <w:jc w:val="both"/>
      </w:pPr>
      <w:r>
        <w:rPr/>
        <w:t>En el siglo </w:t>
      </w:r>
      <w:r>
        <w:rPr>
          <w:sz w:val="19"/>
        </w:rPr>
        <w:t>XXI </w:t>
      </w:r>
      <w:r>
        <w:rPr/>
        <w:t>se están presentando una serie de trasformaciones del espacio público que afectan a la ciudadanía. Estas transformaciones están provocando la inhabitabilidad de las ciudades, como el cierre del plaza de los mártires en Toluca, por parte de la administración estatal y por ende conflictos entre el espacio público y privado. El espacio público se construye pues sobre el respeto a la dignidad y a los derechos que ella derivan.</w:t>
      </w:r>
    </w:p>
    <w:p>
      <w:pPr>
        <w:spacing w:line="360" w:lineRule="auto" w:before="202"/>
        <w:ind w:left="102" w:right="116" w:firstLine="0"/>
        <w:jc w:val="both"/>
        <w:rPr>
          <w:sz w:val="24"/>
        </w:rPr>
      </w:pPr>
      <w:r>
        <w:rPr>
          <w:sz w:val="24"/>
        </w:rPr>
        <w:t>Como menciona Jordi Borja, 2000, que “</w:t>
      </w:r>
      <w:r>
        <w:rPr>
          <w:i/>
          <w:sz w:val="24"/>
        </w:rPr>
        <w:t>el espacio público es el espacio principal </w:t>
      </w:r>
      <w:r>
        <w:rPr>
          <w:i/>
          <w:sz w:val="24"/>
        </w:rPr>
        <w:t>del urbanismo, de la cultura urbana y de la ciudadanía”</w:t>
      </w:r>
      <w:r>
        <w:rPr>
          <w:sz w:val="24"/>
        </w:rPr>
        <w:t>. Es un espacio físico, simbólico y político. El espacio público se puede ver como el de la comunicación y de la sociabilización entre los habitantes.</w:t>
      </w:r>
    </w:p>
    <w:p>
      <w:pPr>
        <w:spacing w:after="0" w:line="360" w:lineRule="auto"/>
        <w:jc w:val="both"/>
        <w:rPr>
          <w:sz w:val="24"/>
        </w:rPr>
        <w:sectPr>
          <w:pgSz w:w="12240" w:h="15840"/>
          <w:pgMar w:header="0" w:footer="1003" w:top="1360" w:bottom="1200" w:left="1600" w:right="1580"/>
        </w:sectPr>
      </w:pPr>
    </w:p>
    <w:p>
      <w:pPr>
        <w:pStyle w:val="BodyText"/>
        <w:spacing w:line="360" w:lineRule="auto" w:before="54"/>
        <w:ind w:left="102" w:right="120"/>
        <w:jc w:val="both"/>
      </w:pPr>
      <w:r>
        <w:rPr/>
        <w:t>La </w:t>
      </w:r>
      <w:r>
        <w:rPr>
          <w:sz w:val="19"/>
        </w:rPr>
        <w:t>ZMT </w:t>
      </w:r>
      <w:r>
        <w:rPr/>
        <w:t>se destaca por la transformación de los espacios públicos para la movilidad, por la congestión vehicular y su crecimiento desmesurado, por la absorción de municipios y por la realización de viajes largos dentro de la</w:t>
      </w:r>
      <w:r>
        <w:rPr>
          <w:spacing w:val="-29"/>
        </w:rPr>
        <w:t> </w:t>
      </w:r>
      <w:r>
        <w:rPr/>
        <w:t>ciudad.</w:t>
      </w:r>
    </w:p>
    <w:p>
      <w:pPr>
        <w:pStyle w:val="BodyText"/>
        <w:spacing w:line="360" w:lineRule="auto" w:before="204"/>
        <w:ind w:left="102" w:right="118"/>
        <w:jc w:val="both"/>
      </w:pPr>
      <w:r>
        <w:rPr/>
        <w:t>Entonces la ciudad es espacio de movilidades, travesías, trayectorias, es un modo de habitar la ciudad, pero no de habitarla sedentariamente, sino de caminarla, de cruzarla. Una acción fundamental es embellecer los espacios inmediatos a la vivienda y dan sentido a la vida en común. La ciudadanía es la beneficiaria de la calidad de su espacio público.</w:t>
      </w:r>
    </w:p>
    <w:p>
      <w:pPr>
        <w:spacing w:line="360" w:lineRule="auto" w:before="202"/>
        <w:ind w:left="102" w:right="116" w:firstLine="0"/>
        <w:jc w:val="both"/>
        <w:rPr>
          <w:sz w:val="24"/>
        </w:rPr>
      </w:pPr>
      <w:r>
        <w:rPr>
          <w:i/>
          <w:sz w:val="24"/>
        </w:rPr>
        <w:t>“Cuando no se reconoce el espacio público en la vida urbana, esto lleva a una </w:t>
      </w:r>
      <w:r>
        <w:rPr>
          <w:i/>
          <w:sz w:val="24"/>
        </w:rPr>
        <w:t>construcción periférica deficiente, inequitativa y excluyente” </w:t>
      </w:r>
      <w:r>
        <w:rPr>
          <w:sz w:val="24"/>
        </w:rPr>
        <w:t>(López, 2012). Este espacio está orientado hacia la planeación de los lugares, el fomento de diseños urbanos, los acuerdos de funcionamiento y regulación de espacios más acordes con los requerimientos de la población, los entornos geográficos y sociales.</w:t>
      </w:r>
    </w:p>
    <w:p>
      <w:pPr>
        <w:pStyle w:val="ListParagraph"/>
        <w:numPr>
          <w:ilvl w:val="3"/>
          <w:numId w:val="9"/>
        </w:numPr>
        <w:tabs>
          <w:tab w:pos="823" w:val="left" w:leader="none"/>
        </w:tabs>
        <w:spacing w:line="240" w:lineRule="auto" w:before="206" w:after="0"/>
        <w:ind w:left="822" w:right="0" w:hanging="720"/>
        <w:jc w:val="both"/>
        <w:rPr>
          <w:rFonts w:ascii="Cambria"/>
          <w:b/>
          <w:sz w:val="22"/>
        </w:rPr>
      </w:pPr>
      <w:r>
        <w:rPr>
          <w:rFonts w:ascii="Cambria"/>
          <w:b/>
          <w:color w:val="4F81BC"/>
          <w:sz w:val="22"/>
        </w:rPr>
        <w:t>Espacio</w:t>
      </w:r>
      <w:r>
        <w:rPr>
          <w:rFonts w:ascii="Cambria"/>
          <w:b/>
          <w:color w:val="4F81BC"/>
          <w:spacing w:val="-10"/>
          <w:sz w:val="22"/>
        </w:rPr>
        <w:t> </w:t>
      </w:r>
      <w:r>
        <w:rPr>
          <w:rFonts w:ascii="Cambria"/>
          <w:b/>
          <w:color w:val="4F81BC"/>
          <w:sz w:val="22"/>
        </w:rPr>
        <w:t>privado</w:t>
      </w:r>
    </w:p>
    <w:p>
      <w:pPr>
        <w:pStyle w:val="BodyText"/>
        <w:rPr>
          <w:rFonts w:ascii="Cambria"/>
          <w:b/>
          <w:sz w:val="22"/>
        </w:rPr>
      </w:pPr>
    </w:p>
    <w:p>
      <w:pPr>
        <w:pStyle w:val="BodyText"/>
        <w:rPr>
          <w:rFonts w:ascii="Cambria"/>
          <w:b/>
          <w:sz w:val="22"/>
        </w:rPr>
      </w:pPr>
    </w:p>
    <w:p>
      <w:pPr>
        <w:pStyle w:val="BodyText"/>
        <w:spacing w:line="360" w:lineRule="auto" w:before="134"/>
        <w:ind w:left="102" w:right="118"/>
        <w:jc w:val="both"/>
      </w:pPr>
      <w:r>
        <w:rPr/>
        <w:t>Dentro del espacio urbano también encontramos al espacio privado, se puede decir, que este espacio son los inmuebles considerados patrimonio, que para tener acceso hay que pagar (parque de diversiones, cines, teatros) estos no son considerados como espacio público.</w:t>
      </w:r>
    </w:p>
    <w:p>
      <w:pPr>
        <w:spacing w:line="360" w:lineRule="auto" w:before="199"/>
        <w:ind w:left="102" w:right="116" w:firstLine="0"/>
        <w:jc w:val="both"/>
        <w:rPr>
          <w:sz w:val="24"/>
        </w:rPr>
      </w:pPr>
      <w:r>
        <w:rPr>
          <w:i/>
          <w:sz w:val="24"/>
        </w:rPr>
        <w:t>“El espacio público ha sido entendido como el espacio de la ciudadanía, de las </w:t>
      </w:r>
      <w:r>
        <w:rPr>
          <w:i/>
          <w:sz w:val="24"/>
        </w:rPr>
        <w:t>leyes, de los derechos, mientras que el espacio privado, es concebido como el de los intereses privados, las costumbres, las libertades negativas que el Estado reconoce y protege sin intervenir en ellas” </w:t>
      </w:r>
      <w:r>
        <w:rPr>
          <w:sz w:val="24"/>
        </w:rPr>
        <w:t>(Salazar, 2010: 27).</w:t>
      </w:r>
    </w:p>
    <w:p>
      <w:pPr>
        <w:pStyle w:val="BodyText"/>
        <w:spacing w:line="360" w:lineRule="auto" w:before="206"/>
        <w:ind w:left="102" w:right="120"/>
        <w:jc w:val="both"/>
      </w:pPr>
      <w:r>
        <w:rPr/>
        <w:t>El espacio privado ha sido el espacio reservado a los valores de cuidado, la ternura, la sensibilidad o la solidaridad. La separación entre los espacios públicos  y privados, constituyen el principal obstáculo para que se dé la igualdad entre la sociedad.</w:t>
      </w:r>
    </w:p>
    <w:p>
      <w:pPr>
        <w:spacing w:after="0" w:line="360" w:lineRule="auto"/>
        <w:jc w:val="both"/>
        <w:sectPr>
          <w:footerReference w:type="default" r:id="rId24"/>
          <w:pgSz w:w="12240" w:h="15840"/>
          <w:pgMar w:footer="1003" w:header="0" w:top="1360" w:bottom="1200" w:left="1600" w:right="1580"/>
        </w:sectPr>
      </w:pPr>
    </w:p>
    <w:p>
      <w:pPr>
        <w:pStyle w:val="BodyText"/>
        <w:spacing w:line="360" w:lineRule="auto" w:before="54"/>
        <w:ind w:left="102" w:right="115"/>
        <w:jc w:val="both"/>
      </w:pPr>
      <w:r>
        <w:rPr/>
        <w:t>El diseño urbanístico de nuestras ciudades sigue respondiendo a una división absoluto entre lo público y privado. Los espacios privados entendemos a las viviendas residenciales multiplicadas en las afueras de la ciudad y en los que faltan determinados servicios, obligan por tanto a desplazarse al centro de las ciudades.</w:t>
      </w:r>
    </w:p>
    <w:p>
      <w:pPr>
        <w:pStyle w:val="BodyText"/>
        <w:spacing w:line="360" w:lineRule="auto" w:before="204"/>
        <w:ind w:left="102" w:right="119"/>
        <w:jc w:val="both"/>
      </w:pPr>
      <w:r>
        <w:rPr/>
        <w:t>Esto se agrava cuando le agregamos la variable de tiempo, horarios de las administraciones, de servicios públicos, de colegios. Entonces el espacio privado sigue perdiendo en esa concepción jerárquica de la realidad.</w:t>
      </w:r>
    </w:p>
    <w:p>
      <w:pPr>
        <w:pStyle w:val="BodyText"/>
        <w:spacing w:line="360" w:lineRule="auto" w:before="205"/>
        <w:ind w:left="102" w:right="118"/>
        <w:jc w:val="both"/>
      </w:pPr>
      <w:r>
        <w:rPr/>
        <w:t>La división entre lo público y privado, en la sociedad actual está produciendo erosiones de las fronteras tradicionales entre estos dos espacios, que acaban incidiendo en las garantías de los derechos de la ciudadanía. Hoy en día se está produciendo una privatización de lo público, como las calles y las plazas.</w:t>
      </w:r>
    </w:p>
    <w:p>
      <w:pPr>
        <w:pStyle w:val="BodyText"/>
        <w:spacing w:line="360" w:lineRule="auto" w:before="204"/>
        <w:ind w:left="102" w:right="125"/>
        <w:jc w:val="both"/>
      </w:pPr>
      <w:r>
        <w:rPr/>
        <w:t>El reto del espacio público tiene que ver con su heterogeneidad, esto plantea grandes retos sobre todo al derecho de la igualdad. El espacio público debe articularse sobre el dialogo y la reciprocidad. Este espacio se ha convertido en el escenario de reclamaciones privadas.</w:t>
      </w:r>
    </w:p>
    <w:p>
      <w:pPr>
        <w:pStyle w:val="BodyText"/>
        <w:spacing w:line="360" w:lineRule="auto" w:before="204"/>
        <w:ind w:left="102" w:right="118"/>
        <w:jc w:val="both"/>
      </w:pPr>
      <w:r>
        <w:rPr/>
        <w:t>La </w:t>
      </w:r>
      <w:r>
        <w:rPr>
          <w:sz w:val="19"/>
        </w:rPr>
        <w:t>ZMT </w:t>
      </w:r>
      <w:r>
        <w:rPr/>
        <w:t>la fragmentamos día a día por los espacios públicos y privados que utilizamos, además de los tiempos en función del papel que en cada momento desempeñamos. Por ejemplo, no es lo mismo el espacio en el que vivimos que en el que trabajamos. Además de la ubicación de las viviendas de los ciudadanos que habitan en una determinada zona, colonia o barrio, dando como resultado una desigualdad social.</w:t>
      </w:r>
    </w:p>
    <w:p>
      <w:pPr>
        <w:pStyle w:val="BodyText"/>
        <w:spacing w:line="360" w:lineRule="auto" w:before="205"/>
        <w:ind w:left="102" w:right="118"/>
        <w:jc w:val="both"/>
      </w:pPr>
      <w:r>
        <w:rPr/>
        <w:t>Los espacios urbanos sufren carencias en los que faltan los servicios básicos, en los que es necesario utilizar el coche o el transporte público. Es fundamental recuperar la idea del espacio público como un espacio de participación, como el ámbito de la ciudadanía.</w:t>
      </w:r>
    </w:p>
    <w:p>
      <w:pPr>
        <w:spacing w:after="0" w:line="360" w:lineRule="auto"/>
        <w:jc w:val="both"/>
        <w:sectPr>
          <w:footerReference w:type="default" r:id="rId25"/>
          <w:pgSz w:w="12240" w:h="15840"/>
          <w:pgMar w:footer="1003" w:header="0" w:top="1360" w:bottom="1200" w:left="1600" w:right="1580"/>
          <w:pgNumType w:start="41"/>
        </w:sectPr>
      </w:pPr>
    </w:p>
    <w:p>
      <w:pPr>
        <w:pStyle w:val="BodyText"/>
        <w:spacing w:line="360" w:lineRule="auto" w:before="54"/>
        <w:ind w:left="102" w:right="117"/>
        <w:jc w:val="both"/>
      </w:pPr>
      <w:r>
        <w:rPr/>
        <w:t>En esta zona metropolitana del país podemos empezar a dar respuestas locales a problemas regionales. Podemos crear espacios </w:t>
      </w:r>
      <w:r>
        <w:rPr>
          <w:i/>
        </w:rPr>
        <w:t>habitables </w:t>
      </w:r>
      <w:r>
        <w:rPr/>
        <w:t>en los que vayamos forjando la ciudadanía sobre el criterio de la residencia o vivienda.</w:t>
      </w:r>
    </w:p>
    <w:p>
      <w:pPr>
        <w:pStyle w:val="BodyText"/>
        <w:spacing w:line="360" w:lineRule="auto" w:before="204"/>
        <w:ind w:left="102" w:right="118"/>
        <w:jc w:val="both"/>
      </w:pPr>
      <w:r>
        <w:rPr/>
        <w:t>Lo privado y lo público se representa de manera ambigua, por un lado tenemos lugares que sirven de encuentro de los ciudadanos, otros funcionan como lugares para la actividad comercial y residencial, están bien delimitados por su condición social.</w:t>
      </w:r>
    </w:p>
    <w:p>
      <w:pPr>
        <w:pStyle w:val="BodyText"/>
        <w:spacing w:line="360" w:lineRule="auto" w:before="202"/>
        <w:ind w:left="102" w:right="115"/>
        <w:jc w:val="both"/>
      </w:pPr>
      <w:r>
        <w:rPr/>
        <w:t>En las prácticas territoriales donde confluyen lo privado y lo público, se construyen relaciones de pertenencia como en los casos de los pueblos o colonias en la </w:t>
      </w:r>
      <w:r>
        <w:rPr>
          <w:sz w:val="19"/>
        </w:rPr>
        <w:t>ZMT</w:t>
      </w:r>
      <w:r>
        <w:rPr/>
        <w:t>. Las historias de los pueblos y colonias han contribuido en la comprensión de los espacios urbanos que muchas veces no representan una clara delimitación entre lo público y lo privado. Y que en diversas zonas de la </w:t>
      </w:r>
      <w:r>
        <w:rPr>
          <w:sz w:val="19"/>
        </w:rPr>
        <w:t>ZMT </w:t>
      </w:r>
      <w:r>
        <w:rPr/>
        <w:t>contribuyen a crear formas de solidaridad y vínculos fuertes entre los habitantes de las</w:t>
      </w:r>
      <w:r>
        <w:rPr>
          <w:spacing w:val="-28"/>
        </w:rPr>
        <w:t> </w:t>
      </w:r>
      <w:r>
        <w:rPr/>
        <w:t>mismas.</w:t>
      </w:r>
    </w:p>
    <w:p>
      <w:pPr>
        <w:pStyle w:val="BodyText"/>
        <w:spacing w:line="360" w:lineRule="auto" w:before="204"/>
        <w:ind w:left="102" w:right="115"/>
        <w:jc w:val="both"/>
      </w:pPr>
      <w:r>
        <w:rPr/>
        <w:t>El tema del espacio público y privado son temas relevantes contemporáneos, presentándose el alejamiento de los ciudadanos de los espacios públicos y su refugio en espacios más seguros como los centros comerciales y por supuesto sus viviendas.</w:t>
      </w:r>
    </w:p>
    <w:p>
      <w:pPr>
        <w:pStyle w:val="Heading3"/>
        <w:numPr>
          <w:ilvl w:val="2"/>
          <w:numId w:val="9"/>
        </w:numPr>
        <w:tabs>
          <w:tab w:pos="740" w:val="left" w:leader="none"/>
        </w:tabs>
        <w:spacing w:line="240" w:lineRule="auto" w:before="206" w:after="0"/>
        <w:ind w:left="739" w:right="0" w:hanging="637"/>
        <w:jc w:val="both"/>
        <w:rPr>
          <w:color w:val="4F81BC"/>
        </w:rPr>
      </w:pPr>
      <w:bookmarkStart w:name="_TOC_250026" w:id="8"/>
      <w:r>
        <w:rPr>
          <w:color w:val="4F81BC"/>
        </w:rPr>
        <w:t>Espacio</w:t>
      </w:r>
      <w:r>
        <w:rPr>
          <w:color w:val="4F81BC"/>
          <w:spacing w:val="-10"/>
        </w:rPr>
        <w:t> </w:t>
      </w:r>
      <w:bookmarkEnd w:id="8"/>
      <w:r>
        <w:rPr>
          <w:color w:val="4F81BC"/>
        </w:rPr>
        <w:t>residencial</w:t>
      </w:r>
    </w:p>
    <w:p>
      <w:pPr>
        <w:pStyle w:val="BodyText"/>
        <w:rPr>
          <w:rFonts w:ascii="Cambria"/>
          <w:b/>
          <w:sz w:val="26"/>
        </w:rPr>
      </w:pPr>
    </w:p>
    <w:p>
      <w:pPr>
        <w:pStyle w:val="BodyText"/>
        <w:spacing w:before="1"/>
        <w:rPr>
          <w:rFonts w:ascii="Cambria"/>
          <w:b/>
          <w:sz w:val="30"/>
        </w:rPr>
      </w:pPr>
    </w:p>
    <w:p>
      <w:pPr>
        <w:pStyle w:val="BodyText"/>
        <w:spacing w:line="360" w:lineRule="auto"/>
        <w:ind w:left="102" w:right="116"/>
        <w:jc w:val="both"/>
      </w:pPr>
      <w:r>
        <w:rPr/>
        <w:t>El espacio residencial funciona como una especie de simbolización del espacio social y este puede ser urbano o rural. En las últimas décadas en la </w:t>
      </w:r>
      <w:r>
        <w:rPr>
          <w:sz w:val="19"/>
        </w:rPr>
        <w:t>ZMT </w:t>
      </w:r>
      <w:r>
        <w:rPr/>
        <w:t>se produce nuevas formas de habitar en la ciudad, conjuntos cerrados y un incremento en la densidad habitacional en el centro, mientras que en las periferias existen dificultades para el acceso de vivienda para las</w:t>
      </w:r>
      <w:r>
        <w:rPr>
          <w:spacing w:val="-19"/>
        </w:rPr>
        <w:t> </w:t>
      </w:r>
      <w:r>
        <w:rPr/>
        <w:t>personas.</w:t>
      </w:r>
    </w:p>
    <w:p>
      <w:pPr>
        <w:pStyle w:val="BodyText"/>
        <w:spacing w:line="360" w:lineRule="auto" w:before="204"/>
        <w:ind w:left="102" w:right="115"/>
        <w:jc w:val="both"/>
      </w:pPr>
      <w:r>
        <w:rPr/>
        <w:t>El déficit habitacional constituye una problemática que abarca los sectores de bajos y medios ingresos, condicionando al acceso a una vivienda propia. Las empresas de la construcción y los promotores inmobiliarios se trasforman en actores  en la producción del espacio residencial en la </w:t>
      </w:r>
      <w:r>
        <w:rPr>
          <w:sz w:val="19"/>
        </w:rPr>
        <w:t>ZMT </w:t>
      </w:r>
      <w:r>
        <w:rPr/>
        <w:t>en el siglo</w:t>
      </w:r>
      <w:r>
        <w:rPr>
          <w:spacing w:val="-6"/>
        </w:rPr>
        <w:t> </w:t>
      </w:r>
      <w:r>
        <w:rPr>
          <w:sz w:val="19"/>
        </w:rPr>
        <w:t>XXI</w:t>
      </w:r>
      <w:r>
        <w:rPr/>
        <w:t>.</w:t>
      </w:r>
    </w:p>
    <w:p>
      <w:pPr>
        <w:spacing w:after="0" w:line="360" w:lineRule="auto"/>
        <w:jc w:val="both"/>
        <w:sectPr>
          <w:pgSz w:w="12240" w:h="15840"/>
          <w:pgMar w:header="0" w:footer="1003" w:top="1360" w:bottom="1200" w:left="1600" w:right="1580"/>
        </w:sectPr>
      </w:pPr>
    </w:p>
    <w:p>
      <w:pPr>
        <w:pStyle w:val="BodyText"/>
        <w:spacing w:line="360" w:lineRule="auto" w:before="54"/>
        <w:ind w:left="102" w:right="122"/>
        <w:jc w:val="both"/>
      </w:pPr>
      <w:r>
        <w:rPr/>
        <w:t>El Instituto de la Vivienda (</w:t>
      </w:r>
      <w:r>
        <w:rPr>
          <w:sz w:val="19"/>
        </w:rPr>
        <w:t>INVI</w:t>
      </w:r>
      <w:r>
        <w:rPr/>
        <w:t>) de la Facultad de Arquitectura de la Universidad de Chile, concibe</w:t>
      </w:r>
    </w:p>
    <w:p>
      <w:pPr>
        <w:spacing w:line="240" w:lineRule="auto" w:before="199"/>
        <w:ind w:left="385" w:right="451" w:firstLine="0"/>
        <w:jc w:val="both"/>
        <w:rPr>
          <w:sz w:val="24"/>
        </w:rPr>
      </w:pPr>
      <w:r>
        <w:rPr>
          <w:sz w:val="24"/>
        </w:rPr>
        <w:t>“</w:t>
      </w:r>
      <w:r>
        <w:rPr>
          <w:i/>
          <w:sz w:val="24"/>
        </w:rPr>
        <w:t>el espacio residencial como el hábitat residencial como el resultado de un </w:t>
      </w:r>
      <w:r>
        <w:rPr>
          <w:i/>
          <w:sz w:val="24"/>
        </w:rPr>
        <w:t>proceso en permanente conformación de lugares de distintas escalas referidas al territorio, que se distingue por una forma particular de apropiación, dado por un vínculo cotidiano de unidades de experiencias singulares, potenciando relaciones de identidad y pertinencia, a partir de lo cual el habitante lo interviene y lo configura</w:t>
      </w:r>
      <w:r>
        <w:rPr>
          <w:sz w:val="24"/>
        </w:rPr>
        <w:t>” (Torres, 2013: 9-10).</w:t>
      </w:r>
    </w:p>
    <w:p>
      <w:pPr>
        <w:pStyle w:val="BodyText"/>
      </w:pPr>
    </w:p>
    <w:p>
      <w:pPr>
        <w:pStyle w:val="BodyText"/>
        <w:spacing w:before="8"/>
        <w:rPr>
          <w:sz w:val="34"/>
        </w:rPr>
      </w:pPr>
    </w:p>
    <w:p>
      <w:pPr>
        <w:spacing w:line="360" w:lineRule="auto" w:before="0"/>
        <w:ind w:left="102" w:right="117" w:firstLine="0"/>
        <w:jc w:val="both"/>
        <w:rPr>
          <w:sz w:val="24"/>
        </w:rPr>
      </w:pPr>
      <w:r>
        <w:rPr>
          <w:sz w:val="24"/>
        </w:rPr>
        <w:t>El espacio residencial hace alusión al lugar de residencia habitual, “</w:t>
      </w:r>
      <w:r>
        <w:rPr>
          <w:i/>
          <w:sz w:val="24"/>
        </w:rPr>
        <w:t>la frecuencia </w:t>
      </w:r>
      <w:r>
        <w:rPr>
          <w:i/>
          <w:sz w:val="24"/>
        </w:rPr>
        <w:t>de pernoctar es entonces un parámetro determinante para definir la residencia, aunque a veces se utiliza también la intención de permanencia para definir la residencia habitual frente a la temporalidad o eventualidad de pasar la noche o un cierto tiempo en otro lugar” </w:t>
      </w:r>
      <w:r>
        <w:rPr>
          <w:sz w:val="24"/>
        </w:rPr>
        <w:t>(Chávez y Corona,</w:t>
      </w:r>
      <w:r>
        <w:rPr>
          <w:spacing w:val="-16"/>
          <w:sz w:val="24"/>
        </w:rPr>
        <w:t> </w:t>
      </w:r>
      <w:r>
        <w:rPr>
          <w:sz w:val="24"/>
        </w:rPr>
        <w:t>2006).</w:t>
      </w:r>
    </w:p>
    <w:p>
      <w:pPr>
        <w:pStyle w:val="BodyText"/>
      </w:pPr>
    </w:p>
    <w:p>
      <w:pPr>
        <w:pStyle w:val="BodyText"/>
      </w:pPr>
    </w:p>
    <w:p>
      <w:pPr>
        <w:pStyle w:val="Heading3"/>
        <w:numPr>
          <w:ilvl w:val="2"/>
          <w:numId w:val="9"/>
        </w:numPr>
        <w:tabs>
          <w:tab w:pos="740" w:val="left" w:leader="none"/>
        </w:tabs>
        <w:spacing w:line="240" w:lineRule="auto" w:before="206" w:after="0"/>
        <w:ind w:left="739" w:right="0" w:hanging="637"/>
        <w:jc w:val="both"/>
        <w:rPr>
          <w:color w:val="4F81BC"/>
        </w:rPr>
      </w:pPr>
      <w:bookmarkStart w:name="_TOC_250025" w:id="9"/>
      <w:r>
        <w:rPr>
          <w:color w:val="4F81BC"/>
        </w:rPr>
        <w:t>Espacio</w:t>
      </w:r>
      <w:r>
        <w:rPr>
          <w:color w:val="4F81BC"/>
          <w:spacing w:val="-12"/>
        </w:rPr>
        <w:t> </w:t>
      </w:r>
      <w:bookmarkEnd w:id="9"/>
      <w:r>
        <w:rPr>
          <w:color w:val="4F81BC"/>
        </w:rPr>
        <w:t>Cotidiano</w:t>
      </w:r>
    </w:p>
    <w:p>
      <w:pPr>
        <w:pStyle w:val="BodyText"/>
        <w:rPr>
          <w:rFonts w:ascii="Cambria"/>
          <w:b/>
          <w:sz w:val="26"/>
        </w:rPr>
      </w:pPr>
    </w:p>
    <w:p>
      <w:pPr>
        <w:pStyle w:val="BodyText"/>
        <w:spacing w:before="1"/>
        <w:rPr>
          <w:rFonts w:ascii="Cambria"/>
          <w:b/>
          <w:sz w:val="30"/>
        </w:rPr>
      </w:pPr>
    </w:p>
    <w:p>
      <w:pPr>
        <w:pStyle w:val="BodyText"/>
        <w:spacing w:line="360" w:lineRule="auto"/>
        <w:ind w:left="102" w:right="116"/>
        <w:jc w:val="both"/>
      </w:pPr>
      <w:r>
        <w:rPr/>
        <w:t>El espacio cotidiano hace referencia al espacio donde nos encontramos a diario en este caso en la investigación es el </w:t>
      </w:r>
      <w:r>
        <w:rPr>
          <w:i/>
        </w:rPr>
        <w:t>espacio de las viviendas</w:t>
      </w:r>
      <w:r>
        <w:rPr/>
        <w:t>, donde las personas viven habitual o frecuentemente. Se reconoce como espacio cotidiano el espacio utilizado habitual en la vida de las personas dentro de las viviendas.</w:t>
      </w:r>
    </w:p>
    <w:p>
      <w:pPr>
        <w:pStyle w:val="BodyText"/>
        <w:spacing w:line="360" w:lineRule="auto" w:before="204"/>
        <w:ind w:left="102" w:right="119"/>
        <w:jc w:val="both"/>
      </w:pPr>
      <w:r>
        <w:rPr/>
        <w:t>Dentro de este espacio cotidiano, el de las viviendas, las personas cubren necesidades básicas como protegerse, alimentarse, bañarse, dormir, tener privacidad y seguridad. Contar con este espacio cotidiano permite que sus moradores puedan cubrir otras necesidades como educación, trabajo o de recreación hacia el entorno de las viviendas.</w:t>
      </w:r>
    </w:p>
    <w:p>
      <w:pPr>
        <w:pStyle w:val="BodyText"/>
        <w:spacing w:line="360" w:lineRule="auto" w:before="202"/>
        <w:ind w:left="102" w:right="119"/>
        <w:jc w:val="both"/>
      </w:pPr>
      <w:r>
        <w:rPr/>
        <w:t>Cuando el espacio cotidiano en las viviendas, no cuentan con las características adecuadas para ser </w:t>
      </w:r>
      <w:r>
        <w:rPr>
          <w:i/>
        </w:rPr>
        <w:t>habitables</w:t>
      </w:r>
      <w:r>
        <w:rPr/>
        <w:t>, el bienestar y la calidad de vida de las personas disminuye condicionando su estado físico y mental. Además de encontrar viviendas abandonadas e</w:t>
      </w:r>
      <w:r>
        <w:rPr>
          <w:spacing w:val="-15"/>
        </w:rPr>
        <w:t> </w:t>
      </w:r>
      <w:r>
        <w:rPr/>
        <w:t>inhabitables.</w:t>
      </w:r>
    </w:p>
    <w:p>
      <w:pPr>
        <w:spacing w:after="0" w:line="360" w:lineRule="auto"/>
        <w:jc w:val="both"/>
        <w:sectPr>
          <w:pgSz w:w="12240" w:h="15840"/>
          <w:pgMar w:header="0" w:footer="1003" w:top="1360" w:bottom="1200" w:left="1600" w:right="1580"/>
        </w:sectPr>
      </w:pPr>
    </w:p>
    <w:p>
      <w:pPr>
        <w:pStyle w:val="BodyText"/>
        <w:spacing w:line="360" w:lineRule="auto" w:before="54"/>
        <w:ind w:left="102" w:right="124"/>
        <w:jc w:val="both"/>
      </w:pPr>
      <w:r>
        <w:rPr/>
        <w:t>El espacio cotidiano surge como iniciativa para darle el mejor uso al suelo, los usos del suelo regulan las formas de usar, entender y de representar el espacio urbano.</w:t>
      </w:r>
    </w:p>
    <w:p>
      <w:pPr>
        <w:spacing w:line="360" w:lineRule="auto" w:before="204"/>
        <w:ind w:left="102" w:right="115" w:firstLine="0"/>
        <w:jc w:val="both"/>
        <w:rPr>
          <w:sz w:val="24"/>
        </w:rPr>
      </w:pPr>
      <w:r>
        <w:rPr>
          <w:sz w:val="24"/>
        </w:rPr>
        <w:t>Los espacios delimitados por flujos agregados de movilidad habitual han recibido diversos nombres en la literatura especializada, por ejemplo: “</w:t>
      </w:r>
      <w:r>
        <w:rPr>
          <w:i/>
          <w:sz w:val="24"/>
        </w:rPr>
        <w:t>áreas de cohesión, </w:t>
      </w:r>
      <w:r>
        <w:rPr>
          <w:i/>
          <w:sz w:val="24"/>
        </w:rPr>
        <w:t>mercados laborales locales, zonas de comunes (o commuting zones), zonas de viajes al trabajo (o travel to work zones), espacios de vida” </w:t>
      </w:r>
      <w:r>
        <w:rPr>
          <w:sz w:val="24"/>
        </w:rPr>
        <w:t>(Garrocho, 2012: 51), estos últimos son los </w:t>
      </w:r>
      <w:r>
        <w:rPr>
          <w:i/>
          <w:sz w:val="24"/>
        </w:rPr>
        <w:t>espacios habitacionales </w:t>
      </w:r>
      <w:r>
        <w:rPr>
          <w:sz w:val="24"/>
        </w:rPr>
        <w:t>de la vivienda o comúnmente llamados </w:t>
      </w:r>
      <w:r>
        <w:rPr>
          <w:i/>
          <w:sz w:val="24"/>
        </w:rPr>
        <w:t>espacios cotidianos</w:t>
      </w:r>
      <w:r>
        <w:rPr>
          <w:sz w:val="24"/>
        </w:rPr>
        <w:t>, donde la gente realiza la mayoría de sus actividades.</w:t>
      </w:r>
    </w:p>
    <w:p>
      <w:pPr>
        <w:spacing w:line="360" w:lineRule="auto" w:before="204"/>
        <w:ind w:left="102" w:right="114" w:firstLine="0"/>
        <w:jc w:val="both"/>
        <w:rPr>
          <w:sz w:val="24"/>
        </w:rPr>
      </w:pPr>
      <w:r>
        <w:rPr>
          <w:sz w:val="24"/>
        </w:rPr>
        <w:t>Entonces se entiende que los espacios personales o familiares cotidianos, son también denominados </w:t>
      </w:r>
      <w:r>
        <w:rPr>
          <w:i/>
          <w:sz w:val="24"/>
        </w:rPr>
        <w:t>espacios de vida</w:t>
      </w:r>
      <w:r>
        <w:rPr>
          <w:sz w:val="24"/>
        </w:rPr>
        <w:t>. En este sentido “</w:t>
      </w:r>
      <w:r>
        <w:rPr>
          <w:i/>
          <w:sz w:val="24"/>
        </w:rPr>
        <w:t>los espacios cotidianos </w:t>
      </w:r>
      <w:r>
        <w:rPr>
          <w:i/>
          <w:sz w:val="24"/>
        </w:rPr>
        <w:t>se integran por aquellos lugares organizados alrededor de la vivienda y que son frecuentados habitualmente por el individuo o por los miembros de un hogar” </w:t>
      </w:r>
      <w:r>
        <w:rPr>
          <w:sz w:val="24"/>
        </w:rPr>
        <w:t>(Garrocho, 2012: 51), en la investigación se considera el espacio cotidiano como  la suma en la vivienda de los espacios individuales de sus integrantes. </w:t>
      </w:r>
      <w:r>
        <w:rPr>
          <w:spacing w:val="2"/>
          <w:sz w:val="24"/>
        </w:rPr>
        <w:t>Los </w:t>
      </w:r>
      <w:r>
        <w:rPr>
          <w:i/>
          <w:sz w:val="24"/>
        </w:rPr>
        <w:t>espacios cotidianos </w:t>
      </w:r>
      <w:r>
        <w:rPr>
          <w:sz w:val="24"/>
        </w:rPr>
        <w:t>incluyen espacios laborales, escolares, segunda residencia, por compras, ocio,</w:t>
      </w:r>
      <w:r>
        <w:rPr>
          <w:spacing w:val="-12"/>
          <w:sz w:val="24"/>
        </w:rPr>
        <w:t> </w:t>
      </w:r>
      <w:r>
        <w:rPr>
          <w:sz w:val="24"/>
        </w:rPr>
        <w:t>servicios.</w:t>
      </w:r>
    </w:p>
    <w:p>
      <w:pPr>
        <w:pStyle w:val="Heading3"/>
        <w:numPr>
          <w:ilvl w:val="1"/>
          <w:numId w:val="10"/>
        </w:numPr>
        <w:tabs>
          <w:tab w:pos="527" w:val="left" w:leader="none"/>
        </w:tabs>
        <w:spacing w:line="240" w:lineRule="auto" w:before="206" w:after="0"/>
        <w:ind w:left="526" w:right="0" w:hanging="424"/>
        <w:jc w:val="both"/>
      </w:pPr>
      <w:bookmarkStart w:name="_TOC_250024" w:id="10"/>
      <w:r>
        <w:rPr>
          <w:color w:val="4F81BC"/>
        </w:rPr>
        <w:t>El entorno de las viviendas en la</w:t>
      </w:r>
      <w:r>
        <w:rPr>
          <w:color w:val="4F81BC"/>
          <w:spacing w:val="-21"/>
        </w:rPr>
        <w:t> </w:t>
      </w:r>
      <w:bookmarkEnd w:id="10"/>
      <w:r>
        <w:rPr>
          <w:color w:val="4F81BC"/>
        </w:rPr>
        <w:t>ZMT</w:t>
      </w:r>
    </w:p>
    <w:p>
      <w:pPr>
        <w:pStyle w:val="BodyText"/>
        <w:rPr>
          <w:rFonts w:ascii="Cambria"/>
          <w:b/>
          <w:sz w:val="26"/>
        </w:rPr>
      </w:pPr>
    </w:p>
    <w:p>
      <w:pPr>
        <w:pStyle w:val="BodyText"/>
        <w:spacing w:before="1"/>
        <w:rPr>
          <w:rFonts w:ascii="Cambria"/>
          <w:b/>
          <w:sz w:val="30"/>
        </w:rPr>
      </w:pPr>
    </w:p>
    <w:p>
      <w:pPr>
        <w:pStyle w:val="BodyText"/>
        <w:spacing w:line="360" w:lineRule="auto"/>
        <w:ind w:left="102" w:right="119"/>
        <w:jc w:val="both"/>
      </w:pPr>
      <w:r>
        <w:rPr/>
        <w:t>Conocer las características del entorno de las viviendas en la zona metropolitana de Toluca enriquece la investigación ya que se presentan las condiciones de vida de la población y las relativas al entorno de las viviendas. Principalmente información de la infraestructura y servicios, así como los elementos sociales; disponibilidad de las ofertas de empleo, educación y salud, así como la presencia de establecimientos de abastecimiento de alimentos, áreas verdes y lugares de recreación para la población de esta zona de estudio.</w:t>
      </w:r>
    </w:p>
    <w:p>
      <w:pPr>
        <w:pStyle w:val="BodyText"/>
        <w:spacing w:line="360" w:lineRule="auto" w:before="204"/>
        <w:ind w:left="102" w:right="115"/>
        <w:jc w:val="both"/>
      </w:pPr>
      <w:r>
        <w:rPr/>
        <w:t>La relevancia de analizar el entorno de las viviendas con el hábitat humano,  supera un vacío  sobre  el ambiente material  en que  se desarrolla la población  </w:t>
      </w:r>
      <w:r>
        <w:rPr>
          <w:spacing w:val="29"/>
        </w:rPr>
        <w:t> </w:t>
      </w:r>
      <w:r>
        <w:rPr/>
        <w:t>y</w:t>
      </w:r>
    </w:p>
    <w:p>
      <w:pPr>
        <w:spacing w:after="0" w:line="360" w:lineRule="auto"/>
        <w:jc w:val="both"/>
        <w:sectPr>
          <w:pgSz w:w="12240" w:h="15840"/>
          <w:pgMar w:header="0" w:footer="1003" w:top="1360" w:bottom="1200" w:left="1600" w:right="1580"/>
        </w:sectPr>
      </w:pPr>
    </w:p>
    <w:p>
      <w:pPr>
        <w:pStyle w:val="BodyText"/>
        <w:spacing w:line="360" w:lineRule="auto" w:before="54"/>
        <w:ind w:left="102" w:right="121"/>
        <w:jc w:val="both"/>
      </w:pPr>
      <w:r>
        <w:rPr/>
        <w:t>complementa sus necesidades con sus circunstancias habitacionales. En este sentido, se logra ofrecer insumos para evaluar de manera más precisa los alcances e impactos de las políticas públicas, así como un mejor diseño e implementación de las mismas. El entorno de las viviendas sobre el medio físico como son las viviendas y donde se desarrolla el ser humano constituye, un factor decisivo en el mejoramiento de las condiciones de vida de la población. Todo esto encaminado a la conformación de viviendas cada vez más</w:t>
      </w:r>
      <w:r>
        <w:rPr>
          <w:spacing w:val="-28"/>
        </w:rPr>
        <w:t> </w:t>
      </w:r>
      <w:r>
        <w:rPr/>
        <w:t>habitables.</w:t>
      </w:r>
    </w:p>
    <w:p>
      <w:pPr>
        <w:spacing w:line="360" w:lineRule="auto" w:before="202"/>
        <w:ind w:left="102" w:right="122" w:firstLine="0"/>
        <w:jc w:val="both"/>
        <w:rPr>
          <w:sz w:val="24"/>
        </w:rPr>
      </w:pPr>
      <w:r>
        <w:rPr>
          <w:i/>
          <w:sz w:val="24"/>
        </w:rPr>
        <w:t>“Los equipamientos y servicios públicos caracterizan a las grandes </w:t>
      </w:r>
      <w:r>
        <w:rPr>
          <w:i/>
          <w:sz w:val="24"/>
        </w:rPr>
        <w:t>aglomeraciones urbanas y son un indicador de equidad social que existe en la distribución de los bienes sociales” </w:t>
      </w:r>
      <w:r>
        <w:rPr>
          <w:sz w:val="24"/>
        </w:rPr>
        <w:t>(Ziccardi, 2012). En este sentido, la habitabilidad de las viviendas y el derecho a una vivienda, no solo la vivienda está relacionada con una construcción de materiales de</w:t>
      </w:r>
      <w:r>
        <w:rPr>
          <w:spacing w:val="-19"/>
          <w:sz w:val="24"/>
        </w:rPr>
        <w:t> </w:t>
      </w:r>
      <w:r>
        <w:rPr>
          <w:sz w:val="24"/>
        </w:rPr>
        <w:t>calidad.</w:t>
      </w:r>
    </w:p>
    <w:p>
      <w:pPr>
        <w:spacing w:line="240" w:lineRule="auto" w:before="199"/>
        <w:ind w:left="385" w:right="451" w:firstLine="0"/>
        <w:jc w:val="both"/>
        <w:rPr>
          <w:sz w:val="24"/>
        </w:rPr>
      </w:pPr>
      <w:r>
        <w:rPr>
          <w:sz w:val="24"/>
        </w:rPr>
        <w:t>“</w:t>
      </w:r>
      <w:r>
        <w:rPr>
          <w:i/>
          <w:sz w:val="24"/>
        </w:rPr>
        <w:t>Se necesita además que la vivienda disponga de servicios de agua, </w:t>
      </w:r>
      <w:r>
        <w:rPr>
          <w:i/>
          <w:sz w:val="24"/>
        </w:rPr>
        <w:t>electricidad y saneamiento, así como equipamientos, espacios de convivencia de calidad y de una ubicación que no implique altos costos en el traslado al trabajo o escuela y que no limite el desarrollo de las relaciones sociales; es decir, se necesita su integración a la ciudad, por lo que algunos autores la denominan habitabilidad urbana” </w:t>
      </w:r>
      <w:r>
        <w:rPr>
          <w:sz w:val="24"/>
        </w:rPr>
        <w:t>(Coulomb, 2006; Alcalá, 2007; Espinoza y Gómez, 2010).</w:t>
      </w:r>
    </w:p>
    <w:p>
      <w:pPr>
        <w:pStyle w:val="BodyText"/>
      </w:pPr>
    </w:p>
    <w:p>
      <w:pPr>
        <w:pStyle w:val="BodyText"/>
        <w:spacing w:before="7"/>
        <w:rPr>
          <w:sz w:val="34"/>
        </w:rPr>
      </w:pPr>
    </w:p>
    <w:p>
      <w:pPr>
        <w:pStyle w:val="BodyText"/>
        <w:spacing w:line="360" w:lineRule="auto"/>
        <w:ind w:left="102" w:right="129"/>
        <w:jc w:val="both"/>
      </w:pPr>
      <w:r>
        <w:rPr/>
        <w:t>Por ello es importante analizar las condiciones del entorno de las viviendas en la zona metropolitana de Toluca.</w:t>
      </w:r>
    </w:p>
    <w:p>
      <w:pPr>
        <w:pStyle w:val="BodyText"/>
        <w:spacing w:line="360" w:lineRule="auto" w:before="204"/>
        <w:ind w:left="102" w:right="117"/>
        <w:jc w:val="both"/>
      </w:pPr>
      <w:r>
        <w:rPr/>
        <w:t>Para realizar la evaluación de la habitabilidad de las viviendas en la </w:t>
      </w:r>
      <w:r>
        <w:rPr>
          <w:sz w:val="19"/>
        </w:rPr>
        <w:t>ZMT</w:t>
      </w:r>
      <w:r>
        <w:rPr/>
        <w:t>, se debe considerar la influencia del entorno sobre las viviendas considerados como espacios cotidianos y también los espacios públicos utilizados, ya que por las características de este existe una heterogeneidad en la zona metropolitana, es fundamental entonces realizar el análisis espacial para conocer los atributos de habitabilidad con los que cuentan las viviendas en estudio.</w:t>
      </w:r>
    </w:p>
    <w:p>
      <w:pPr>
        <w:pStyle w:val="BodyText"/>
        <w:spacing w:line="360" w:lineRule="auto" w:before="204"/>
        <w:ind w:left="102" w:right="123"/>
        <w:jc w:val="both"/>
      </w:pPr>
      <w:r>
        <w:rPr/>
        <w:t>Por su parte, en la investigación se evalúan cuatro dimensiones de la habitabilidad de las viviendas las cuales son las siguientes: los servicios públicos de las viviendas, los materiales de construcción, los bienes que cuentan las viviendas    y</w:t>
      </w:r>
    </w:p>
    <w:p>
      <w:pPr>
        <w:spacing w:after="0" w:line="360" w:lineRule="auto"/>
        <w:jc w:val="both"/>
        <w:sectPr>
          <w:pgSz w:w="12240" w:h="15840"/>
          <w:pgMar w:header="0" w:footer="1003" w:top="1360" w:bottom="1200" w:left="1600" w:right="1580"/>
        </w:sectPr>
      </w:pPr>
    </w:p>
    <w:p>
      <w:pPr>
        <w:pStyle w:val="BodyText"/>
        <w:spacing w:line="360" w:lineRule="auto" w:before="54"/>
        <w:ind w:left="102" w:right="152"/>
      </w:pPr>
      <w:r>
        <w:rPr/>
        <w:t>el entorno de las viviendas. Cada dimensión cuenta con sus variables, dando como resultado un indicador resumen de habitabilidad (ver figura no.</w:t>
      </w:r>
      <w:r>
        <w:rPr>
          <w:spacing w:val="-31"/>
        </w:rPr>
        <w:t> </w:t>
      </w:r>
      <w:r>
        <w:rPr/>
        <w:t>2).</w:t>
      </w:r>
    </w:p>
    <w:p>
      <w:pPr>
        <w:spacing w:before="203"/>
        <w:ind w:left="1947" w:right="0" w:firstLine="0"/>
        <w:jc w:val="left"/>
        <w:rPr>
          <w:sz w:val="20"/>
        </w:rPr>
      </w:pPr>
      <w:r>
        <w:rPr>
          <w:sz w:val="20"/>
        </w:rPr>
        <w:t>Figura 2. Dimensiones de la habitabilidad de las viviendas</w:t>
      </w:r>
    </w:p>
    <w:p>
      <w:pPr>
        <w:pStyle w:val="BodyText"/>
        <w:spacing w:before="5"/>
        <w:rPr>
          <w:sz w:val="19"/>
        </w:rPr>
      </w:pPr>
    </w:p>
    <w:p>
      <w:pPr>
        <w:pStyle w:val="Heading4"/>
        <w:spacing w:before="71"/>
        <w:ind w:left="220" w:right="216"/>
        <w:jc w:val="center"/>
        <w:rPr>
          <w:rFonts w:ascii="Trebuchet MS"/>
        </w:rPr>
      </w:pPr>
      <w:r>
        <w:rPr>
          <w:rFonts w:ascii="Trebuchet MS"/>
          <w:w w:val="90"/>
        </w:rPr>
        <w:t>Dimensiones de la habitabilidad de las viviendas en la zona</w:t>
      </w:r>
    </w:p>
    <w:p>
      <w:pPr>
        <w:spacing w:before="149"/>
        <w:ind w:left="227" w:right="216" w:firstLine="0"/>
        <w:jc w:val="center"/>
        <w:rPr>
          <w:rFonts w:ascii="Trebuchet MS"/>
          <w:b/>
          <w:sz w:val="24"/>
        </w:rPr>
      </w:pPr>
      <w:r>
        <w:rPr>
          <w:rFonts w:ascii="Trebuchet MS"/>
          <w:b/>
          <w:w w:val="85"/>
          <w:sz w:val="24"/>
        </w:rPr>
        <w:t>metropolitana de Toluca</w:t>
      </w:r>
    </w:p>
    <w:p>
      <w:pPr>
        <w:pStyle w:val="BodyText"/>
        <w:rPr>
          <w:rFonts w:ascii="Trebuchet MS"/>
          <w:b/>
          <w:sz w:val="20"/>
        </w:rPr>
      </w:pPr>
    </w:p>
    <w:p>
      <w:pPr>
        <w:pStyle w:val="BodyText"/>
        <w:rPr>
          <w:rFonts w:ascii="Trebuchet MS"/>
          <w:b/>
          <w:sz w:val="20"/>
        </w:rPr>
      </w:pPr>
    </w:p>
    <w:p>
      <w:pPr>
        <w:pStyle w:val="BodyText"/>
        <w:spacing w:before="7"/>
        <w:rPr>
          <w:rFonts w:ascii="Trebuchet MS"/>
          <w:b/>
          <w:sz w:val="10"/>
        </w:rPr>
      </w:pPr>
      <w:r>
        <w:rPr/>
        <w:pict>
          <v:group style="position:absolute;margin-left:131.949997pt;margin-top:8.117435pt;width:346.85pt;height:161.1pt;mso-position-horizontal-relative:page;mso-position-vertical-relative:paragraph;z-index:1912;mso-wrap-distance-left:0;mso-wrap-distance-right:0" coordorigin="2639,162" coordsize="6937,3222">
            <v:shape style="position:absolute;left:3659;top:1731;width:4106;height:21" type="#_x0000_t75" stroked="false">
              <v:imagedata r:id="rId26" o:title=""/>
            </v:shape>
            <v:shape style="position:absolute;left:2639;top:442;width:1020;height:1299" type="#_x0000_t75" stroked="false">
              <v:imagedata r:id="rId27" o:title=""/>
            </v:shape>
            <v:shape style="position:absolute;left:2751;top:1741;width:908;height:1354" type="#_x0000_t75" stroked="false">
              <v:imagedata r:id="rId28" o:title=""/>
            </v:shape>
            <v:shape style="position:absolute;left:8768;top:888;width:439;height:176" type="#_x0000_t75" stroked="false">
              <v:imagedata r:id="rId29" o:title=""/>
            </v:shape>
            <v:shape style="position:absolute;left:7362;top:495;width:2214;height:2437" type="#_x0000_t75" stroked="false">
              <v:imagedata r:id="rId30" o:title=""/>
            </v:shape>
            <v:shape style="position:absolute;left:8553;top:2415;width:754;height:236" type="#_x0000_t75" stroked="false">
              <v:imagedata r:id="rId31" o:title=""/>
            </v:shape>
            <v:shape style="position:absolute;left:5902;top:442;width:1021;height:1299" coordorigin="5902,442" coordsize="1021,1299" path="m6844,1689l6838,1691,6836,1696,6834,1701,6836,1707,6922,1741,6921,1732,6902,1732,6879,1702,6844,1689xm6879,1702l6902,1732,6908,1727,6900,1727,6897,1710,6879,1702xm6904,1646l6893,1648,6890,1653,6890,1658,6895,1690,6918,1719,6902,1732,6921,1732,6910,1655,6909,1650,6904,1646xm6897,1710l6900,1727,6913,1716,6897,1710xm6895,1690l6897,1710,6913,1716,6900,1727,6908,1727,6918,1719,6895,1690xm5917,442l5902,454,6879,1702,6897,1710,6895,1690,5917,442xe" filled="true" fillcolor="#ff3300" stroked="false">
              <v:path arrowok="t"/>
              <v:fill type="solid"/>
            </v:shape>
            <v:shape style="position:absolute;left:4270;top:442;width:1021;height:1299" coordorigin="4270,442" coordsize="1021,1299" path="m5212,1689l5207,1691,5203,1701,5205,1707,5210,1709,5291,1741,5289,1732,5271,1732,5248,1702,5218,1691,5212,1689xm5248,1702l5271,1732,5277,1727,5269,1727,5266,1710,5248,1702xm5273,1646l5262,1648,5258,1653,5259,1658,5264,1690,5286,1719,5271,1732,5289,1732,5279,1655,5278,1650,5273,1646xm5266,1710l5269,1727,5282,1716,5266,1710xm5264,1690l5266,1710,5282,1716,5269,1727,5277,1727,5286,1719,5264,1690xm4286,442l4270,454,5248,1702,5266,1710,5264,1690,4286,442xe" filled="true" fillcolor="#00ff00" stroked="false">
              <v:path arrowok="t"/>
              <v:fill type="solid"/>
            </v:shape>
            <v:shape style="position:absolute;left:5676;top:1741;width:909;height:1355" coordorigin="5676,1741" coordsize="909,1355" path="m6562,1774l6545,1783,5676,3085,5693,3096,6561,1794,6562,1774xm6584,1752l6565,1752,6582,1763,6561,1794,6559,1826,6559,1832,6563,1836,6569,1837,6574,1837,6579,1833,6579,1827,6584,1752xm6584,1741l6502,1781,6500,1787,6502,1792,6504,1797,6510,1799,6515,1797,6545,1783,6565,1752,6584,1752,6584,1741xm6573,1757l6563,1757,6578,1767,6562,1774,6561,1794,6582,1763,6573,1757xm6565,1752l6545,1783,6562,1774,6563,1757,6573,1757,6565,1752xm6563,1757l6562,1774,6578,1767,6563,1757xe" filled="true" fillcolor="#6f2f9f" stroked="false">
              <v:path arrowok="t"/>
              <v:fill type="solid"/>
            </v:shape>
            <v:shape style="position:absolute;left:3932;top:1741;width:909;height:1355" coordorigin="3932,1741" coordsize="909,1355" path="m4819,1774l4801,1783,3932,3085,3949,3096,4817,1794,4819,1774xm4840,1752l4821,1752,4838,1763,4817,1794,4816,1827,4815,1832,4819,1836,4825,1837,4830,1837,4835,1833,4835,1827,4840,1752xm4841,1741l4758,1781,4756,1787,4758,1792,4761,1797,4767,1799,4772,1797,4801,1783,4821,1752,4840,1752,4841,1741xm4829,1757l4820,1757,4834,1767,4819,1774,4817,1794,4838,1763,4829,1757xm4821,1752l4801,1783,4819,1774,4820,1757,4829,1757,4821,1752xm4820,1757l4819,1774,4834,1767,4820,1757xe" filled="true" fillcolor="#ffff00" stroked="false">
              <v:path arrowok="t"/>
              <v:fill type="solid"/>
            </v:shape>
            <v:rect style="position:absolute;left:3153;top:673;width:1181;height:225" filled="true" fillcolor="#ffffff" stroked="false">
              <v:fill type="solid"/>
            </v:rect>
            <v:rect style="position:absolute;left:3603;top:1235;width:1181;height:225" filled="true" fillcolor="#ffffff" stroked="false">
              <v:fill type="solid"/>
            </v:rect>
            <v:rect style="position:absolute;left:4841;top:842;width:675;height:169" filled="true" fillcolor="#ffffff" stroked="false">
              <v:fill type="solid"/>
            </v:rect>
            <v:rect style="position:absolute;left:5178;top:1348;width:788;height:169" filled="true" fillcolor="#ffffff" stroked="false">
              <v:fill type="solid"/>
            </v:rect>
            <v:shape style="position:absolute;left:4334;top:740;width:226;height:93" coordorigin="4334,740" coordsize="226,93" path="m4414,740l4409,742,4334,786,4414,832,4420,831,4425,821,4424,815,4391,796,4354,796,4354,776,4392,776,4419,760,4424,757,4426,751,4420,741,4414,740xm4391,776l4374,786,4391,796,4559,797,4559,777,4391,776xm4354,776l4354,796,4391,796,4388,794,4359,794,4359,777,4389,777,4391,776,4354,776xm4359,777l4359,794,4374,786,4359,777xm4374,786l4359,794,4388,794,4374,786xm4389,777l4359,777,4374,786,4389,777xm4392,776l4354,776,4391,776,4392,776xe" filled="true" fillcolor="#00ff00" stroked="false">
              <v:path arrowok="t"/>
              <v:fill type="solid"/>
            </v:shape>
            <v:rect style="position:absolute;left:5122;top:561;width:788;height:169" filled="true" fillcolor="#ffffff" stroked="false">
              <v:fill type="solid"/>
            </v:rect>
            <v:rect style="position:absolute;left:5628;top:1067;width:675;height:169" filled="true" fillcolor="#ffffff" stroked="false">
              <v:fill type="solid"/>
            </v:rect>
            <v:rect style="position:absolute;left:6247;top:617;width:1013;height:169" filled="true" fillcolor="#ffffff" stroked="false">
              <v:fill type="solid"/>
            </v:rect>
            <v:rect style="position:absolute;left:6641;top:954;width:731;height:169" filled="true" fillcolor="#ffffff" stroked="false">
              <v:fill type="solid"/>
            </v:rect>
            <v:rect style="position:absolute;left:6866;top:1348;width:675;height:169" filled="true" fillcolor="#ffffff" stroked="false">
              <v:fill type="solid"/>
            </v:rect>
            <v:rect style="position:absolute;left:4616;top:2191;width:675;height:169" filled="false" stroked="true" strokeweight=".499645pt" strokecolor="#ffff00"/>
            <v:rect style="position:absolute;left:4222;top:2753;width:675;height:169" filled="false" stroked="true" strokeweight=".499645pt" strokecolor="#ffff00"/>
            <v:rect style="position:absolute;left:6134;top:2640;width:788;height:225" filled="true" fillcolor="#ffffff" stroked="false">
              <v:fill type="solid"/>
            </v:rect>
            <v:rect style="position:absolute;left:7934;top:1629;width:1350;height:401" filled="true" fillcolor="#ffffff" stroked="false">
              <v:fill type="solid"/>
            </v:rect>
            <v:shape style="position:absolute;left:7929;top:1624;width:1360;height:411" type="#_x0000_t75" stroked="false">
              <v:imagedata r:id="rId32" o:title=""/>
            </v:shape>
            <v:shape style="position:absolute;left:4784;top:1302;width:225;height:93" coordorigin="4784,1302" coordsize="225,93" path="m4864,1302l4784,1348,4859,1392,4864,1394,4870,1393,4873,1388,4875,1383,4874,1377,4841,1358,4804,1358,4804,1338,4842,1338,4874,1319,4876,1313,4870,1303,4864,1302xm4841,1338l4824,1348,4841,1358,5009,1359,5009,1339,4841,1338xm4804,1338l4804,1358,4841,1358,4838,1356,4809,1356,4809,1339,4839,1339,4841,1338,4804,1338xm4809,1339l4809,1356,4824,1348,4809,1339xm4824,1348l4809,1356,4838,1356,4824,1348xm4839,1339l4809,1339,4824,1348,4839,1339xm4842,1338l4804,1338,4841,1338,4842,1338xe" filled="true" fillcolor="#00ff00" stroked="false">
              <v:path arrowok="t"/>
              <v:fill type="solid"/>
            </v:shape>
            <v:shape style="position:absolute;left:5063;top:1406;width:115;height:91" coordorigin="5063,1406" coordsize="115,91" path="m5161,1427l5157,1427,5161,1446,5126,1455,5102,1478,5098,1482,5098,1488,5106,1496,5112,1496,5116,1492,5178,1432,5161,1427xm5121,1436l5063,1450,5068,1470,5126,1455,5140,1442,5121,1436xm5140,1442l5126,1455,5161,1446,5156,1446,5140,1442xm5152,1430l5140,1442,5156,1446,5152,1430xm5157,1430l5152,1430,5156,1446,5161,1446,5157,1430xm5157,1427l5121,1436,5140,1442,5152,1430,5157,1430,5157,1427xm5090,1406l5084,1409,5083,1415,5081,1420,5084,1425,5089,1427,5121,1436,5157,1427,5161,1427,5095,1408,5090,1406xe" filled="true" fillcolor="#00ff00" stroked="false">
              <v:path arrowok="t"/>
              <v:fill type="solid"/>
            </v:shape>
            <v:shape style="position:absolute;left:5909;top:627;width:169;height:93" coordorigin="5909,627" coordsize="169,93" path="m5989,627l5909,673,5984,717,5989,720,5995,718,5998,714,6000,709,5999,703,5966,684,5929,683,5929,663,5967,663,5994,647,5999,645,6001,639,5998,634,5995,629,5989,627xm5966,664l5949,673,5966,684,6078,684,6078,664,5966,664xm5929,663l5929,683,5966,684,5963,682,5934,682,5934,665,5964,665,5966,664,5929,663xm5934,665l5934,682,5949,673,5934,665xm5949,673l5934,682,5963,682,5949,673xm5964,665l5934,665,5949,673,5964,665xm5967,663l5929,663,5966,664,5967,663xe" filled="true" fillcolor="#ff3300" stroked="false">
              <v:path arrowok="t"/>
              <v:fill type="solid"/>
            </v:shape>
            <v:shape style="position:absolute;left:6303;top:1133;width:169;height:93" coordorigin="6303,1133" coordsize="169,93" path="m6383,1133l6303,1179,6378,1223,6382,1226,6388,1224,6391,1220,6394,1215,6393,1209,6360,1189,6323,1189,6323,1169,6361,1169,6388,1153,6393,1151,6395,1144,6392,1140,6389,1135,6383,1133xm6360,1169l6343,1179,6360,1189,6472,1190,6472,1170,6360,1169xm6323,1169l6323,1189,6360,1189,6357,1188,6328,1188,6328,1171,6358,1171,6360,1169,6323,1169xm6328,1171l6328,1188,6343,1179,6328,1171xm6343,1179l6328,1188,6357,1188,6343,1179xm6358,1171l6328,1171,6343,1179,6358,1171xm6361,1169l6323,1169,6360,1169,6361,1169xe" filled="true" fillcolor="#ff3300" stroked="false">
              <v:path arrowok="t"/>
              <v:fill type="solid"/>
            </v:shape>
            <v:shape style="position:absolute;left:6132;top:676;width:115;height:90" coordorigin="6132,676" coordsize="115,90" path="m6230,696l6225,696,6230,716,6194,725,6171,747,6167,751,6167,757,6175,765,6181,765,6185,762,6247,701,6230,696xm6189,705l6132,720,6137,739,6194,725,6208,711,6189,705xm6208,711l6194,725,6230,716,6225,716,6208,711xm6221,699l6208,711,6225,716,6221,699xm6226,699l6221,699,6225,716,6230,716,6226,699xm6225,696l6189,705,6208,711,6221,699,6226,699,6225,696xm6158,676l6153,679,6151,684,6150,689,6153,695,6189,705,6225,696,6230,696,6158,676xe" filled="true" fillcolor="#ff3300" stroked="false">
              <v:path arrowok="t"/>
              <v:fill type="solid"/>
            </v:shape>
            <v:shape style="position:absolute;left:6358;top:1000;width:283;height:93" coordorigin="6358,1000" coordsize="283,93" path="m6623,1030l6620,1030,6622,1050,6585,1054,6554,1076,6553,1083,6557,1087,6560,1092,6566,1093,6571,1089,6641,1038,6623,1030xm6583,1034l6358,1057,6360,1077,6585,1054,6601,1042,6583,1034xm6601,1042l6585,1054,6622,1050,6622,1049,6617,1049,6601,1042xm6615,1032l6601,1042,6617,1049,6615,1032xm6620,1032l6615,1032,6617,1049,6622,1049,6620,1032xm6620,1030l6583,1034,6601,1042,6615,1032,6620,1032,6620,1030xm6557,1000l6551,1002,6549,1007,6546,1012,6549,1018,6554,1021,6583,1034,6620,1030,6623,1030,6562,1002,6557,1000xe" filled="true" fillcolor="#ff3300" stroked="false">
              <v:path arrowok="t"/>
              <v:fill type="solid"/>
            </v:shape>
            <v:shape style="position:absolute;left:6696;top:1403;width:170;height:81" coordorigin="6696,1403" coordsize="170,81" path="m6857,1429l6855,1429,6857,1439,6838,1442,6799,1474,6797,1476,6797,1479,6800,1483,6804,1484,6806,1482,6866,1432,6857,1429xm6837,1432l6696,1455,6698,1465,6838,1442,6846,1435,6837,1432xm6846,1435l6838,1442,6857,1439,6857,1438,6854,1438,6846,1435xm6853,1430l6846,1435,6854,1438,6853,1430xm6855,1430l6853,1430,6854,1438,6857,1438,6855,1430xm6855,1429l6837,1432,6846,1435,6853,1430,6855,1430,6855,1429xm6790,1403l6787,1405,6785,1410,6787,1413,6837,1432,6855,1429,6857,1429,6790,1403xe" filled="true" fillcolor="#ff3300" stroked="false">
              <v:path arrowok="t"/>
              <v:fill type="solid"/>
            </v:shape>
            <v:shape style="position:absolute;left:4447;top:1939;width:227;height:93" coordorigin="4447,1939" coordsize="227,93" path="m4520,1939l4447,1994,4531,2031,4537,2028,4542,2018,4539,2012,4515,2002,4468,2002,4465,1982,4502,1977,4532,1954,4533,1948,4527,1939,4520,1939xm4502,1977l4465,1982,4468,2002,4484,2000,4473,2000,4471,1982,4495,1982,4502,1977xm4504,1997l4468,2002,4515,2002,4504,1997xm4471,1982l4473,2000,4486,1989,4471,1982xm4486,1989l4473,2000,4484,2000,4504,1997,4486,1989xm4671,1957l4502,1977,4486,1989,4504,1997,4673,1977,4671,1957xm4495,1982l4471,1982,4486,1989,4495,1982xe" filled="true" fillcolor="#ffff00" stroked="false">
              <v:path arrowok="t"/>
              <v:fill type="solid"/>
            </v:shape>
            <v:shape style="position:absolute;left:4166;top:2482;width:169;height:93" coordorigin="4166,2482" coordsize="169,93" path="m4245,2482l4166,2528,4245,2575,4251,2573,4257,2564,4255,2558,4222,2538,4185,2538,4185,2518,4223,2518,4255,2500,4257,2493,4252,2484,4245,2482xm4222,2518l4205,2528,4222,2538,4334,2539,4334,2519,4222,2518xm4185,2518l4185,2538,4222,2538,4220,2537,4190,2537,4191,2520,4221,2520,4222,2518,4185,2518xm4191,2520l4190,2537,4205,2528,4191,2520xm4205,2528l4190,2537,4220,2537,4205,2528xm4221,2520l4191,2520,4205,2528,4221,2520xm4223,2518l4185,2518,4222,2518,4223,2518xe" filled="true" fillcolor="#ffff00" stroked="false">
              <v:path arrowok="t"/>
              <v:fill type="solid"/>
            </v:shape>
            <v:shape style="position:absolute;left:4447;top:2314;width:169;height:93" coordorigin="4447,2314" coordsize="169,93" path="m4559,2370l4526,2389,4524,2395,4530,2405,4536,2406,4598,2370,4559,2370xm4576,2360l4559,2370,4596,2370,4596,2369,4591,2369,4576,2360xm4536,2314l4530,2315,4525,2325,4526,2331,4559,2350,4596,2350,4596,2370,4598,2370,4616,2361,4536,2314xm4447,2349l4447,2369,4559,2370,4576,2360,4559,2350,4447,2349xm4591,2352l4576,2360,4591,2369,4591,2352xm4596,2352l4591,2352,4591,2369,4596,2369,4596,2352xm4559,2350l4576,2360,4591,2352,4596,2352,4596,2350,4559,2350xe" filled="true" fillcolor="#ffff00" stroked="false">
              <v:path arrowok="t"/>
              <v:fill type="solid"/>
            </v:shape>
            <v:shape style="position:absolute;left:4728;top:964;width:113;height:93" coordorigin="4728,964" coordsize="113,93" path="m4784,1021l4756,1037,4751,1040,4749,1046,4752,1051,4754,1055,4761,1057,4765,1054,4823,1021,4821,1021,4784,1021xm4801,1011l4784,1021,4821,1021,4821,1020,4816,1020,4801,1011xm4762,964l4755,966,4753,971,4750,975,4751,981,4756,984,4784,1001,4821,1001,4821,1021,4823,1021,4841,1012,4766,967,4762,964xm4728,1000l4728,1020,4784,1021,4801,1011,4784,1001,4728,1000xm4816,1003l4801,1011,4816,1020,4816,1003xm4821,1003l4816,1003,4816,1020,4821,1020,4821,1003xm4784,1001l4801,1011,4816,1003,4821,1003,4821,1001,4784,1001xe" filled="true" fillcolor="#00ff00" stroked="false">
              <v:path arrowok="t"/>
              <v:fill type="solid"/>
            </v:shape>
            <v:shape style="position:absolute;left:4053;top:2876;width:169;height:93" coordorigin="4053,2876" coordsize="169,93" path="m4165,2932l4132,2951,4130,2957,4136,2967,4142,2968,4205,2933,4165,2932xm4182,2922l4165,2932,4202,2933,4202,2931,4197,2931,4182,2922xm4143,2876l4137,2877,4131,2887,4132,2893,4165,2912,4202,2913,4202,2933,4205,2933,4222,2923,4143,2876xm4053,2911l4053,2931,4165,2932,4182,2922,4165,2912,4053,2911xm4197,2914l4182,2922,4197,2931,4197,2914xm4202,2914l4197,2914,4197,2931,4202,2931,4202,2914xm4165,2912l4182,2922,4197,2914,4202,2914,4202,2913,4165,2912xe" filled="true" fillcolor="#ffff00" stroked="false">
              <v:path arrowok="t"/>
              <v:fill type="solid"/>
            </v:shape>
            <v:shape style="position:absolute;left:6134;top:2032;width:225;height:93" coordorigin="6134,2032" coordsize="225,93" path="m6214,2032l6134,2078,6209,2122,6214,2125,6220,2124,6225,2114,6224,2108,6191,2089,6154,2088,6154,2068,6192,2068,6224,2050,6226,2044,6223,2039,6220,2034,6214,2032xm6191,2069l6174,2079,6191,2089,6359,2090,6359,2070,6191,2069xm6154,2068l6154,2088,6191,2089,6188,2087,6159,2087,6159,2070,6189,2070,6191,2069,6154,2068xm6159,2070l6159,2087,6174,2079,6159,2070xm6174,2079l6159,2087,6188,2087,6174,2079xm6189,2070l6159,2070,6174,2079,6189,2070xm6192,2068l6154,2068,6191,2069,6192,2068xe" filled="true" fillcolor="#6f2f9f" stroked="false">
              <v:path arrowok="t"/>
              <v:fill type="solid"/>
            </v:shape>
            <v:shape style="position:absolute;left:5909;top:2713;width:225;height:82" coordorigin="5909,2713" coordsize="225,82" path="m6065,2713l6062,2714,6059,2719,6060,2722,6106,2749,6125,2749,6124,2759,6106,2759,6059,2786,6059,2789,6061,2794,6064,2794,6126,2759,6124,2759,6126,2759,6134,2754,6065,2713xm6115,2754l6106,2759,6124,2759,6124,2758,6122,2758,6115,2754xm5909,2748l5909,2758,6106,2759,6115,2754,6106,2749,5909,2748xm6122,2750l6115,2754,6122,2758,6122,2750xm6125,2750l6122,2750,6122,2758,6124,2758,6125,2750xm6106,2749l6115,2754,6122,2750,6125,2750,6125,2749,6106,2749xe" filled="true" fillcolor="#6f2f9f" stroked="false">
              <v:path arrowok="t"/>
              <v:fill type="solid"/>
            </v:shape>
            <v:rect style="position:absolute;left:5347;top:1910;width:788;height:225" filled="true" fillcolor="#ffffff" stroked="false">
              <v:fill type="solid"/>
            </v:rect>
            <v:rect style="position:absolute;left:5347;top:1910;width:788;height:225" filled="false" stroked="true" strokeweight=".499651pt" strokecolor="#6f2f9f"/>
            <v:rect style="position:absolute;left:5122;top:2416;width:788;height:225" filled="true" fillcolor="#ffffff" stroked="false">
              <v:fill type="solid"/>
            </v:rect>
            <v:rect style="position:absolute;left:5122;top:2416;width:788;height:225" filled="false" stroked="true" strokeweight=".499651pt" strokecolor="#6f2f9f"/>
            <v:rect style="position:absolute;left:4953;top:2753;width:788;height:225" filled="true" fillcolor="#ffffff" stroked="false">
              <v:fill type="solid"/>
            </v:rect>
            <v:rect style="position:absolute;left:4953;top:2753;width:788;height:225" filled="false" stroked="true" strokeweight=".499651pt" strokecolor="#6f2f9f"/>
            <v:rect style="position:absolute;left:6359;top:2247;width:1013;height:225" filled="true" fillcolor="#ffffff" stroked="false">
              <v:fill type="solid"/>
            </v:rect>
            <v:shape style="position:absolute;left:6191;top:2314;width:169;height:93" coordorigin="6191,2314" coordsize="169,93" path="m6303,2370l6270,2389,6268,2395,6271,2400,6273,2405,6280,2406,6342,2370,6303,2370xm6320,2360l6303,2370,6340,2370,6340,2369,6334,2369,6320,2360xm6280,2314l6274,2315,6268,2325,6270,2331,6303,2350,6340,2350,6340,2370,6342,2370,6359,2361,6280,2314xm6191,2349l6191,2369,6303,2370,6320,2360,6303,2350,6191,2349xm6335,2352l6320,2360,6334,2369,6335,2352xm6340,2352l6335,2352,6334,2369,6340,2369,6340,2352xm6303,2350l6320,2360,6335,2352,6340,2352,6340,2350,6303,2350xe" filled="true" fillcolor="#6f2f9f" stroked="false">
              <v:path arrowok="t"/>
              <v:fill type="solid"/>
            </v:shape>
            <v:shape style="position:absolute;left:6416;top:1976;width:169;height:93" coordorigin="6416,1976" coordsize="169,93" path="m6528,2033l6495,2052,6493,2058,6496,2063,6498,2068,6505,2069,6567,2033,6528,2033xm6545,2023l6528,2033,6565,2033,6565,2032,6559,2032,6545,2023xm6505,1976l6499,1978,6493,1987,6495,1994,6528,2013,6565,2013,6565,2033,6567,2033,6584,2023,6505,1976xm6416,2012l6416,2032,6528,2033,6545,2023,6528,2013,6416,2012xm6560,2015l6545,2023,6559,2032,6560,2015xm6565,2015l6560,2015,6559,2032,6565,2032,6565,2015xm6528,2013l6545,2023,6560,2015,6565,2015,6565,2013,6528,2013xe" filled="true" fillcolor="#6f2f9f" stroked="false">
              <v:path arrowok="t"/>
              <v:fill type="solid"/>
            </v:shape>
            <v:shape style="position:absolute;left:5909;top:2482;width:169;height:93" coordorigin="5909,2482" coordsize="169,93" path="m5989,2482l5909,2528,5989,2575,5995,2573,6000,2564,5999,2558,5966,2538,5929,2538,5929,2518,5967,2518,5999,2500,6001,2493,5998,2489,5995,2484,5989,2482xm5966,2518l5949,2528,5966,2538,6078,2539,6078,2519,5966,2518xm5929,2518l5929,2538,5966,2538,5963,2537,5934,2537,5934,2520,5964,2520,5966,2518,5929,2518xm5934,2520l5934,2537,5949,2528,5934,2520xm5949,2528l5934,2537,5963,2537,5949,2528xm5964,2520l5934,2520,5949,2528,5964,2520xm5967,2518l5929,2518,5966,2518,5967,2518xe" filled="true" fillcolor="#6f2f9f" stroked="false">
              <v:path arrowok="t"/>
              <v:fill type="solid"/>
            </v:shape>
            <v:shape style="position:absolute;left:5741;top:2820;width:113;height:93" coordorigin="5741,2820" coordsize="113,93" path="m5821,2820l5741,2865,5815,2910,5820,2912,5826,2911,5831,2901,5830,2895,5825,2893,5797,2876,5760,2875,5761,2855,5798,2855,5831,2837,5832,2831,5830,2826,5827,2821,5821,2820xm5798,2856l5780,2866,5797,2876,5853,2876,5853,2856,5798,2856xm5761,2855l5760,2875,5797,2876,5794,2874,5765,2874,5766,2857,5796,2857,5798,2856,5761,2855xm5766,2857l5765,2874,5780,2866,5766,2857xm5780,2866l5765,2874,5794,2874,5780,2866xm5796,2857l5766,2857,5780,2866,5796,2857xm5798,2855l5761,2855,5798,2856,5798,2855xe" filled="true" fillcolor="#6f2f9f" stroked="false">
              <v:path arrowok="t"/>
              <v:fill type="solid"/>
            </v:shape>
            <v:shape style="position:absolute;left:5319;top:1910;width:816;height:253" type="#_x0000_t202" filled="false" stroked="false">
              <v:textbox inset="0,0,0,0">
                <w:txbxContent>
                  <w:p>
                    <w:pPr>
                      <w:spacing w:before="44"/>
                      <w:ind w:left="213" w:right="0" w:firstLine="0"/>
                      <w:jc w:val="left"/>
                      <w:rPr>
                        <w:rFonts w:ascii="Calibri"/>
                        <w:b/>
                        <w:sz w:val="12"/>
                      </w:rPr>
                    </w:pPr>
                    <w:r>
                      <w:rPr>
                        <w:rFonts w:ascii="Calibri"/>
                        <w:b/>
                        <w:color w:val="6F2F9F"/>
                        <w:sz w:val="12"/>
                      </w:rPr>
                      <w:t>EMPLEO</w:t>
                    </w:r>
                  </w:p>
                </w:txbxContent>
              </v:textbox>
              <w10:wrap type="none"/>
            </v:shape>
            <v:shape style="position:absolute;left:4616;top:2163;width:704;height:225" type="#_x0000_t202" filled="false" stroked="false">
              <v:textbox inset="0,0,0,0">
                <w:txbxContent>
                  <w:p>
                    <w:pPr>
                      <w:spacing w:before="44"/>
                      <w:ind w:left="170" w:right="0" w:firstLine="0"/>
                      <w:jc w:val="left"/>
                      <w:rPr>
                        <w:rFonts w:ascii="Calibri"/>
                        <w:b/>
                        <w:sz w:val="12"/>
                      </w:rPr>
                    </w:pPr>
                    <w:r>
                      <w:rPr>
                        <w:rFonts w:ascii="Calibri"/>
                        <w:b/>
                        <w:color w:val="FFC000"/>
                        <w:sz w:val="12"/>
                      </w:rPr>
                      <w:t>TECHO</w:t>
                    </w:r>
                  </w:p>
                </w:txbxContent>
              </v:textbox>
              <w10:wrap type="none"/>
            </v:shape>
            <v:shape style="position:absolute;left:5122;top:2387;width:788;height:253" type="#_x0000_t202" filled="false" stroked="false">
              <v:textbox inset="0,0,0,0">
                <w:txbxContent>
                  <w:p>
                    <w:pPr>
                      <w:spacing w:before="73"/>
                      <w:ind w:left="93" w:right="0" w:firstLine="0"/>
                      <w:jc w:val="left"/>
                      <w:rPr>
                        <w:rFonts w:ascii="Calibri" w:hAnsi="Calibri"/>
                        <w:b/>
                        <w:sz w:val="12"/>
                      </w:rPr>
                    </w:pPr>
                    <w:r>
                      <w:rPr>
                        <w:rFonts w:ascii="Calibri" w:hAnsi="Calibri"/>
                        <w:b/>
                        <w:color w:val="6F2F9F"/>
                        <w:sz w:val="12"/>
                      </w:rPr>
                      <w:t>EDUCACIÓN</w:t>
                    </w:r>
                  </w:p>
                </w:txbxContent>
              </v:textbox>
              <w10:wrap type="none"/>
            </v:shape>
            <v:shape style="position:absolute;left:4222;top:2753;width:732;height:197" type="#_x0000_t202" filled="false" stroked="false">
              <v:textbox inset="0,0,0,0">
                <w:txbxContent>
                  <w:p>
                    <w:pPr>
                      <w:spacing w:before="17"/>
                      <w:ind w:left="217" w:right="0" w:firstLine="0"/>
                      <w:jc w:val="left"/>
                      <w:rPr>
                        <w:rFonts w:ascii="Calibri"/>
                        <w:b/>
                        <w:sz w:val="12"/>
                      </w:rPr>
                    </w:pPr>
                    <w:r>
                      <w:rPr>
                        <w:rFonts w:ascii="Calibri"/>
                        <w:b/>
                        <w:color w:val="FFC000"/>
                        <w:sz w:val="12"/>
                      </w:rPr>
                      <w:t>PISO</w:t>
                    </w:r>
                  </w:p>
                </w:txbxContent>
              </v:textbox>
              <w10:wrap type="none"/>
            </v:shape>
            <v:shape style="position:absolute;left:4953;top:2753;width:788;height:197" type="#_x0000_t202" filled="false" stroked="false">
              <v:textbox inset="0,0,0,0">
                <w:txbxContent>
                  <w:p>
                    <w:pPr>
                      <w:spacing w:before="45"/>
                      <w:ind w:left="194" w:right="0" w:firstLine="0"/>
                      <w:jc w:val="left"/>
                      <w:rPr>
                        <w:rFonts w:ascii="Calibri"/>
                        <w:b/>
                        <w:sz w:val="12"/>
                      </w:rPr>
                    </w:pPr>
                    <w:r>
                      <w:rPr>
                        <w:rFonts w:ascii="Calibri"/>
                        <w:b/>
                        <w:color w:val="6F2F9F"/>
                        <w:sz w:val="12"/>
                      </w:rPr>
                      <w:t>ABASTO</w:t>
                    </w:r>
                  </w:p>
                </w:txbxContent>
              </v:textbox>
              <w10:wrap type="none"/>
            </v:shape>
            <v:shape style="position:absolute;left:8040;top:1708;width:1146;height:270" type="#_x0000_t202" filled="false" stroked="false">
              <v:textbox inset="0,0,0,0">
                <w:txbxContent>
                  <w:p>
                    <w:pPr>
                      <w:spacing w:line="123" w:lineRule="exact" w:before="0"/>
                      <w:ind w:left="0" w:right="0" w:firstLine="0"/>
                      <w:jc w:val="center"/>
                      <w:rPr>
                        <w:rFonts w:ascii="Calibri"/>
                        <w:b/>
                        <w:sz w:val="12"/>
                      </w:rPr>
                    </w:pPr>
                    <w:r>
                      <w:rPr>
                        <w:rFonts w:ascii="Calibri"/>
                        <w:b/>
                        <w:color w:val="00AFEF"/>
                        <w:sz w:val="12"/>
                      </w:rPr>
                      <w:t>HABITABILIDAD DE</w:t>
                    </w:r>
                    <w:r>
                      <w:rPr>
                        <w:rFonts w:ascii="Calibri"/>
                        <w:b/>
                        <w:color w:val="00AFEF"/>
                        <w:spacing w:val="-16"/>
                        <w:sz w:val="12"/>
                      </w:rPr>
                      <w:t> </w:t>
                    </w:r>
                    <w:r>
                      <w:rPr>
                        <w:rFonts w:ascii="Calibri"/>
                        <w:b/>
                        <w:color w:val="00AFEF"/>
                        <w:sz w:val="12"/>
                      </w:rPr>
                      <w:t>LAS</w:t>
                    </w:r>
                  </w:p>
                  <w:p>
                    <w:pPr>
                      <w:spacing w:line="144" w:lineRule="exact" w:before="2"/>
                      <w:ind w:left="0" w:right="2" w:firstLine="0"/>
                      <w:jc w:val="center"/>
                      <w:rPr>
                        <w:rFonts w:ascii="Calibri"/>
                        <w:b/>
                        <w:sz w:val="12"/>
                      </w:rPr>
                    </w:pPr>
                    <w:r>
                      <w:rPr>
                        <w:rFonts w:ascii="Calibri"/>
                        <w:b/>
                        <w:color w:val="00AFEF"/>
                        <w:sz w:val="12"/>
                      </w:rPr>
                      <w:t>VIVIENDAS</w:t>
                    </w:r>
                  </w:p>
                </w:txbxContent>
              </v:textbox>
              <w10:wrap type="none"/>
            </v:shape>
            <v:shape style="position:absolute;left:3659;top:167;width:1294;height:289" type="#_x0000_t202" filled="false" stroked="true" strokeweight=".49964pt" strokecolor="#00ff00">
              <v:textbox inset="0,0,0,0">
                <w:txbxContent>
                  <w:p>
                    <w:pPr>
                      <w:spacing w:before="70"/>
                      <w:ind w:left="106" w:right="0" w:firstLine="0"/>
                      <w:jc w:val="left"/>
                      <w:rPr>
                        <w:rFonts w:ascii="Calibri" w:hAnsi="Calibri"/>
                        <w:b/>
                        <w:sz w:val="12"/>
                      </w:rPr>
                    </w:pPr>
                    <w:r>
                      <w:rPr>
                        <w:rFonts w:ascii="Calibri" w:hAnsi="Calibri"/>
                        <w:b/>
                        <w:color w:val="00AF50"/>
                        <w:sz w:val="12"/>
                      </w:rPr>
                      <w:t>SERVICIOS PÚBLICOS</w:t>
                    </w:r>
                  </w:p>
                </w:txbxContent>
              </v:textbox>
              <w10:wrap type="none"/>
            </v:shape>
            <v:shape style="position:absolute;left:5234;top:167;width:1294;height:289" type="#_x0000_t202" filled="false" stroked="true" strokeweight=".49964pt" strokecolor="#ff3300">
              <v:textbox inset="0,0,0,0">
                <w:txbxContent>
                  <w:p>
                    <w:pPr>
                      <w:spacing w:line="140" w:lineRule="exact" w:before="0"/>
                      <w:ind w:left="309" w:right="0" w:firstLine="0"/>
                      <w:jc w:val="left"/>
                      <w:rPr>
                        <w:rFonts w:ascii="Calibri"/>
                        <w:b/>
                        <w:sz w:val="12"/>
                      </w:rPr>
                    </w:pPr>
                    <w:r>
                      <w:rPr>
                        <w:rFonts w:ascii="Calibri"/>
                        <w:b/>
                        <w:color w:val="FF3300"/>
                        <w:sz w:val="12"/>
                      </w:rPr>
                      <w:t>BIENES EN LA</w:t>
                    </w:r>
                  </w:p>
                  <w:p>
                    <w:pPr>
                      <w:spacing w:line="137" w:lineRule="exact" w:before="2"/>
                      <w:ind w:left="395" w:right="0" w:firstLine="0"/>
                      <w:jc w:val="left"/>
                      <w:rPr>
                        <w:rFonts w:ascii="Calibri"/>
                        <w:b/>
                        <w:sz w:val="12"/>
                      </w:rPr>
                    </w:pPr>
                    <w:r>
                      <w:rPr>
                        <w:rFonts w:ascii="Calibri"/>
                        <w:b/>
                        <w:color w:val="FF3300"/>
                        <w:sz w:val="12"/>
                      </w:rPr>
                      <w:t>VIVIENDA</w:t>
                    </w:r>
                  </w:p>
                </w:txbxContent>
              </v:textbox>
              <w10:wrap type="none"/>
            </v:shape>
            <v:shape style="position:absolute;left:5122;top:561;width:788;height:169" type="#_x0000_t202" filled="false" stroked="true" strokeweight=".499639pt" strokecolor="#ff3300">
              <v:textbox inset="0,0,0,0">
                <w:txbxContent>
                  <w:p>
                    <w:pPr>
                      <w:spacing w:before="10"/>
                      <w:ind w:left="122" w:right="0" w:firstLine="0"/>
                      <w:jc w:val="left"/>
                      <w:rPr>
                        <w:rFonts w:ascii="Calibri"/>
                        <w:b/>
                        <w:sz w:val="12"/>
                      </w:rPr>
                    </w:pPr>
                    <w:r>
                      <w:rPr>
                        <w:rFonts w:ascii="Calibri"/>
                        <w:b/>
                        <w:color w:val="FF3300"/>
                        <w:sz w:val="12"/>
                      </w:rPr>
                      <w:t>TELEVISOR</w:t>
                    </w:r>
                  </w:p>
                </w:txbxContent>
              </v:textbox>
              <w10:wrap type="none"/>
            </v:shape>
            <v:shape style="position:absolute;left:6247;top:617;width:1013;height:169" type="#_x0000_t202" filled="false" stroked="true" strokeweight=".499633pt" strokecolor="#ff3300">
              <v:textbox inset="0,0,0,0">
                <w:txbxContent>
                  <w:p>
                    <w:pPr>
                      <w:spacing w:before="10"/>
                      <w:ind w:left="113" w:right="0" w:firstLine="0"/>
                      <w:jc w:val="left"/>
                      <w:rPr>
                        <w:rFonts w:ascii="Calibri"/>
                        <w:b/>
                        <w:sz w:val="12"/>
                      </w:rPr>
                    </w:pPr>
                    <w:r>
                      <w:rPr>
                        <w:rFonts w:ascii="Calibri"/>
                        <w:b/>
                        <w:color w:val="FF3300"/>
                        <w:sz w:val="12"/>
                      </w:rPr>
                      <w:t>REFRIGERADOR</w:t>
                    </w:r>
                  </w:p>
                </w:txbxContent>
              </v:textbox>
              <w10:wrap type="none"/>
            </v:shape>
            <v:shape style="position:absolute;left:3153;top:673;width:1182;height:225" type="#_x0000_t202" filled="false" stroked="true" strokeweight=".499636pt" strokecolor="#00ff00">
              <v:textbox inset="0,0,0,0">
                <w:txbxContent>
                  <w:p>
                    <w:pPr>
                      <w:spacing w:before="38"/>
                      <w:ind w:left="207" w:right="0" w:firstLine="0"/>
                      <w:jc w:val="left"/>
                      <w:rPr>
                        <w:rFonts w:ascii="Calibri"/>
                        <w:b/>
                        <w:sz w:val="12"/>
                      </w:rPr>
                    </w:pPr>
                    <w:r>
                      <w:rPr>
                        <w:rFonts w:ascii="Calibri"/>
                        <w:b/>
                        <w:color w:val="00AF50"/>
                        <w:sz w:val="12"/>
                      </w:rPr>
                      <w:t>AGUA POTABLE</w:t>
                    </w:r>
                  </w:p>
                </w:txbxContent>
              </v:textbox>
              <w10:wrap type="none"/>
            </v:shape>
            <v:shape style="position:absolute;left:4841;top:842;width:675;height:169" type="#_x0000_t202" filled="false" stroked="true" strokeweight=".499645pt" strokecolor="#00ff00">
              <v:textbox inset="0,0,0,0">
                <w:txbxContent>
                  <w:p>
                    <w:pPr>
                      <w:spacing w:before="10"/>
                      <w:ind w:left="107" w:right="0" w:firstLine="0"/>
                      <w:jc w:val="left"/>
                      <w:rPr>
                        <w:rFonts w:ascii="Calibri"/>
                        <w:b/>
                        <w:sz w:val="12"/>
                      </w:rPr>
                    </w:pPr>
                    <w:r>
                      <w:rPr>
                        <w:rFonts w:ascii="Calibri"/>
                        <w:b/>
                        <w:color w:val="00AF50"/>
                        <w:sz w:val="12"/>
                      </w:rPr>
                      <w:t>DRENAJE</w:t>
                    </w:r>
                  </w:p>
                </w:txbxContent>
              </v:textbox>
              <w10:wrap type="none"/>
            </v:shape>
            <v:shape style="position:absolute;left:6641;top:954;width:732;height:169" type="#_x0000_t202" filled="false" stroked="true" strokeweight=".499642pt" strokecolor="#ff3300">
              <v:textbox inset="0,0,0,0">
                <w:txbxContent>
                  <w:p>
                    <w:pPr>
                      <w:spacing w:before="10"/>
                      <w:ind w:left="84" w:right="0" w:firstLine="0"/>
                      <w:jc w:val="left"/>
                      <w:rPr>
                        <w:rFonts w:ascii="Calibri"/>
                        <w:b/>
                        <w:sz w:val="12"/>
                      </w:rPr>
                    </w:pPr>
                    <w:r>
                      <w:rPr>
                        <w:rFonts w:ascii="Calibri"/>
                        <w:b/>
                        <w:color w:val="FF3300"/>
                        <w:sz w:val="12"/>
                      </w:rPr>
                      <w:t>LAVADORA</w:t>
                    </w:r>
                  </w:p>
                </w:txbxContent>
              </v:textbox>
              <w10:wrap type="none"/>
            </v:shape>
            <v:shape style="position:absolute;left:5628;top:1067;width:675;height:169" type="#_x0000_t202" filled="false" stroked="true" strokeweight=".499645pt" strokecolor="#ff3300">
              <v:textbox inset="0,0,0,0">
                <w:txbxContent>
                  <w:p>
                    <w:pPr>
                      <w:spacing w:before="10"/>
                      <w:ind w:left="165" w:right="0" w:firstLine="0"/>
                      <w:jc w:val="left"/>
                      <w:rPr>
                        <w:rFonts w:ascii="Calibri"/>
                        <w:b/>
                        <w:sz w:val="12"/>
                      </w:rPr>
                    </w:pPr>
                    <w:r>
                      <w:rPr>
                        <w:rFonts w:ascii="Calibri"/>
                        <w:b/>
                        <w:color w:val="FF3300"/>
                        <w:sz w:val="12"/>
                      </w:rPr>
                      <w:t>RADIO</w:t>
                    </w:r>
                  </w:p>
                </w:txbxContent>
              </v:textbox>
              <w10:wrap type="none"/>
            </v:shape>
            <v:shape style="position:absolute;left:3603;top:1235;width:1182;height:225" type="#_x0000_t202" filled="false" stroked="true" strokeweight=".499636pt" strokecolor="#00ff00">
              <v:textbox inset="0,0,0,0">
                <w:txbxContent>
                  <w:p>
                    <w:pPr>
                      <w:spacing w:before="39"/>
                      <w:ind w:left="92" w:right="0" w:firstLine="0"/>
                      <w:jc w:val="left"/>
                      <w:rPr>
                        <w:rFonts w:ascii="Calibri" w:hAnsi="Calibri"/>
                        <w:b/>
                        <w:sz w:val="12"/>
                      </w:rPr>
                    </w:pPr>
                    <w:r>
                      <w:rPr>
                        <w:rFonts w:ascii="Calibri" w:hAnsi="Calibri"/>
                        <w:b/>
                        <w:color w:val="00AF50"/>
                        <w:sz w:val="12"/>
                      </w:rPr>
                      <w:t>ENERGÍA ELÉCTRICA</w:t>
                    </w:r>
                  </w:p>
                </w:txbxContent>
              </v:textbox>
              <w10:wrap type="none"/>
            </v:shape>
            <v:shape style="position:absolute;left:5178;top:1348;width:788;height:169" type="#_x0000_t202" filled="false" stroked="true" strokeweight=".499639pt" strokecolor="#00ff00">
              <v:textbox inset="0,0,0,0">
                <w:txbxContent>
                  <w:p>
                    <w:pPr>
                      <w:spacing w:before="11"/>
                      <w:ind w:left="117" w:right="0" w:firstLine="0"/>
                      <w:jc w:val="left"/>
                      <w:rPr>
                        <w:rFonts w:ascii="Calibri"/>
                        <w:b/>
                        <w:sz w:val="12"/>
                      </w:rPr>
                    </w:pPr>
                    <w:r>
                      <w:rPr>
                        <w:rFonts w:ascii="Calibri"/>
                        <w:b/>
                        <w:color w:val="00AF50"/>
                        <w:sz w:val="12"/>
                      </w:rPr>
                      <w:t>SANITARIO</w:t>
                    </w:r>
                  </w:p>
                </w:txbxContent>
              </v:textbox>
              <w10:wrap type="none"/>
            </v:shape>
            <v:shape style="position:absolute;left:6866;top:1348;width:675;height:169" type="#_x0000_t202" filled="false" stroked="true" strokeweight=".499645pt" strokecolor="#ff3300">
              <v:textbox inset="0,0,0,0">
                <w:txbxContent>
                  <w:p>
                    <w:pPr>
                      <w:spacing w:before="11"/>
                      <w:ind w:left="89" w:right="0" w:firstLine="0"/>
                      <w:jc w:val="left"/>
                      <w:rPr>
                        <w:rFonts w:ascii="Calibri"/>
                        <w:b/>
                        <w:sz w:val="12"/>
                      </w:rPr>
                    </w:pPr>
                    <w:r>
                      <w:rPr>
                        <w:rFonts w:ascii="Calibri"/>
                        <w:b/>
                        <w:color w:val="FF3300"/>
                        <w:sz w:val="12"/>
                      </w:rPr>
                      <w:t>INTERNET</w:t>
                    </w:r>
                  </w:p>
                </w:txbxContent>
              </v:textbox>
              <w10:wrap type="none"/>
            </v:shape>
            <v:shape style="position:absolute;left:3772;top:1910;width:675;height:169" type="#_x0000_t202" filled="false" stroked="true" strokeweight=".499645pt" strokecolor="#ffff00">
              <v:textbox inset="0,0,0,0">
                <w:txbxContent>
                  <w:p>
                    <w:pPr>
                      <w:spacing w:before="11"/>
                      <w:ind w:left="111" w:right="0" w:firstLine="0"/>
                      <w:jc w:val="left"/>
                      <w:rPr>
                        <w:rFonts w:ascii="Calibri"/>
                        <w:b/>
                        <w:sz w:val="12"/>
                      </w:rPr>
                    </w:pPr>
                    <w:r>
                      <w:rPr>
                        <w:rFonts w:ascii="Calibri"/>
                        <w:b/>
                        <w:color w:val="FFC000"/>
                        <w:sz w:val="12"/>
                      </w:rPr>
                      <w:t>PAREDES</w:t>
                    </w:r>
                  </w:p>
                </w:txbxContent>
              </v:textbox>
              <w10:wrap type="none"/>
            </v:shape>
            <v:shape style="position:absolute;left:6584;top:1910;width:788;height:225" type="#_x0000_t202" filled="false" stroked="true" strokeweight=".499651pt" strokecolor="#6f2f9f">
              <v:textbox inset="0,0,0,0">
                <w:txbxContent>
                  <w:p>
                    <w:pPr>
                      <w:spacing w:before="39"/>
                      <w:ind w:left="224" w:right="0" w:firstLine="0"/>
                      <w:jc w:val="left"/>
                      <w:rPr>
                        <w:rFonts w:ascii="Calibri"/>
                        <w:b/>
                        <w:sz w:val="12"/>
                      </w:rPr>
                    </w:pPr>
                    <w:r>
                      <w:rPr>
                        <w:rFonts w:ascii="Calibri"/>
                        <w:b/>
                        <w:color w:val="6F2F9F"/>
                        <w:sz w:val="12"/>
                      </w:rPr>
                      <w:t>SALUD</w:t>
                    </w:r>
                  </w:p>
                </w:txbxContent>
              </v:textbox>
              <w10:wrap type="none"/>
            </v:shape>
            <v:shape style="position:absolute;left:6359;top:2247;width:1013;height:225" type="#_x0000_t202" filled="false" stroked="true" strokeweight=".49964pt" strokecolor="#6f2f9f">
              <v:textbox inset="0,0,0,0">
                <w:txbxContent>
                  <w:p>
                    <w:pPr>
                      <w:spacing w:before="39"/>
                      <w:ind w:left="132" w:right="0" w:firstLine="0"/>
                      <w:jc w:val="left"/>
                      <w:rPr>
                        <w:rFonts w:ascii="Calibri" w:hAnsi="Calibri"/>
                        <w:b/>
                        <w:sz w:val="12"/>
                      </w:rPr>
                    </w:pPr>
                    <w:r>
                      <w:rPr>
                        <w:rFonts w:ascii="Calibri" w:hAnsi="Calibri"/>
                        <w:b/>
                        <w:color w:val="6F2F9F"/>
                        <w:sz w:val="12"/>
                      </w:rPr>
                      <w:t>ÁREAS VERDES</w:t>
                    </w:r>
                  </w:p>
                </w:txbxContent>
              </v:textbox>
              <w10:wrap type="none"/>
            </v:shape>
            <v:shape style="position:absolute;left:3491;top:2472;width:675;height:169" type="#_x0000_t202" filled="false" stroked="true" strokeweight=".499645pt" strokecolor="#ffff00">
              <v:textbox inset="0,0,0,0">
                <w:txbxContent>
                  <w:p>
                    <w:pPr>
                      <w:spacing w:before="12"/>
                      <w:ind w:left="82" w:right="0" w:firstLine="0"/>
                      <w:jc w:val="left"/>
                      <w:rPr>
                        <w:rFonts w:ascii="Calibri"/>
                        <w:b/>
                        <w:sz w:val="12"/>
                      </w:rPr>
                    </w:pPr>
                    <w:r>
                      <w:rPr>
                        <w:rFonts w:ascii="Calibri"/>
                        <w:b/>
                        <w:color w:val="FFC000"/>
                        <w:sz w:val="12"/>
                      </w:rPr>
                      <w:t>TENENCIA</w:t>
                    </w:r>
                  </w:p>
                </w:txbxContent>
              </v:textbox>
              <w10:wrap type="none"/>
            </v:shape>
            <v:shape style="position:absolute;left:6134;top:2640;width:788;height:225" type="#_x0000_t202" filled="false" stroked="true" strokeweight=".499651pt" strokecolor="#6f2f9f">
              <v:textbox inset="0,0,0,0">
                <w:txbxContent>
                  <w:p>
                    <w:pPr>
                      <w:spacing w:before="40"/>
                      <w:ind w:left="69" w:right="0" w:firstLine="0"/>
                      <w:jc w:val="left"/>
                      <w:rPr>
                        <w:rFonts w:ascii="Calibri" w:hAnsi="Calibri"/>
                        <w:b/>
                        <w:sz w:val="12"/>
                      </w:rPr>
                    </w:pPr>
                    <w:r>
                      <w:rPr>
                        <w:rFonts w:ascii="Calibri" w:hAnsi="Calibri"/>
                        <w:b/>
                        <w:color w:val="6F2F9F"/>
                        <w:sz w:val="12"/>
                      </w:rPr>
                      <w:t>RECREACIÓN</w:t>
                    </w:r>
                  </w:p>
                </w:txbxContent>
              </v:textbox>
              <w10:wrap type="none"/>
            </v:shape>
            <v:shape style="position:absolute;left:3266;top:3090;width:1294;height:289" type="#_x0000_t202" filled="false" stroked="true" strokeweight=".49964pt" strokecolor="#ffff00">
              <v:textbox inset="0,0,0,0">
                <w:txbxContent>
                  <w:p>
                    <w:pPr>
                      <w:spacing w:line="244" w:lineRule="auto" w:before="0"/>
                      <w:ind w:left="241" w:right="228" w:firstLine="9"/>
                      <w:jc w:val="left"/>
                      <w:rPr>
                        <w:rFonts w:ascii="Calibri" w:hAnsi="Calibri"/>
                        <w:b/>
                        <w:sz w:val="12"/>
                      </w:rPr>
                    </w:pPr>
                    <w:r>
                      <w:rPr>
                        <w:rFonts w:ascii="Calibri" w:hAnsi="Calibri"/>
                        <w:b/>
                        <w:color w:val="FFC000"/>
                        <w:sz w:val="12"/>
                      </w:rPr>
                      <w:t>MATERIALES DE CONSTRUCCIÓN</w:t>
                    </w:r>
                  </w:p>
                </w:txbxContent>
              </v:textbox>
              <w10:wrap type="none"/>
            </v:shape>
            <v:shape style="position:absolute;left:5009;top:3090;width:1294;height:289" type="#_x0000_t202" filled="false" stroked="true" strokeweight=".49964pt" strokecolor="#6f2f9f">
              <v:textbox inset="0,0,0,0">
                <w:txbxContent>
                  <w:p>
                    <w:pPr>
                      <w:spacing w:before="72"/>
                      <w:ind w:left="131" w:right="0" w:firstLine="0"/>
                      <w:jc w:val="left"/>
                      <w:rPr>
                        <w:rFonts w:ascii="Calibri"/>
                        <w:b/>
                        <w:sz w:val="12"/>
                      </w:rPr>
                    </w:pPr>
                    <w:r>
                      <w:rPr>
                        <w:rFonts w:ascii="Calibri"/>
                        <w:b/>
                        <w:color w:val="6F2F9F"/>
                        <w:sz w:val="12"/>
                      </w:rPr>
                      <w:t>ENTORNO VIVIENDA</w:t>
                    </w:r>
                  </w:p>
                </w:txbxContent>
              </v:textbox>
              <w10:wrap type="none"/>
            </v:shape>
            <w10:wrap type="topAndBottom"/>
          </v:group>
        </w:pict>
      </w:r>
    </w:p>
    <w:p>
      <w:pPr>
        <w:pStyle w:val="BodyText"/>
        <w:rPr>
          <w:rFonts w:ascii="Trebuchet MS"/>
          <w:b/>
          <w:sz w:val="20"/>
        </w:rPr>
      </w:pPr>
    </w:p>
    <w:p>
      <w:pPr>
        <w:pStyle w:val="BodyText"/>
        <w:spacing w:before="3"/>
        <w:rPr>
          <w:rFonts w:ascii="Trebuchet MS"/>
          <w:b/>
          <w:sz w:val="18"/>
        </w:rPr>
      </w:pPr>
    </w:p>
    <w:p>
      <w:pPr>
        <w:spacing w:before="74"/>
        <w:ind w:left="194" w:right="216" w:firstLine="0"/>
        <w:jc w:val="center"/>
        <w:rPr>
          <w:sz w:val="20"/>
        </w:rPr>
      </w:pPr>
      <w:r>
        <w:rPr>
          <w:sz w:val="20"/>
        </w:rPr>
        <w:t>Fuente: Elaboración propia</w:t>
      </w:r>
    </w:p>
    <w:p>
      <w:pPr>
        <w:pStyle w:val="BodyText"/>
        <w:rPr>
          <w:sz w:val="20"/>
        </w:rPr>
      </w:pPr>
    </w:p>
    <w:p>
      <w:pPr>
        <w:pStyle w:val="BodyText"/>
        <w:rPr>
          <w:sz w:val="20"/>
        </w:rPr>
      </w:pPr>
    </w:p>
    <w:p>
      <w:pPr>
        <w:pStyle w:val="BodyText"/>
        <w:spacing w:line="360" w:lineRule="auto" w:before="156"/>
        <w:ind w:left="102" w:right="116"/>
        <w:jc w:val="both"/>
      </w:pPr>
      <w:r>
        <w:rPr/>
        <w:t>Entre las metodologías existentes (Alcalá, 2007: Arcas, 2011: Garza, 2005) están las encaminadas a la medición de las condiciones relativas de vida y que en la mayoría de los casos coinciden en el uso de la cobertura promedio de servicios en la vivienda (agua potable, energía eléctrica, drenaje, saneamiento) los materiales utilizados para su construcción (materiales precarios en techos, paredes, piso de tierra), los bienes que cuentan las viviendas (televisión, refrigerador, lavadora, automóvil), en la investigación se reconoce la metodología del análisis espacial, ya que hace referencia al papel que tiene la ubicación y localización de los equipamientos específicamente en esta zona metropolitana donde se prestan los servicios, por ejemplo, el empleo, el servicio educativo, la salud, el abasto de alimentos por mencionar algunos.</w:t>
      </w:r>
    </w:p>
    <w:p>
      <w:pPr>
        <w:pStyle w:val="BodyText"/>
        <w:spacing w:line="360" w:lineRule="auto" w:before="204"/>
        <w:ind w:left="102" w:right="127"/>
        <w:jc w:val="both"/>
      </w:pPr>
      <w:r>
        <w:rPr/>
        <w:t>En resumen el análisis espacial es una herramienta para conocer las ventajas que tiene unas personas sobre otras por el simple hecho de residir en la zona donde</w:t>
      </w:r>
    </w:p>
    <w:p>
      <w:pPr>
        <w:spacing w:after="0" w:line="360" w:lineRule="auto"/>
        <w:jc w:val="both"/>
        <w:sectPr>
          <w:pgSz w:w="12240" w:h="15840"/>
          <w:pgMar w:header="0" w:footer="1003" w:top="1360" w:bottom="1200" w:left="1600" w:right="1580"/>
        </w:sectPr>
      </w:pPr>
    </w:p>
    <w:p>
      <w:pPr>
        <w:pStyle w:val="BodyText"/>
        <w:spacing w:line="360" w:lineRule="auto" w:before="54"/>
        <w:ind w:left="102" w:right="119"/>
        <w:jc w:val="both"/>
      </w:pPr>
      <w:r>
        <w:rPr/>
        <w:t>están localizados los servicios. Este aspecto de localización sin duda influye de manera determinante en la habitabilidad de las viviendas, ya que la distancia geográfica juega un papel relevante en los niveles de interacción entre dos lugares.</w:t>
      </w:r>
    </w:p>
    <w:p>
      <w:pPr>
        <w:spacing w:before="206"/>
        <w:ind w:left="102" w:right="0" w:firstLine="0"/>
        <w:jc w:val="both"/>
        <w:rPr>
          <w:rFonts w:ascii="Cambria" w:hAnsi="Cambria"/>
          <w:b/>
          <w:sz w:val="22"/>
        </w:rPr>
      </w:pPr>
      <w:r>
        <w:rPr>
          <w:rFonts w:ascii="Cambria" w:hAnsi="Cambria"/>
          <w:b/>
          <w:color w:val="4F81BC"/>
          <w:sz w:val="22"/>
        </w:rPr>
        <w:t>1.2.1 Análisis Espacial</w:t>
      </w:r>
    </w:p>
    <w:p>
      <w:pPr>
        <w:pStyle w:val="BodyText"/>
        <w:rPr>
          <w:rFonts w:ascii="Cambria"/>
          <w:b/>
          <w:sz w:val="22"/>
        </w:rPr>
      </w:pPr>
    </w:p>
    <w:p>
      <w:pPr>
        <w:pStyle w:val="BodyText"/>
        <w:rPr>
          <w:rFonts w:ascii="Cambria"/>
          <w:b/>
          <w:sz w:val="22"/>
        </w:rPr>
      </w:pPr>
    </w:p>
    <w:p>
      <w:pPr>
        <w:pStyle w:val="BodyText"/>
        <w:spacing w:line="360" w:lineRule="auto" w:before="134"/>
        <w:ind w:left="102" w:right="117"/>
        <w:jc w:val="both"/>
      </w:pPr>
      <w:r>
        <w:rPr/>
        <w:t>En estudios multidisciplinares los investigadores la mayoría de veces quieren responder la siguiente pregunta ¿Cómo se distribuyen espacialmente los grupos poblacionales y que factores explican dicha distribución?, en el área del urbanismo pasa algo similar con los planeadores, geógrafos, urbanistas, arquitectos, ingenieros, es por ello que esta investigación recurre al análisis espacial para responder por qué las viviendas llegan a ser habitables o inhabitables en esta zona de</w:t>
      </w:r>
      <w:r>
        <w:rPr>
          <w:spacing w:val="-6"/>
        </w:rPr>
        <w:t> </w:t>
      </w:r>
      <w:r>
        <w:rPr/>
        <w:t>estudio.</w:t>
      </w:r>
    </w:p>
    <w:p>
      <w:pPr>
        <w:pStyle w:val="BodyText"/>
        <w:spacing w:line="360" w:lineRule="auto" w:before="204"/>
        <w:ind w:left="102" w:right="117"/>
        <w:jc w:val="both"/>
      </w:pPr>
      <w:r>
        <w:rPr/>
        <w:t>Pocos trabajos enfocados a la vivienda consideran cómo el espacio influye en cualquier fenómeno bajo investigación, además no se emplean metodologías que explícitamente consideren la estructura espacial del mismo. Los métodos de análisis espacial emplean la ubicación de los fenómenos de estudio tanto en términos absolutos (donde ocurre), como en términos relativos (distribución, distancia entre observaciones).</w:t>
      </w:r>
    </w:p>
    <w:p>
      <w:pPr>
        <w:spacing w:line="360" w:lineRule="auto" w:before="202"/>
        <w:ind w:left="102" w:right="116" w:firstLine="0"/>
        <w:jc w:val="both"/>
        <w:rPr>
          <w:sz w:val="24"/>
        </w:rPr>
      </w:pPr>
      <w:r>
        <w:rPr>
          <w:sz w:val="24"/>
        </w:rPr>
        <w:t>En otras palabras, en “</w:t>
      </w:r>
      <w:r>
        <w:rPr>
          <w:i/>
          <w:sz w:val="24"/>
        </w:rPr>
        <w:t>el análisis espacial el arreglo geográfico de los objetos </w:t>
      </w:r>
      <w:r>
        <w:rPr>
          <w:i/>
          <w:sz w:val="24"/>
        </w:rPr>
        <w:t>(configuración espacial de las unidades de observación) provee información sobre el proceso social bajo análisis” </w:t>
      </w:r>
      <w:r>
        <w:rPr>
          <w:sz w:val="24"/>
        </w:rPr>
        <w:t>(Sánchez, 2012: 149). Al emplear la información completa sobre la ubicación de los fenómenos, “</w:t>
      </w:r>
      <w:r>
        <w:rPr>
          <w:i/>
          <w:sz w:val="24"/>
        </w:rPr>
        <w:t>el análisis espacial puede capturar </w:t>
      </w:r>
      <w:r>
        <w:rPr>
          <w:i/>
          <w:sz w:val="24"/>
        </w:rPr>
        <w:t>mejor las interacciones entre las observaciones espaciales” </w:t>
      </w:r>
      <w:r>
        <w:rPr>
          <w:sz w:val="24"/>
        </w:rPr>
        <w:t>(Haining, 2003).</w:t>
      </w:r>
    </w:p>
    <w:p>
      <w:pPr>
        <w:spacing w:line="360" w:lineRule="auto" w:before="206"/>
        <w:ind w:left="102" w:right="122" w:firstLine="0"/>
        <w:jc w:val="both"/>
        <w:rPr>
          <w:sz w:val="24"/>
        </w:rPr>
      </w:pPr>
      <w:r>
        <w:rPr>
          <w:sz w:val="24"/>
        </w:rPr>
        <w:t>Que tiene de especial lo espacial, por un lado la heterogeneidad espacial, el otro efecto espacial es la dependencia. Considerar la presencia de efectos espaciales demanda el empleo de métodos que permitan diagnosticarlos, corregirlos y en su caso moldearlos. </w:t>
      </w:r>
      <w:r>
        <w:rPr>
          <w:i/>
          <w:sz w:val="24"/>
        </w:rPr>
        <w:t>“El análisis espacial puede ser de gran utilidad para los estudios </w:t>
      </w:r>
      <w:r>
        <w:rPr>
          <w:i/>
          <w:sz w:val="24"/>
        </w:rPr>
        <w:t>urbanos” </w:t>
      </w:r>
      <w:r>
        <w:rPr>
          <w:sz w:val="24"/>
        </w:rPr>
        <w:t>(Campos, 2010).</w:t>
      </w:r>
    </w:p>
    <w:p>
      <w:pPr>
        <w:spacing w:after="0" w:line="360" w:lineRule="auto"/>
        <w:jc w:val="both"/>
        <w:rPr>
          <w:sz w:val="24"/>
        </w:rPr>
        <w:sectPr>
          <w:pgSz w:w="12240" w:h="15840"/>
          <w:pgMar w:header="0" w:footer="1003" w:top="1360" w:bottom="1200" w:left="1600" w:right="1580"/>
        </w:sectPr>
      </w:pPr>
    </w:p>
    <w:p>
      <w:pPr>
        <w:pStyle w:val="BodyText"/>
        <w:spacing w:line="360" w:lineRule="auto" w:before="54"/>
        <w:ind w:left="102" w:right="116"/>
        <w:jc w:val="both"/>
      </w:pPr>
      <w:r>
        <w:rPr/>
        <w:t>En este sentido el análisis espacial de la habitabilidad de las viviendas, es de importancia para la investigación ya que</w:t>
      </w:r>
    </w:p>
    <w:p>
      <w:pPr>
        <w:spacing w:line="240" w:lineRule="auto" w:before="199"/>
        <w:ind w:left="385" w:right="448" w:firstLine="0"/>
        <w:jc w:val="both"/>
        <w:rPr>
          <w:sz w:val="24"/>
        </w:rPr>
      </w:pPr>
      <w:r>
        <w:rPr>
          <w:i/>
          <w:sz w:val="24"/>
        </w:rPr>
        <w:t>“la localización sin duda influye de manera determinante en las condiciones </w:t>
      </w:r>
      <w:r>
        <w:rPr>
          <w:i/>
          <w:sz w:val="24"/>
        </w:rPr>
        <w:t>relativas de vida, ya que de acuerdo a la Teoría de la Interacción Espacial, la distancia geográfica juega un papel relevante en los niveles de interacción entre dos lugares, es decir, a mayor distancia menor es la probabilidad de interacción o demanda de un servicio” </w:t>
      </w:r>
      <w:r>
        <w:rPr>
          <w:sz w:val="24"/>
        </w:rPr>
        <w:t>(Campos, 2010: 59).</w:t>
      </w:r>
    </w:p>
    <w:p>
      <w:pPr>
        <w:pStyle w:val="BodyText"/>
      </w:pPr>
    </w:p>
    <w:p>
      <w:pPr>
        <w:pStyle w:val="BodyText"/>
        <w:spacing w:before="9"/>
        <w:rPr>
          <w:sz w:val="34"/>
        </w:rPr>
      </w:pPr>
    </w:p>
    <w:p>
      <w:pPr>
        <w:pStyle w:val="BodyText"/>
        <w:spacing w:line="362" w:lineRule="auto" w:before="1"/>
        <w:ind w:left="102" w:right="128"/>
        <w:jc w:val="both"/>
      </w:pPr>
      <w:r>
        <w:rPr/>
        <w:t>En la siguiente sección se describe como está considerada la vivienda y las características de esta.</w:t>
      </w:r>
    </w:p>
    <w:p>
      <w:pPr>
        <w:pStyle w:val="BodyText"/>
      </w:pPr>
    </w:p>
    <w:p>
      <w:pPr>
        <w:pStyle w:val="BodyText"/>
      </w:pPr>
    </w:p>
    <w:p>
      <w:pPr>
        <w:pStyle w:val="BodyText"/>
        <w:spacing w:before="2"/>
        <w:rPr>
          <w:sz w:val="25"/>
        </w:rPr>
      </w:pPr>
    </w:p>
    <w:p>
      <w:pPr>
        <w:pStyle w:val="Heading3"/>
        <w:numPr>
          <w:ilvl w:val="1"/>
          <w:numId w:val="10"/>
        </w:numPr>
        <w:tabs>
          <w:tab w:pos="527" w:val="left" w:leader="none"/>
        </w:tabs>
        <w:spacing w:line="240" w:lineRule="auto" w:before="0" w:after="0"/>
        <w:ind w:left="526" w:right="0" w:hanging="424"/>
        <w:jc w:val="both"/>
      </w:pPr>
      <w:bookmarkStart w:name="_TOC_250023" w:id="11"/>
      <w:bookmarkEnd w:id="11"/>
      <w:r>
        <w:rPr>
          <w:color w:val="4F81BC"/>
        </w:rPr>
        <w:t>Vivienda</w:t>
      </w:r>
    </w:p>
    <w:p>
      <w:pPr>
        <w:pStyle w:val="BodyText"/>
        <w:rPr>
          <w:rFonts w:ascii="Cambria"/>
          <w:b/>
          <w:sz w:val="26"/>
        </w:rPr>
      </w:pPr>
    </w:p>
    <w:p>
      <w:pPr>
        <w:pStyle w:val="BodyText"/>
        <w:spacing w:before="6"/>
        <w:rPr>
          <w:rFonts w:ascii="Cambria"/>
          <w:b/>
          <w:sz w:val="23"/>
        </w:rPr>
      </w:pPr>
    </w:p>
    <w:p>
      <w:pPr>
        <w:spacing w:line="360" w:lineRule="auto" w:before="0"/>
        <w:ind w:left="102" w:right="115" w:firstLine="0"/>
        <w:jc w:val="both"/>
        <w:rPr>
          <w:b/>
          <w:sz w:val="24"/>
        </w:rPr>
      </w:pPr>
      <w:r>
        <w:rPr>
          <w:sz w:val="24"/>
        </w:rPr>
        <w:t>A nivel internacional con los objetivos de desarrollo del milenio de  Naciones Unidas (2013: 4), entre los que se encuentran, “</w:t>
      </w:r>
      <w:r>
        <w:rPr>
          <w:i/>
          <w:sz w:val="24"/>
        </w:rPr>
        <w:t>erradicar la pobreza extrema, </w:t>
      </w:r>
      <w:r>
        <w:rPr>
          <w:i/>
          <w:sz w:val="24"/>
        </w:rPr>
        <w:t>atender la problemática para mejorar las condiciones de acceso a bienes de consumo duradero; como es la vivienda”</w:t>
      </w:r>
      <w:r>
        <w:rPr>
          <w:sz w:val="24"/>
        </w:rPr>
        <w:t>. “</w:t>
      </w:r>
      <w:r>
        <w:rPr>
          <w:i/>
          <w:sz w:val="24"/>
        </w:rPr>
        <w:t>La vivienda entendida como una </w:t>
      </w:r>
      <w:r>
        <w:rPr>
          <w:i/>
          <w:sz w:val="24"/>
        </w:rPr>
        <w:t>necesidad humana para el desarrollo de la vida de las personas” </w:t>
      </w:r>
      <w:r>
        <w:rPr>
          <w:sz w:val="24"/>
        </w:rPr>
        <w:t>(Pedrotti, 2014: 274)</w:t>
      </w:r>
      <w:r>
        <w:rPr>
          <w:b/>
          <w:sz w:val="24"/>
        </w:rPr>
        <w:t>.</w:t>
      </w:r>
    </w:p>
    <w:p>
      <w:pPr>
        <w:spacing w:line="360" w:lineRule="auto" w:before="202"/>
        <w:ind w:left="102" w:right="114" w:firstLine="0"/>
        <w:jc w:val="both"/>
        <w:rPr>
          <w:sz w:val="24"/>
        </w:rPr>
      </w:pPr>
      <w:r>
        <w:rPr>
          <w:sz w:val="24"/>
        </w:rPr>
        <w:t>En la </w:t>
      </w:r>
      <w:r>
        <w:rPr>
          <w:sz w:val="19"/>
        </w:rPr>
        <w:t>ZMT </w:t>
      </w:r>
      <w:r>
        <w:rPr>
          <w:sz w:val="24"/>
        </w:rPr>
        <w:t>se debe dar el reconocimiento a la vivienda, “</w:t>
      </w:r>
      <w:r>
        <w:rPr>
          <w:i/>
          <w:sz w:val="24"/>
        </w:rPr>
        <w:t>se debe inspeccionar la </w:t>
      </w:r>
      <w:r>
        <w:rPr>
          <w:i/>
          <w:sz w:val="24"/>
        </w:rPr>
        <w:t>vivienda como pieza clave para hacer ciudad, así como la necesidad de que la vivienda eleve la calidad de vida y ayude a mejorar el medio ambiente” </w:t>
      </w:r>
      <w:r>
        <w:rPr>
          <w:sz w:val="24"/>
        </w:rPr>
        <w:t>(Fernández, 2006: 61). Por lo cual el estudio define el concepto de vivienda y el de habitabilidad en el siguiente</w:t>
      </w:r>
      <w:r>
        <w:rPr>
          <w:spacing w:val="-12"/>
          <w:sz w:val="24"/>
        </w:rPr>
        <w:t> </w:t>
      </w:r>
      <w:r>
        <w:rPr>
          <w:sz w:val="24"/>
        </w:rPr>
        <w:t>apartado.</w:t>
      </w:r>
    </w:p>
    <w:p>
      <w:pPr>
        <w:spacing w:after="0" w:line="360" w:lineRule="auto"/>
        <w:jc w:val="both"/>
        <w:rPr>
          <w:sz w:val="24"/>
        </w:rPr>
        <w:sectPr>
          <w:pgSz w:w="12240" w:h="15840"/>
          <w:pgMar w:header="0" w:footer="1003" w:top="1360" w:bottom="1200" w:left="1600" w:right="1580"/>
        </w:sectPr>
      </w:pPr>
    </w:p>
    <w:p>
      <w:pPr>
        <w:pStyle w:val="ListParagraph"/>
        <w:numPr>
          <w:ilvl w:val="2"/>
          <w:numId w:val="11"/>
        </w:numPr>
        <w:tabs>
          <w:tab w:pos="642" w:val="left" w:leader="none"/>
        </w:tabs>
        <w:spacing w:line="240" w:lineRule="auto" w:before="56" w:after="0"/>
        <w:ind w:left="642" w:right="0" w:hanging="540"/>
        <w:jc w:val="both"/>
        <w:rPr>
          <w:rFonts w:ascii="Cambria"/>
          <w:b/>
          <w:sz w:val="22"/>
        </w:rPr>
      </w:pPr>
      <w:r>
        <w:rPr>
          <w:rFonts w:ascii="Cambria"/>
          <w:b/>
          <w:color w:val="4F81BC"/>
          <w:sz w:val="22"/>
        </w:rPr>
        <w:t>Concepto de</w:t>
      </w:r>
      <w:r>
        <w:rPr>
          <w:rFonts w:ascii="Cambria"/>
          <w:b/>
          <w:color w:val="4F81BC"/>
          <w:spacing w:val="-6"/>
          <w:sz w:val="22"/>
        </w:rPr>
        <w:t> </w:t>
      </w:r>
      <w:r>
        <w:rPr>
          <w:rFonts w:ascii="Cambria"/>
          <w:b/>
          <w:color w:val="4F81BC"/>
          <w:sz w:val="22"/>
        </w:rPr>
        <w:t>vivienda</w:t>
      </w:r>
    </w:p>
    <w:p>
      <w:pPr>
        <w:pStyle w:val="BodyText"/>
        <w:rPr>
          <w:rFonts w:ascii="Cambria"/>
          <w:b/>
          <w:sz w:val="22"/>
        </w:rPr>
      </w:pPr>
    </w:p>
    <w:p>
      <w:pPr>
        <w:pStyle w:val="BodyText"/>
        <w:spacing w:before="1"/>
        <w:rPr>
          <w:rFonts w:ascii="Cambria"/>
          <w:b/>
          <w:sz w:val="27"/>
        </w:rPr>
      </w:pPr>
    </w:p>
    <w:p>
      <w:pPr>
        <w:pStyle w:val="BodyText"/>
        <w:spacing w:line="360" w:lineRule="auto"/>
        <w:ind w:left="102" w:right="116"/>
        <w:jc w:val="both"/>
      </w:pPr>
      <w:r>
        <w:rPr/>
        <w:t>El concepto de la vivienda ha evolucionado a través del tiempo debido a su relación directa con la población. Es por ello que en esta sección de la investigación se parte del concepto de vivienda.</w:t>
      </w:r>
    </w:p>
    <w:p>
      <w:pPr>
        <w:pStyle w:val="BodyText"/>
        <w:spacing w:line="360" w:lineRule="auto" w:before="204"/>
        <w:ind w:left="102" w:right="121"/>
        <w:jc w:val="both"/>
      </w:pPr>
      <w:r>
        <w:rPr/>
        <w:t>Desde que el hombre dejó de ser nómada una de sus mayores necesidades fue refugiarse de las inclemencias climáticas, lo que lo llevo a contar con una seguridad para él y su familia. La vivienda es una de las necesidades humanas más importantes.</w:t>
      </w:r>
    </w:p>
    <w:p>
      <w:pPr>
        <w:spacing w:line="360" w:lineRule="auto" w:before="204"/>
        <w:ind w:left="102" w:right="123" w:firstLine="0"/>
        <w:jc w:val="both"/>
        <w:rPr>
          <w:sz w:val="24"/>
        </w:rPr>
      </w:pPr>
      <w:r>
        <w:rPr>
          <w:sz w:val="24"/>
        </w:rPr>
        <w:t>La vivienda ha desempeñado un importantísimo papel en la sociedad a lo largo de la historia</w:t>
      </w:r>
      <w:r>
        <w:rPr>
          <w:b/>
          <w:sz w:val="24"/>
        </w:rPr>
        <w:t>. </w:t>
      </w:r>
      <w:r>
        <w:rPr>
          <w:sz w:val="24"/>
        </w:rPr>
        <w:t>“</w:t>
      </w:r>
      <w:r>
        <w:rPr>
          <w:i/>
          <w:sz w:val="24"/>
        </w:rPr>
        <w:t>Desde las primeras aldeas, hasta las ciudades modernas, siempre han </w:t>
      </w:r>
      <w:r>
        <w:rPr>
          <w:i/>
          <w:sz w:val="24"/>
        </w:rPr>
        <w:t>representado tendencias particulares; los deseos de establecerse, integrarse y relacionarse con la sociedad” </w:t>
      </w:r>
      <w:r>
        <w:rPr>
          <w:sz w:val="24"/>
        </w:rPr>
        <w:t>(Pezeu, 1988).</w:t>
      </w:r>
    </w:p>
    <w:p>
      <w:pPr>
        <w:spacing w:line="360" w:lineRule="auto" w:before="204"/>
        <w:ind w:left="102" w:right="115" w:firstLine="0"/>
        <w:jc w:val="both"/>
        <w:rPr>
          <w:sz w:val="24"/>
        </w:rPr>
      </w:pPr>
      <w:r>
        <w:rPr>
          <w:sz w:val="24"/>
        </w:rPr>
        <w:t>En este sentido “</w:t>
      </w:r>
      <w:r>
        <w:rPr>
          <w:i/>
          <w:sz w:val="24"/>
        </w:rPr>
        <w:t>la vivienda era originalmente una edificación cuya principal </w:t>
      </w:r>
      <w:r>
        <w:rPr>
          <w:i/>
          <w:sz w:val="24"/>
        </w:rPr>
        <w:t>función se enfocaba al refugio y habitación de las personas” </w:t>
      </w:r>
      <w:r>
        <w:rPr>
          <w:sz w:val="24"/>
        </w:rPr>
        <w:t>(Bairoch, 1990). Tradicionalmente “</w:t>
      </w:r>
      <w:r>
        <w:rPr>
          <w:i/>
          <w:sz w:val="24"/>
        </w:rPr>
        <w:t>la vivienda se le ha concebido como un espacio integrado por </w:t>
      </w:r>
      <w:r>
        <w:rPr>
          <w:i/>
          <w:sz w:val="24"/>
        </w:rPr>
        <w:t>paredes y techo, cuya función principal es la protección y el resguardo del medio ambiente” </w:t>
      </w:r>
      <w:r>
        <w:rPr>
          <w:sz w:val="24"/>
        </w:rPr>
        <w:t>(</w:t>
      </w:r>
      <w:r>
        <w:rPr>
          <w:sz w:val="19"/>
        </w:rPr>
        <w:t>INEGI</w:t>
      </w:r>
      <w:r>
        <w:rPr>
          <w:sz w:val="24"/>
        </w:rPr>
        <w:t>, 2000). Las viviendas son componentes que integran la </w:t>
      </w:r>
      <w:r>
        <w:rPr>
          <w:sz w:val="19"/>
        </w:rPr>
        <w:t>ZMT </w:t>
      </w:r>
      <w:r>
        <w:rPr>
          <w:sz w:val="24"/>
        </w:rPr>
        <w:t>junto con el suelo urbano, servicios públicos, equipamiento, transporte y espacio  público. Mientras en el año 2000, la </w:t>
      </w:r>
      <w:r>
        <w:rPr>
          <w:sz w:val="19"/>
        </w:rPr>
        <w:t>ZMT </w:t>
      </w:r>
      <w:r>
        <w:rPr>
          <w:sz w:val="24"/>
        </w:rPr>
        <w:t>contaba con más de 322 mil viviendas, se incrementaron para el año 2010 a más de 454 mil viviendas, creciendo más de  130 mil viviendas en una</w:t>
      </w:r>
      <w:r>
        <w:rPr>
          <w:spacing w:val="-9"/>
          <w:sz w:val="24"/>
        </w:rPr>
        <w:t> </w:t>
      </w:r>
      <w:r>
        <w:rPr>
          <w:sz w:val="24"/>
        </w:rPr>
        <w:t>década.</w:t>
      </w:r>
    </w:p>
    <w:p>
      <w:pPr>
        <w:spacing w:line="360" w:lineRule="auto" w:before="202"/>
        <w:ind w:left="102" w:right="117" w:firstLine="0"/>
        <w:jc w:val="both"/>
        <w:rPr>
          <w:sz w:val="24"/>
        </w:rPr>
      </w:pPr>
      <w:r>
        <w:rPr>
          <w:sz w:val="24"/>
        </w:rPr>
        <w:t>Como concepto integral de “</w:t>
      </w:r>
      <w:r>
        <w:rPr>
          <w:i/>
          <w:sz w:val="24"/>
        </w:rPr>
        <w:t>vivienda, no solo se toman en cuenta las </w:t>
      </w:r>
      <w:r>
        <w:rPr>
          <w:i/>
          <w:sz w:val="24"/>
        </w:rPr>
        <w:t>características físicas, también su entorno y el lugar donde está ubicada, además la manera en que las personas representan el espacio habitacional a través de su experiencia cotidiana” </w:t>
      </w:r>
      <w:r>
        <w:rPr>
          <w:sz w:val="24"/>
        </w:rPr>
        <w:t>(Esquivel, 2006: 94). Es decir, las características de las viviendas incluyen esencialmente el espacio físico, la localización y su entorno donde están ubicadas.</w:t>
      </w:r>
    </w:p>
    <w:p>
      <w:pPr>
        <w:spacing w:after="0" w:line="360" w:lineRule="auto"/>
        <w:jc w:val="both"/>
        <w:rPr>
          <w:sz w:val="24"/>
        </w:rPr>
        <w:sectPr>
          <w:pgSz w:w="12240" w:h="15840"/>
          <w:pgMar w:header="0" w:footer="1003" w:top="1360" w:bottom="1200" w:left="1600" w:right="1580"/>
        </w:sectPr>
      </w:pPr>
    </w:p>
    <w:p>
      <w:pPr>
        <w:spacing w:line="360" w:lineRule="auto" w:before="52"/>
        <w:ind w:left="102" w:right="116" w:firstLine="0"/>
        <w:jc w:val="both"/>
        <w:rPr>
          <w:sz w:val="24"/>
        </w:rPr>
      </w:pPr>
      <w:r>
        <w:rPr>
          <w:sz w:val="24"/>
        </w:rPr>
        <w:t>Consideradas como necesidades del ser humano “</w:t>
      </w:r>
      <w:r>
        <w:rPr>
          <w:i/>
          <w:sz w:val="24"/>
        </w:rPr>
        <w:t>la vivienda, al igual que la </w:t>
      </w:r>
      <w:r>
        <w:rPr>
          <w:i/>
          <w:sz w:val="24"/>
        </w:rPr>
        <w:t>alimentación y el vestido, la falta de alguna o todas estas priva al ser humano su derecho de vivir. La salud física y psicológica del ser humano depende de las posibilidades que los individuos y las familias tengan de usar y disfrutar de una vivienda” </w:t>
      </w:r>
      <w:r>
        <w:rPr>
          <w:sz w:val="24"/>
        </w:rPr>
        <w:t>(Torres, 2007:10). Es decir la vivienda es una necesidad humana fundamental, ya que se asocia con la salud física y mental de sus habitantes, además está condicionada por las características de su vivienda.</w:t>
      </w:r>
    </w:p>
    <w:p>
      <w:pPr>
        <w:spacing w:line="360" w:lineRule="auto" w:before="204"/>
        <w:ind w:left="102" w:right="114" w:firstLine="0"/>
        <w:jc w:val="both"/>
        <w:rPr>
          <w:sz w:val="24"/>
        </w:rPr>
      </w:pPr>
      <w:r>
        <w:rPr>
          <w:sz w:val="24"/>
        </w:rPr>
        <w:t>La vivienda como elemento de estudio tiene muchos enfoques, entre ellos; el geográfico; correspondiente al tamaño de la vivienda, su densidad y tipología, la tenencia; infraestructura y materiales de construcción, características sociodemográficas; de las personas que las habitan, hogares, edades y requerimientos familiares, incremento de la población, aspectos socioeconómicos; financiamiento. “</w:t>
      </w:r>
      <w:r>
        <w:rPr>
          <w:i/>
          <w:sz w:val="24"/>
        </w:rPr>
        <w:t>Aparte del diseño, la tipología, la problemática energética y </w:t>
      </w:r>
      <w:r>
        <w:rPr>
          <w:i/>
          <w:sz w:val="24"/>
        </w:rPr>
        <w:t>ambiental, además de lo relacionado con la legislación y la normatividad” </w:t>
      </w:r>
      <w:r>
        <w:rPr>
          <w:sz w:val="24"/>
        </w:rPr>
        <w:t>(Fernández, 2006: 57).</w:t>
      </w:r>
    </w:p>
    <w:p>
      <w:pPr>
        <w:pStyle w:val="BodyText"/>
        <w:spacing w:line="360" w:lineRule="auto" w:before="202"/>
        <w:ind w:left="102" w:right="118"/>
        <w:jc w:val="both"/>
      </w:pPr>
      <w:r>
        <w:rPr/>
        <w:t>La vivienda está relacionada con el urbanismo, la geografía, la arquitectura entre otras disciplinas, es por ello que en la investigación se obtienen una serie de variables censales destinadas a la evaluación de la habitabilidad de la vivienda, con el objetivo de contribuir la seguridad y la mejora de salud de toda la población.</w:t>
      </w:r>
    </w:p>
    <w:p>
      <w:pPr>
        <w:spacing w:line="360" w:lineRule="auto" w:before="202"/>
        <w:ind w:left="102" w:right="118" w:firstLine="0"/>
        <w:jc w:val="both"/>
        <w:rPr>
          <w:sz w:val="24"/>
        </w:rPr>
      </w:pPr>
      <w:r>
        <w:rPr>
          <w:sz w:val="24"/>
        </w:rPr>
        <w:t>Se conceptualiza a “</w:t>
      </w:r>
      <w:r>
        <w:rPr>
          <w:i/>
          <w:sz w:val="24"/>
        </w:rPr>
        <w:t>la vivienda como provisor de bienes públicos y asociado a la </w:t>
      </w:r>
      <w:r>
        <w:rPr>
          <w:i/>
          <w:sz w:val="24"/>
        </w:rPr>
        <w:t>composición social de los espacios habitacionales” </w:t>
      </w:r>
      <w:r>
        <w:rPr>
          <w:sz w:val="24"/>
        </w:rPr>
        <w:t>(Bournazou citado en Pedrotti, 2014: 4). “</w:t>
      </w:r>
      <w:r>
        <w:rPr>
          <w:i/>
          <w:sz w:val="24"/>
        </w:rPr>
        <w:t>La vivienda es la base para poder realizar otros derechos, como el </w:t>
      </w:r>
      <w:r>
        <w:rPr>
          <w:i/>
          <w:sz w:val="24"/>
        </w:rPr>
        <w:t>acceso a la salud, la educación, el trabajo” </w:t>
      </w:r>
      <w:r>
        <w:rPr>
          <w:sz w:val="24"/>
        </w:rPr>
        <w:t>(Pisarello, 2007). Tener una vivienda  es una condición necesaria para vivir, la cual debe contar con características básicas, las condiciones de habitabilidad para poder acceder a otros</w:t>
      </w:r>
      <w:r>
        <w:rPr>
          <w:spacing w:val="-27"/>
          <w:sz w:val="24"/>
        </w:rPr>
        <w:t> </w:t>
      </w:r>
      <w:r>
        <w:rPr>
          <w:sz w:val="24"/>
        </w:rPr>
        <w:t>derechos.</w:t>
      </w:r>
    </w:p>
    <w:p>
      <w:pPr>
        <w:spacing w:line="360" w:lineRule="auto" w:before="204"/>
        <w:ind w:left="102" w:right="118" w:firstLine="0"/>
        <w:jc w:val="both"/>
        <w:rPr>
          <w:i/>
          <w:sz w:val="24"/>
        </w:rPr>
      </w:pPr>
      <w:r>
        <w:rPr>
          <w:sz w:val="24"/>
        </w:rPr>
        <w:t>La Organización Panamericana de la Salud (</w:t>
      </w:r>
      <w:r>
        <w:rPr>
          <w:sz w:val="19"/>
        </w:rPr>
        <w:t>OPS</w:t>
      </w:r>
      <w:r>
        <w:rPr>
          <w:sz w:val="24"/>
        </w:rPr>
        <w:t>, 2009: 17) menciona que la “</w:t>
      </w:r>
      <w:r>
        <w:rPr>
          <w:i/>
          <w:sz w:val="24"/>
        </w:rPr>
        <w:t>vivienda se convierte en un lugar indispensable para la vida, necesaria para el </w:t>
      </w:r>
      <w:r>
        <w:rPr>
          <w:i/>
          <w:sz w:val="24"/>
        </w:rPr>
        <w:t>desarrollo  de  las  personas  y  la  familia.   Ya  que  brinda  seguridad, protección,</w:t>
      </w:r>
    </w:p>
    <w:p>
      <w:pPr>
        <w:spacing w:after="0" w:line="360" w:lineRule="auto"/>
        <w:jc w:val="both"/>
        <w:rPr>
          <w:sz w:val="24"/>
        </w:rPr>
        <w:sectPr>
          <w:footerReference w:type="default" r:id="rId33"/>
          <w:pgSz w:w="12240" w:h="15840"/>
          <w:pgMar w:footer="1003" w:header="0" w:top="1360" w:bottom="1200" w:left="1600" w:right="1580"/>
        </w:sectPr>
      </w:pPr>
    </w:p>
    <w:p>
      <w:pPr>
        <w:spacing w:line="360" w:lineRule="auto" w:before="52"/>
        <w:ind w:left="102" w:right="127" w:firstLine="0"/>
        <w:jc w:val="both"/>
        <w:rPr>
          <w:sz w:val="24"/>
        </w:rPr>
      </w:pPr>
      <w:r>
        <w:rPr>
          <w:i/>
          <w:sz w:val="24"/>
        </w:rPr>
        <w:t>intimidad, privacidad, además de contribuir al bienestar de las personas que la </w:t>
      </w:r>
      <w:r>
        <w:rPr>
          <w:i/>
          <w:sz w:val="24"/>
        </w:rPr>
        <w:t>habitan”</w:t>
      </w:r>
      <w:r>
        <w:rPr>
          <w:sz w:val="24"/>
        </w:rPr>
        <w:t>.</w:t>
      </w:r>
    </w:p>
    <w:p>
      <w:pPr>
        <w:spacing w:line="360" w:lineRule="auto" w:before="206"/>
        <w:ind w:left="102" w:right="115" w:firstLine="0"/>
        <w:jc w:val="both"/>
        <w:rPr>
          <w:sz w:val="24"/>
        </w:rPr>
      </w:pPr>
      <w:r>
        <w:rPr>
          <w:sz w:val="24"/>
        </w:rPr>
        <w:t>En México, la Constitución Política de los Estados Unidos Mexicanos en su  artículo 4° en su párrafo VI menciona que “</w:t>
      </w:r>
      <w:r>
        <w:rPr>
          <w:i/>
          <w:sz w:val="24"/>
        </w:rPr>
        <w:t>toda familia tiene derecho a disfrutar de </w:t>
      </w:r>
      <w:r>
        <w:rPr>
          <w:i/>
          <w:sz w:val="24"/>
        </w:rPr>
        <w:t>vivienda digna y decorosa. La ley establecerá los instrumentos y apoyos necesarios a fin de alcanzar tal objetivo</w:t>
      </w:r>
      <w:r>
        <w:rPr>
          <w:sz w:val="24"/>
        </w:rPr>
        <w:t>”, además la vivienda se define como el “</w:t>
      </w:r>
      <w:r>
        <w:rPr>
          <w:i/>
          <w:sz w:val="24"/>
        </w:rPr>
        <w:t>espacio delimitado normalmente por paredes y techos de cualquier material, con </w:t>
      </w:r>
      <w:r>
        <w:rPr>
          <w:i/>
          <w:sz w:val="24"/>
        </w:rPr>
        <w:t>entrada independiente, que se utiliza para vivir, esto es, dormir, preparar los alimentos, comer y protegerse del ambiente</w:t>
      </w:r>
      <w:r>
        <w:rPr>
          <w:sz w:val="24"/>
        </w:rPr>
        <w:t>”. (</w:t>
      </w:r>
      <w:r>
        <w:rPr>
          <w:sz w:val="19"/>
        </w:rPr>
        <w:t>INEGI</w:t>
      </w:r>
      <w:r>
        <w:rPr>
          <w:sz w:val="24"/>
        </w:rPr>
        <w:t>, 2000). Mientras que una década después al concepto de vivienda se agrega a la vivienda como “</w:t>
      </w:r>
      <w:r>
        <w:rPr>
          <w:i/>
          <w:sz w:val="24"/>
        </w:rPr>
        <w:t>la </w:t>
      </w:r>
      <w:r>
        <w:rPr>
          <w:i/>
          <w:sz w:val="24"/>
        </w:rPr>
        <w:t>construcción para la habitación de personas que se utiliza para vivir</w:t>
      </w:r>
      <w:r>
        <w:rPr>
          <w:sz w:val="24"/>
        </w:rPr>
        <w:t>” (</w:t>
      </w:r>
      <w:r>
        <w:rPr>
          <w:sz w:val="19"/>
        </w:rPr>
        <w:t>INEGI</w:t>
      </w:r>
      <w:r>
        <w:rPr>
          <w:sz w:val="24"/>
        </w:rPr>
        <w:t>, 2010). Quitando las funciones de dormir, preparar alimentos, comer, además de la protección en contra del</w:t>
      </w:r>
      <w:r>
        <w:rPr>
          <w:spacing w:val="-6"/>
          <w:sz w:val="24"/>
        </w:rPr>
        <w:t> </w:t>
      </w:r>
      <w:r>
        <w:rPr>
          <w:sz w:val="24"/>
        </w:rPr>
        <w:t>ambiente.</w:t>
      </w:r>
    </w:p>
    <w:p>
      <w:pPr>
        <w:pStyle w:val="BodyText"/>
        <w:spacing w:line="360" w:lineRule="auto" w:before="202"/>
        <w:ind w:left="102" w:right="115"/>
        <w:jc w:val="both"/>
      </w:pPr>
      <w:r>
        <w:rPr/>
        <w:t>En la vivienda se hace posible atender funciones sociales y culturales de las personas, proporciona abrigo, resguardo, intimidad y reposo. La  vivienda constituye la base del desarrollo de la familia y del desarrollo social. La vivienda es uno de los bienes centrales del ser humano dentro del proceso de socialización y desarrollo colectivo e individual, de seguridad y privacidad.</w:t>
      </w:r>
    </w:p>
    <w:p>
      <w:pPr>
        <w:pStyle w:val="BodyText"/>
        <w:spacing w:line="360" w:lineRule="auto" w:before="204"/>
        <w:ind w:left="102" w:right="116"/>
        <w:jc w:val="both"/>
      </w:pPr>
      <w:r>
        <w:rPr/>
        <w:t>La vivienda se convirtió en un patrimonio importante para cualquier familia</w:t>
      </w:r>
      <w:r>
        <w:rPr>
          <w:b/>
        </w:rPr>
        <w:t>, </w:t>
      </w:r>
      <w:r>
        <w:rPr/>
        <w:t>por lo que es necesario identificar las características de las viviendas para que puedan ser habitadas ya que son heterogéneas (materiales de construcción, servicios públicos con los que cuentan) en las zonas metropolitanas.</w:t>
      </w:r>
    </w:p>
    <w:p>
      <w:pPr>
        <w:pStyle w:val="ListParagraph"/>
        <w:numPr>
          <w:ilvl w:val="2"/>
          <w:numId w:val="11"/>
        </w:numPr>
        <w:tabs>
          <w:tab w:pos="642" w:val="left" w:leader="none"/>
        </w:tabs>
        <w:spacing w:line="240" w:lineRule="auto" w:before="203" w:after="0"/>
        <w:ind w:left="642" w:right="0" w:hanging="540"/>
        <w:jc w:val="both"/>
        <w:rPr>
          <w:rFonts w:ascii="Cambria" w:hAnsi="Cambria"/>
          <w:b/>
          <w:sz w:val="22"/>
        </w:rPr>
      </w:pPr>
      <w:r>
        <w:rPr>
          <w:rFonts w:ascii="Cambria" w:hAnsi="Cambria"/>
          <w:b/>
          <w:color w:val="4F81BC"/>
          <w:sz w:val="22"/>
        </w:rPr>
        <w:t>Características de las</w:t>
      </w:r>
      <w:r>
        <w:rPr>
          <w:rFonts w:ascii="Cambria" w:hAnsi="Cambria"/>
          <w:b/>
          <w:color w:val="4F81BC"/>
          <w:spacing w:val="-12"/>
          <w:sz w:val="22"/>
        </w:rPr>
        <w:t> </w:t>
      </w:r>
      <w:r>
        <w:rPr>
          <w:rFonts w:ascii="Cambria" w:hAnsi="Cambria"/>
          <w:b/>
          <w:color w:val="4F81BC"/>
          <w:sz w:val="22"/>
        </w:rPr>
        <w:t>viviendas</w:t>
      </w:r>
    </w:p>
    <w:p>
      <w:pPr>
        <w:pStyle w:val="BodyText"/>
        <w:rPr>
          <w:rFonts w:ascii="Cambria"/>
          <w:b/>
          <w:sz w:val="22"/>
        </w:rPr>
      </w:pPr>
    </w:p>
    <w:p>
      <w:pPr>
        <w:pStyle w:val="BodyText"/>
        <w:spacing w:before="11"/>
        <w:rPr>
          <w:rFonts w:ascii="Cambria"/>
          <w:b/>
          <w:sz w:val="26"/>
        </w:rPr>
      </w:pPr>
    </w:p>
    <w:p>
      <w:pPr>
        <w:spacing w:line="360" w:lineRule="auto" w:before="0"/>
        <w:ind w:left="102" w:right="112" w:firstLine="0"/>
        <w:jc w:val="both"/>
        <w:rPr>
          <w:sz w:val="24"/>
        </w:rPr>
      </w:pPr>
      <w:r>
        <w:rPr>
          <w:i/>
          <w:sz w:val="24"/>
        </w:rPr>
        <w:t>“Las viviendas deben satisfacer las necesidades básicas del ser humano. Deben </w:t>
      </w:r>
      <w:r>
        <w:rPr>
          <w:i/>
          <w:sz w:val="24"/>
        </w:rPr>
        <w:t>poseer condiciones objetivas en su configuración física y en sus dotaciones” </w:t>
      </w:r>
      <w:r>
        <w:rPr>
          <w:sz w:val="24"/>
        </w:rPr>
        <w:t>(Torres, 2007, 10), que atiendan a toda la población en general, desde niños hasta adultos mayores, además de personas con capacidades diferentes.</w:t>
      </w:r>
    </w:p>
    <w:p>
      <w:pPr>
        <w:spacing w:after="0" w:line="360" w:lineRule="auto"/>
        <w:jc w:val="both"/>
        <w:rPr>
          <w:sz w:val="24"/>
        </w:rPr>
        <w:sectPr>
          <w:footerReference w:type="default" r:id="rId34"/>
          <w:pgSz w:w="12240" w:h="15840"/>
          <w:pgMar w:footer="1003" w:header="0" w:top="1360" w:bottom="1200" w:left="1600" w:right="1580"/>
          <w:pgNumType w:start="51"/>
        </w:sectPr>
      </w:pPr>
    </w:p>
    <w:p>
      <w:pPr>
        <w:spacing w:line="360" w:lineRule="auto" w:before="52"/>
        <w:ind w:left="242" w:right="178" w:firstLine="0"/>
        <w:jc w:val="both"/>
        <w:rPr>
          <w:sz w:val="24"/>
        </w:rPr>
      </w:pPr>
      <w:r>
        <w:rPr>
          <w:sz w:val="24"/>
        </w:rPr>
        <w:t>En los setentas Smith (1973) y Harvey (1979), mencionan que “</w:t>
      </w:r>
      <w:r>
        <w:rPr>
          <w:i/>
          <w:sz w:val="24"/>
        </w:rPr>
        <w:t>la vivienda debe </w:t>
      </w:r>
      <w:r>
        <w:rPr>
          <w:i/>
          <w:sz w:val="24"/>
        </w:rPr>
        <w:t>presentar características mínimas para ser digna y cubrir en forma satisfactoria ciertas necesidades básicas”</w:t>
      </w:r>
      <w:r>
        <w:rPr>
          <w:sz w:val="24"/>
        </w:rPr>
        <w:t>, entre ellas:</w:t>
      </w:r>
    </w:p>
    <w:p>
      <w:pPr>
        <w:spacing w:before="206" w:after="3"/>
        <w:ind w:left="3254" w:right="2691" w:firstLine="811"/>
        <w:jc w:val="left"/>
        <w:rPr>
          <w:sz w:val="20"/>
        </w:rPr>
      </w:pPr>
      <w:r>
        <w:rPr>
          <w:sz w:val="20"/>
        </w:rPr>
        <w:t>Cuadro No. 1 Características de las viviendas</w:t>
      </w:r>
    </w:p>
    <w:tbl>
      <w:tblPr>
        <w:tblW w:w="0" w:type="auto"/>
        <w:jc w:val="left"/>
        <w:tblInd w:w="11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783"/>
        <w:gridCol w:w="322"/>
        <w:gridCol w:w="1088"/>
        <w:gridCol w:w="256"/>
        <w:gridCol w:w="998"/>
        <w:gridCol w:w="348"/>
        <w:gridCol w:w="5185"/>
      </w:tblGrid>
      <w:tr>
        <w:trPr>
          <w:trHeight w:val="610" w:hRule="exact"/>
        </w:trPr>
        <w:tc>
          <w:tcPr>
            <w:tcW w:w="3795" w:type="dxa"/>
            <w:gridSpan w:val="6"/>
            <w:shd w:val="clear" w:color="auto" w:fill="D9D9D9"/>
          </w:tcPr>
          <w:p>
            <w:pPr>
              <w:pStyle w:val="TableParagraph"/>
              <w:spacing w:line="227" w:lineRule="exact"/>
              <w:ind w:left="369"/>
              <w:rPr>
                <w:rFonts w:ascii="Arial" w:hAnsi="Arial"/>
                <w:b/>
                <w:sz w:val="20"/>
              </w:rPr>
            </w:pPr>
            <w:r>
              <w:rPr>
                <w:rFonts w:ascii="Arial" w:hAnsi="Arial"/>
                <w:b/>
                <w:sz w:val="20"/>
              </w:rPr>
              <w:t>Características de las viviendas</w:t>
            </w:r>
          </w:p>
        </w:tc>
        <w:tc>
          <w:tcPr>
            <w:tcW w:w="5185" w:type="dxa"/>
            <w:shd w:val="clear" w:color="auto" w:fill="D9D9D9"/>
          </w:tcPr>
          <w:p>
            <w:pPr>
              <w:pStyle w:val="TableParagraph"/>
              <w:spacing w:line="248" w:lineRule="exact"/>
              <w:ind w:left="899"/>
              <w:rPr>
                <w:rFonts w:ascii="Arial" w:hAnsi="Arial"/>
                <w:b/>
                <w:sz w:val="22"/>
              </w:rPr>
            </w:pPr>
            <w:r>
              <w:rPr>
                <w:rFonts w:ascii="Arial" w:hAnsi="Arial"/>
                <w:b/>
                <w:sz w:val="22"/>
              </w:rPr>
              <w:t>Definición de las características</w:t>
            </w:r>
          </w:p>
        </w:tc>
      </w:tr>
      <w:tr>
        <w:trPr>
          <w:trHeight w:val="1023" w:hRule="exact"/>
        </w:trPr>
        <w:tc>
          <w:tcPr>
            <w:tcW w:w="3795" w:type="dxa"/>
            <w:gridSpan w:val="6"/>
          </w:tcPr>
          <w:p>
            <w:pPr>
              <w:pStyle w:val="TableParagraph"/>
              <w:spacing w:line="227" w:lineRule="exact"/>
              <w:ind w:left="93"/>
              <w:rPr>
                <w:rFonts w:ascii="Arial" w:hAnsi="Arial"/>
                <w:i/>
                <w:sz w:val="20"/>
              </w:rPr>
            </w:pPr>
            <w:r>
              <w:rPr>
                <w:rFonts w:ascii="Arial" w:hAnsi="Arial"/>
                <w:i/>
                <w:sz w:val="20"/>
              </w:rPr>
              <w:t>Protección</w:t>
            </w:r>
          </w:p>
        </w:tc>
        <w:tc>
          <w:tcPr>
            <w:tcW w:w="5185" w:type="dxa"/>
          </w:tcPr>
          <w:p>
            <w:pPr>
              <w:pStyle w:val="TableParagraph"/>
              <w:spacing w:line="276" w:lineRule="auto"/>
              <w:ind w:left="93" w:right="96"/>
              <w:jc w:val="both"/>
              <w:rPr>
                <w:rFonts w:ascii="Arial"/>
                <w:sz w:val="20"/>
              </w:rPr>
            </w:pPr>
            <w:r>
              <w:rPr>
                <w:rFonts w:ascii="Arial"/>
                <w:sz w:val="20"/>
              </w:rPr>
              <w:t>Se refiere a la capacidad de la vivienda para aislar a sus ocupantes en forma suficiente y permanente de agentes exteriores potencialmente</w:t>
            </w:r>
            <w:r>
              <w:rPr>
                <w:rFonts w:ascii="Arial"/>
                <w:spacing w:val="-12"/>
                <w:sz w:val="20"/>
              </w:rPr>
              <w:t> </w:t>
            </w:r>
            <w:r>
              <w:rPr>
                <w:rFonts w:ascii="Arial"/>
                <w:sz w:val="20"/>
              </w:rPr>
              <w:t>amenazadores.</w:t>
            </w:r>
          </w:p>
        </w:tc>
      </w:tr>
      <w:tr>
        <w:trPr>
          <w:trHeight w:val="1289" w:hRule="exact"/>
        </w:trPr>
        <w:tc>
          <w:tcPr>
            <w:tcW w:w="3795" w:type="dxa"/>
            <w:gridSpan w:val="6"/>
          </w:tcPr>
          <w:p>
            <w:pPr>
              <w:pStyle w:val="TableParagraph"/>
              <w:spacing w:line="230" w:lineRule="exact"/>
              <w:ind w:left="93"/>
              <w:rPr>
                <w:rFonts w:ascii="Arial"/>
                <w:i/>
                <w:sz w:val="20"/>
              </w:rPr>
            </w:pPr>
            <w:r>
              <w:rPr>
                <w:rFonts w:ascii="Arial"/>
                <w:i/>
                <w:sz w:val="20"/>
              </w:rPr>
              <w:t>Higiene</w:t>
            </w:r>
          </w:p>
        </w:tc>
        <w:tc>
          <w:tcPr>
            <w:tcW w:w="5185" w:type="dxa"/>
          </w:tcPr>
          <w:p>
            <w:pPr>
              <w:pStyle w:val="TableParagraph"/>
              <w:spacing w:line="276" w:lineRule="auto" w:before="2"/>
              <w:ind w:left="93" w:right="97"/>
              <w:jc w:val="both"/>
              <w:rPr>
                <w:rFonts w:ascii="Arial" w:hAnsi="Arial"/>
                <w:sz w:val="20"/>
              </w:rPr>
            </w:pPr>
            <w:r>
              <w:rPr>
                <w:rFonts w:ascii="Arial" w:hAnsi="Arial"/>
                <w:sz w:val="20"/>
              </w:rPr>
              <w:t>Resalta las condiciones que requiere una vivienda para evitar que sus ocupantes contraigan enfermedades relacionadas con las características deficientes de la casa habitación.</w:t>
            </w:r>
          </w:p>
        </w:tc>
      </w:tr>
      <w:tr>
        <w:trPr>
          <w:trHeight w:val="1022" w:hRule="exact"/>
        </w:trPr>
        <w:tc>
          <w:tcPr>
            <w:tcW w:w="3795" w:type="dxa"/>
            <w:gridSpan w:val="6"/>
          </w:tcPr>
          <w:p>
            <w:pPr>
              <w:pStyle w:val="TableParagraph"/>
              <w:spacing w:line="227" w:lineRule="exact"/>
              <w:ind w:left="93"/>
              <w:rPr>
                <w:rFonts w:ascii="Arial"/>
                <w:i/>
                <w:sz w:val="20"/>
              </w:rPr>
            </w:pPr>
            <w:r>
              <w:rPr>
                <w:rFonts w:ascii="Arial"/>
                <w:i/>
                <w:sz w:val="20"/>
              </w:rPr>
              <w:t>Intimidad</w:t>
            </w:r>
          </w:p>
        </w:tc>
        <w:tc>
          <w:tcPr>
            <w:tcW w:w="5185" w:type="dxa"/>
          </w:tcPr>
          <w:p>
            <w:pPr>
              <w:pStyle w:val="TableParagraph"/>
              <w:spacing w:line="276" w:lineRule="auto"/>
              <w:ind w:left="93" w:right="94"/>
              <w:jc w:val="both"/>
              <w:rPr>
                <w:rFonts w:ascii="Arial" w:hAnsi="Arial"/>
                <w:sz w:val="20"/>
              </w:rPr>
            </w:pPr>
            <w:r>
              <w:rPr>
                <w:rFonts w:ascii="Arial" w:hAnsi="Arial"/>
                <w:sz w:val="20"/>
              </w:rPr>
              <w:t>Manifestada por el deseo de la gente por tener un albergue separado, tan importante como la protección contra los elementos.</w:t>
            </w:r>
          </w:p>
        </w:tc>
      </w:tr>
      <w:tr>
        <w:trPr>
          <w:trHeight w:val="761" w:hRule="exact"/>
        </w:trPr>
        <w:tc>
          <w:tcPr>
            <w:tcW w:w="3795" w:type="dxa"/>
            <w:gridSpan w:val="6"/>
          </w:tcPr>
          <w:p>
            <w:pPr>
              <w:pStyle w:val="TableParagraph"/>
              <w:spacing w:line="230" w:lineRule="exact"/>
              <w:ind w:left="93"/>
              <w:rPr>
                <w:rFonts w:ascii="Arial"/>
                <w:i/>
                <w:sz w:val="20"/>
              </w:rPr>
            </w:pPr>
            <w:r>
              <w:rPr>
                <w:rFonts w:ascii="Arial"/>
                <w:i/>
                <w:sz w:val="20"/>
              </w:rPr>
              <w:t>Privacidad</w:t>
            </w:r>
          </w:p>
        </w:tc>
        <w:tc>
          <w:tcPr>
            <w:tcW w:w="5185" w:type="dxa"/>
          </w:tcPr>
          <w:p>
            <w:pPr>
              <w:pStyle w:val="TableParagraph"/>
              <w:spacing w:line="276" w:lineRule="auto" w:before="2"/>
              <w:ind w:left="93"/>
              <w:rPr>
                <w:rFonts w:ascii="Arial" w:hAnsi="Arial"/>
                <w:sz w:val="20"/>
              </w:rPr>
            </w:pPr>
            <w:r>
              <w:rPr>
                <w:rFonts w:ascii="Arial" w:hAnsi="Arial"/>
                <w:sz w:val="20"/>
              </w:rPr>
              <w:t>Es la disponible que ofrece la vivienda para aislar a sus moradores a voluntad del medio social y físico.</w:t>
            </w:r>
          </w:p>
        </w:tc>
      </w:tr>
      <w:tr>
        <w:trPr>
          <w:trHeight w:val="1023" w:hRule="exact"/>
        </w:trPr>
        <w:tc>
          <w:tcPr>
            <w:tcW w:w="3795" w:type="dxa"/>
            <w:gridSpan w:val="6"/>
          </w:tcPr>
          <w:p>
            <w:pPr>
              <w:pStyle w:val="TableParagraph"/>
              <w:spacing w:line="227" w:lineRule="exact"/>
              <w:ind w:left="93"/>
              <w:rPr>
                <w:rFonts w:ascii="Arial"/>
                <w:i/>
                <w:sz w:val="20"/>
              </w:rPr>
            </w:pPr>
            <w:r>
              <w:rPr>
                <w:rFonts w:ascii="Arial"/>
                <w:i/>
                <w:sz w:val="20"/>
              </w:rPr>
              <w:t>Comodidad y funcionalidad</w:t>
            </w:r>
          </w:p>
        </w:tc>
        <w:tc>
          <w:tcPr>
            <w:tcW w:w="5185" w:type="dxa"/>
          </w:tcPr>
          <w:p>
            <w:pPr>
              <w:pStyle w:val="TableParagraph"/>
              <w:spacing w:line="276" w:lineRule="auto"/>
              <w:ind w:left="93" w:right="95"/>
              <w:jc w:val="both"/>
              <w:rPr>
                <w:rFonts w:ascii="Arial" w:hAnsi="Arial"/>
                <w:sz w:val="20"/>
              </w:rPr>
            </w:pPr>
            <w:r>
              <w:rPr>
                <w:rFonts w:ascii="Arial" w:hAnsi="Arial"/>
                <w:sz w:val="20"/>
              </w:rPr>
              <w:t>Se refieren a la distribución que adopta la vivienda expresando y respetando las pautas culturales  y hábitos familiares de la vida.</w:t>
            </w:r>
          </w:p>
        </w:tc>
      </w:tr>
      <w:tr>
        <w:trPr>
          <w:trHeight w:val="1022" w:hRule="exact"/>
        </w:trPr>
        <w:tc>
          <w:tcPr>
            <w:tcW w:w="3795" w:type="dxa"/>
            <w:gridSpan w:val="6"/>
          </w:tcPr>
          <w:p>
            <w:pPr>
              <w:pStyle w:val="TableParagraph"/>
              <w:spacing w:line="227" w:lineRule="exact"/>
              <w:ind w:left="93"/>
              <w:rPr>
                <w:rFonts w:ascii="Arial" w:hAnsi="Arial"/>
                <w:i/>
                <w:sz w:val="20"/>
              </w:rPr>
            </w:pPr>
            <w:r>
              <w:rPr>
                <w:rFonts w:ascii="Arial" w:hAnsi="Arial"/>
                <w:i/>
                <w:sz w:val="20"/>
              </w:rPr>
              <w:t>Ubicación (localización)</w:t>
            </w:r>
          </w:p>
        </w:tc>
        <w:tc>
          <w:tcPr>
            <w:tcW w:w="5185" w:type="dxa"/>
          </w:tcPr>
          <w:p>
            <w:pPr>
              <w:pStyle w:val="TableParagraph"/>
              <w:spacing w:line="276" w:lineRule="auto"/>
              <w:ind w:left="93" w:right="97"/>
              <w:jc w:val="both"/>
              <w:rPr>
                <w:rFonts w:ascii="Arial" w:hAnsi="Arial"/>
                <w:sz w:val="20"/>
              </w:rPr>
            </w:pPr>
            <w:r>
              <w:rPr>
                <w:rFonts w:ascii="Arial" w:hAnsi="Arial"/>
                <w:sz w:val="20"/>
              </w:rPr>
              <w:t>Referida a la proximidad y/o facilidad de transportación en relación con los centros de trabajo, comercio y todo lo demás.</w:t>
            </w:r>
          </w:p>
        </w:tc>
      </w:tr>
      <w:tr>
        <w:trPr>
          <w:trHeight w:val="1025" w:hRule="exact"/>
        </w:trPr>
        <w:tc>
          <w:tcPr>
            <w:tcW w:w="3795" w:type="dxa"/>
            <w:gridSpan w:val="6"/>
          </w:tcPr>
          <w:p>
            <w:pPr>
              <w:pStyle w:val="TableParagraph"/>
              <w:spacing w:line="230" w:lineRule="exact"/>
              <w:ind w:left="93"/>
              <w:rPr>
                <w:rFonts w:ascii="Arial"/>
                <w:i/>
                <w:sz w:val="20"/>
              </w:rPr>
            </w:pPr>
            <w:r>
              <w:rPr>
                <w:rFonts w:ascii="Arial"/>
                <w:i/>
                <w:sz w:val="20"/>
              </w:rPr>
              <w:t>Seguridad en la tenencia</w:t>
            </w:r>
          </w:p>
        </w:tc>
        <w:tc>
          <w:tcPr>
            <w:tcW w:w="5185" w:type="dxa"/>
          </w:tcPr>
          <w:p>
            <w:pPr>
              <w:pStyle w:val="TableParagraph"/>
              <w:spacing w:line="276" w:lineRule="auto" w:before="2"/>
              <w:ind w:left="93" w:right="95"/>
              <w:jc w:val="both"/>
              <w:rPr>
                <w:rFonts w:ascii="Arial" w:hAnsi="Arial"/>
                <w:sz w:val="20"/>
              </w:rPr>
            </w:pPr>
            <w:r>
              <w:rPr>
                <w:rFonts w:ascii="Arial" w:hAnsi="Arial"/>
                <w:sz w:val="20"/>
              </w:rPr>
              <w:t>La seguridad de la disponibilidad futura de la vivienda, factor de gran importancia por razones económicas, sociales y psicológicas.</w:t>
            </w:r>
          </w:p>
        </w:tc>
      </w:tr>
      <w:tr>
        <w:trPr>
          <w:trHeight w:val="759" w:hRule="exact"/>
        </w:trPr>
        <w:tc>
          <w:tcPr>
            <w:tcW w:w="3795" w:type="dxa"/>
            <w:gridSpan w:val="6"/>
          </w:tcPr>
          <w:p>
            <w:pPr>
              <w:pStyle w:val="TableParagraph"/>
              <w:spacing w:line="227" w:lineRule="exact"/>
              <w:ind w:left="93"/>
              <w:rPr>
                <w:rFonts w:ascii="Arial"/>
                <w:i/>
                <w:sz w:val="20"/>
              </w:rPr>
            </w:pPr>
            <w:r>
              <w:rPr>
                <w:rFonts w:ascii="Arial"/>
                <w:i/>
                <w:sz w:val="20"/>
              </w:rPr>
              <w:t>Comodidades del medio ambiente</w:t>
            </w:r>
          </w:p>
        </w:tc>
        <w:tc>
          <w:tcPr>
            <w:tcW w:w="5185" w:type="dxa"/>
          </w:tcPr>
          <w:p>
            <w:pPr>
              <w:pStyle w:val="TableParagraph"/>
              <w:spacing w:line="278" w:lineRule="auto"/>
              <w:ind w:left="93"/>
              <w:rPr>
                <w:rFonts w:ascii="Arial" w:hAnsi="Arial"/>
                <w:sz w:val="20"/>
              </w:rPr>
            </w:pPr>
            <w:r>
              <w:rPr>
                <w:rFonts w:ascii="Arial" w:hAnsi="Arial"/>
                <w:sz w:val="20"/>
              </w:rPr>
              <w:t>Las características de la zona circundante hacen deseable determinada residencia.</w:t>
            </w:r>
          </w:p>
        </w:tc>
      </w:tr>
      <w:tr>
        <w:trPr>
          <w:trHeight w:val="1022" w:hRule="exact"/>
        </w:trPr>
        <w:tc>
          <w:tcPr>
            <w:tcW w:w="3795" w:type="dxa"/>
            <w:gridSpan w:val="6"/>
          </w:tcPr>
          <w:p>
            <w:pPr>
              <w:pStyle w:val="TableParagraph"/>
              <w:spacing w:line="230" w:lineRule="exact"/>
              <w:ind w:left="93"/>
              <w:rPr>
                <w:rFonts w:ascii="Arial"/>
                <w:i/>
                <w:sz w:val="20"/>
              </w:rPr>
            </w:pPr>
            <w:r>
              <w:rPr>
                <w:rFonts w:ascii="Arial"/>
                <w:i/>
                <w:sz w:val="20"/>
              </w:rPr>
              <w:t>Inversiones</w:t>
            </w:r>
          </w:p>
        </w:tc>
        <w:tc>
          <w:tcPr>
            <w:tcW w:w="5185" w:type="dxa"/>
          </w:tcPr>
          <w:p>
            <w:pPr>
              <w:pStyle w:val="TableParagraph"/>
              <w:spacing w:line="276" w:lineRule="auto" w:before="2"/>
              <w:ind w:left="93" w:right="95"/>
              <w:jc w:val="both"/>
              <w:rPr>
                <w:rFonts w:ascii="Arial" w:hAnsi="Arial"/>
                <w:sz w:val="20"/>
              </w:rPr>
            </w:pPr>
            <w:r>
              <w:rPr>
                <w:rFonts w:ascii="Arial" w:hAnsi="Arial"/>
                <w:sz w:val="20"/>
              </w:rPr>
              <w:t>Ya no sólo un lugar donde vivir sino también una inversión, otorgando un grado de seguridad en sentido psicológico y financiero</w:t>
            </w:r>
          </w:p>
        </w:tc>
      </w:tr>
      <w:tr>
        <w:trPr>
          <w:trHeight w:val="919" w:hRule="exact"/>
        </w:trPr>
        <w:tc>
          <w:tcPr>
            <w:tcW w:w="783" w:type="dxa"/>
            <w:tcBorders>
              <w:right w:val="nil"/>
            </w:tcBorders>
          </w:tcPr>
          <w:p>
            <w:pPr>
              <w:pStyle w:val="TableParagraph"/>
              <w:spacing w:line="362" w:lineRule="auto"/>
              <w:ind w:left="93"/>
              <w:rPr>
                <w:rFonts w:ascii="Arial"/>
                <w:i/>
                <w:sz w:val="20"/>
              </w:rPr>
            </w:pPr>
            <w:r>
              <w:rPr>
                <w:rFonts w:ascii="Arial"/>
                <w:i/>
                <w:sz w:val="20"/>
              </w:rPr>
              <w:t>Medio </w:t>
            </w:r>
            <w:r>
              <w:rPr>
                <w:rFonts w:ascii="Arial"/>
                <w:i/>
                <w:w w:val="95"/>
                <w:sz w:val="20"/>
              </w:rPr>
              <w:t>riqueza</w:t>
            </w:r>
          </w:p>
        </w:tc>
        <w:tc>
          <w:tcPr>
            <w:tcW w:w="322" w:type="dxa"/>
            <w:tcBorders>
              <w:left w:val="nil"/>
              <w:right w:val="nil"/>
            </w:tcBorders>
          </w:tcPr>
          <w:p>
            <w:pPr>
              <w:pStyle w:val="TableParagraph"/>
              <w:spacing w:line="227" w:lineRule="exact"/>
              <w:ind w:left="22"/>
              <w:rPr>
                <w:rFonts w:ascii="Arial"/>
                <w:i/>
                <w:sz w:val="20"/>
              </w:rPr>
            </w:pPr>
            <w:r>
              <w:rPr>
                <w:rFonts w:ascii="Arial"/>
                <w:i/>
                <w:sz w:val="20"/>
              </w:rPr>
              <w:t>de</w:t>
            </w:r>
          </w:p>
        </w:tc>
        <w:tc>
          <w:tcPr>
            <w:tcW w:w="1088" w:type="dxa"/>
            <w:tcBorders>
              <w:left w:val="nil"/>
              <w:right w:val="nil"/>
            </w:tcBorders>
          </w:tcPr>
          <w:p>
            <w:pPr>
              <w:pStyle w:val="TableParagraph"/>
              <w:spacing w:line="227" w:lineRule="exact"/>
              <w:ind w:left="77"/>
              <w:rPr>
                <w:rFonts w:ascii="Arial"/>
                <w:i/>
                <w:sz w:val="20"/>
              </w:rPr>
            </w:pPr>
            <w:r>
              <w:rPr>
                <w:rFonts w:ascii="Arial"/>
                <w:i/>
                <w:sz w:val="20"/>
              </w:rPr>
              <w:t>almacenar</w:t>
            </w:r>
          </w:p>
        </w:tc>
        <w:tc>
          <w:tcPr>
            <w:tcW w:w="256" w:type="dxa"/>
            <w:tcBorders>
              <w:left w:val="nil"/>
              <w:right w:val="nil"/>
            </w:tcBorders>
          </w:tcPr>
          <w:p>
            <w:pPr>
              <w:pStyle w:val="TableParagraph"/>
              <w:spacing w:line="227" w:lineRule="exact"/>
              <w:ind w:left="78"/>
              <w:rPr>
                <w:rFonts w:ascii="Arial"/>
                <w:i/>
                <w:sz w:val="20"/>
              </w:rPr>
            </w:pPr>
            <w:r>
              <w:rPr>
                <w:rFonts w:ascii="Arial"/>
                <w:i/>
                <w:w w:val="99"/>
                <w:sz w:val="20"/>
              </w:rPr>
              <w:t>y</w:t>
            </w:r>
          </w:p>
        </w:tc>
        <w:tc>
          <w:tcPr>
            <w:tcW w:w="998" w:type="dxa"/>
            <w:tcBorders>
              <w:left w:val="nil"/>
              <w:right w:val="nil"/>
            </w:tcBorders>
          </w:tcPr>
          <w:p>
            <w:pPr>
              <w:pStyle w:val="TableParagraph"/>
              <w:spacing w:line="227" w:lineRule="exact"/>
              <w:ind w:left="78"/>
              <w:rPr>
                <w:rFonts w:ascii="Arial"/>
                <w:i/>
                <w:sz w:val="20"/>
              </w:rPr>
            </w:pPr>
            <w:r>
              <w:rPr>
                <w:rFonts w:ascii="Arial"/>
                <w:i/>
                <w:sz w:val="20"/>
              </w:rPr>
              <w:t>aumentar</w:t>
            </w:r>
          </w:p>
        </w:tc>
        <w:tc>
          <w:tcPr>
            <w:tcW w:w="348" w:type="dxa"/>
            <w:tcBorders>
              <w:left w:val="nil"/>
            </w:tcBorders>
          </w:tcPr>
          <w:p>
            <w:pPr>
              <w:pStyle w:val="TableParagraph"/>
              <w:spacing w:line="227" w:lineRule="exact"/>
              <w:ind w:left="78"/>
              <w:rPr>
                <w:rFonts w:ascii="Arial"/>
                <w:i/>
                <w:sz w:val="20"/>
              </w:rPr>
            </w:pPr>
            <w:r>
              <w:rPr>
                <w:rFonts w:ascii="Arial"/>
                <w:i/>
                <w:sz w:val="20"/>
              </w:rPr>
              <w:t>la</w:t>
            </w:r>
          </w:p>
        </w:tc>
        <w:tc>
          <w:tcPr>
            <w:tcW w:w="5185" w:type="dxa"/>
          </w:tcPr>
          <w:p>
            <w:pPr>
              <w:pStyle w:val="TableParagraph"/>
              <w:spacing w:line="276" w:lineRule="auto" w:before="2"/>
              <w:ind w:left="93"/>
              <w:rPr>
                <w:rFonts w:ascii="Arial"/>
                <w:sz w:val="20"/>
              </w:rPr>
            </w:pPr>
            <w:r>
              <w:rPr>
                <w:rFonts w:ascii="Arial"/>
                <w:sz w:val="20"/>
              </w:rPr>
              <w:t>Constituye el valor de uso que la casa tiene para su (s) ocupante (s).</w:t>
            </w:r>
          </w:p>
        </w:tc>
      </w:tr>
    </w:tbl>
    <w:p>
      <w:pPr>
        <w:spacing w:before="2"/>
        <w:ind w:left="611" w:right="0" w:firstLine="0"/>
        <w:jc w:val="left"/>
        <w:rPr>
          <w:sz w:val="20"/>
        </w:rPr>
      </w:pPr>
      <w:r>
        <w:rPr>
          <w:sz w:val="20"/>
        </w:rPr>
        <w:t>Fuente: Elaboración propia con base en (Smith y Harvey citados en Jiménez, 2007: 42-43).</w:t>
      </w:r>
    </w:p>
    <w:p>
      <w:pPr>
        <w:spacing w:after="0"/>
        <w:jc w:val="left"/>
        <w:rPr>
          <w:sz w:val="20"/>
        </w:rPr>
        <w:sectPr>
          <w:pgSz w:w="12240" w:h="15840"/>
          <w:pgMar w:header="0" w:footer="1003" w:top="1360" w:bottom="1200" w:left="1460" w:right="1520"/>
        </w:sectPr>
      </w:pPr>
    </w:p>
    <w:p>
      <w:pPr>
        <w:spacing w:line="360" w:lineRule="auto" w:before="52"/>
        <w:ind w:left="102" w:right="117" w:firstLine="0"/>
        <w:jc w:val="both"/>
        <w:rPr>
          <w:sz w:val="24"/>
        </w:rPr>
      </w:pPr>
      <w:r>
        <w:rPr>
          <w:sz w:val="24"/>
        </w:rPr>
        <w:t>La “</w:t>
      </w:r>
      <w:r>
        <w:rPr>
          <w:i/>
          <w:sz w:val="24"/>
        </w:rPr>
        <w:t>vivienda integra dos dimensiones básicas; una de interioridad o casa y otra al </w:t>
      </w:r>
      <w:r>
        <w:rPr>
          <w:i/>
          <w:sz w:val="24"/>
        </w:rPr>
        <w:t>exterior o entorno” </w:t>
      </w:r>
      <w:r>
        <w:rPr>
          <w:sz w:val="24"/>
        </w:rPr>
        <w:t>(Esquivel, 2006). Las características o atributos de la vivienda, son las paredes, el techo, el piso, el espacio, los servicios. Mientras los componentes del entorno son los parques, el equipamiento e infraestructura en general. La vivienda se ubica a su vez dentro de un contexto mayor que es la ciudad como un todo urbanístico y habitacional.</w:t>
      </w:r>
    </w:p>
    <w:p>
      <w:pPr>
        <w:spacing w:line="360" w:lineRule="auto" w:before="202"/>
        <w:ind w:left="102" w:right="115" w:firstLine="0"/>
        <w:jc w:val="both"/>
        <w:rPr>
          <w:sz w:val="24"/>
        </w:rPr>
      </w:pPr>
      <w:r>
        <w:rPr>
          <w:sz w:val="24"/>
        </w:rPr>
        <w:t>Para el caso de México en la década de los ochentas del siglo </w:t>
      </w:r>
      <w:r>
        <w:rPr>
          <w:sz w:val="19"/>
        </w:rPr>
        <w:t>XX</w:t>
      </w:r>
      <w:r>
        <w:rPr>
          <w:sz w:val="24"/>
        </w:rPr>
        <w:t>, “</w:t>
      </w:r>
      <w:r>
        <w:rPr>
          <w:i/>
          <w:sz w:val="24"/>
        </w:rPr>
        <w:t>la institución </w:t>
      </w:r>
      <w:r>
        <w:rPr>
          <w:i/>
          <w:sz w:val="24"/>
        </w:rPr>
        <w:t>principal en la construcción de vivienda de interés social es el </w:t>
      </w:r>
      <w:r>
        <w:rPr>
          <w:i/>
          <w:sz w:val="19"/>
        </w:rPr>
        <w:t>INFONAVIT</w:t>
      </w:r>
      <w:r>
        <w:rPr>
          <w:i/>
          <w:sz w:val="24"/>
        </w:rPr>
        <w:t>, la cual presentó las Normas Técnicas para la construcción de vivienda de interés social, las cuales tienen 33 años de haber sido emitidas oficialmente” </w:t>
      </w:r>
      <w:r>
        <w:rPr>
          <w:sz w:val="24"/>
        </w:rPr>
        <w:t>(González, 1987). Aunque este tipo de viviendas es para cierto nivel de ingreso y con empleo.</w:t>
      </w:r>
    </w:p>
    <w:p>
      <w:pPr>
        <w:pStyle w:val="BodyText"/>
        <w:spacing w:line="360" w:lineRule="auto" w:before="202"/>
        <w:ind w:left="102" w:right="116"/>
        <w:jc w:val="both"/>
      </w:pPr>
      <w:r>
        <w:rPr/>
        <w:t>Estas características integran que la vivienda significa más que tener un techo, significa también disponer de; pertenencia, estabilidad, durabilidad estructural, iluminación y ventilación suficiente, una infraestructura básica adecuada que incluya servicios de abastecimiento de agua, saneamiento y eliminación de desechos.</w:t>
      </w:r>
    </w:p>
    <w:p>
      <w:pPr>
        <w:spacing w:line="360" w:lineRule="auto" w:before="202"/>
        <w:ind w:left="102" w:right="117" w:firstLine="0"/>
        <w:jc w:val="both"/>
        <w:rPr>
          <w:sz w:val="24"/>
        </w:rPr>
      </w:pPr>
      <w:r>
        <w:rPr>
          <w:i/>
          <w:sz w:val="24"/>
        </w:rPr>
        <w:t>“Las viviendas deben tener factores apropiados relacionados con la calidad del </w:t>
      </w:r>
      <w:r>
        <w:rPr>
          <w:i/>
          <w:sz w:val="24"/>
        </w:rPr>
        <w:t>medio ambiente, relacionados con la salud, con una localización adecuada con acceso al trabajo, a los servicios básicos todo a un costo razonable” </w:t>
      </w:r>
      <w:r>
        <w:rPr>
          <w:sz w:val="24"/>
        </w:rPr>
        <w:t>(Garza, 2005: 38)”. Torres, (2007: 14), señala que los componentes fundamentales de la  vivienda son los siguientes; “</w:t>
      </w:r>
      <w:r>
        <w:rPr>
          <w:i/>
          <w:sz w:val="24"/>
        </w:rPr>
        <w:t>disponibilidad de servicios, materiales, facilidades e </w:t>
      </w:r>
      <w:r>
        <w:rPr>
          <w:i/>
          <w:sz w:val="24"/>
        </w:rPr>
        <w:t>infraestructura, gastos soportables, habitabilidad, accesibilidad, lugar adecuado y adecuación</w:t>
      </w:r>
      <w:r>
        <w:rPr>
          <w:i/>
          <w:spacing w:val="-6"/>
          <w:sz w:val="24"/>
        </w:rPr>
        <w:t> </w:t>
      </w:r>
      <w:r>
        <w:rPr>
          <w:i/>
          <w:sz w:val="24"/>
        </w:rPr>
        <w:t>cultural”</w:t>
      </w:r>
      <w:r>
        <w:rPr>
          <w:sz w:val="24"/>
        </w:rPr>
        <w:t>.</w:t>
      </w:r>
    </w:p>
    <w:p>
      <w:pPr>
        <w:pStyle w:val="BodyText"/>
        <w:spacing w:line="360" w:lineRule="auto" w:before="205"/>
        <w:ind w:left="102" w:right="115"/>
        <w:jc w:val="both"/>
      </w:pPr>
      <w:r>
        <w:rPr/>
        <w:t>Las características concretas de la vivienda </w:t>
      </w:r>
      <w:r>
        <w:rPr>
          <w:i/>
        </w:rPr>
        <w:t>habitable</w:t>
      </w:r>
      <w:r>
        <w:rPr/>
        <w:t>, es contar con servicios públicos, materiales de construcción acordes con el lugar geográfico, así como contar con bienes y el entorno con accesibilidad a servicios complementarios, además de las dinámicas que cambian con la historia, toman cuerpo en cada cultura, para cada tiempo y lugar señalan requerimientos mínimos indispensables para la satisfacción de las necesidades.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7"/>
        <w:jc w:val="both"/>
      </w:pPr>
      <w:r>
        <w:rPr/>
        <w:t>Los servicios básicos de la vivienda son muy importantes para el entorno en que las personas interactúan y se desarrollan. Se identifican cuatro servicios con los que deben contar las viviendas; acceso al agua potable, disponibilidad de servicio de drenaje, servicio de electricidad y combustible para cocinar en la vivienda. Contar con los servicios básicos eleva el bienestar de las personas y su calidad de vida. Es por eso que en el siguiente subcapítulo se presentan los principales tipos de vivienda que encontramos en la zona metropolitana de Toluca, de los cuales más adelante se hace el análisis de las zonas con habitabilidad crítica.</w:t>
      </w:r>
    </w:p>
    <w:p>
      <w:pPr>
        <w:pStyle w:val="BodyText"/>
      </w:pPr>
    </w:p>
    <w:p>
      <w:pPr>
        <w:pStyle w:val="BodyText"/>
      </w:pPr>
    </w:p>
    <w:p>
      <w:pPr>
        <w:pStyle w:val="BodyText"/>
        <w:spacing w:before="2"/>
        <w:rPr>
          <w:sz w:val="23"/>
        </w:rPr>
      </w:pPr>
    </w:p>
    <w:p>
      <w:pPr>
        <w:spacing w:before="0"/>
        <w:ind w:left="102" w:right="0" w:firstLine="0"/>
        <w:jc w:val="both"/>
        <w:rPr>
          <w:rFonts w:ascii="Cambria"/>
          <w:b/>
          <w:sz w:val="22"/>
        </w:rPr>
      </w:pPr>
      <w:r>
        <w:rPr>
          <w:rFonts w:ascii="Cambria"/>
          <w:b/>
          <w:color w:val="4F81BC"/>
          <w:sz w:val="22"/>
        </w:rPr>
        <w:t>1.3.2 Tipos de vivienda</w:t>
      </w:r>
    </w:p>
    <w:p>
      <w:pPr>
        <w:pStyle w:val="BodyText"/>
        <w:rPr>
          <w:rFonts w:ascii="Cambria"/>
          <w:b/>
          <w:sz w:val="22"/>
        </w:rPr>
      </w:pPr>
    </w:p>
    <w:p>
      <w:pPr>
        <w:pStyle w:val="BodyText"/>
        <w:spacing w:before="1"/>
        <w:rPr>
          <w:rFonts w:ascii="Cambria"/>
          <w:b/>
          <w:sz w:val="27"/>
        </w:rPr>
      </w:pPr>
    </w:p>
    <w:p>
      <w:pPr>
        <w:spacing w:line="360" w:lineRule="auto" w:before="0"/>
        <w:ind w:left="102" w:right="118" w:firstLine="0"/>
        <w:jc w:val="both"/>
        <w:rPr>
          <w:sz w:val="24"/>
        </w:rPr>
      </w:pPr>
      <w:r>
        <w:rPr>
          <w:sz w:val="24"/>
        </w:rPr>
        <w:t>Las características con las que cuentan las viviendas se relacionan con los tipos de las viviendas. Dentro de los principales tipos de vivienda existentes en la </w:t>
      </w:r>
      <w:r>
        <w:rPr>
          <w:sz w:val="19"/>
        </w:rPr>
        <w:t>ZMT</w:t>
      </w:r>
      <w:r>
        <w:rPr>
          <w:sz w:val="24"/>
        </w:rPr>
        <w:t>, encontramos “</w:t>
      </w:r>
      <w:r>
        <w:rPr>
          <w:i/>
          <w:sz w:val="24"/>
        </w:rPr>
        <w:t>la vivienda de autoconstrucción, de interés social, colectiva, vivienda </w:t>
      </w:r>
      <w:r>
        <w:rPr>
          <w:i/>
          <w:sz w:val="24"/>
        </w:rPr>
        <w:t>mínima” </w:t>
      </w:r>
      <w:r>
        <w:rPr>
          <w:sz w:val="24"/>
        </w:rPr>
        <w:t>(</w:t>
      </w:r>
      <w:r>
        <w:rPr>
          <w:sz w:val="19"/>
        </w:rPr>
        <w:t>INEGI</w:t>
      </w:r>
      <w:r>
        <w:rPr>
          <w:sz w:val="24"/>
        </w:rPr>
        <w:t>,</w:t>
      </w:r>
      <w:r>
        <w:rPr>
          <w:spacing w:val="-7"/>
          <w:sz w:val="24"/>
        </w:rPr>
        <w:t> </w:t>
      </w:r>
      <w:r>
        <w:rPr>
          <w:sz w:val="24"/>
        </w:rPr>
        <w:t>2010).</w:t>
      </w:r>
    </w:p>
    <w:p>
      <w:pPr>
        <w:pStyle w:val="BodyText"/>
        <w:spacing w:line="360" w:lineRule="auto" w:before="204"/>
        <w:ind w:left="102" w:right="116"/>
        <w:jc w:val="both"/>
      </w:pPr>
      <w:r>
        <w:rPr/>
        <w:t>La </w:t>
      </w:r>
      <w:r>
        <w:rPr>
          <w:i/>
        </w:rPr>
        <w:t>vivienda de autoconstrucción </w:t>
      </w:r>
      <w:r>
        <w:rPr/>
        <w:t>es aquella desarrollada cuando la población no cuenta con los recursos económicos para comprar una vivienda nueva o usada, (no tiene acceso a un crédito habitacional) pero cuenta con el terreno para la construcción de su propia vivienda, la mayoría de las ocasiones no importa el tiempo que lleve construirla diez o más años o simplemente no se termina de construirla, construyéndola a su ritmo ya que es una forma de cubrir esta necesidad, aun cuando esta no se establezca en un lugar seguro, no existiendo una planeación de la misma, no cuente con liquidez financiera, sea ilegal en los permisos de construcción, son desarrolladas sin acceso a conexiones a los servicios públicos, este alejada de los equipamientos urbanos.</w:t>
      </w:r>
    </w:p>
    <w:p>
      <w:pPr>
        <w:pStyle w:val="BodyText"/>
        <w:spacing w:line="360" w:lineRule="auto" w:before="202"/>
        <w:ind w:left="102" w:right="118"/>
        <w:jc w:val="both"/>
      </w:pPr>
      <w:r>
        <w:rPr/>
        <w:t>Por otra parte encontramos las </w:t>
      </w:r>
      <w:r>
        <w:rPr>
          <w:i/>
        </w:rPr>
        <w:t>viviendas de interés social</w:t>
      </w:r>
      <w:r>
        <w:rPr/>
        <w:t>. El término de interés social es entendido popularmente como la vivienda que tiene en especial interés en las necesidades de la</w:t>
      </w:r>
      <w:r>
        <w:rPr>
          <w:spacing w:val="-9"/>
        </w:rPr>
        <w:t> </w:t>
      </w:r>
      <w:r>
        <w:rPr/>
        <w:t>sociedad.</w:t>
      </w:r>
    </w:p>
    <w:p>
      <w:pPr>
        <w:spacing w:after="0" w:line="360" w:lineRule="auto"/>
        <w:jc w:val="both"/>
        <w:sectPr>
          <w:pgSz w:w="12240" w:h="15840"/>
          <w:pgMar w:header="0" w:footer="1003" w:top="1360" w:bottom="1200" w:left="1600" w:right="1580"/>
        </w:sectPr>
      </w:pPr>
    </w:p>
    <w:p>
      <w:pPr>
        <w:spacing w:line="240" w:lineRule="auto" w:before="49"/>
        <w:ind w:left="385" w:right="451" w:firstLine="0"/>
        <w:jc w:val="both"/>
        <w:rPr>
          <w:sz w:val="24"/>
        </w:rPr>
      </w:pPr>
      <w:r>
        <w:rPr>
          <w:sz w:val="24"/>
        </w:rPr>
        <w:t>“</w:t>
      </w:r>
      <w:r>
        <w:rPr>
          <w:i/>
          <w:sz w:val="24"/>
        </w:rPr>
        <w:t>El término interés social se hace evidente allá por los años treinta del siglo </w:t>
      </w:r>
      <w:r>
        <w:rPr>
          <w:i/>
          <w:sz w:val="24"/>
        </w:rPr>
        <w:t>pasado cuando el Estado mexicano comienza a generar una política habitacional de viviendas y lotes en venta la cual se dirigía a las personas que contaban con recursos económicos para adquirir cualquiera de estos bienes inmuebles mediante un crédito” </w:t>
      </w:r>
      <w:r>
        <w:rPr>
          <w:sz w:val="24"/>
        </w:rPr>
        <w:t>(Rodríguez, 2013: 16).</w:t>
      </w:r>
    </w:p>
    <w:p>
      <w:pPr>
        <w:pStyle w:val="BodyText"/>
      </w:pPr>
    </w:p>
    <w:p>
      <w:pPr>
        <w:pStyle w:val="BodyText"/>
        <w:rPr>
          <w:sz w:val="35"/>
        </w:rPr>
      </w:pPr>
    </w:p>
    <w:p>
      <w:pPr>
        <w:pStyle w:val="BodyText"/>
        <w:spacing w:line="360" w:lineRule="auto"/>
        <w:ind w:left="102" w:right="118"/>
        <w:jc w:val="both"/>
      </w:pPr>
      <w:r>
        <w:rPr/>
        <w:t>Este tipo de vivienda se refiere a las viviendas producidas por  organismos públicos o privados, está dirigida generalmente a las personas de recursos económicos bajos o medios (acceso a crédito), actualmente está dirigido a personas de recursos económicos medios y altos. Estas viviendas se basan en modelos estandarizados, permitiendo su disminución en los costos de producción, generando mayor cantidad de</w:t>
      </w:r>
      <w:r>
        <w:rPr>
          <w:spacing w:val="-14"/>
        </w:rPr>
        <w:t> </w:t>
      </w:r>
      <w:r>
        <w:rPr/>
        <w:t>viviendas.</w:t>
      </w:r>
    </w:p>
    <w:p>
      <w:pPr>
        <w:spacing w:line="360" w:lineRule="auto" w:before="202"/>
        <w:ind w:left="102" w:right="118" w:firstLine="0"/>
        <w:jc w:val="both"/>
        <w:rPr>
          <w:sz w:val="24"/>
        </w:rPr>
      </w:pPr>
      <w:r>
        <w:rPr>
          <w:i/>
          <w:sz w:val="24"/>
        </w:rPr>
        <w:t>“La vivienda mínima es el resultado de estudios específicos, cuando los criterios  </w:t>
      </w:r>
      <w:r>
        <w:rPr>
          <w:i/>
          <w:sz w:val="24"/>
        </w:rPr>
        <w:t>no son los correctos, pueden derivar en espacios ineficaces o insalubres o en casos de hacinamiento” </w:t>
      </w:r>
      <w:r>
        <w:rPr>
          <w:sz w:val="24"/>
        </w:rPr>
        <w:t>(Torrentera, 2014: 17). En México, la vivienda de interés social se relaciona con este tipo de vivienda mínima malentendida, una reducción de la escala de vivienda tradicional, mal planeada y mal diseñada. En este tipo de vivienda si resulta difícil que se acomode y viva de una forma digna una</w:t>
      </w:r>
      <w:r>
        <w:rPr>
          <w:spacing w:val="-31"/>
          <w:sz w:val="24"/>
        </w:rPr>
        <w:t> </w:t>
      </w:r>
      <w:r>
        <w:rPr>
          <w:sz w:val="24"/>
        </w:rPr>
        <w:t>familia.</w:t>
      </w:r>
    </w:p>
    <w:p>
      <w:pPr>
        <w:spacing w:line="360" w:lineRule="auto" w:before="202"/>
        <w:ind w:left="102" w:right="115" w:firstLine="0"/>
        <w:jc w:val="both"/>
        <w:rPr>
          <w:sz w:val="24"/>
        </w:rPr>
      </w:pPr>
      <w:r>
        <w:rPr>
          <w:i/>
          <w:sz w:val="24"/>
        </w:rPr>
        <w:t>“Vivienda mínima, se entiende como un espacio físico acotado, como el espacio </w:t>
      </w:r>
      <w:r>
        <w:rPr>
          <w:i/>
          <w:sz w:val="24"/>
        </w:rPr>
        <w:t>mínimo que tiene por objeto habitar. Puede ser concebida como un conjunto de elementos espaciales, con relación a los usos mínimos necesarios para habitar, en un lugar, momento, contexto social y personal determinado” </w:t>
      </w:r>
      <w:r>
        <w:rPr>
          <w:sz w:val="24"/>
        </w:rPr>
        <w:t>(Xevi, 2009). La relación de los conceptos de vivienda mínima es el espacio mínimo con los que cuentan los habitantes de este tipo de casas, en algunos casos las familias viven en hacinamiento, se llega a la conclusión que no es digno para las personas vivir en estas condiciones ya que esta investigación pretende dar realce a </w:t>
      </w:r>
      <w:r>
        <w:rPr>
          <w:i/>
          <w:sz w:val="24"/>
        </w:rPr>
        <w:t>viviendas </w:t>
      </w:r>
      <w:r>
        <w:rPr>
          <w:i/>
          <w:sz w:val="24"/>
        </w:rPr>
        <w:t>habitables </w:t>
      </w:r>
      <w:r>
        <w:rPr>
          <w:sz w:val="24"/>
        </w:rPr>
        <w:t>para el ser humano y viviendas en situación crítica de habitabilidad.</w:t>
      </w:r>
    </w:p>
    <w:p>
      <w:pPr>
        <w:pStyle w:val="BodyText"/>
        <w:spacing w:line="360" w:lineRule="auto" w:before="204"/>
        <w:ind w:left="102" w:right="118"/>
        <w:jc w:val="both"/>
      </w:pPr>
      <w:r>
        <w:rPr/>
        <w:t>La </w:t>
      </w:r>
      <w:r>
        <w:rPr>
          <w:i/>
        </w:rPr>
        <w:t>vivienda colectiva </w:t>
      </w:r>
      <w:r>
        <w:rPr/>
        <w:t>se denomina al conjunto de viviendas que se organizan y estructuran en torno a una sociedad con el fin de propiciar la vida cotidiana amable de sus moradores. Sin embargo, esta noción puede proponerse para viviendas emplazadas</w:t>
      </w:r>
      <w:r>
        <w:rPr>
          <w:spacing w:val="51"/>
        </w:rPr>
        <w:t> </w:t>
      </w:r>
      <w:r>
        <w:rPr/>
        <w:t>de</w:t>
      </w:r>
      <w:r>
        <w:rPr>
          <w:spacing w:val="52"/>
        </w:rPr>
        <w:t> </w:t>
      </w:r>
      <w:r>
        <w:rPr/>
        <w:t>cualquier</w:t>
      </w:r>
      <w:r>
        <w:rPr>
          <w:spacing w:val="51"/>
        </w:rPr>
        <w:t> </w:t>
      </w:r>
      <w:r>
        <w:rPr/>
        <w:t>manera</w:t>
      </w:r>
      <w:r>
        <w:rPr>
          <w:spacing w:val="51"/>
        </w:rPr>
        <w:t> </w:t>
      </w:r>
      <w:r>
        <w:rPr/>
        <w:t>(horizontalmente</w:t>
      </w:r>
      <w:r>
        <w:rPr>
          <w:spacing w:val="52"/>
        </w:rPr>
        <w:t> </w:t>
      </w:r>
      <w:r>
        <w:rPr/>
        <w:t>o</w:t>
      </w:r>
      <w:r>
        <w:rPr>
          <w:spacing w:val="52"/>
        </w:rPr>
        <w:t> </w:t>
      </w:r>
      <w:r>
        <w:rPr/>
        <w:t>en</w:t>
      </w:r>
      <w:r>
        <w:rPr>
          <w:spacing w:val="52"/>
        </w:rPr>
        <w:t> </w:t>
      </w:r>
      <w:r>
        <w:rPr/>
        <w:t>altura) y destinadas a</w:t>
      </w:r>
    </w:p>
    <w:p>
      <w:pPr>
        <w:spacing w:after="0" w:line="360" w:lineRule="auto"/>
        <w:jc w:val="both"/>
        <w:sectPr>
          <w:pgSz w:w="12240" w:h="15840"/>
          <w:pgMar w:header="0" w:footer="1003" w:top="1360" w:bottom="1200" w:left="1600" w:right="1580"/>
        </w:sectPr>
      </w:pPr>
    </w:p>
    <w:p>
      <w:pPr>
        <w:pStyle w:val="BodyText"/>
        <w:spacing w:line="360" w:lineRule="auto" w:before="54"/>
        <w:ind w:left="102" w:right="116"/>
        <w:jc w:val="both"/>
      </w:pPr>
      <w:r>
        <w:rPr/>
        <w:t>cualquier sector de la población. La similitud de vivir en una vivienda colectiva es que las personas deben vivir en espacios construidos verticalmente, ya que el espacio urbano de la ciudad llega a estar saturado horizontalmente y la forma de amortiguar la densidad de población es construir espacios en altura.</w:t>
      </w:r>
    </w:p>
    <w:p>
      <w:pPr>
        <w:spacing w:line="360" w:lineRule="auto" w:before="202"/>
        <w:ind w:left="102" w:right="123" w:firstLine="0"/>
        <w:jc w:val="both"/>
        <w:rPr>
          <w:sz w:val="24"/>
        </w:rPr>
      </w:pPr>
      <w:r>
        <w:rPr>
          <w:i/>
          <w:sz w:val="24"/>
        </w:rPr>
        <w:t>“El multifamiliar es el nombre genérico que en México se dio al edificio de varios </w:t>
      </w:r>
      <w:r>
        <w:rPr>
          <w:i/>
          <w:sz w:val="24"/>
        </w:rPr>
        <w:t>niveles que sirvió para alojar viviendas en unidades independientes llamadas departamentos, siguiendo fundamentalmente al esquema de prisma cuadrangular usado en los primeros edificios que con este fin se proyectaron en Europa central desde la década de los años veinte” </w:t>
      </w:r>
      <w:r>
        <w:rPr>
          <w:sz w:val="24"/>
        </w:rPr>
        <w:t>(De Anda, 2008: 21).</w:t>
      </w:r>
    </w:p>
    <w:p>
      <w:pPr>
        <w:pStyle w:val="BodyText"/>
        <w:spacing w:line="360" w:lineRule="auto" w:before="202"/>
        <w:ind w:left="102" w:right="116"/>
        <w:jc w:val="both"/>
      </w:pPr>
      <w:r>
        <w:rPr/>
        <w:t>La Secretaría de Desarrollo Urbano y Vivienda (</w:t>
      </w:r>
      <w:r>
        <w:rPr>
          <w:sz w:val="19"/>
        </w:rPr>
        <w:t>SEDUVI</w:t>
      </w:r>
      <w:r>
        <w:rPr/>
        <w:t>) sugiere que por </w:t>
      </w:r>
      <w:r>
        <w:rPr>
          <w:i/>
        </w:rPr>
        <w:t>vivienda </w:t>
      </w:r>
      <w:r>
        <w:rPr>
          <w:i/>
        </w:rPr>
        <w:t>colectiva </w:t>
      </w:r>
      <w:r>
        <w:rPr/>
        <w:t>se puede entender a la vivienda que se refiere al número de familias que cuentan con un espacio propio para </w:t>
      </w:r>
      <w:r>
        <w:rPr>
          <w:i/>
        </w:rPr>
        <w:t>habitar</w:t>
      </w:r>
      <w:r>
        <w:rPr/>
        <w:t>, pero que comparte el diseño por diseño original algunas secciones estructurales, departamento en edificio, casa en vecindad o cuarto de azotea.</w:t>
      </w:r>
    </w:p>
    <w:p>
      <w:pPr>
        <w:pStyle w:val="BodyText"/>
        <w:spacing w:before="204"/>
        <w:ind w:left="102"/>
        <w:jc w:val="both"/>
      </w:pPr>
      <w:r>
        <w:rPr/>
        <w:t>Otro tipo de vivienda es la considerada como</w:t>
      </w:r>
    </w:p>
    <w:p>
      <w:pPr>
        <w:pStyle w:val="BodyText"/>
        <w:rPr>
          <w:sz w:val="29"/>
        </w:rPr>
      </w:pPr>
    </w:p>
    <w:p>
      <w:pPr>
        <w:spacing w:line="240" w:lineRule="auto" w:before="0"/>
        <w:ind w:left="385" w:right="449" w:firstLine="0"/>
        <w:jc w:val="both"/>
        <w:rPr>
          <w:sz w:val="24"/>
        </w:rPr>
      </w:pPr>
      <w:r>
        <w:rPr>
          <w:sz w:val="24"/>
        </w:rPr>
        <w:t>“</w:t>
      </w:r>
      <w:r>
        <w:rPr>
          <w:i/>
          <w:sz w:val="24"/>
        </w:rPr>
        <w:t>vivienda urbana-moderna, es un conjunto de estructura de bienes, servicios </w:t>
      </w:r>
      <w:r>
        <w:rPr>
          <w:i/>
          <w:sz w:val="24"/>
        </w:rPr>
        <w:t>y situaciones agregable, desagregable, intercambiable, y articulable en el tiempo y en el espacio, cuya función es satisfacer necesidades  y expectativas de refugio, soporte, identificación e inserción social de la vida doméstica, cumpliendo con condiciones específicas y propias de las pautas culturales, económicas y funcionales de la sociedad urbano-moderna, en general, y del habitante concreto, integrado a la sociedad en particular” </w:t>
      </w:r>
      <w:r>
        <w:rPr>
          <w:sz w:val="24"/>
        </w:rPr>
        <w:t>(Pelli 2006: 32).</w:t>
      </w:r>
    </w:p>
    <w:p>
      <w:pPr>
        <w:pStyle w:val="BodyText"/>
      </w:pPr>
    </w:p>
    <w:p>
      <w:pPr>
        <w:pStyle w:val="BodyText"/>
        <w:spacing w:before="9"/>
        <w:rPr>
          <w:sz w:val="34"/>
        </w:rPr>
      </w:pPr>
    </w:p>
    <w:p>
      <w:pPr>
        <w:pStyle w:val="BodyText"/>
        <w:spacing w:line="360" w:lineRule="auto" w:before="1"/>
        <w:ind w:left="102" w:right="113"/>
        <w:jc w:val="both"/>
      </w:pPr>
      <w:r>
        <w:rPr/>
        <w:t>Otra población con recursos a disposición, compran una vivienda en un espacio urbano habitable con menos esfuerzo no tardan en establecer su propia relación de apropiación, de identidad y sociabilización con el entorno, solo se trata de conocer dónde están los principales servicios públicos, infraestructura y equipamiento urbano para hacer uso de</w:t>
      </w:r>
      <w:r>
        <w:rPr>
          <w:spacing w:val="-16"/>
        </w:rPr>
        <w:t> </w:t>
      </w:r>
      <w:r>
        <w:rPr/>
        <w:t>ellos.</w:t>
      </w:r>
    </w:p>
    <w:p>
      <w:pPr>
        <w:spacing w:after="0" w:line="360" w:lineRule="auto"/>
        <w:jc w:val="both"/>
        <w:sectPr>
          <w:pgSz w:w="12240" w:h="15840"/>
          <w:pgMar w:header="0" w:footer="1003" w:top="1360" w:bottom="1200" w:left="1600" w:right="1580"/>
        </w:sectPr>
      </w:pPr>
    </w:p>
    <w:p>
      <w:pPr>
        <w:spacing w:line="360" w:lineRule="auto" w:before="52"/>
        <w:ind w:left="102" w:right="118" w:firstLine="0"/>
        <w:jc w:val="both"/>
        <w:rPr>
          <w:sz w:val="24"/>
        </w:rPr>
      </w:pPr>
      <w:r>
        <w:rPr>
          <w:sz w:val="24"/>
        </w:rPr>
        <w:t>En menor medida existe “</w:t>
      </w:r>
      <w:r>
        <w:rPr>
          <w:i/>
          <w:sz w:val="24"/>
        </w:rPr>
        <w:t>cierta población que reside en viviendas exclusivas, en </w:t>
      </w:r>
      <w:r>
        <w:rPr>
          <w:i/>
          <w:sz w:val="24"/>
        </w:rPr>
        <w:t>residencias inteligentes, que cuando tienen problemas en cuanto  al funcionamiento de la energía eléctrica, agua, saneamiento, etcétera son solucionados por una computadora, mientras que las actividades de abasto, limpieza, pago de servicios, transportación recaen en personas contratadas para  la servidumbre y personal de vigilancia” </w:t>
      </w:r>
      <w:r>
        <w:rPr>
          <w:sz w:val="24"/>
        </w:rPr>
        <w:t>(Duhau y Giglia, 2008:</w:t>
      </w:r>
      <w:r>
        <w:rPr>
          <w:spacing w:val="-25"/>
          <w:sz w:val="24"/>
        </w:rPr>
        <w:t> </w:t>
      </w:r>
      <w:r>
        <w:rPr>
          <w:sz w:val="24"/>
        </w:rPr>
        <w:t>35).</w:t>
      </w:r>
    </w:p>
    <w:p>
      <w:pPr>
        <w:pStyle w:val="BodyText"/>
      </w:pPr>
    </w:p>
    <w:p>
      <w:pPr>
        <w:pStyle w:val="BodyText"/>
        <w:spacing w:line="360" w:lineRule="auto" w:before="144"/>
        <w:ind w:left="102" w:right="120"/>
        <w:jc w:val="both"/>
      </w:pPr>
      <w:r>
        <w:rPr/>
        <w:t>La construcción de nuevas viviendas en la periferia de la zonas metropolitanas, genera un riesgo en cuanto la expansión urbana desordenada en zonas carentes de agua y servicios urbanos, cuya dotación recaerá en los gobiernos municipales  o locales, donde no se disponen de suficientes recursos económicos y donde la población no cuenta con viviendas</w:t>
      </w:r>
      <w:r>
        <w:rPr>
          <w:spacing w:val="-12"/>
        </w:rPr>
        <w:t> </w:t>
      </w:r>
      <w:r>
        <w:rPr/>
        <w:t>habitables.</w:t>
      </w:r>
    </w:p>
    <w:p>
      <w:pPr>
        <w:spacing w:before="206"/>
        <w:ind w:left="102" w:right="0" w:firstLine="0"/>
        <w:jc w:val="both"/>
        <w:rPr>
          <w:rFonts w:ascii="Cambria"/>
          <w:b/>
          <w:sz w:val="22"/>
        </w:rPr>
      </w:pPr>
      <w:r>
        <w:rPr>
          <w:rFonts w:ascii="Cambria"/>
          <w:b/>
          <w:color w:val="4F81BC"/>
          <w:sz w:val="22"/>
        </w:rPr>
        <w:t>1.3.4Derecho a la vivienda</w:t>
      </w:r>
    </w:p>
    <w:p>
      <w:pPr>
        <w:pStyle w:val="BodyText"/>
        <w:rPr>
          <w:rFonts w:ascii="Cambria"/>
          <w:b/>
          <w:sz w:val="22"/>
        </w:rPr>
      </w:pPr>
    </w:p>
    <w:p>
      <w:pPr>
        <w:pStyle w:val="BodyText"/>
        <w:rPr>
          <w:rFonts w:ascii="Cambria"/>
          <w:b/>
          <w:sz w:val="22"/>
        </w:rPr>
      </w:pPr>
    </w:p>
    <w:p>
      <w:pPr>
        <w:spacing w:line="360" w:lineRule="auto" w:before="134"/>
        <w:ind w:left="102" w:right="118" w:firstLine="0"/>
        <w:jc w:val="both"/>
        <w:rPr>
          <w:sz w:val="24"/>
        </w:rPr>
      </w:pPr>
      <w:r>
        <w:rPr>
          <w:sz w:val="24"/>
        </w:rPr>
        <w:t>El derecho universal a una vivienda digna y adecuada, entendida desde la perspectiva sistémica fue desarrollado por la Conferencia Hábitat I de Vancouver (1976) y posteriormente por el Comité de Derechos Humanos de Naciones Unidas (1991). En la Cumbre de las Ciudades, Hábitat II (Estambul, junio de 1996) como la Declaración del Milenio de las Naciones Unidas (Nueva York, septiembre de 2000) han fijado “</w:t>
      </w:r>
      <w:r>
        <w:rPr>
          <w:i/>
          <w:sz w:val="24"/>
        </w:rPr>
        <w:t>los objetivos generales conseguir vivienda adecuada para todos </w:t>
      </w:r>
      <w:r>
        <w:rPr>
          <w:i/>
          <w:sz w:val="24"/>
        </w:rPr>
        <w:t>y asentamientos humanos sostenibles en un mundo en proceso de</w:t>
      </w:r>
      <w:r>
        <w:rPr>
          <w:i/>
          <w:spacing w:val="-29"/>
          <w:sz w:val="24"/>
        </w:rPr>
        <w:t> </w:t>
      </w:r>
      <w:r>
        <w:rPr>
          <w:i/>
          <w:sz w:val="24"/>
        </w:rPr>
        <w:t>urbanización”</w:t>
      </w:r>
      <w:r>
        <w:rPr>
          <w:sz w:val="24"/>
        </w:rPr>
        <w:t>.</w:t>
      </w:r>
    </w:p>
    <w:p>
      <w:pPr>
        <w:spacing w:line="360" w:lineRule="auto" w:before="206"/>
        <w:ind w:left="102" w:right="116" w:firstLine="0"/>
        <w:jc w:val="both"/>
        <w:rPr>
          <w:i/>
          <w:sz w:val="24"/>
        </w:rPr>
      </w:pPr>
      <w:r>
        <w:rPr>
          <w:sz w:val="24"/>
        </w:rPr>
        <w:t>El enfoque normativo reconoce principalmente la vivienda (Casals et al, 2013: 198), “</w:t>
      </w:r>
      <w:r>
        <w:rPr>
          <w:i/>
          <w:sz w:val="24"/>
        </w:rPr>
        <w:t>mientras que el enfoque operativo tiene influencia sobre la realidad, donde </w:t>
      </w:r>
      <w:r>
        <w:rPr>
          <w:i/>
          <w:sz w:val="24"/>
        </w:rPr>
        <w:t>se encuentra definido actualmente desde el ámbito</w:t>
      </w:r>
      <w:r>
        <w:rPr>
          <w:i/>
          <w:spacing w:val="-30"/>
          <w:sz w:val="24"/>
        </w:rPr>
        <w:t> </w:t>
      </w:r>
      <w:r>
        <w:rPr>
          <w:i/>
          <w:sz w:val="24"/>
        </w:rPr>
        <w:t>gubernamental”.</w:t>
      </w:r>
    </w:p>
    <w:p>
      <w:pPr>
        <w:pStyle w:val="BodyText"/>
        <w:spacing w:line="360" w:lineRule="auto" w:before="204"/>
        <w:ind w:left="102" w:right="120"/>
        <w:jc w:val="both"/>
      </w:pPr>
      <w:r>
        <w:rPr/>
        <w:t>La Constitución Política de los Estados Unidos Mexicanos introduce el concepto  de vivienda digna y decorosa en su artículo 4°, no define su significado y alcance. Sin embargo en este trabajo se analiza la habitabilidad de las viviendas en la zona metropolitana de</w:t>
      </w:r>
      <w:r>
        <w:rPr>
          <w:spacing w:val="-10"/>
        </w:rPr>
        <w:t> </w:t>
      </w:r>
      <w:r>
        <w:rPr/>
        <w:t>Toluca.</w:t>
      </w:r>
    </w:p>
    <w:p>
      <w:pPr>
        <w:spacing w:after="0" w:line="360" w:lineRule="auto"/>
        <w:jc w:val="both"/>
        <w:sectPr>
          <w:pgSz w:w="12240" w:h="15840"/>
          <w:pgMar w:header="0" w:footer="1003" w:top="1360" w:bottom="1200" w:left="1600" w:right="1580"/>
        </w:sectPr>
      </w:pPr>
    </w:p>
    <w:p>
      <w:pPr>
        <w:spacing w:line="360" w:lineRule="auto" w:before="52"/>
        <w:ind w:left="102" w:right="126" w:firstLine="0"/>
        <w:jc w:val="both"/>
        <w:rPr>
          <w:sz w:val="24"/>
        </w:rPr>
      </w:pPr>
      <w:r>
        <w:rPr>
          <w:i/>
          <w:sz w:val="24"/>
        </w:rPr>
        <w:t>“El derecho a la vivienda digna no se refiere solo a la casa, sino al conjunto </w:t>
      </w:r>
      <w:r>
        <w:rPr>
          <w:i/>
          <w:sz w:val="24"/>
        </w:rPr>
        <w:t>habitacional que se relaciona con el entorno y con las condiciones de habitabilidad digna y decorosa” </w:t>
      </w:r>
      <w:r>
        <w:rPr>
          <w:sz w:val="24"/>
        </w:rPr>
        <w:t>(Puebla, 2006: 47).</w:t>
      </w:r>
    </w:p>
    <w:p>
      <w:pPr>
        <w:pStyle w:val="BodyText"/>
        <w:spacing w:line="360" w:lineRule="auto" w:before="206"/>
        <w:ind w:left="102" w:right="127"/>
        <w:jc w:val="both"/>
      </w:pPr>
      <w:r>
        <w:rPr/>
        <w:t>La extensión del concepto de vivienda hacia la noción de vivienda digna puede asociarse al</w:t>
      </w:r>
    </w:p>
    <w:p>
      <w:pPr>
        <w:spacing w:line="240" w:lineRule="auto" w:before="199"/>
        <w:ind w:left="385" w:right="450" w:firstLine="0"/>
        <w:jc w:val="both"/>
        <w:rPr>
          <w:sz w:val="24"/>
        </w:rPr>
      </w:pPr>
      <w:r>
        <w:rPr>
          <w:sz w:val="24"/>
        </w:rPr>
        <w:t>“</w:t>
      </w:r>
      <w:r>
        <w:rPr>
          <w:i/>
          <w:sz w:val="24"/>
        </w:rPr>
        <w:t>derecho de acceso a un hábitat adecuado para el desarrollo de la vida, el </w:t>
      </w:r>
      <w:r>
        <w:rPr>
          <w:i/>
          <w:sz w:val="24"/>
        </w:rPr>
        <w:t>cual se materializa como el espacio y el tiempo donde se satisfacen una serie de necesidades humanas tales como habitación, seguridad, reproducción, descanso e integración y donde se generan las condiciones de crear, mantener y desarrollar los lazos del grupo social más próximo que es la familia” </w:t>
      </w:r>
      <w:r>
        <w:rPr>
          <w:sz w:val="24"/>
        </w:rPr>
        <w:t>(Torres,</w:t>
      </w:r>
      <w:r>
        <w:rPr>
          <w:spacing w:val="-9"/>
          <w:sz w:val="24"/>
        </w:rPr>
        <w:t> </w:t>
      </w:r>
      <w:r>
        <w:rPr>
          <w:sz w:val="24"/>
        </w:rPr>
        <w:t>2012).</w:t>
      </w:r>
    </w:p>
    <w:p>
      <w:pPr>
        <w:pStyle w:val="BodyText"/>
      </w:pPr>
    </w:p>
    <w:p>
      <w:pPr>
        <w:pStyle w:val="BodyText"/>
        <w:spacing w:before="9"/>
        <w:rPr>
          <w:sz w:val="34"/>
        </w:rPr>
      </w:pPr>
    </w:p>
    <w:p>
      <w:pPr>
        <w:spacing w:line="360" w:lineRule="auto" w:before="1"/>
        <w:ind w:left="102" w:right="119" w:firstLine="0"/>
        <w:jc w:val="both"/>
        <w:rPr>
          <w:sz w:val="24"/>
        </w:rPr>
      </w:pPr>
      <w:r>
        <w:rPr>
          <w:sz w:val="24"/>
        </w:rPr>
        <w:t>Podemos situar a “</w:t>
      </w:r>
      <w:r>
        <w:rPr>
          <w:i/>
          <w:sz w:val="24"/>
        </w:rPr>
        <w:t>la vivienda como un bien material que la persona o la familia </w:t>
      </w:r>
      <w:r>
        <w:rPr>
          <w:i/>
          <w:sz w:val="24"/>
        </w:rPr>
        <w:t>adquiere por medio de sus recursos económicos, sé entiende que la vivienda representa un patrimonio de una familia que satisface la necesidad de estabilidad  y del grupo social” </w:t>
      </w:r>
      <w:r>
        <w:rPr>
          <w:sz w:val="24"/>
        </w:rPr>
        <w:t>(Torres, 2007:</w:t>
      </w:r>
      <w:r>
        <w:rPr>
          <w:spacing w:val="-11"/>
          <w:sz w:val="24"/>
        </w:rPr>
        <w:t> </w:t>
      </w:r>
      <w:r>
        <w:rPr>
          <w:sz w:val="24"/>
        </w:rPr>
        <w:t>14).</w:t>
      </w:r>
    </w:p>
    <w:p>
      <w:pPr>
        <w:spacing w:line="360" w:lineRule="auto" w:before="202"/>
        <w:ind w:left="102" w:right="116" w:firstLine="0"/>
        <w:jc w:val="both"/>
        <w:rPr>
          <w:sz w:val="24"/>
        </w:rPr>
      </w:pPr>
      <w:r>
        <w:rPr>
          <w:i/>
          <w:sz w:val="24"/>
        </w:rPr>
        <w:t>“Este derecho a la vivienda no es más que un derecho humano” </w:t>
      </w:r>
      <w:r>
        <w:rPr>
          <w:sz w:val="24"/>
        </w:rPr>
        <w:t>(Meave, 2006: 264). Debemos reconocer los derechos como el suelo, el agua, la vivienda y el </w:t>
      </w:r>
      <w:r>
        <w:rPr>
          <w:i/>
          <w:sz w:val="24"/>
        </w:rPr>
        <w:t>hábitat </w:t>
      </w:r>
      <w:r>
        <w:rPr>
          <w:sz w:val="24"/>
        </w:rPr>
        <w:t>que es tema de la investigación, la ciudad, como derechos humanos.</w:t>
      </w:r>
    </w:p>
    <w:p>
      <w:pPr>
        <w:spacing w:line="360" w:lineRule="auto" w:before="206"/>
        <w:ind w:left="102" w:right="116" w:firstLine="0"/>
        <w:jc w:val="both"/>
        <w:rPr>
          <w:sz w:val="24"/>
        </w:rPr>
      </w:pPr>
      <w:r>
        <w:rPr>
          <w:sz w:val="24"/>
        </w:rPr>
        <w:t>Es importante mencionar que la vivienda es un derecho humano, este derecho debe ser representado por el Estado, en la realización de la persona o familia como está establecido en la Constitución Política de los Estados Unidos Mexicanos, “</w:t>
      </w:r>
      <w:r>
        <w:rPr>
          <w:i/>
          <w:sz w:val="24"/>
        </w:rPr>
        <w:t>el Estado debe proveer de un lugar donde vivir a la sociedad, además </w:t>
      </w:r>
      <w:r>
        <w:rPr>
          <w:i/>
          <w:sz w:val="24"/>
        </w:rPr>
        <w:t>de garantizar un derecho a un hábitat adecuado y el cumplimiento  de determinadas condiciones de vida, además de ejercer otros derechos como los económicos, sociales y culturales” </w:t>
      </w:r>
      <w:r>
        <w:rPr>
          <w:sz w:val="24"/>
        </w:rPr>
        <w:t>(Cervantes, 2006:</w:t>
      </w:r>
      <w:r>
        <w:rPr>
          <w:spacing w:val="-17"/>
          <w:sz w:val="24"/>
        </w:rPr>
        <w:t> </w:t>
      </w:r>
      <w:r>
        <w:rPr>
          <w:sz w:val="24"/>
        </w:rPr>
        <w:t>51).</w:t>
      </w:r>
    </w:p>
    <w:p>
      <w:pPr>
        <w:pStyle w:val="BodyText"/>
        <w:spacing w:line="360" w:lineRule="auto" w:before="206"/>
        <w:ind w:left="102" w:right="117"/>
        <w:jc w:val="both"/>
      </w:pPr>
      <w:r>
        <w:rPr/>
        <w:t>El derecho establecido como “vivienda digna y decorosa” está ligado a la necesidad de garantizar a toda la población un nivel adecuado de vida. El derecho consiste en la posibilidad de disponer de un lugar que le permita al individuo y a  su familia usarla como habitación, con espacio suficiente para vivir, dotándola  </w:t>
      </w:r>
      <w:r>
        <w:rPr>
          <w:spacing w:val="62"/>
        </w:rPr>
        <w:t> </w:t>
      </w:r>
      <w:r>
        <w:rPr/>
        <w:t>de</w:t>
      </w:r>
    </w:p>
    <w:p>
      <w:pPr>
        <w:spacing w:after="0" w:line="360" w:lineRule="auto"/>
        <w:jc w:val="both"/>
        <w:sectPr>
          <w:pgSz w:w="12240" w:h="15840"/>
          <w:pgMar w:header="0" w:footer="1003" w:top="1360" w:bottom="1200" w:left="1600" w:right="1580"/>
        </w:sectPr>
      </w:pPr>
    </w:p>
    <w:p>
      <w:pPr>
        <w:pStyle w:val="BodyText"/>
        <w:spacing w:line="360" w:lineRule="auto" w:before="54"/>
        <w:ind w:left="102" w:right="120"/>
        <w:jc w:val="both"/>
      </w:pPr>
      <w:r>
        <w:rPr/>
        <w:t>infraestructura y servicios públicos adecuados, y situada convenientemente respecto al lugar del trabajo y otros satisfactores fundamentales (educación, abasto, entre otros), todo esto a un precio razonable.</w:t>
      </w:r>
    </w:p>
    <w:p>
      <w:pPr>
        <w:pStyle w:val="BodyText"/>
        <w:spacing w:line="360" w:lineRule="auto" w:before="204"/>
        <w:ind w:left="102" w:right="116"/>
        <w:jc w:val="both"/>
      </w:pPr>
      <w:r>
        <w:rPr/>
        <w:t>Este derecho no se cumple por el crecimiento desordenado, el incremento de la población, la falta de espacio urbano. Entonces las condiciones habitacionales se consideran inadecuadas, ya sea por su tamaño, calidad de construcción, instalaciones, conexiones a redes, diseño ambiental o ubicación o incluso, por todos estos aspectos.</w:t>
      </w:r>
    </w:p>
    <w:p>
      <w:pPr>
        <w:pStyle w:val="BodyText"/>
        <w:spacing w:before="205"/>
        <w:ind w:left="102"/>
        <w:jc w:val="both"/>
      </w:pPr>
      <w:r>
        <w:rPr/>
        <w:t>Para que una vivienda sea digna debe cumplir con los siguientes cuatro criterios:</w:t>
      </w:r>
    </w:p>
    <w:p>
      <w:pPr>
        <w:pStyle w:val="BodyText"/>
        <w:rPr>
          <w:sz w:val="29"/>
        </w:rPr>
      </w:pPr>
    </w:p>
    <w:p>
      <w:pPr>
        <w:spacing w:line="240" w:lineRule="auto" w:before="0"/>
        <w:ind w:left="385" w:right="454" w:firstLine="0"/>
        <w:jc w:val="both"/>
        <w:rPr>
          <w:sz w:val="24"/>
        </w:rPr>
      </w:pPr>
      <w:r>
        <w:rPr>
          <w:sz w:val="24"/>
        </w:rPr>
        <w:t>“</w:t>
      </w:r>
      <w:r>
        <w:rPr>
          <w:i/>
          <w:sz w:val="24"/>
        </w:rPr>
        <w:t>que cumpla con el estándar mínimo legal vigente para la vivienda, pero que </w:t>
      </w:r>
      <w:r>
        <w:rPr>
          <w:i/>
          <w:sz w:val="24"/>
        </w:rPr>
        <w:t>en está no haya hacinamiento, ni espacios ineficaces, que este en un estado razonable de reparación y mantenimiento, que cuente con instalaciones y servicios modernos acertados y que proporcione un grado de confort  térmico” </w:t>
      </w:r>
      <w:r>
        <w:rPr>
          <w:sz w:val="24"/>
        </w:rPr>
        <w:t>(Housing,</w:t>
      </w:r>
      <w:r>
        <w:rPr>
          <w:spacing w:val="-5"/>
          <w:sz w:val="24"/>
        </w:rPr>
        <w:t> </w:t>
      </w:r>
      <w:r>
        <w:rPr>
          <w:sz w:val="24"/>
        </w:rPr>
        <w:t>2006).</w:t>
      </w:r>
    </w:p>
    <w:p>
      <w:pPr>
        <w:pStyle w:val="BodyText"/>
      </w:pPr>
    </w:p>
    <w:p>
      <w:pPr>
        <w:pStyle w:val="BodyText"/>
        <w:spacing w:before="9"/>
        <w:rPr>
          <w:sz w:val="34"/>
        </w:rPr>
      </w:pPr>
    </w:p>
    <w:p>
      <w:pPr>
        <w:pStyle w:val="BodyText"/>
        <w:spacing w:line="360" w:lineRule="auto" w:before="1"/>
        <w:ind w:left="102" w:right="116"/>
        <w:jc w:val="both"/>
      </w:pPr>
      <w:r>
        <w:rPr/>
        <w:t>En resumen, se debe entender a la vivienda con ciertas características; contar por ejemplo legalmente con los metros cuadrados, así como el mayor número de cuartos para que no exista hacinamiento, que los espacios sean eficaces para sus habitantes, contar con conexión y acceso a los servicios públicos, que los materiales de construcción sean durables, acordes con el lugar geográfico y que con el paso del tiempo se pueda dar mantenimiento o reparación, además debe existir un confort con los bienes con los que cuenten las personas, por último que la localización de las viviendas cuenten con el mejor entorno posible, para aprovechar los servicios de empleo, educación, salud, abasto de alimentos, áreas verdes y recreación, todo lo anterior para que exista la mejor habitabilidad posible de las viviendas.</w:t>
      </w:r>
    </w:p>
    <w:p>
      <w:pPr>
        <w:pStyle w:val="BodyText"/>
        <w:spacing w:line="360" w:lineRule="auto" w:before="204"/>
        <w:ind w:left="102" w:right="117"/>
        <w:jc w:val="both"/>
      </w:pPr>
      <w:r>
        <w:rPr/>
        <w:t>En la siguiente sección se analiza el concepto de la habitabilidad, y como se  define por las características con las que cuentan las viviendas en la</w:t>
      </w:r>
      <w:r>
        <w:rPr>
          <w:spacing w:val="-21"/>
        </w:rPr>
        <w:t> </w:t>
      </w:r>
      <w:r>
        <w:rPr>
          <w:sz w:val="19"/>
        </w:rPr>
        <w:t>ZMT</w:t>
      </w:r>
      <w:r>
        <w:rPr/>
        <w:t>.</w:t>
      </w:r>
    </w:p>
    <w:p>
      <w:pPr>
        <w:spacing w:after="0" w:line="360" w:lineRule="auto"/>
        <w:jc w:val="both"/>
        <w:sectPr>
          <w:pgSz w:w="12240" w:h="15840"/>
          <w:pgMar w:header="0" w:footer="1003" w:top="1360" w:bottom="1200" w:left="1600" w:right="1580"/>
        </w:sectPr>
      </w:pPr>
    </w:p>
    <w:p>
      <w:pPr>
        <w:pStyle w:val="Heading3"/>
        <w:ind w:left="102" w:firstLine="0"/>
      </w:pPr>
      <w:bookmarkStart w:name="_TOC_250022" w:id="12"/>
      <w:bookmarkEnd w:id="12"/>
      <w:r>
        <w:rPr>
          <w:color w:val="4F81BC"/>
        </w:rPr>
        <w:t>1.4 Habitabilidad</w:t>
      </w:r>
    </w:p>
    <w:p>
      <w:pPr>
        <w:pStyle w:val="BodyText"/>
        <w:rPr>
          <w:rFonts w:ascii="Cambria"/>
          <w:b/>
          <w:sz w:val="26"/>
        </w:rPr>
      </w:pPr>
    </w:p>
    <w:p>
      <w:pPr>
        <w:pStyle w:val="BodyText"/>
        <w:spacing w:before="10"/>
        <w:rPr>
          <w:rFonts w:ascii="Cambria"/>
          <w:b/>
          <w:sz w:val="29"/>
        </w:rPr>
      </w:pPr>
    </w:p>
    <w:p>
      <w:pPr>
        <w:spacing w:line="360" w:lineRule="auto" w:before="0"/>
        <w:ind w:left="102" w:right="118" w:firstLine="0"/>
        <w:jc w:val="both"/>
        <w:rPr>
          <w:sz w:val="24"/>
        </w:rPr>
      </w:pPr>
      <w:r>
        <w:rPr>
          <w:sz w:val="24"/>
        </w:rPr>
        <w:t>La </w:t>
      </w:r>
      <w:r>
        <w:rPr>
          <w:i/>
          <w:sz w:val="24"/>
        </w:rPr>
        <w:t>habitabilidad </w:t>
      </w:r>
      <w:r>
        <w:rPr>
          <w:sz w:val="24"/>
        </w:rPr>
        <w:t>es entendida como las características con las que cuentan las viviendas para ser habitadas por el ser humano, es decir, las viviendas deben contar con servicios públicos, materiales de construcción durables y acordes con  el espacio geográfico, los bienes con lo que cuentan las viviendas y el entorno donde están ubicadas o localizadas para poder acceder a servicios complementarios de la población. “</w:t>
      </w:r>
      <w:r>
        <w:rPr>
          <w:i/>
          <w:sz w:val="24"/>
        </w:rPr>
        <w:t>Las condiciones de habitabilidad, son los </w:t>
      </w:r>
      <w:r>
        <w:rPr>
          <w:i/>
          <w:sz w:val="24"/>
        </w:rPr>
        <w:t>materiales de construcción, servicios públicos, dimensiones, localización, hacinamiento,  seguridad jurídica y el entorno” </w:t>
      </w:r>
      <w:r>
        <w:rPr>
          <w:sz w:val="24"/>
        </w:rPr>
        <w:t>(Casals, Arcas, Cuchí,</w:t>
      </w:r>
      <w:r>
        <w:rPr>
          <w:spacing w:val="-23"/>
          <w:sz w:val="24"/>
        </w:rPr>
        <w:t> </w:t>
      </w:r>
      <w:r>
        <w:rPr>
          <w:sz w:val="24"/>
        </w:rPr>
        <w:t>2013).</w:t>
      </w:r>
    </w:p>
    <w:p>
      <w:pPr>
        <w:pStyle w:val="BodyText"/>
        <w:spacing w:line="360" w:lineRule="auto" w:before="206"/>
        <w:ind w:left="102" w:right="121"/>
        <w:jc w:val="both"/>
      </w:pPr>
      <w:r>
        <w:rPr/>
        <w:t>El objetivo de esta sección es establecer el significado de la habitabilidad a partir de los referentes teóricos y conceptuales además de investigaciones realizadas a nivel internacional.</w:t>
      </w:r>
    </w:p>
    <w:p>
      <w:pPr>
        <w:pStyle w:val="BodyText"/>
        <w:spacing w:line="360" w:lineRule="auto" w:before="202"/>
        <w:ind w:left="102" w:right="115"/>
        <w:jc w:val="both"/>
      </w:pPr>
      <w:r>
        <w:rPr/>
        <w:t>La estructura de esta sección está conformada por la definición de la </w:t>
      </w:r>
      <w:r>
        <w:rPr>
          <w:i/>
        </w:rPr>
        <w:t>habitabilidad</w:t>
      </w:r>
      <w:r>
        <w:rPr/>
        <w:t>, así como las características de la </w:t>
      </w:r>
      <w:r>
        <w:rPr>
          <w:i/>
        </w:rPr>
        <w:t>habitabilidad</w:t>
      </w:r>
      <w:r>
        <w:rPr/>
        <w:t>, en su tercera parte encontramos la </w:t>
      </w:r>
      <w:r>
        <w:rPr>
          <w:i/>
        </w:rPr>
        <w:t>habitabilidad </w:t>
      </w:r>
      <w:r>
        <w:rPr/>
        <w:t>de las viviendas, para llegar al cuarto apartado que hace referencia a la evaluación de la </w:t>
      </w:r>
      <w:r>
        <w:rPr>
          <w:i/>
        </w:rPr>
        <w:t>habitabilidad</w:t>
      </w:r>
      <w:r>
        <w:rPr/>
        <w:t>.</w:t>
      </w:r>
    </w:p>
    <w:p>
      <w:pPr>
        <w:spacing w:before="206"/>
        <w:ind w:left="102" w:right="0" w:firstLine="0"/>
        <w:jc w:val="both"/>
        <w:rPr>
          <w:b/>
          <w:i/>
          <w:sz w:val="24"/>
        </w:rPr>
      </w:pPr>
      <w:r>
        <w:rPr>
          <w:b/>
          <w:i/>
          <w:sz w:val="24"/>
        </w:rPr>
        <w:t>Acuerdos Internacionales</w:t>
      </w:r>
    </w:p>
    <w:p>
      <w:pPr>
        <w:pStyle w:val="BodyText"/>
        <w:rPr>
          <w:b/>
          <w:i/>
          <w:sz w:val="29"/>
        </w:rPr>
      </w:pPr>
    </w:p>
    <w:p>
      <w:pPr>
        <w:spacing w:line="360" w:lineRule="auto" w:before="0"/>
        <w:ind w:left="102" w:right="112" w:firstLine="0"/>
        <w:jc w:val="both"/>
        <w:rPr>
          <w:sz w:val="24"/>
        </w:rPr>
      </w:pPr>
      <w:r>
        <w:rPr>
          <w:sz w:val="24"/>
        </w:rPr>
        <w:t>A nivel internacional, “</w:t>
      </w:r>
      <w:r>
        <w:rPr>
          <w:i/>
          <w:sz w:val="24"/>
        </w:rPr>
        <w:t>múltiples tratados establecen el derecho a una vivienda </w:t>
      </w:r>
      <w:r>
        <w:rPr>
          <w:i/>
          <w:sz w:val="24"/>
        </w:rPr>
        <w:t>digna y adecuada. Incluso se le trata como un derecho fundamental que debe ser alcanzado para permitir el cumplimiento del resto de derechos humanos”  </w:t>
      </w:r>
      <w:r>
        <w:rPr>
          <w:sz w:val="24"/>
        </w:rPr>
        <w:t>(Naciones Unidas, 2010:</w:t>
      </w:r>
      <w:r>
        <w:rPr>
          <w:spacing w:val="-10"/>
          <w:sz w:val="24"/>
        </w:rPr>
        <w:t> </w:t>
      </w:r>
      <w:r>
        <w:rPr>
          <w:sz w:val="24"/>
        </w:rPr>
        <w:t>10).</w:t>
      </w:r>
    </w:p>
    <w:p>
      <w:pPr>
        <w:pStyle w:val="BodyText"/>
        <w:spacing w:line="360" w:lineRule="auto" w:before="202"/>
        <w:ind w:left="102" w:right="117"/>
        <w:jc w:val="both"/>
        <w:rPr>
          <w:i/>
        </w:rPr>
      </w:pPr>
      <w:r>
        <w:rPr/>
        <w:t>En el informe Nuestro Futuro Común, menciona que sin </w:t>
      </w:r>
      <w:r>
        <w:rPr>
          <w:i/>
        </w:rPr>
        <w:t>habitabilidad </w:t>
      </w:r>
      <w:r>
        <w:rPr/>
        <w:t>no tiene sentido la edificación de las viviendas, ya que la </w:t>
      </w:r>
      <w:r>
        <w:rPr>
          <w:i/>
        </w:rPr>
        <w:t>habitabilidad </w:t>
      </w:r>
      <w:r>
        <w:rPr/>
        <w:t>representa y ha representado siempre su función social básica. Desde el enfoque arquitectónico lo habitable implica, la relación entre los espacios y el hombre habitador. Los primeros se entienden como medios necesarios y el segundo como la satisfacción de esta necesidad humana (Villagrán, 2001). “</w:t>
      </w:r>
      <w:r>
        <w:rPr>
          <w:i/>
        </w:rPr>
        <w:t>El fin de las viviendas es contar  con</w:t>
      </w:r>
    </w:p>
    <w:p>
      <w:pPr>
        <w:spacing w:after="0" w:line="360" w:lineRule="auto"/>
        <w:jc w:val="both"/>
        <w:sectPr>
          <w:footerReference w:type="default" r:id="rId35"/>
          <w:pgSz w:w="12240" w:h="15840"/>
          <w:pgMar w:footer="1003" w:header="0" w:top="1380" w:bottom="1200" w:left="1600" w:right="1580"/>
        </w:sectPr>
      </w:pPr>
    </w:p>
    <w:p>
      <w:pPr>
        <w:spacing w:before="52"/>
        <w:ind w:left="102" w:right="0" w:firstLine="0"/>
        <w:jc w:val="both"/>
        <w:rPr>
          <w:i/>
          <w:sz w:val="24"/>
        </w:rPr>
      </w:pPr>
      <w:r>
        <w:rPr>
          <w:i/>
          <w:sz w:val="24"/>
        </w:rPr>
        <w:t>condiciones que permitan cumplir con las necesidades del hombre que las  habita”</w:t>
      </w:r>
    </w:p>
    <w:p>
      <w:pPr>
        <w:pStyle w:val="BodyText"/>
        <w:spacing w:before="141"/>
        <w:ind w:left="102"/>
        <w:jc w:val="both"/>
      </w:pPr>
      <w:r>
        <w:rPr/>
        <w:t>(Casals, Arcas, Cuchí, 2013).</w:t>
      </w:r>
    </w:p>
    <w:p>
      <w:pPr>
        <w:pStyle w:val="BodyText"/>
        <w:spacing w:before="4"/>
        <w:rPr>
          <w:sz w:val="29"/>
        </w:rPr>
      </w:pPr>
    </w:p>
    <w:p>
      <w:pPr>
        <w:spacing w:line="360" w:lineRule="auto" w:before="1"/>
        <w:ind w:left="102" w:right="114" w:firstLine="0"/>
        <w:jc w:val="both"/>
        <w:rPr>
          <w:sz w:val="24"/>
        </w:rPr>
      </w:pPr>
      <w:r>
        <w:rPr>
          <w:sz w:val="24"/>
        </w:rPr>
        <w:t>Por su parte el informe del Banco Interamericano de Desarrollo (</w:t>
      </w:r>
      <w:r>
        <w:rPr>
          <w:sz w:val="19"/>
        </w:rPr>
        <w:t>BID</w:t>
      </w:r>
      <w:r>
        <w:rPr>
          <w:sz w:val="24"/>
        </w:rPr>
        <w:t>, 2013) “</w:t>
      </w:r>
      <w:r>
        <w:rPr>
          <w:i/>
          <w:sz w:val="24"/>
        </w:rPr>
        <w:t>menciona que una de cada tres familias en América Latina y el Caribe, (en total  </w:t>
      </w:r>
      <w:r>
        <w:rPr>
          <w:i/>
          <w:sz w:val="24"/>
        </w:rPr>
        <w:t>59 millones de personas), habitan en viviendas inadecuadas o mal construidas. En México encontramos que el 34 por ciento de las familias habitan en viviendas con esas</w:t>
      </w:r>
      <w:r>
        <w:rPr>
          <w:i/>
          <w:spacing w:val="-5"/>
          <w:sz w:val="24"/>
        </w:rPr>
        <w:t> </w:t>
      </w:r>
      <w:r>
        <w:rPr>
          <w:i/>
          <w:sz w:val="24"/>
        </w:rPr>
        <w:t>características”</w:t>
      </w:r>
      <w:r>
        <w:rPr>
          <w:sz w:val="24"/>
        </w:rPr>
        <w:t>.</w:t>
      </w:r>
    </w:p>
    <w:p>
      <w:pPr>
        <w:spacing w:line="360" w:lineRule="auto" w:before="205"/>
        <w:ind w:left="102" w:right="116" w:firstLine="0"/>
        <w:jc w:val="both"/>
        <w:rPr>
          <w:sz w:val="24"/>
        </w:rPr>
      </w:pPr>
      <w:r>
        <w:rPr>
          <w:sz w:val="24"/>
        </w:rPr>
        <w:t>La propuesta del gobierno federal de 2013, con el Programa Nacional de Vivienda donde, según parece, “</w:t>
      </w:r>
      <w:r>
        <w:rPr>
          <w:i/>
          <w:sz w:val="24"/>
        </w:rPr>
        <w:t>se tomarán en cuenta más aspectos relacionados con la </w:t>
      </w:r>
      <w:r>
        <w:rPr>
          <w:i/>
          <w:sz w:val="24"/>
        </w:rPr>
        <w:t>habitabilidad y que mejoran la calidad de vida de los futuros usuarios” </w:t>
      </w:r>
      <w:r>
        <w:rPr>
          <w:sz w:val="24"/>
        </w:rPr>
        <w:t>(</w:t>
      </w:r>
      <w:r>
        <w:rPr>
          <w:sz w:val="19"/>
        </w:rPr>
        <w:t>SEDATU</w:t>
      </w:r>
      <w:r>
        <w:rPr>
          <w:sz w:val="24"/>
        </w:rPr>
        <w:t>, 2013).</w:t>
      </w:r>
    </w:p>
    <w:p>
      <w:pPr>
        <w:pStyle w:val="BodyText"/>
        <w:spacing w:line="360" w:lineRule="auto" w:before="204"/>
        <w:ind w:left="102" w:right="116"/>
        <w:jc w:val="both"/>
      </w:pPr>
      <w:r>
        <w:rPr/>
        <w:t>En México, puede observarse que el problema se agrava debido a la falta permanente por muchas décadas de una buena planeación en todas las áreas del país. Los espacios construidos deberán cumplir satisfactoriamente con los requerimientos de los habitantes y por lo tanto, eviten ser la causa de deterioro en el individuo.</w:t>
      </w:r>
    </w:p>
    <w:p>
      <w:pPr>
        <w:spacing w:line="360" w:lineRule="auto" w:before="202"/>
        <w:ind w:left="102" w:right="116" w:firstLine="0"/>
        <w:jc w:val="both"/>
        <w:rPr>
          <w:sz w:val="24"/>
        </w:rPr>
      </w:pPr>
      <w:r>
        <w:rPr>
          <w:sz w:val="24"/>
        </w:rPr>
        <w:t>Se sabe que todos “</w:t>
      </w:r>
      <w:r>
        <w:rPr>
          <w:i/>
          <w:sz w:val="24"/>
        </w:rPr>
        <w:t>los espacios naturales o artificiales son potencialmente </w:t>
      </w:r>
      <w:r>
        <w:rPr>
          <w:i/>
          <w:sz w:val="24"/>
        </w:rPr>
        <w:t>habitables, con distintos matices, aunque con una importante diferencia, los naturales pueden ser o no habitados, pero los arquitectónicos sin excepciones necesitan ser habitados” </w:t>
      </w:r>
      <w:r>
        <w:rPr>
          <w:sz w:val="24"/>
        </w:rPr>
        <w:t>(Villagrán, 2001:5). La finalidad consiste en satisfacer necesidades humanas en el espacio, esta satisfacción se basa en la producción donde el hombre pueda habitar y producir su vida.</w:t>
      </w:r>
    </w:p>
    <w:p>
      <w:pPr>
        <w:pStyle w:val="BodyText"/>
        <w:spacing w:line="360" w:lineRule="auto" w:before="205"/>
        <w:ind w:left="102" w:right="120"/>
        <w:jc w:val="both"/>
      </w:pPr>
      <w:r>
        <w:rPr/>
        <w:t>Los principios de higiene de la vivienda considera que un entorno habitacional adecuado da acceso a los lugares de trabajo, a los servicios esenciales y de otro género que promueven la salud y por tanto, de la mejora de dicho entorno deviene un principio relativo a las necesidades sanitarias de la vivienda.</w:t>
      </w:r>
    </w:p>
    <w:p>
      <w:pPr>
        <w:spacing w:after="0" w:line="360" w:lineRule="auto"/>
        <w:jc w:val="both"/>
        <w:sectPr>
          <w:footerReference w:type="default" r:id="rId36"/>
          <w:pgSz w:w="12240" w:h="15840"/>
          <w:pgMar w:footer="1003" w:header="0" w:top="1360" w:bottom="1200" w:left="1600" w:right="1580"/>
          <w:pgNumType w:start="61"/>
        </w:sectPr>
      </w:pPr>
    </w:p>
    <w:p>
      <w:pPr>
        <w:spacing w:line="360" w:lineRule="auto" w:before="52"/>
        <w:ind w:left="102" w:right="116" w:firstLine="0"/>
        <w:jc w:val="both"/>
        <w:rPr>
          <w:sz w:val="24"/>
        </w:rPr>
      </w:pPr>
      <w:r>
        <w:rPr>
          <w:sz w:val="24"/>
        </w:rPr>
        <w:t>Ya que es necesario conocer “</w:t>
      </w:r>
      <w:r>
        <w:rPr>
          <w:i/>
          <w:sz w:val="24"/>
        </w:rPr>
        <w:t>las características de habitabilidad de las viviendas </w:t>
      </w:r>
      <w:r>
        <w:rPr>
          <w:i/>
          <w:sz w:val="24"/>
        </w:rPr>
        <w:t>que están localizadas en las ciudades, por los profundos y diversos procesos de renovación urbana que se están  acometiendo” </w:t>
      </w:r>
      <w:r>
        <w:rPr>
          <w:sz w:val="24"/>
        </w:rPr>
        <w:t>(Egea, 2009: 86).</w:t>
      </w:r>
    </w:p>
    <w:p>
      <w:pPr>
        <w:spacing w:line="360" w:lineRule="auto" w:before="204"/>
        <w:ind w:left="102" w:right="115" w:firstLine="0"/>
        <w:jc w:val="both"/>
        <w:rPr>
          <w:sz w:val="24"/>
        </w:rPr>
      </w:pPr>
      <w:r>
        <w:rPr>
          <w:sz w:val="24"/>
        </w:rPr>
        <w:t>En la </w:t>
      </w:r>
      <w:r>
        <w:rPr>
          <w:sz w:val="19"/>
        </w:rPr>
        <w:t>ZMT </w:t>
      </w:r>
      <w:r>
        <w:rPr>
          <w:sz w:val="24"/>
        </w:rPr>
        <w:t>ubicada en un país en vías de desarrollo, </w:t>
      </w:r>
      <w:r>
        <w:rPr>
          <w:i/>
          <w:sz w:val="24"/>
        </w:rPr>
        <w:t>la habitabilidad </w:t>
      </w:r>
      <w:r>
        <w:rPr>
          <w:sz w:val="24"/>
        </w:rPr>
        <w:t>de las viviendas es un tema social de gran importancia. México cuenta con </w:t>
      </w:r>
      <w:r>
        <w:rPr>
          <w:spacing w:val="3"/>
          <w:sz w:val="24"/>
        </w:rPr>
        <w:t>una </w:t>
      </w:r>
      <w:r>
        <w:rPr>
          <w:sz w:val="24"/>
        </w:rPr>
        <w:t>población creciente más de 119 millones de mexicanos en el año 2015 (</w:t>
      </w:r>
      <w:r>
        <w:rPr>
          <w:sz w:val="19"/>
        </w:rPr>
        <w:t>INEGI</w:t>
      </w:r>
      <w:r>
        <w:rPr>
          <w:sz w:val="24"/>
        </w:rPr>
        <w:t>, 2015),  además de grandes niveles de urbanización, como consecuencia “</w:t>
      </w:r>
      <w:r>
        <w:rPr>
          <w:i/>
          <w:sz w:val="24"/>
        </w:rPr>
        <w:t>déficit de </w:t>
      </w:r>
      <w:r>
        <w:rPr>
          <w:i/>
          <w:sz w:val="24"/>
        </w:rPr>
        <w:t>vivienda para la población, además de viviendas en condiciones de  inhabitabilidad” </w:t>
      </w:r>
      <w:r>
        <w:rPr>
          <w:sz w:val="24"/>
        </w:rPr>
        <w:t>(Mercado,</w:t>
      </w:r>
      <w:r>
        <w:rPr>
          <w:spacing w:val="-10"/>
          <w:sz w:val="24"/>
        </w:rPr>
        <w:t> </w:t>
      </w:r>
      <w:r>
        <w:rPr>
          <w:sz w:val="24"/>
        </w:rPr>
        <w:t>1995).</w:t>
      </w:r>
    </w:p>
    <w:p>
      <w:pPr>
        <w:pStyle w:val="BodyText"/>
        <w:spacing w:line="360" w:lineRule="auto" w:before="202"/>
        <w:ind w:left="102" w:right="120"/>
        <w:jc w:val="both"/>
      </w:pPr>
      <w:r>
        <w:rPr/>
        <w:t>La </w:t>
      </w:r>
      <w:r>
        <w:rPr>
          <w:i/>
        </w:rPr>
        <w:t>habitabilidad </w:t>
      </w:r>
      <w:r>
        <w:rPr/>
        <w:t>de las viviendas en las zonas metropolitanas del país se ven exigidas a cubrir pactos internacionales los cuales indican que una vivienda debe ser sostenible para las personas que la habitan. La definición de desarrollo sostenible que la Comisión Mundial sobre el Medio Ambiente y el Desarrollo (</w:t>
      </w:r>
      <w:r>
        <w:rPr>
          <w:sz w:val="19"/>
        </w:rPr>
        <w:t>CMMAD</w:t>
      </w:r>
      <w:r>
        <w:rPr/>
        <w:t>) formuló en el año 1987 en el informe Nuestro Futuro Común, conocido como informe Brundtland, el desarrollo sostenible de las viviendas, satisface las necesidades de la generación presente (padres) sin comprometer la capacidad de las generaciones futuras (hijos, nietos).</w:t>
      </w:r>
    </w:p>
    <w:p>
      <w:pPr>
        <w:spacing w:line="360" w:lineRule="auto" w:before="202"/>
        <w:ind w:left="102" w:right="118" w:firstLine="0"/>
        <w:jc w:val="both"/>
        <w:rPr>
          <w:sz w:val="24"/>
        </w:rPr>
      </w:pPr>
      <w:r>
        <w:rPr>
          <w:i/>
          <w:sz w:val="24"/>
        </w:rPr>
        <w:t>“Hoy en día más de la mitad de población habita en ciudades” </w:t>
      </w:r>
      <w:r>
        <w:rPr>
          <w:sz w:val="24"/>
        </w:rPr>
        <w:t>(</w:t>
      </w:r>
      <w:r>
        <w:rPr>
          <w:sz w:val="19"/>
        </w:rPr>
        <w:t>OMS</w:t>
      </w:r>
      <w:r>
        <w:rPr>
          <w:sz w:val="24"/>
        </w:rPr>
        <w:t>: 2007, 7), la problemática de la vivienda con el medio ambiente genera una de las grandes preocupaciones de mandatarios, científicos y población en general, ya que la calidad de vida, incluso la capacidad de supervivencia de la humanidad, está condicionada por la capacidad de conocer y controlar la relación de las ciudades con el medio ambiente. Por ello, “</w:t>
      </w:r>
      <w:r>
        <w:rPr>
          <w:i/>
          <w:sz w:val="24"/>
        </w:rPr>
        <w:t>el término sustentable hoy en día está presente </w:t>
      </w:r>
      <w:r>
        <w:rPr>
          <w:i/>
          <w:sz w:val="24"/>
        </w:rPr>
        <w:t>en todos los campos del desarrollo humano” </w:t>
      </w:r>
      <w:r>
        <w:rPr>
          <w:sz w:val="24"/>
        </w:rPr>
        <w:t>(Moreno, 2008: 48).</w:t>
      </w:r>
    </w:p>
    <w:p>
      <w:pPr>
        <w:pStyle w:val="BodyText"/>
        <w:spacing w:line="360" w:lineRule="auto" w:before="204"/>
        <w:ind w:left="102" w:right="118"/>
        <w:jc w:val="both"/>
      </w:pPr>
      <w:r>
        <w:rPr/>
        <w:t>Por lo cual resulta necesario analizar lo que sucede desde la situación muy particular la </w:t>
      </w:r>
      <w:r>
        <w:rPr>
          <w:i/>
        </w:rPr>
        <w:t>habitabilidad </w:t>
      </w:r>
      <w:r>
        <w:rPr/>
        <w:t>de las viviendas en la </w:t>
      </w:r>
      <w:r>
        <w:rPr>
          <w:sz w:val="19"/>
        </w:rPr>
        <w:t>ZMT</w:t>
      </w:r>
      <w:r>
        <w:rPr/>
        <w:t>. A todo esto se agrega que alrededor de la zona metropolitana de Toluca existen ciudades dormitorio y habitantes que pasan parte de su vida diaria en diferentes medios de transporte de muy deficiente calidad.</w:t>
      </w:r>
    </w:p>
    <w:p>
      <w:pPr>
        <w:spacing w:after="0" w:line="360" w:lineRule="auto"/>
        <w:jc w:val="both"/>
        <w:sectPr>
          <w:pgSz w:w="12240" w:h="15840"/>
          <w:pgMar w:header="0" w:footer="1003" w:top="1360" w:bottom="1200" w:left="1600" w:right="1580"/>
        </w:sectPr>
      </w:pPr>
    </w:p>
    <w:p>
      <w:pPr>
        <w:pStyle w:val="BodyText"/>
        <w:spacing w:line="360" w:lineRule="auto" w:before="54"/>
        <w:ind w:left="102" w:right="120"/>
        <w:jc w:val="both"/>
      </w:pPr>
      <w:r>
        <w:rPr/>
        <w:t>Es importante crear ambientes habitables considerando la dimensión fisiológica y psicológica. El confort, se deriva de aspectos físicos como la temperatura, humedad, ventilación e iluminación, así como los aspectos de la belleza o deleite como las proporciones, colores, texturas.</w:t>
      </w:r>
    </w:p>
    <w:p>
      <w:pPr>
        <w:pStyle w:val="BodyText"/>
        <w:spacing w:line="360" w:lineRule="auto" w:before="204"/>
        <w:ind w:left="102" w:right="115"/>
        <w:jc w:val="both"/>
      </w:pPr>
      <w:r>
        <w:rPr/>
        <w:t>Los materiales constructivos deben proporcionar seguridad estabilidad, firmeza y aislamiento necesarios para hacer habitables los espacios construidos</w:t>
      </w:r>
      <w:r>
        <w:rPr>
          <w:b/>
        </w:rPr>
        <w:t>. </w:t>
      </w:r>
      <w:r>
        <w:rPr/>
        <w:t>Además  de conocer las características del lugar con respecto a los fenómenos naturales, con el fin de no poner en riesgo la seguridad de sus</w:t>
      </w:r>
      <w:r>
        <w:rPr>
          <w:spacing w:val="-26"/>
        </w:rPr>
        <w:t> </w:t>
      </w:r>
      <w:r>
        <w:rPr/>
        <w:t>habitantes.</w:t>
      </w:r>
    </w:p>
    <w:p>
      <w:pPr>
        <w:spacing w:line="360" w:lineRule="auto" w:before="202"/>
        <w:ind w:left="102" w:right="117" w:firstLine="0"/>
        <w:jc w:val="both"/>
        <w:rPr>
          <w:sz w:val="24"/>
        </w:rPr>
      </w:pPr>
      <w:r>
        <w:rPr>
          <w:sz w:val="24"/>
        </w:rPr>
        <w:t>Se debe concebir socialmente la </w:t>
      </w:r>
      <w:r>
        <w:rPr>
          <w:i/>
          <w:sz w:val="24"/>
        </w:rPr>
        <w:t>habitabilidad </w:t>
      </w:r>
      <w:r>
        <w:rPr>
          <w:sz w:val="24"/>
        </w:rPr>
        <w:t>de las viviendas, como necesaria para proteger las actividades humanas. La </w:t>
      </w:r>
      <w:r>
        <w:rPr>
          <w:i/>
          <w:sz w:val="24"/>
        </w:rPr>
        <w:t>habitabilidad</w:t>
      </w:r>
      <w:r>
        <w:rPr>
          <w:sz w:val="24"/>
        </w:rPr>
        <w:t>, entendida para satisfacer las necesidades, aunque en algunos casos, por ejemplo, “</w:t>
      </w:r>
      <w:r>
        <w:rPr>
          <w:i/>
          <w:sz w:val="24"/>
        </w:rPr>
        <w:t>la producción de </w:t>
      </w:r>
      <w:r>
        <w:rPr>
          <w:i/>
          <w:sz w:val="24"/>
        </w:rPr>
        <w:t>vivienda en el caso español poco o nada tiene que ver con la demanda social de alojamiento y con las variables demográficas, actividad no ha cubierto la demanda de la habitabilidad necesaria socialmente” </w:t>
      </w:r>
      <w:r>
        <w:rPr>
          <w:sz w:val="24"/>
        </w:rPr>
        <w:t>(Arcas, 2011:</w:t>
      </w:r>
      <w:r>
        <w:rPr>
          <w:spacing w:val="-19"/>
          <w:sz w:val="24"/>
        </w:rPr>
        <w:t> </w:t>
      </w:r>
      <w:r>
        <w:rPr>
          <w:sz w:val="24"/>
        </w:rPr>
        <w:t>78).</w:t>
      </w:r>
    </w:p>
    <w:p>
      <w:pPr>
        <w:spacing w:line="360" w:lineRule="auto" w:before="206"/>
        <w:ind w:left="102" w:right="116" w:firstLine="0"/>
        <w:jc w:val="both"/>
        <w:rPr>
          <w:sz w:val="24"/>
        </w:rPr>
      </w:pPr>
      <w:r>
        <w:rPr>
          <w:sz w:val="24"/>
        </w:rPr>
        <w:t>Para el caso colombiano una vivienda es habitable, de acuerdo con el Pacto Internacional de Derechos Económicos, Sociales y Culturales (</w:t>
      </w:r>
      <w:r>
        <w:rPr>
          <w:sz w:val="19"/>
        </w:rPr>
        <w:t>PIDESC</w:t>
      </w:r>
      <w:r>
        <w:rPr>
          <w:sz w:val="24"/>
        </w:rPr>
        <w:t>), si ofrece a sus moradores seguridad física, si los protege de las inclemencias del tiempo y de vectores de enfermedades. Básicamente en base de tres variables; “</w:t>
      </w:r>
      <w:r>
        <w:rPr>
          <w:i/>
          <w:sz w:val="24"/>
        </w:rPr>
        <w:t>el acceso a </w:t>
      </w:r>
      <w:r>
        <w:rPr>
          <w:i/>
          <w:sz w:val="24"/>
        </w:rPr>
        <w:t>los servicios públicos, los materiales y el estado de la vivienda, finalmente el hacinamiento” </w:t>
      </w:r>
      <w:r>
        <w:rPr>
          <w:sz w:val="24"/>
        </w:rPr>
        <w:t>(Mejía, 2012: 213).</w:t>
      </w:r>
    </w:p>
    <w:p>
      <w:pPr>
        <w:pStyle w:val="ListParagraph"/>
        <w:numPr>
          <w:ilvl w:val="2"/>
          <w:numId w:val="12"/>
        </w:numPr>
        <w:tabs>
          <w:tab w:pos="594" w:val="left" w:leader="none"/>
        </w:tabs>
        <w:spacing w:line="240" w:lineRule="auto" w:before="206" w:after="0"/>
        <w:ind w:left="593" w:right="0" w:hanging="491"/>
        <w:jc w:val="both"/>
        <w:rPr>
          <w:rFonts w:ascii="Cambria" w:hAnsi="Cambria"/>
          <w:b/>
          <w:sz w:val="22"/>
        </w:rPr>
      </w:pPr>
      <w:r>
        <w:rPr>
          <w:rFonts w:ascii="Cambria" w:hAnsi="Cambria"/>
          <w:b/>
          <w:color w:val="4F81BC"/>
          <w:sz w:val="22"/>
        </w:rPr>
        <w:t>Definición de</w:t>
      </w:r>
      <w:r>
        <w:rPr>
          <w:rFonts w:ascii="Cambria" w:hAnsi="Cambria"/>
          <w:b/>
          <w:color w:val="4F81BC"/>
          <w:spacing w:val="-13"/>
          <w:sz w:val="22"/>
        </w:rPr>
        <w:t> </w:t>
      </w:r>
      <w:r>
        <w:rPr>
          <w:rFonts w:ascii="Cambria" w:hAnsi="Cambria"/>
          <w:b/>
          <w:color w:val="4F81BC"/>
          <w:sz w:val="22"/>
        </w:rPr>
        <w:t>habitabilidad</w:t>
      </w:r>
    </w:p>
    <w:p>
      <w:pPr>
        <w:pStyle w:val="BodyText"/>
        <w:rPr>
          <w:rFonts w:ascii="Cambria"/>
          <w:b/>
          <w:sz w:val="22"/>
        </w:rPr>
      </w:pPr>
    </w:p>
    <w:p>
      <w:pPr>
        <w:pStyle w:val="BodyText"/>
        <w:rPr>
          <w:rFonts w:ascii="Cambria"/>
          <w:b/>
          <w:sz w:val="22"/>
        </w:rPr>
      </w:pPr>
    </w:p>
    <w:p>
      <w:pPr>
        <w:pStyle w:val="BodyText"/>
        <w:spacing w:line="360" w:lineRule="auto" w:before="137"/>
        <w:ind w:left="102" w:right="118"/>
        <w:jc w:val="both"/>
      </w:pPr>
      <w:r>
        <w:rPr/>
        <w:t>Cuando se realizó la revisión teórica y conceptual del significado de habitabilidad no se encontró una definición conceptual completa de la habitabilidad de las viviendas, se llegó a la conclusión de proponer un concepto de habitabilidad de la vivienda;</w:t>
      </w:r>
    </w:p>
    <w:p>
      <w:pPr>
        <w:spacing w:line="360" w:lineRule="auto" w:before="202"/>
        <w:ind w:left="102" w:right="117" w:firstLine="0"/>
        <w:jc w:val="both"/>
        <w:rPr>
          <w:i/>
          <w:sz w:val="24"/>
        </w:rPr>
      </w:pPr>
      <w:r>
        <w:rPr>
          <w:sz w:val="24"/>
        </w:rPr>
        <w:t>“</w:t>
      </w:r>
      <w:r>
        <w:rPr>
          <w:i/>
          <w:sz w:val="24"/>
        </w:rPr>
        <w:t>es el espacio geográfico que cubre la necesidad humana de residencia, con </w:t>
      </w:r>
      <w:r>
        <w:rPr>
          <w:i/>
          <w:sz w:val="24"/>
        </w:rPr>
        <w:t>accesibilidad a servicios públicos (agua potable, energía eléctrica, drenaje, saneamiento), materiales de construcción durables y acordes al lugar   geográfico,</w:t>
      </w:r>
    </w:p>
    <w:p>
      <w:pPr>
        <w:spacing w:after="0" w:line="360" w:lineRule="auto"/>
        <w:jc w:val="both"/>
        <w:rPr>
          <w:sz w:val="24"/>
        </w:rPr>
        <w:sectPr>
          <w:pgSz w:w="12240" w:h="15840"/>
          <w:pgMar w:header="0" w:footer="1003" w:top="1360" w:bottom="1200" w:left="1600" w:right="1580"/>
        </w:sectPr>
      </w:pPr>
    </w:p>
    <w:p>
      <w:pPr>
        <w:spacing w:line="360" w:lineRule="auto" w:before="52"/>
        <w:ind w:left="122" w:right="124" w:firstLine="0"/>
        <w:jc w:val="both"/>
        <w:rPr>
          <w:sz w:val="24"/>
        </w:rPr>
      </w:pPr>
      <w:r>
        <w:rPr>
          <w:i/>
          <w:sz w:val="24"/>
        </w:rPr>
        <w:t>cercanía con el trabajo, educación, salud y recreación, sin riesgos naturales y </w:t>
      </w:r>
      <w:r>
        <w:rPr>
          <w:i/>
          <w:sz w:val="24"/>
        </w:rPr>
        <w:t>ambientales</w:t>
      </w:r>
      <w:r>
        <w:rPr>
          <w:sz w:val="24"/>
        </w:rPr>
        <w:t>” (Avila, 2016).</w:t>
      </w:r>
    </w:p>
    <w:p>
      <w:pPr>
        <w:pStyle w:val="BodyText"/>
        <w:spacing w:line="360" w:lineRule="auto" w:before="206"/>
        <w:ind w:left="122" w:right="119"/>
        <w:jc w:val="both"/>
      </w:pPr>
      <w:r>
        <w:rPr/>
        <w:t>Todo esto derivado de otros conceptos para alimentarlo que se exponen a continuación.</w:t>
      </w:r>
    </w:p>
    <w:p>
      <w:pPr>
        <w:pStyle w:val="BodyText"/>
        <w:spacing w:line="360" w:lineRule="auto" w:before="197"/>
        <w:ind w:left="122" w:right="120"/>
        <w:jc w:val="both"/>
      </w:pPr>
      <w:r>
        <w:rPr/>
        <w:t>En un sentido integral la </w:t>
      </w:r>
      <w:r>
        <w:rPr>
          <w:i/>
        </w:rPr>
        <w:t>habitabilidad </w:t>
      </w:r>
      <w:r>
        <w:rPr/>
        <w:t>de la vivienda</w:t>
      </w:r>
      <w:r>
        <w:rPr>
          <w:position w:val="8"/>
          <w:sz w:val="16"/>
        </w:rPr>
        <w:t>5 </w:t>
      </w:r>
      <w:r>
        <w:rPr/>
        <w:t>la podríamos conceptualizar como </w:t>
      </w:r>
      <w:r>
        <w:rPr>
          <w:i/>
        </w:rPr>
        <w:t>hábitat </w:t>
      </w:r>
      <w:r>
        <w:rPr/>
        <w:t>ya que es el espacio donde nos movemos y vivimos diariamente. Por lo tanto, la satisfacción que este espacio brinda a la población genera un grado de bienestar que va ligado directamente con la calidad de vida.</w:t>
      </w:r>
    </w:p>
    <w:p>
      <w:pPr>
        <w:spacing w:line="360" w:lineRule="auto" w:before="202"/>
        <w:ind w:left="122" w:right="119" w:firstLine="0"/>
        <w:jc w:val="both"/>
        <w:rPr>
          <w:sz w:val="24"/>
        </w:rPr>
      </w:pPr>
      <w:r>
        <w:rPr>
          <w:i/>
          <w:sz w:val="24"/>
        </w:rPr>
        <w:t>“El hábitat se refiere como un todo, con implicaciones culturales, históricas, </w:t>
      </w:r>
      <w:r>
        <w:rPr>
          <w:i/>
          <w:sz w:val="24"/>
        </w:rPr>
        <w:t>sociales, económicas, políticas, legales, ecológicas, físicas y territoriales, no se limita a la casa habitación en sí misma” </w:t>
      </w:r>
      <w:r>
        <w:rPr>
          <w:sz w:val="24"/>
        </w:rPr>
        <w:t>(Torres, 2007: 11).</w:t>
      </w:r>
    </w:p>
    <w:p>
      <w:pPr>
        <w:spacing w:line="360" w:lineRule="auto" w:before="204"/>
        <w:ind w:left="122" w:right="115" w:firstLine="0"/>
        <w:jc w:val="both"/>
        <w:rPr>
          <w:sz w:val="24"/>
        </w:rPr>
      </w:pPr>
      <w:r>
        <w:rPr>
          <w:sz w:val="24"/>
        </w:rPr>
        <w:t>Encontramos que el terminó de </w:t>
      </w:r>
      <w:r>
        <w:rPr>
          <w:i/>
          <w:sz w:val="24"/>
        </w:rPr>
        <w:t>habitabilidad </w:t>
      </w:r>
      <w:r>
        <w:rPr>
          <w:sz w:val="24"/>
        </w:rPr>
        <w:t>según la Real Academia Española, 2001 es la cualidad de lo habitable, y en particular la que, con arreglo a determinadas normas legales tiene un local o una vivienda. </w:t>
      </w:r>
      <w:r>
        <w:rPr>
          <w:i/>
          <w:sz w:val="24"/>
        </w:rPr>
        <w:t>Habitable </w:t>
      </w:r>
      <w:r>
        <w:rPr>
          <w:sz w:val="24"/>
        </w:rPr>
        <w:t>a su vez, es “</w:t>
      </w:r>
      <w:r>
        <w:rPr>
          <w:i/>
          <w:sz w:val="24"/>
        </w:rPr>
        <w:t>todo aquello que puede habitarse</w:t>
      </w:r>
      <w:r>
        <w:rPr>
          <w:sz w:val="24"/>
        </w:rPr>
        <w:t>”. Se entiende entonces que “</w:t>
      </w:r>
      <w:r>
        <w:rPr>
          <w:i/>
          <w:sz w:val="24"/>
        </w:rPr>
        <w:t>la habitabilidad es </w:t>
      </w:r>
      <w:r>
        <w:rPr>
          <w:i/>
          <w:sz w:val="24"/>
        </w:rPr>
        <w:t>el espacio que puede habitarse” </w:t>
      </w:r>
      <w:r>
        <w:rPr>
          <w:sz w:val="24"/>
        </w:rPr>
        <w:t>(</w:t>
      </w:r>
      <w:r>
        <w:rPr>
          <w:sz w:val="19"/>
        </w:rPr>
        <w:t>RAE</w:t>
      </w:r>
      <w:r>
        <w:rPr>
          <w:sz w:val="24"/>
        </w:rPr>
        <w:t>, 2001). Es una “</w:t>
      </w:r>
      <w:r>
        <w:rPr>
          <w:i/>
          <w:sz w:val="24"/>
        </w:rPr>
        <w:t>categoría esencial del </w:t>
      </w:r>
      <w:r>
        <w:rPr>
          <w:i/>
          <w:sz w:val="24"/>
        </w:rPr>
        <w:t>espacio habitable (lugar o escenario), interior o exterior de escala urbana o doméstica, que mezcla entre lo físico, lo psicológico, social y no pierde de vista su interacción con los procesos ambientales” </w:t>
      </w:r>
      <w:r>
        <w:rPr>
          <w:sz w:val="24"/>
        </w:rPr>
        <w:t>(Espinoza y Gómez, 2010:67). Se considera un espacio </w:t>
      </w:r>
      <w:r>
        <w:rPr>
          <w:i/>
          <w:sz w:val="24"/>
        </w:rPr>
        <w:t>habitable </w:t>
      </w:r>
      <w:r>
        <w:rPr>
          <w:sz w:val="24"/>
        </w:rPr>
        <w:t>o no </w:t>
      </w:r>
      <w:r>
        <w:rPr>
          <w:i/>
          <w:sz w:val="24"/>
        </w:rPr>
        <w:t>habitable</w:t>
      </w:r>
      <w:r>
        <w:rPr>
          <w:sz w:val="24"/>
        </w:rPr>
        <w:t>, en función de los requerimientos establecidos por la normativa vigente en cada lugar geográfico.</w:t>
      </w:r>
    </w:p>
    <w:p>
      <w:pPr>
        <w:spacing w:line="360" w:lineRule="auto" w:before="202"/>
        <w:ind w:left="122" w:right="115" w:firstLine="0"/>
        <w:jc w:val="both"/>
        <w:rPr>
          <w:sz w:val="24"/>
        </w:rPr>
      </w:pPr>
      <w:r>
        <w:rPr>
          <w:sz w:val="24"/>
        </w:rPr>
        <w:t>En particular, en “</w:t>
      </w:r>
      <w:r>
        <w:rPr>
          <w:i/>
          <w:sz w:val="24"/>
        </w:rPr>
        <w:t>el espacio urbano se conceptualiza la habitabilidad como una </w:t>
      </w:r>
      <w:r>
        <w:rPr>
          <w:i/>
          <w:sz w:val="24"/>
        </w:rPr>
        <w:t>condición donde la vivienda está integrada físicamente con la ciudad” </w:t>
      </w:r>
      <w:r>
        <w:rPr>
          <w:sz w:val="24"/>
        </w:rPr>
        <w:t>(Alcalá, 2007: 38). Con buena accesibilidad a servicios, equipamientos y rodeada de espacios públicos de calidad. “</w:t>
      </w:r>
      <w:r>
        <w:rPr>
          <w:i/>
          <w:sz w:val="24"/>
        </w:rPr>
        <w:t>No existe la habitabilidad cuando la vivienda, aun </w:t>
      </w:r>
      <w:r>
        <w:rPr>
          <w:i/>
          <w:sz w:val="24"/>
        </w:rPr>
        <w:t>estando en buenas condiciones se encuentra emplazada en un área vulnerable, marginal y de difícil acceso” </w:t>
      </w:r>
      <w:r>
        <w:rPr>
          <w:sz w:val="24"/>
        </w:rPr>
        <w:t>(Alcalá 2007).</w:t>
      </w:r>
    </w:p>
    <w:p>
      <w:pPr>
        <w:pStyle w:val="BodyText"/>
        <w:spacing w:before="3"/>
        <w:rPr>
          <w:sz w:val="19"/>
        </w:rPr>
      </w:pPr>
      <w:r>
        <w:rPr/>
        <w:pict>
          <v:line style="position:absolute;mso-position-horizontal-relative:page;mso-position-vertical-relative:paragraph;z-index:1936;mso-wrap-distance-left:0;mso-wrap-distance-right:0" from="85.103996pt,13.489921pt" to="229.123996pt,13.489921pt" stroked="true" strokeweight=".83997pt" strokecolor="#000000">
            <w10:wrap type="topAndBottom"/>
          </v:line>
        </w:pict>
      </w:r>
    </w:p>
    <w:p>
      <w:pPr>
        <w:spacing w:line="256" w:lineRule="auto" w:before="74"/>
        <w:ind w:left="122" w:right="214" w:firstLine="0"/>
        <w:jc w:val="left"/>
        <w:rPr>
          <w:sz w:val="18"/>
        </w:rPr>
      </w:pPr>
      <w:r>
        <w:rPr>
          <w:rFonts w:ascii="Calibri" w:hAnsi="Calibri"/>
          <w:position w:val="7"/>
          <w:sz w:val="13"/>
        </w:rPr>
        <w:t>5</w:t>
      </w:r>
      <w:r>
        <w:rPr>
          <w:sz w:val="18"/>
        </w:rPr>
        <w:t>Aunque no existe una definición concreta de vivienda o casa, coloquialmente se asume que la casa es considerada como  vivienda y viceversa.</w:t>
      </w:r>
    </w:p>
    <w:p>
      <w:pPr>
        <w:spacing w:after="0" w:line="256" w:lineRule="auto"/>
        <w:jc w:val="left"/>
        <w:rPr>
          <w:sz w:val="18"/>
        </w:rPr>
        <w:sectPr>
          <w:pgSz w:w="12240" w:h="15840"/>
          <w:pgMar w:header="0" w:footer="1003" w:top="1360" w:bottom="1200" w:left="1580" w:right="1580"/>
        </w:sectPr>
      </w:pPr>
    </w:p>
    <w:p>
      <w:pPr>
        <w:spacing w:line="360" w:lineRule="auto" w:before="52"/>
        <w:ind w:left="102" w:right="114" w:firstLine="0"/>
        <w:jc w:val="both"/>
        <w:rPr>
          <w:sz w:val="24"/>
        </w:rPr>
      </w:pPr>
      <w:r>
        <w:rPr>
          <w:i/>
          <w:sz w:val="24"/>
        </w:rPr>
        <w:t>“La habitabilidad, es entendida, entonces </w:t>
      </w:r>
      <w:r>
        <w:rPr>
          <w:i/>
          <w:spacing w:val="-3"/>
          <w:sz w:val="24"/>
        </w:rPr>
        <w:t>como </w:t>
      </w:r>
      <w:r>
        <w:rPr>
          <w:i/>
          <w:sz w:val="24"/>
        </w:rPr>
        <w:t>cada una de las formas naturales  </w:t>
      </w:r>
      <w:r>
        <w:rPr>
          <w:i/>
          <w:sz w:val="24"/>
        </w:rPr>
        <w:t>o adquiridas que distinguen a los lugares donde se vive o mora frecuentemente” </w:t>
      </w:r>
      <w:r>
        <w:rPr>
          <w:sz w:val="24"/>
        </w:rPr>
        <w:t>(Oliva,</w:t>
      </w:r>
      <w:r>
        <w:rPr>
          <w:spacing w:val="-7"/>
          <w:sz w:val="24"/>
        </w:rPr>
        <w:t> </w:t>
      </w:r>
      <w:r>
        <w:rPr>
          <w:sz w:val="24"/>
        </w:rPr>
        <w:t>2014:16).</w:t>
      </w:r>
    </w:p>
    <w:p>
      <w:pPr>
        <w:spacing w:line="360" w:lineRule="auto" w:before="202"/>
        <w:ind w:left="102" w:right="121" w:firstLine="0"/>
        <w:jc w:val="both"/>
        <w:rPr>
          <w:sz w:val="24"/>
        </w:rPr>
      </w:pPr>
      <w:r>
        <w:rPr>
          <w:sz w:val="24"/>
        </w:rPr>
        <w:t>Mientras que “</w:t>
      </w:r>
      <w:r>
        <w:rPr>
          <w:i/>
          <w:sz w:val="24"/>
        </w:rPr>
        <w:t>la habitabilidad se entiende como el conjunto de estructuras físicas </w:t>
      </w:r>
      <w:r>
        <w:rPr>
          <w:i/>
          <w:sz w:val="24"/>
        </w:rPr>
        <w:t>elementales (infraestructuras de agua, saneamiento, energía, servicios educativos, salud, así como el espacio productivo)” </w:t>
      </w:r>
      <w:r>
        <w:rPr>
          <w:sz w:val="24"/>
        </w:rPr>
        <w:t>(Colavidas y Salas, 2005: 228), que, tanto en su referente social como económico, satisfacen esas necesidades esenciales de residencia que tenemos las personas.</w:t>
      </w:r>
    </w:p>
    <w:p>
      <w:pPr>
        <w:spacing w:line="360" w:lineRule="auto" w:before="202"/>
        <w:ind w:left="102" w:right="118" w:firstLine="0"/>
        <w:jc w:val="both"/>
        <w:rPr>
          <w:sz w:val="24"/>
        </w:rPr>
      </w:pPr>
      <w:r>
        <w:rPr>
          <w:sz w:val="24"/>
        </w:rPr>
        <w:t>La </w:t>
      </w:r>
      <w:r>
        <w:rPr>
          <w:i/>
          <w:sz w:val="24"/>
        </w:rPr>
        <w:t>habitabilidad </w:t>
      </w:r>
      <w:r>
        <w:rPr>
          <w:sz w:val="24"/>
        </w:rPr>
        <w:t>de una vivienda, está en función no sólo de la calidad de los materiales utilizados para su construcción, además de un espacio habitable que cuente con la disponibilidad de conexión de los servicios de agua, saneamiento, luz eléctrica, drenaje. También está en función con “</w:t>
      </w:r>
      <w:r>
        <w:rPr>
          <w:i/>
          <w:sz w:val="24"/>
        </w:rPr>
        <w:t>la proximidad o lejanía con el </w:t>
      </w:r>
      <w:r>
        <w:rPr>
          <w:i/>
          <w:sz w:val="24"/>
        </w:rPr>
        <w:t>empleo (tiempo y costo del traslado vivienda-trabajo), los equipamientos educativos, de salud y recreativos, además de la calidad de los espacios abiertos de encuentro, convivencia y sociabilización” </w:t>
      </w:r>
      <w:r>
        <w:rPr>
          <w:sz w:val="24"/>
        </w:rPr>
        <w:t>(Coulomb, 2006:</w:t>
      </w:r>
      <w:r>
        <w:rPr>
          <w:spacing w:val="-22"/>
          <w:sz w:val="24"/>
        </w:rPr>
        <w:t> </w:t>
      </w:r>
      <w:r>
        <w:rPr>
          <w:sz w:val="24"/>
        </w:rPr>
        <w:t>36).</w:t>
      </w:r>
    </w:p>
    <w:p>
      <w:pPr>
        <w:spacing w:line="360" w:lineRule="auto" w:before="204"/>
        <w:ind w:left="102" w:right="115" w:firstLine="0"/>
        <w:jc w:val="both"/>
        <w:rPr>
          <w:sz w:val="24"/>
        </w:rPr>
      </w:pPr>
      <w:r>
        <w:rPr>
          <w:sz w:val="24"/>
        </w:rPr>
        <w:t>En el caso de México el concepto de </w:t>
      </w:r>
      <w:r>
        <w:rPr>
          <w:i/>
          <w:sz w:val="24"/>
        </w:rPr>
        <w:t>habitabilidad </w:t>
      </w:r>
      <w:r>
        <w:rPr>
          <w:sz w:val="24"/>
        </w:rPr>
        <w:t>ha sido estudiado más desde el punto de vista de la vivienda. Inicialmente en México Serafín Mercado y González (1991) “</w:t>
      </w:r>
      <w:r>
        <w:rPr>
          <w:i/>
          <w:sz w:val="24"/>
        </w:rPr>
        <w:t>encontraron algunas transacciones físicas y mentales de los sujetos con  </w:t>
      </w:r>
      <w:r>
        <w:rPr>
          <w:i/>
          <w:sz w:val="24"/>
        </w:rPr>
        <w:t>su entorno habitacional que eran en sí evaluaciones en ámbitos más específicos y que incidían sobre la medida de</w:t>
      </w:r>
      <w:r>
        <w:rPr>
          <w:i/>
          <w:spacing w:val="-16"/>
          <w:sz w:val="24"/>
        </w:rPr>
        <w:t> </w:t>
      </w:r>
      <w:r>
        <w:rPr>
          <w:i/>
          <w:sz w:val="24"/>
        </w:rPr>
        <w:t>habitabilidad”</w:t>
      </w:r>
      <w:r>
        <w:rPr>
          <w:sz w:val="24"/>
        </w:rPr>
        <w:t>.</w:t>
      </w:r>
    </w:p>
    <w:p>
      <w:pPr>
        <w:spacing w:line="360" w:lineRule="auto" w:before="202"/>
        <w:ind w:left="102" w:right="112" w:firstLine="0"/>
        <w:jc w:val="both"/>
        <w:rPr>
          <w:sz w:val="24"/>
        </w:rPr>
      </w:pPr>
      <w:r>
        <w:rPr>
          <w:sz w:val="24"/>
        </w:rPr>
        <w:t>Entonces “</w:t>
      </w:r>
      <w:r>
        <w:rPr>
          <w:i/>
          <w:sz w:val="24"/>
        </w:rPr>
        <w:t>la habitabilidad es entendida como el conjunto de características de </w:t>
      </w:r>
      <w:r>
        <w:rPr>
          <w:i/>
          <w:sz w:val="24"/>
        </w:rPr>
        <w:t>diseño de una vivienda en sí misma, del lugar o edificio donde se sitúa y de su entorno, donde se debe cumplir las necesidades de las personas y de la sociedad” </w:t>
      </w:r>
      <w:r>
        <w:rPr>
          <w:sz w:val="24"/>
        </w:rPr>
        <w:t>(Torres, 2007: 18). Como conclusión la </w:t>
      </w:r>
      <w:r>
        <w:rPr>
          <w:i/>
          <w:sz w:val="24"/>
        </w:rPr>
        <w:t>habitabilidad </w:t>
      </w:r>
      <w:r>
        <w:rPr>
          <w:sz w:val="24"/>
        </w:rPr>
        <w:t>de las viviendas debe satisfacer entre otras las siguientes necesidades:</w:t>
      </w:r>
    </w:p>
    <w:p>
      <w:pPr>
        <w:spacing w:line="240" w:lineRule="auto" w:before="199"/>
        <w:ind w:left="385" w:right="451" w:firstLine="0"/>
        <w:jc w:val="both"/>
        <w:rPr>
          <w:sz w:val="24"/>
        </w:rPr>
      </w:pPr>
      <w:r>
        <w:rPr>
          <w:sz w:val="24"/>
        </w:rPr>
        <w:t>“</w:t>
      </w:r>
      <w:r>
        <w:rPr>
          <w:i/>
          <w:sz w:val="24"/>
        </w:rPr>
        <w:t>habitación, reproducción, seguridad, salubridad, descanso, privacidad e </w:t>
      </w:r>
      <w:r>
        <w:rPr>
          <w:i/>
          <w:sz w:val="24"/>
        </w:rPr>
        <w:t>integración y donde se generan las condiciones de pertenecer, crear, mantener y desarrollar los lazos del grupo social más próximo la familia y la sociedad, así mismo, de generar en la gente la sensación de bienestar personal y colectivo e infundirle la satisfacción de residir en un asentamiento determinado" </w:t>
      </w:r>
      <w:r>
        <w:rPr>
          <w:sz w:val="24"/>
        </w:rPr>
        <w:t>(Torres, 2007).</w:t>
      </w:r>
    </w:p>
    <w:p>
      <w:pPr>
        <w:spacing w:after="0" w:line="240" w:lineRule="auto"/>
        <w:jc w:val="both"/>
        <w:rPr>
          <w:sz w:val="24"/>
        </w:rPr>
        <w:sectPr>
          <w:pgSz w:w="12240" w:h="15840"/>
          <w:pgMar w:header="0" w:footer="1003" w:top="1360" w:bottom="1200" w:left="1600" w:right="1580"/>
        </w:sectPr>
      </w:pPr>
    </w:p>
    <w:p>
      <w:pPr>
        <w:pStyle w:val="BodyText"/>
        <w:spacing w:before="54"/>
        <w:ind w:left="102"/>
        <w:jc w:val="both"/>
      </w:pPr>
      <w:r>
        <w:rPr/>
        <w:t>La propuesta conceptual de la habitabilidad de las viviendas, es la siguiente:</w:t>
      </w:r>
    </w:p>
    <w:p>
      <w:pPr>
        <w:pStyle w:val="BodyText"/>
        <w:rPr>
          <w:sz w:val="29"/>
        </w:rPr>
      </w:pPr>
    </w:p>
    <w:p>
      <w:pPr>
        <w:spacing w:line="240" w:lineRule="auto" w:before="0"/>
        <w:ind w:left="385" w:right="449" w:firstLine="0"/>
        <w:jc w:val="both"/>
        <w:rPr>
          <w:sz w:val="24"/>
        </w:rPr>
      </w:pPr>
      <w:r>
        <w:rPr>
          <w:sz w:val="24"/>
        </w:rPr>
        <w:t>“</w:t>
      </w:r>
      <w:r>
        <w:rPr>
          <w:i/>
          <w:sz w:val="24"/>
        </w:rPr>
        <w:t>habitabilidad de las viviendas; es el espacio geográfico que cubre la </w:t>
      </w:r>
      <w:r>
        <w:rPr>
          <w:i/>
          <w:sz w:val="24"/>
        </w:rPr>
        <w:t>necesidad humana de residencia, con accesibilidad a servicios públicos (agua potable, energía eléctrica, drenaje, saneamiento), materiales de construcción durables y acordes al lugar geográfico, cercanía con el trabajo, educación, salud y recreación, sin riesgos naturales y ambientales” </w:t>
      </w:r>
      <w:r>
        <w:rPr>
          <w:sz w:val="24"/>
        </w:rPr>
        <w:t>(Avila, 2016).</w:t>
      </w:r>
    </w:p>
    <w:p>
      <w:pPr>
        <w:pStyle w:val="BodyText"/>
      </w:pPr>
    </w:p>
    <w:p>
      <w:pPr>
        <w:pStyle w:val="BodyText"/>
        <w:spacing w:before="7"/>
        <w:rPr>
          <w:sz w:val="34"/>
        </w:rPr>
      </w:pPr>
    </w:p>
    <w:p>
      <w:pPr>
        <w:spacing w:line="360" w:lineRule="auto" w:before="0"/>
        <w:ind w:left="102" w:right="117" w:firstLine="0"/>
        <w:jc w:val="both"/>
        <w:rPr>
          <w:sz w:val="24"/>
        </w:rPr>
      </w:pPr>
      <w:r>
        <w:rPr>
          <w:sz w:val="24"/>
        </w:rPr>
        <w:t>Entre los aspectos básicos para que existan las características de “</w:t>
      </w:r>
      <w:r>
        <w:rPr>
          <w:i/>
          <w:sz w:val="24"/>
        </w:rPr>
        <w:t>habitabilidad </w:t>
      </w:r>
      <w:r>
        <w:rPr>
          <w:i/>
          <w:sz w:val="24"/>
        </w:rPr>
        <w:t>como la biológica y psicológica de los habitantes de las viviendas; en general son la temperatura en los niveles de comodidad, la iluminación y ventilación  necesarias para el funcionamiento fisiológico de las personas dentro de los espacios de la vivienda” </w:t>
      </w:r>
      <w:r>
        <w:rPr>
          <w:sz w:val="24"/>
        </w:rPr>
        <w:t>(Villagrán, 2001:</w:t>
      </w:r>
      <w:r>
        <w:rPr>
          <w:spacing w:val="-18"/>
          <w:sz w:val="24"/>
        </w:rPr>
        <w:t> </w:t>
      </w:r>
      <w:r>
        <w:rPr>
          <w:sz w:val="24"/>
        </w:rPr>
        <w:t>16).</w:t>
      </w:r>
    </w:p>
    <w:p>
      <w:pPr>
        <w:pStyle w:val="BodyText"/>
        <w:spacing w:line="360" w:lineRule="auto" w:before="206"/>
        <w:ind w:left="102" w:right="116"/>
        <w:jc w:val="both"/>
      </w:pPr>
      <w:r>
        <w:rPr/>
        <w:t>El lugar donde están ubicadas las viviendas es una particularidad de la </w:t>
      </w:r>
      <w:r>
        <w:rPr>
          <w:i/>
        </w:rPr>
        <w:t>habitabilidad </w:t>
      </w:r>
      <w:r>
        <w:rPr/>
        <w:t>programática, ya que cualquier tipo de vivienda parte como premisa de un programa general, ya que es propio de todas las viviendas que se ubican en un mismo lugar geográfico en este caso la </w:t>
      </w:r>
      <w:r>
        <w:rPr>
          <w:sz w:val="19"/>
        </w:rPr>
        <w:t>ZMT</w:t>
      </w:r>
      <w:r>
        <w:rPr/>
        <w:t>.</w:t>
      </w:r>
    </w:p>
    <w:p>
      <w:pPr>
        <w:pStyle w:val="BodyText"/>
        <w:spacing w:line="360" w:lineRule="auto" w:before="202"/>
        <w:ind w:left="102" w:right="114"/>
        <w:jc w:val="both"/>
      </w:pPr>
      <w:r>
        <w:rPr/>
        <w:t>La ubicación de las viviendas implica dar lugar del concepto de </w:t>
      </w:r>
      <w:r>
        <w:rPr>
          <w:i/>
        </w:rPr>
        <w:t>adaptabilidad </w:t>
      </w:r>
      <w:r>
        <w:rPr/>
        <w:t>por la habitabilidad que estas ofrecen. Esto implica que la ubicación de las viviendas se puede enmarcar bajo el concepto de la </w:t>
      </w:r>
      <w:r>
        <w:rPr>
          <w:i/>
        </w:rPr>
        <w:t>adaptabilidad</w:t>
      </w:r>
      <w:r>
        <w:rPr/>
        <w:t>. Esta </w:t>
      </w:r>
      <w:r>
        <w:rPr>
          <w:i/>
        </w:rPr>
        <w:t>adaptabilidad  </w:t>
      </w:r>
      <w:r>
        <w:rPr/>
        <w:t>abarca aspectos relacionados con la temperatura, soleamientos, vientos, lluvias, factores sismológicos y</w:t>
      </w:r>
      <w:r>
        <w:rPr>
          <w:spacing w:val="-9"/>
        </w:rPr>
        <w:t> </w:t>
      </w:r>
      <w:r>
        <w:rPr/>
        <w:t>geológicos.</w:t>
      </w:r>
    </w:p>
    <w:p>
      <w:pPr>
        <w:pStyle w:val="BodyText"/>
        <w:spacing w:line="360" w:lineRule="auto" w:before="204"/>
        <w:ind w:left="102" w:right="121"/>
        <w:jc w:val="both"/>
      </w:pPr>
      <w:r>
        <w:rPr/>
        <w:t>En el cuadro No. 2 se compilan las definiciones de la habitabilidad de las viviendas a nivel internacional, además se propone una definición de la habitabilidad, como un aporte al conocimiento científico.</w:t>
      </w:r>
    </w:p>
    <w:p>
      <w:pPr>
        <w:spacing w:after="0" w:line="360" w:lineRule="auto"/>
        <w:jc w:val="both"/>
        <w:sectPr>
          <w:pgSz w:w="12240" w:h="15840"/>
          <w:pgMar w:header="0" w:footer="1003" w:top="1360" w:bottom="1200" w:left="1600" w:right="1580"/>
        </w:sectPr>
      </w:pPr>
    </w:p>
    <w:p>
      <w:pPr>
        <w:spacing w:before="53" w:after="6"/>
        <w:ind w:left="3121" w:right="2896" w:firstLine="784"/>
        <w:jc w:val="left"/>
        <w:rPr>
          <w:sz w:val="20"/>
        </w:rPr>
      </w:pPr>
      <w:r>
        <w:rPr>
          <w:sz w:val="20"/>
        </w:rPr>
        <w:t>Cuadro No. 2 Definiciones de la habitabilidad</w:t>
      </w:r>
    </w:p>
    <w:tbl>
      <w:tblPr>
        <w:tblW w:w="0" w:type="auto"/>
        <w:jc w:val="left"/>
        <w:tblInd w:w="110"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2920"/>
        <w:gridCol w:w="5898"/>
      </w:tblGrid>
      <w:tr>
        <w:trPr>
          <w:trHeight w:val="539" w:hRule="exact"/>
        </w:trPr>
        <w:tc>
          <w:tcPr>
            <w:tcW w:w="8819" w:type="dxa"/>
            <w:gridSpan w:val="2"/>
            <w:shd w:val="clear" w:color="auto" w:fill="BEBEBE"/>
          </w:tcPr>
          <w:p>
            <w:pPr>
              <w:pStyle w:val="TableParagraph"/>
              <w:spacing w:before="132"/>
              <w:ind w:left="2529"/>
              <w:rPr>
                <w:b/>
                <w:sz w:val="20"/>
              </w:rPr>
            </w:pPr>
            <w:r>
              <w:rPr>
                <w:b/>
                <w:w w:val="105"/>
                <w:sz w:val="20"/>
              </w:rPr>
              <w:t>Definiendo la Habitabilidad de las viviendas</w:t>
            </w:r>
          </w:p>
        </w:tc>
      </w:tr>
      <w:tr>
        <w:trPr>
          <w:trHeight w:val="269" w:hRule="exact"/>
        </w:trPr>
        <w:tc>
          <w:tcPr>
            <w:tcW w:w="2920" w:type="dxa"/>
            <w:shd w:val="clear" w:color="auto" w:fill="BEBEBE"/>
          </w:tcPr>
          <w:p>
            <w:pPr>
              <w:pStyle w:val="TableParagraph"/>
              <w:spacing w:line="242" w:lineRule="exact"/>
              <w:ind w:left="105" w:right="106"/>
              <w:jc w:val="center"/>
              <w:rPr>
                <w:b/>
                <w:sz w:val="20"/>
              </w:rPr>
            </w:pPr>
            <w:r>
              <w:rPr>
                <w:b/>
                <w:w w:val="105"/>
                <w:sz w:val="20"/>
              </w:rPr>
              <w:t>Autor (es)/ Año</w:t>
            </w:r>
          </w:p>
        </w:tc>
        <w:tc>
          <w:tcPr>
            <w:tcW w:w="5898" w:type="dxa"/>
            <w:shd w:val="clear" w:color="auto" w:fill="BEBEBE"/>
          </w:tcPr>
          <w:p>
            <w:pPr>
              <w:pStyle w:val="TableParagraph"/>
              <w:spacing w:line="242" w:lineRule="exact"/>
              <w:ind w:left="35" w:right="25"/>
              <w:jc w:val="center"/>
              <w:rPr>
                <w:b/>
                <w:sz w:val="20"/>
              </w:rPr>
            </w:pPr>
            <w:r>
              <w:rPr>
                <w:b/>
                <w:w w:val="105"/>
                <w:sz w:val="20"/>
              </w:rPr>
              <w:t>Definición</w:t>
            </w:r>
          </w:p>
        </w:tc>
      </w:tr>
      <w:tr>
        <w:trPr>
          <w:trHeight w:val="538" w:hRule="exact"/>
        </w:trPr>
        <w:tc>
          <w:tcPr>
            <w:tcW w:w="2920" w:type="dxa"/>
          </w:tcPr>
          <w:p>
            <w:pPr>
              <w:pStyle w:val="TableParagraph"/>
              <w:spacing w:before="132"/>
              <w:ind w:left="106" w:right="106"/>
              <w:jc w:val="center"/>
              <w:rPr>
                <w:sz w:val="20"/>
              </w:rPr>
            </w:pPr>
            <w:r>
              <w:rPr>
                <w:w w:val="105"/>
                <w:sz w:val="20"/>
              </w:rPr>
              <w:t>Real Academia Española, 2001.</w:t>
            </w:r>
          </w:p>
        </w:tc>
        <w:tc>
          <w:tcPr>
            <w:tcW w:w="5898" w:type="dxa"/>
          </w:tcPr>
          <w:p>
            <w:pPr>
              <w:pStyle w:val="TableParagraph"/>
              <w:spacing w:before="132"/>
              <w:ind w:left="34" w:right="34"/>
              <w:jc w:val="center"/>
              <w:rPr>
                <w:sz w:val="20"/>
              </w:rPr>
            </w:pPr>
            <w:r>
              <w:rPr>
                <w:w w:val="105"/>
                <w:sz w:val="20"/>
              </w:rPr>
              <w:t>Todo aquello que pueda habitarse.</w:t>
            </w:r>
          </w:p>
        </w:tc>
      </w:tr>
      <w:tr>
        <w:trPr>
          <w:trHeight w:val="808" w:hRule="exact"/>
        </w:trPr>
        <w:tc>
          <w:tcPr>
            <w:tcW w:w="2920" w:type="dxa"/>
          </w:tcPr>
          <w:p>
            <w:pPr>
              <w:pStyle w:val="TableParagraph"/>
              <w:spacing w:before="3"/>
              <w:rPr>
                <w:rFonts w:ascii="Arial"/>
                <w:sz w:val="23"/>
              </w:rPr>
            </w:pPr>
          </w:p>
          <w:p>
            <w:pPr>
              <w:pStyle w:val="TableParagraph"/>
              <w:ind w:left="106" w:right="97"/>
              <w:jc w:val="center"/>
              <w:rPr>
                <w:sz w:val="20"/>
              </w:rPr>
            </w:pPr>
            <w:r>
              <w:rPr>
                <w:sz w:val="20"/>
              </w:rPr>
              <w:t>Villagrán, 2001.</w:t>
            </w:r>
          </w:p>
        </w:tc>
        <w:tc>
          <w:tcPr>
            <w:tcW w:w="5898" w:type="dxa"/>
          </w:tcPr>
          <w:p>
            <w:pPr>
              <w:pStyle w:val="TableParagraph"/>
              <w:spacing w:line="264" w:lineRule="auto" w:before="7"/>
              <w:ind w:left="174" w:right="176" w:firstLine="2"/>
              <w:jc w:val="center"/>
              <w:rPr>
                <w:sz w:val="20"/>
              </w:rPr>
            </w:pPr>
            <w:r>
              <w:rPr>
                <w:w w:val="105"/>
                <w:sz w:val="20"/>
              </w:rPr>
              <w:t>Todos los espacios naturales y artificiales son potencialmente habitables,</w:t>
            </w:r>
            <w:r>
              <w:rPr>
                <w:spacing w:val="-23"/>
                <w:w w:val="105"/>
                <w:sz w:val="20"/>
              </w:rPr>
              <w:t> </w:t>
            </w:r>
            <w:r>
              <w:rPr>
                <w:w w:val="105"/>
                <w:sz w:val="20"/>
              </w:rPr>
              <w:t>naturales</w:t>
            </w:r>
            <w:r>
              <w:rPr>
                <w:spacing w:val="-22"/>
                <w:w w:val="105"/>
                <w:sz w:val="20"/>
              </w:rPr>
              <w:t> </w:t>
            </w:r>
            <w:r>
              <w:rPr>
                <w:w w:val="105"/>
                <w:sz w:val="20"/>
              </w:rPr>
              <w:t>(pueden</w:t>
            </w:r>
            <w:r>
              <w:rPr>
                <w:spacing w:val="-23"/>
                <w:w w:val="105"/>
                <w:sz w:val="20"/>
              </w:rPr>
              <w:t> </w:t>
            </w:r>
            <w:r>
              <w:rPr>
                <w:w w:val="105"/>
                <w:sz w:val="20"/>
              </w:rPr>
              <w:t>ser</w:t>
            </w:r>
            <w:r>
              <w:rPr>
                <w:spacing w:val="-22"/>
                <w:w w:val="105"/>
                <w:sz w:val="20"/>
              </w:rPr>
              <w:t> </w:t>
            </w:r>
            <w:r>
              <w:rPr>
                <w:w w:val="105"/>
                <w:sz w:val="20"/>
              </w:rPr>
              <w:t>o</w:t>
            </w:r>
            <w:r>
              <w:rPr>
                <w:spacing w:val="-23"/>
                <w:w w:val="105"/>
                <w:sz w:val="20"/>
              </w:rPr>
              <w:t> </w:t>
            </w:r>
            <w:r>
              <w:rPr>
                <w:w w:val="105"/>
                <w:sz w:val="20"/>
              </w:rPr>
              <w:t>no</w:t>
            </w:r>
            <w:r>
              <w:rPr>
                <w:spacing w:val="-23"/>
                <w:w w:val="105"/>
                <w:sz w:val="20"/>
              </w:rPr>
              <w:t> </w:t>
            </w:r>
            <w:r>
              <w:rPr>
                <w:w w:val="105"/>
                <w:sz w:val="20"/>
              </w:rPr>
              <w:t>habitados),</w:t>
            </w:r>
            <w:r>
              <w:rPr>
                <w:spacing w:val="-23"/>
                <w:w w:val="105"/>
                <w:sz w:val="20"/>
              </w:rPr>
              <w:t> </w:t>
            </w:r>
            <w:r>
              <w:rPr>
                <w:w w:val="105"/>
                <w:sz w:val="20"/>
              </w:rPr>
              <w:t>arquitectónicos </w:t>
            </w:r>
            <w:r>
              <w:rPr>
                <w:sz w:val="20"/>
              </w:rPr>
              <w:t>(sin</w:t>
            </w:r>
            <w:r>
              <w:rPr>
                <w:spacing w:val="25"/>
                <w:sz w:val="20"/>
              </w:rPr>
              <w:t> </w:t>
            </w:r>
            <w:r>
              <w:rPr>
                <w:sz w:val="20"/>
              </w:rPr>
              <w:t>excepción).</w:t>
            </w:r>
          </w:p>
        </w:tc>
      </w:tr>
      <w:tr>
        <w:trPr>
          <w:trHeight w:val="808" w:hRule="exact"/>
        </w:trPr>
        <w:tc>
          <w:tcPr>
            <w:tcW w:w="2920" w:type="dxa"/>
          </w:tcPr>
          <w:p>
            <w:pPr>
              <w:pStyle w:val="TableParagraph"/>
              <w:spacing w:before="3"/>
              <w:rPr>
                <w:rFonts w:ascii="Arial"/>
                <w:sz w:val="23"/>
              </w:rPr>
            </w:pPr>
          </w:p>
          <w:p>
            <w:pPr>
              <w:pStyle w:val="TableParagraph"/>
              <w:ind w:left="106" w:right="106"/>
              <w:jc w:val="center"/>
              <w:rPr>
                <w:sz w:val="20"/>
              </w:rPr>
            </w:pPr>
            <w:r>
              <w:rPr>
                <w:w w:val="105"/>
                <w:sz w:val="20"/>
              </w:rPr>
              <w:t>Colavidas y Salas, 2005.</w:t>
            </w:r>
          </w:p>
        </w:tc>
        <w:tc>
          <w:tcPr>
            <w:tcW w:w="5898" w:type="dxa"/>
          </w:tcPr>
          <w:p>
            <w:pPr>
              <w:pStyle w:val="TableParagraph"/>
              <w:spacing w:line="264" w:lineRule="auto" w:before="7"/>
              <w:ind w:left="35" w:right="34"/>
              <w:jc w:val="center"/>
              <w:rPr>
                <w:sz w:val="20"/>
              </w:rPr>
            </w:pPr>
            <w:r>
              <w:rPr>
                <w:w w:val="105"/>
                <w:sz w:val="20"/>
              </w:rPr>
              <w:t>El</w:t>
            </w:r>
            <w:r>
              <w:rPr>
                <w:spacing w:val="-21"/>
                <w:w w:val="105"/>
                <w:sz w:val="20"/>
              </w:rPr>
              <w:t> </w:t>
            </w:r>
            <w:r>
              <w:rPr>
                <w:w w:val="105"/>
                <w:sz w:val="20"/>
              </w:rPr>
              <w:t>conjunto</w:t>
            </w:r>
            <w:r>
              <w:rPr>
                <w:spacing w:val="-23"/>
                <w:w w:val="105"/>
                <w:sz w:val="20"/>
              </w:rPr>
              <w:t> </w:t>
            </w:r>
            <w:r>
              <w:rPr>
                <w:w w:val="105"/>
                <w:sz w:val="20"/>
              </w:rPr>
              <w:t>de</w:t>
            </w:r>
            <w:r>
              <w:rPr>
                <w:spacing w:val="-22"/>
                <w:w w:val="105"/>
                <w:sz w:val="20"/>
              </w:rPr>
              <w:t> </w:t>
            </w:r>
            <w:r>
              <w:rPr>
                <w:w w:val="105"/>
                <w:sz w:val="20"/>
              </w:rPr>
              <w:t>estructuras</w:t>
            </w:r>
            <w:r>
              <w:rPr>
                <w:spacing w:val="-22"/>
                <w:w w:val="105"/>
                <w:sz w:val="20"/>
              </w:rPr>
              <w:t> </w:t>
            </w:r>
            <w:r>
              <w:rPr>
                <w:w w:val="105"/>
                <w:sz w:val="20"/>
              </w:rPr>
              <w:t>físicas</w:t>
            </w:r>
            <w:r>
              <w:rPr>
                <w:spacing w:val="-22"/>
                <w:w w:val="105"/>
                <w:sz w:val="20"/>
              </w:rPr>
              <w:t> </w:t>
            </w:r>
            <w:r>
              <w:rPr>
                <w:w w:val="105"/>
                <w:sz w:val="20"/>
              </w:rPr>
              <w:t>elementales</w:t>
            </w:r>
            <w:r>
              <w:rPr>
                <w:spacing w:val="-22"/>
                <w:w w:val="105"/>
                <w:sz w:val="20"/>
              </w:rPr>
              <w:t> </w:t>
            </w:r>
            <w:r>
              <w:rPr>
                <w:w w:val="105"/>
                <w:sz w:val="20"/>
              </w:rPr>
              <w:t>(infraestructuras</w:t>
            </w:r>
            <w:r>
              <w:rPr>
                <w:spacing w:val="-22"/>
                <w:w w:val="105"/>
                <w:sz w:val="20"/>
              </w:rPr>
              <w:t> </w:t>
            </w:r>
            <w:r>
              <w:rPr>
                <w:w w:val="105"/>
                <w:sz w:val="20"/>
              </w:rPr>
              <w:t>de agua,</w:t>
            </w:r>
            <w:r>
              <w:rPr>
                <w:spacing w:val="-20"/>
                <w:w w:val="105"/>
                <w:sz w:val="20"/>
              </w:rPr>
              <w:t> </w:t>
            </w:r>
            <w:r>
              <w:rPr>
                <w:w w:val="105"/>
                <w:sz w:val="20"/>
              </w:rPr>
              <w:t>saneamiento,</w:t>
            </w:r>
            <w:r>
              <w:rPr>
                <w:spacing w:val="-20"/>
                <w:w w:val="105"/>
                <w:sz w:val="20"/>
              </w:rPr>
              <w:t> </w:t>
            </w:r>
            <w:r>
              <w:rPr>
                <w:w w:val="105"/>
                <w:sz w:val="20"/>
              </w:rPr>
              <w:t>energía,</w:t>
            </w:r>
            <w:r>
              <w:rPr>
                <w:spacing w:val="-20"/>
                <w:w w:val="105"/>
                <w:sz w:val="20"/>
              </w:rPr>
              <w:t> </w:t>
            </w:r>
            <w:r>
              <w:rPr>
                <w:w w:val="105"/>
                <w:sz w:val="20"/>
              </w:rPr>
              <w:t>servicios</w:t>
            </w:r>
            <w:r>
              <w:rPr>
                <w:spacing w:val="-19"/>
                <w:w w:val="105"/>
                <w:sz w:val="20"/>
              </w:rPr>
              <w:t> </w:t>
            </w:r>
            <w:r>
              <w:rPr>
                <w:w w:val="105"/>
                <w:sz w:val="20"/>
              </w:rPr>
              <w:t>educativos,</w:t>
            </w:r>
            <w:r>
              <w:rPr>
                <w:spacing w:val="-20"/>
                <w:w w:val="105"/>
                <w:sz w:val="20"/>
              </w:rPr>
              <w:t> </w:t>
            </w:r>
            <w:r>
              <w:rPr>
                <w:w w:val="105"/>
                <w:sz w:val="20"/>
              </w:rPr>
              <w:t>salud,</w:t>
            </w:r>
            <w:r>
              <w:rPr>
                <w:spacing w:val="-20"/>
                <w:w w:val="105"/>
                <w:sz w:val="20"/>
              </w:rPr>
              <w:t> </w:t>
            </w:r>
            <w:r>
              <w:rPr>
                <w:w w:val="105"/>
                <w:sz w:val="20"/>
              </w:rPr>
              <w:t>espacio productivo).</w:t>
            </w:r>
          </w:p>
        </w:tc>
      </w:tr>
      <w:tr>
        <w:trPr>
          <w:trHeight w:val="1346" w:hRule="exact"/>
        </w:trPr>
        <w:tc>
          <w:tcPr>
            <w:tcW w:w="2920" w:type="dxa"/>
          </w:tcPr>
          <w:p>
            <w:pPr>
              <w:pStyle w:val="TableParagraph"/>
              <w:rPr>
                <w:rFonts w:ascii="Arial"/>
                <w:sz w:val="20"/>
              </w:rPr>
            </w:pPr>
          </w:p>
          <w:p>
            <w:pPr>
              <w:pStyle w:val="TableParagraph"/>
              <w:spacing w:before="7"/>
              <w:rPr>
                <w:rFonts w:ascii="Arial"/>
                <w:sz w:val="26"/>
              </w:rPr>
            </w:pPr>
          </w:p>
          <w:p>
            <w:pPr>
              <w:pStyle w:val="TableParagraph"/>
              <w:ind w:left="106" w:right="105"/>
              <w:jc w:val="center"/>
              <w:rPr>
                <w:sz w:val="20"/>
              </w:rPr>
            </w:pPr>
            <w:r>
              <w:rPr>
                <w:sz w:val="20"/>
              </w:rPr>
              <w:t>Coulomb, 2006.</w:t>
            </w:r>
          </w:p>
        </w:tc>
        <w:tc>
          <w:tcPr>
            <w:tcW w:w="5898" w:type="dxa"/>
          </w:tcPr>
          <w:p>
            <w:pPr>
              <w:pStyle w:val="TableParagraph"/>
              <w:spacing w:line="264" w:lineRule="auto" w:before="132"/>
              <w:ind w:left="35" w:right="34"/>
              <w:jc w:val="center"/>
              <w:rPr>
                <w:sz w:val="20"/>
              </w:rPr>
            </w:pPr>
            <w:r>
              <w:rPr>
                <w:w w:val="105"/>
                <w:sz w:val="20"/>
              </w:rPr>
              <w:t>Está</w:t>
            </w:r>
            <w:r>
              <w:rPr>
                <w:spacing w:val="-14"/>
                <w:w w:val="105"/>
                <w:sz w:val="20"/>
              </w:rPr>
              <w:t> </w:t>
            </w:r>
            <w:r>
              <w:rPr>
                <w:w w:val="105"/>
                <w:sz w:val="20"/>
              </w:rPr>
              <w:t>en</w:t>
            </w:r>
            <w:r>
              <w:rPr>
                <w:spacing w:val="-14"/>
                <w:w w:val="105"/>
                <w:sz w:val="20"/>
              </w:rPr>
              <w:t> </w:t>
            </w:r>
            <w:r>
              <w:rPr>
                <w:w w:val="105"/>
                <w:sz w:val="20"/>
              </w:rPr>
              <w:t>función</w:t>
            </w:r>
            <w:r>
              <w:rPr>
                <w:spacing w:val="-14"/>
                <w:w w:val="105"/>
                <w:sz w:val="20"/>
              </w:rPr>
              <w:t> </w:t>
            </w:r>
            <w:r>
              <w:rPr>
                <w:w w:val="105"/>
                <w:sz w:val="20"/>
              </w:rPr>
              <w:t>no</w:t>
            </w:r>
            <w:r>
              <w:rPr>
                <w:spacing w:val="-14"/>
                <w:w w:val="105"/>
                <w:sz w:val="20"/>
              </w:rPr>
              <w:t> </w:t>
            </w:r>
            <w:r>
              <w:rPr>
                <w:w w:val="105"/>
                <w:sz w:val="20"/>
              </w:rPr>
              <w:t>sólo</w:t>
            </w:r>
            <w:r>
              <w:rPr>
                <w:spacing w:val="-14"/>
                <w:w w:val="105"/>
                <w:sz w:val="20"/>
              </w:rPr>
              <w:t> </w:t>
            </w:r>
            <w:r>
              <w:rPr>
                <w:w w:val="105"/>
                <w:sz w:val="20"/>
              </w:rPr>
              <w:t>de</w:t>
            </w:r>
            <w:r>
              <w:rPr>
                <w:spacing w:val="-13"/>
                <w:w w:val="105"/>
                <w:sz w:val="20"/>
              </w:rPr>
              <w:t> </w:t>
            </w:r>
            <w:r>
              <w:rPr>
                <w:w w:val="105"/>
                <w:sz w:val="20"/>
              </w:rPr>
              <w:t>la</w:t>
            </w:r>
            <w:r>
              <w:rPr>
                <w:spacing w:val="-14"/>
                <w:w w:val="105"/>
                <w:sz w:val="20"/>
              </w:rPr>
              <w:t> </w:t>
            </w:r>
            <w:r>
              <w:rPr>
                <w:w w:val="105"/>
                <w:sz w:val="20"/>
              </w:rPr>
              <w:t>calidad</w:t>
            </w:r>
            <w:r>
              <w:rPr>
                <w:spacing w:val="-14"/>
                <w:w w:val="105"/>
                <w:sz w:val="20"/>
              </w:rPr>
              <w:t> </w:t>
            </w:r>
            <w:r>
              <w:rPr>
                <w:w w:val="105"/>
                <w:sz w:val="20"/>
              </w:rPr>
              <w:t>de</w:t>
            </w:r>
            <w:r>
              <w:rPr>
                <w:spacing w:val="-13"/>
                <w:w w:val="105"/>
                <w:sz w:val="20"/>
              </w:rPr>
              <w:t> </w:t>
            </w:r>
            <w:r>
              <w:rPr>
                <w:w w:val="105"/>
                <w:sz w:val="20"/>
              </w:rPr>
              <w:t>los</w:t>
            </w:r>
            <w:r>
              <w:rPr>
                <w:spacing w:val="-14"/>
                <w:w w:val="105"/>
                <w:sz w:val="20"/>
              </w:rPr>
              <w:t> </w:t>
            </w:r>
            <w:r>
              <w:rPr>
                <w:w w:val="105"/>
                <w:sz w:val="20"/>
              </w:rPr>
              <w:t>materiales</w:t>
            </w:r>
            <w:r>
              <w:rPr>
                <w:spacing w:val="-13"/>
                <w:w w:val="105"/>
                <w:sz w:val="20"/>
              </w:rPr>
              <w:t> </w:t>
            </w:r>
            <w:r>
              <w:rPr>
                <w:w w:val="105"/>
                <w:sz w:val="20"/>
              </w:rPr>
              <w:t>utilizados</w:t>
            </w:r>
            <w:r>
              <w:rPr>
                <w:spacing w:val="-14"/>
                <w:w w:val="105"/>
                <w:sz w:val="20"/>
              </w:rPr>
              <w:t> </w:t>
            </w:r>
            <w:r>
              <w:rPr>
                <w:w w:val="105"/>
                <w:sz w:val="20"/>
              </w:rPr>
              <w:t>para su construcción, además de un espacio habitable que cuente con disponibilidad de conexión de servicos (agua, saneamiento, luz, eléctrica,</w:t>
            </w:r>
            <w:r>
              <w:rPr>
                <w:spacing w:val="-20"/>
                <w:w w:val="105"/>
                <w:sz w:val="20"/>
              </w:rPr>
              <w:t> </w:t>
            </w:r>
            <w:r>
              <w:rPr>
                <w:w w:val="105"/>
                <w:sz w:val="20"/>
              </w:rPr>
              <w:t>drenaje).</w:t>
            </w:r>
            <w:r>
              <w:rPr>
                <w:spacing w:val="-18"/>
                <w:w w:val="105"/>
                <w:sz w:val="20"/>
              </w:rPr>
              <w:t> </w:t>
            </w:r>
            <w:r>
              <w:rPr>
                <w:w w:val="105"/>
                <w:sz w:val="20"/>
              </w:rPr>
              <w:t>Y</w:t>
            </w:r>
            <w:r>
              <w:rPr>
                <w:spacing w:val="-20"/>
                <w:w w:val="105"/>
                <w:sz w:val="20"/>
              </w:rPr>
              <w:t> </w:t>
            </w:r>
            <w:r>
              <w:rPr>
                <w:w w:val="105"/>
                <w:sz w:val="20"/>
              </w:rPr>
              <w:t>proximidad</w:t>
            </w:r>
            <w:r>
              <w:rPr>
                <w:spacing w:val="-20"/>
                <w:w w:val="105"/>
                <w:sz w:val="20"/>
              </w:rPr>
              <w:t> </w:t>
            </w:r>
            <w:r>
              <w:rPr>
                <w:w w:val="105"/>
                <w:sz w:val="20"/>
              </w:rPr>
              <w:t>con</w:t>
            </w:r>
            <w:r>
              <w:rPr>
                <w:spacing w:val="-20"/>
                <w:w w:val="105"/>
                <w:sz w:val="20"/>
              </w:rPr>
              <w:t> </w:t>
            </w:r>
            <w:r>
              <w:rPr>
                <w:w w:val="105"/>
                <w:sz w:val="20"/>
              </w:rPr>
              <w:t>el</w:t>
            </w:r>
            <w:r>
              <w:rPr>
                <w:spacing w:val="-18"/>
                <w:w w:val="105"/>
                <w:sz w:val="20"/>
              </w:rPr>
              <w:t> </w:t>
            </w:r>
            <w:r>
              <w:rPr>
                <w:w w:val="105"/>
                <w:sz w:val="20"/>
              </w:rPr>
              <w:t>empleo,</w:t>
            </w:r>
            <w:r>
              <w:rPr>
                <w:spacing w:val="-20"/>
                <w:w w:val="105"/>
                <w:sz w:val="20"/>
              </w:rPr>
              <w:t> </w:t>
            </w:r>
            <w:r>
              <w:rPr>
                <w:w w:val="105"/>
                <w:sz w:val="20"/>
              </w:rPr>
              <w:t>educación,</w:t>
            </w:r>
            <w:r>
              <w:rPr>
                <w:spacing w:val="-20"/>
                <w:w w:val="105"/>
                <w:sz w:val="20"/>
              </w:rPr>
              <w:t> </w:t>
            </w:r>
            <w:r>
              <w:rPr>
                <w:w w:val="105"/>
                <w:sz w:val="20"/>
              </w:rPr>
              <w:t>salud.</w:t>
            </w:r>
          </w:p>
        </w:tc>
      </w:tr>
      <w:tr>
        <w:trPr>
          <w:trHeight w:val="808" w:hRule="exact"/>
        </w:trPr>
        <w:tc>
          <w:tcPr>
            <w:tcW w:w="2920" w:type="dxa"/>
          </w:tcPr>
          <w:p>
            <w:pPr>
              <w:pStyle w:val="TableParagraph"/>
              <w:spacing w:before="3"/>
              <w:rPr>
                <w:rFonts w:ascii="Arial"/>
                <w:sz w:val="23"/>
              </w:rPr>
            </w:pPr>
          </w:p>
          <w:p>
            <w:pPr>
              <w:pStyle w:val="TableParagraph"/>
              <w:ind w:left="105" w:right="106"/>
              <w:jc w:val="center"/>
              <w:rPr>
                <w:sz w:val="20"/>
              </w:rPr>
            </w:pPr>
            <w:r>
              <w:rPr>
                <w:w w:val="105"/>
                <w:sz w:val="20"/>
              </w:rPr>
              <w:t>Alcalá, 2007.</w:t>
            </w:r>
          </w:p>
        </w:tc>
        <w:tc>
          <w:tcPr>
            <w:tcW w:w="5898" w:type="dxa"/>
          </w:tcPr>
          <w:p>
            <w:pPr>
              <w:pStyle w:val="TableParagraph"/>
              <w:spacing w:line="264" w:lineRule="auto" w:before="7"/>
              <w:ind w:left="35" w:right="32"/>
              <w:jc w:val="center"/>
              <w:rPr>
                <w:sz w:val="20"/>
              </w:rPr>
            </w:pPr>
            <w:r>
              <w:rPr>
                <w:w w:val="105"/>
                <w:sz w:val="20"/>
              </w:rPr>
              <w:t>Condición</w:t>
            </w:r>
            <w:r>
              <w:rPr>
                <w:spacing w:val="-18"/>
                <w:w w:val="105"/>
                <w:sz w:val="20"/>
              </w:rPr>
              <w:t> </w:t>
            </w:r>
            <w:r>
              <w:rPr>
                <w:w w:val="105"/>
                <w:sz w:val="20"/>
              </w:rPr>
              <w:t>donde</w:t>
            </w:r>
            <w:r>
              <w:rPr>
                <w:spacing w:val="-17"/>
                <w:w w:val="105"/>
                <w:sz w:val="20"/>
              </w:rPr>
              <w:t> </w:t>
            </w:r>
            <w:r>
              <w:rPr>
                <w:w w:val="105"/>
                <w:sz w:val="20"/>
              </w:rPr>
              <w:t>la</w:t>
            </w:r>
            <w:r>
              <w:rPr>
                <w:spacing w:val="-17"/>
                <w:w w:val="105"/>
                <w:sz w:val="20"/>
              </w:rPr>
              <w:t> </w:t>
            </w:r>
            <w:r>
              <w:rPr>
                <w:w w:val="105"/>
                <w:sz w:val="20"/>
              </w:rPr>
              <w:t>vivienda</w:t>
            </w:r>
            <w:r>
              <w:rPr>
                <w:spacing w:val="-17"/>
                <w:w w:val="105"/>
                <w:sz w:val="20"/>
              </w:rPr>
              <w:t> </w:t>
            </w:r>
            <w:r>
              <w:rPr>
                <w:w w:val="105"/>
                <w:sz w:val="20"/>
              </w:rPr>
              <w:t>está</w:t>
            </w:r>
            <w:r>
              <w:rPr>
                <w:spacing w:val="-17"/>
                <w:w w:val="105"/>
                <w:sz w:val="20"/>
              </w:rPr>
              <w:t> </w:t>
            </w:r>
            <w:r>
              <w:rPr>
                <w:w w:val="105"/>
                <w:sz w:val="20"/>
              </w:rPr>
              <w:t>integrada</w:t>
            </w:r>
            <w:r>
              <w:rPr>
                <w:spacing w:val="-17"/>
                <w:w w:val="105"/>
                <w:sz w:val="20"/>
              </w:rPr>
              <w:t> </w:t>
            </w:r>
            <w:r>
              <w:rPr>
                <w:w w:val="105"/>
                <w:sz w:val="20"/>
              </w:rPr>
              <w:t>físicamente</w:t>
            </w:r>
            <w:r>
              <w:rPr>
                <w:spacing w:val="-17"/>
                <w:w w:val="105"/>
                <w:sz w:val="20"/>
              </w:rPr>
              <w:t> </w:t>
            </w:r>
            <w:r>
              <w:rPr>
                <w:w w:val="105"/>
                <w:sz w:val="20"/>
              </w:rPr>
              <w:t>con</w:t>
            </w:r>
            <w:r>
              <w:rPr>
                <w:spacing w:val="-18"/>
                <w:w w:val="105"/>
                <w:sz w:val="20"/>
              </w:rPr>
              <w:t> </w:t>
            </w:r>
            <w:r>
              <w:rPr>
                <w:w w:val="105"/>
                <w:sz w:val="20"/>
              </w:rPr>
              <w:t>la</w:t>
            </w:r>
            <w:r>
              <w:rPr>
                <w:spacing w:val="-17"/>
                <w:w w:val="105"/>
                <w:sz w:val="20"/>
              </w:rPr>
              <w:t> </w:t>
            </w:r>
            <w:r>
              <w:rPr>
                <w:w w:val="105"/>
                <w:sz w:val="20"/>
              </w:rPr>
              <w:t>ciudad, con</w:t>
            </w:r>
            <w:r>
              <w:rPr>
                <w:spacing w:val="-16"/>
                <w:w w:val="105"/>
                <w:sz w:val="20"/>
              </w:rPr>
              <w:t> </w:t>
            </w:r>
            <w:r>
              <w:rPr>
                <w:w w:val="105"/>
                <w:sz w:val="20"/>
              </w:rPr>
              <w:t>accesibilidad</w:t>
            </w:r>
            <w:r>
              <w:rPr>
                <w:spacing w:val="-16"/>
                <w:w w:val="105"/>
                <w:sz w:val="20"/>
              </w:rPr>
              <w:t> </w:t>
            </w:r>
            <w:r>
              <w:rPr>
                <w:w w:val="105"/>
                <w:sz w:val="20"/>
              </w:rPr>
              <w:t>a</w:t>
            </w:r>
            <w:r>
              <w:rPr>
                <w:spacing w:val="-15"/>
                <w:w w:val="105"/>
                <w:sz w:val="20"/>
              </w:rPr>
              <w:t> </w:t>
            </w:r>
            <w:r>
              <w:rPr>
                <w:w w:val="105"/>
                <w:sz w:val="20"/>
              </w:rPr>
              <w:t>servicios,</w:t>
            </w:r>
            <w:r>
              <w:rPr>
                <w:spacing w:val="-16"/>
                <w:w w:val="105"/>
                <w:sz w:val="20"/>
              </w:rPr>
              <w:t> </w:t>
            </w:r>
            <w:r>
              <w:rPr>
                <w:w w:val="105"/>
                <w:sz w:val="20"/>
              </w:rPr>
              <w:t>equipamientos</w:t>
            </w:r>
            <w:r>
              <w:rPr>
                <w:spacing w:val="-15"/>
                <w:w w:val="105"/>
                <w:sz w:val="20"/>
              </w:rPr>
              <w:t> </w:t>
            </w:r>
            <w:r>
              <w:rPr>
                <w:w w:val="105"/>
                <w:sz w:val="20"/>
              </w:rPr>
              <w:t>y</w:t>
            </w:r>
            <w:r>
              <w:rPr>
                <w:spacing w:val="-14"/>
                <w:w w:val="105"/>
                <w:sz w:val="20"/>
              </w:rPr>
              <w:t> </w:t>
            </w:r>
            <w:r>
              <w:rPr>
                <w:w w:val="105"/>
                <w:sz w:val="20"/>
              </w:rPr>
              <w:t>rodeada</w:t>
            </w:r>
            <w:r>
              <w:rPr>
                <w:spacing w:val="-16"/>
                <w:w w:val="105"/>
                <w:sz w:val="20"/>
              </w:rPr>
              <w:t> </w:t>
            </w:r>
            <w:r>
              <w:rPr>
                <w:w w:val="105"/>
                <w:sz w:val="20"/>
              </w:rPr>
              <w:t>de</w:t>
            </w:r>
            <w:r>
              <w:rPr>
                <w:spacing w:val="-14"/>
                <w:w w:val="105"/>
                <w:sz w:val="20"/>
              </w:rPr>
              <w:t> </w:t>
            </w:r>
            <w:r>
              <w:rPr>
                <w:w w:val="105"/>
                <w:sz w:val="20"/>
              </w:rPr>
              <w:t>espacios públicos</w:t>
            </w:r>
            <w:r>
              <w:rPr>
                <w:spacing w:val="-23"/>
                <w:w w:val="105"/>
                <w:sz w:val="20"/>
              </w:rPr>
              <w:t> </w:t>
            </w:r>
            <w:r>
              <w:rPr>
                <w:w w:val="105"/>
                <w:sz w:val="20"/>
              </w:rPr>
              <w:t>de</w:t>
            </w:r>
            <w:r>
              <w:rPr>
                <w:spacing w:val="-22"/>
                <w:w w:val="105"/>
                <w:sz w:val="20"/>
              </w:rPr>
              <w:t> </w:t>
            </w:r>
            <w:r>
              <w:rPr>
                <w:w w:val="105"/>
                <w:sz w:val="20"/>
              </w:rPr>
              <w:t>calidad.</w:t>
            </w:r>
          </w:p>
        </w:tc>
      </w:tr>
      <w:tr>
        <w:trPr>
          <w:trHeight w:val="538" w:hRule="exact"/>
        </w:trPr>
        <w:tc>
          <w:tcPr>
            <w:tcW w:w="2920" w:type="dxa"/>
          </w:tcPr>
          <w:p>
            <w:pPr>
              <w:pStyle w:val="TableParagraph"/>
              <w:spacing w:before="132"/>
              <w:ind w:left="106" w:right="102"/>
              <w:jc w:val="center"/>
              <w:rPr>
                <w:sz w:val="20"/>
              </w:rPr>
            </w:pPr>
            <w:r>
              <w:rPr>
                <w:sz w:val="20"/>
              </w:rPr>
              <w:t>Torres, 2007</w:t>
            </w:r>
          </w:p>
        </w:tc>
        <w:tc>
          <w:tcPr>
            <w:tcW w:w="5898" w:type="dxa"/>
          </w:tcPr>
          <w:p>
            <w:pPr>
              <w:pStyle w:val="TableParagraph"/>
              <w:spacing w:line="264" w:lineRule="auto" w:before="7"/>
              <w:ind w:left="1565" w:hanging="1431"/>
              <w:rPr>
                <w:sz w:val="20"/>
              </w:rPr>
            </w:pPr>
            <w:r>
              <w:rPr>
                <w:w w:val="105"/>
                <w:sz w:val="20"/>
              </w:rPr>
              <w:t>Como</w:t>
            </w:r>
            <w:r>
              <w:rPr>
                <w:spacing w:val="-20"/>
                <w:w w:val="105"/>
                <w:sz w:val="20"/>
              </w:rPr>
              <w:t> </w:t>
            </w:r>
            <w:r>
              <w:rPr>
                <w:w w:val="105"/>
                <w:sz w:val="20"/>
              </w:rPr>
              <w:t>un</w:t>
            </w:r>
            <w:r>
              <w:rPr>
                <w:spacing w:val="-20"/>
                <w:w w:val="105"/>
                <w:sz w:val="20"/>
              </w:rPr>
              <w:t> </w:t>
            </w:r>
            <w:r>
              <w:rPr>
                <w:w w:val="105"/>
                <w:sz w:val="20"/>
              </w:rPr>
              <w:t>todo</w:t>
            </w:r>
            <w:r>
              <w:rPr>
                <w:spacing w:val="-20"/>
                <w:w w:val="105"/>
                <w:sz w:val="20"/>
              </w:rPr>
              <w:t> </w:t>
            </w:r>
            <w:r>
              <w:rPr>
                <w:w w:val="105"/>
                <w:sz w:val="20"/>
              </w:rPr>
              <w:t>(cultura,</w:t>
            </w:r>
            <w:r>
              <w:rPr>
                <w:spacing w:val="-21"/>
                <w:w w:val="105"/>
                <w:sz w:val="20"/>
              </w:rPr>
              <w:t> </w:t>
            </w:r>
            <w:r>
              <w:rPr>
                <w:w w:val="105"/>
                <w:sz w:val="20"/>
              </w:rPr>
              <w:t>historia,</w:t>
            </w:r>
            <w:r>
              <w:rPr>
                <w:spacing w:val="-20"/>
                <w:w w:val="105"/>
                <w:sz w:val="20"/>
              </w:rPr>
              <w:t> </w:t>
            </w:r>
            <w:r>
              <w:rPr>
                <w:w w:val="105"/>
                <w:sz w:val="20"/>
              </w:rPr>
              <w:t>social,</w:t>
            </w:r>
            <w:r>
              <w:rPr>
                <w:spacing w:val="-20"/>
                <w:w w:val="105"/>
                <w:sz w:val="20"/>
              </w:rPr>
              <w:t> </w:t>
            </w:r>
            <w:r>
              <w:rPr>
                <w:w w:val="105"/>
                <w:sz w:val="20"/>
              </w:rPr>
              <w:t>económica,</w:t>
            </w:r>
            <w:r>
              <w:rPr>
                <w:spacing w:val="-20"/>
                <w:w w:val="105"/>
                <w:sz w:val="20"/>
              </w:rPr>
              <w:t> </w:t>
            </w:r>
            <w:r>
              <w:rPr>
                <w:w w:val="105"/>
                <w:sz w:val="20"/>
              </w:rPr>
              <w:t>política,</w:t>
            </w:r>
            <w:r>
              <w:rPr>
                <w:spacing w:val="-20"/>
                <w:w w:val="105"/>
                <w:sz w:val="20"/>
              </w:rPr>
              <w:t> </w:t>
            </w:r>
            <w:r>
              <w:rPr>
                <w:w w:val="105"/>
                <w:sz w:val="20"/>
              </w:rPr>
              <w:t>legales, ecológicas,</w:t>
            </w:r>
            <w:r>
              <w:rPr>
                <w:spacing w:val="-25"/>
                <w:w w:val="105"/>
                <w:sz w:val="20"/>
              </w:rPr>
              <w:t> </w:t>
            </w:r>
            <w:r>
              <w:rPr>
                <w:w w:val="105"/>
                <w:sz w:val="20"/>
              </w:rPr>
              <w:t>físicas</w:t>
            </w:r>
            <w:r>
              <w:rPr>
                <w:spacing w:val="-24"/>
                <w:w w:val="105"/>
                <w:sz w:val="20"/>
              </w:rPr>
              <w:t> </w:t>
            </w:r>
            <w:r>
              <w:rPr>
                <w:w w:val="105"/>
                <w:sz w:val="20"/>
              </w:rPr>
              <w:t>y</w:t>
            </w:r>
            <w:r>
              <w:rPr>
                <w:spacing w:val="-23"/>
                <w:w w:val="105"/>
                <w:sz w:val="20"/>
              </w:rPr>
              <w:t> </w:t>
            </w:r>
            <w:r>
              <w:rPr>
                <w:w w:val="105"/>
                <w:sz w:val="20"/>
              </w:rPr>
              <w:t>territoriales).</w:t>
            </w:r>
          </w:p>
        </w:tc>
      </w:tr>
      <w:tr>
        <w:trPr>
          <w:trHeight w:val="808" w:hRule="exact"/>
        </w:trPr>
        <w:tc>
          <w:tcPr>
            <w:tcW w:w="2920" w:type="dxa"/>
          </w:tcPr>
          <w:p>
            <w:pPr>
              <w:pStyle w:val="TableParagraph"/>
              <w:spacing w:before="3"/>
              <w:rPr>
                <w:rFonts w:ascii="Arial"/>
                <w:sz w:val="23"/>
              </w:rPr>
            </w:pPr>
          </w:p>
          <w:p>
            <w:pPr>
              <w:pStyle w:val="TableParagraph"/>
              <w:ind w:left="106" w:right="106"/>
              <w:jc w:val="center"/>
              <w:rPr>
                <w:sz w:val="20"/>
              </w:rPr>
            </w:pPr>
            <w:r>
              <w:rPr>
                <w:w w:val="105"/>
                <w:sz w:val="20"/>
              </w:rPr>
              <w:t>Espinoza y Gómez, 2010.</w:t>
            </w:r>
          </w:p>
        </w:tc>
        <w:tc>
          <w:tcPr>
            <w:tcW w:w="5898" w:type="dxa"/>
          </w:tcPr>
          <w:p>
            <w:pPr>
              <w:pStyle w:val="TableParagraph"/>
              <w:spacing w:line="264" w:lineRule="auto" w:before="7"/>
              <w:ind w:left="143" w:right="145" w:firstLine="4"/>
              <w:jc w:val="center"/>
              <w:rPr>
                <w:sz w:val="20"/>
              </w:rPr>
            </w:pPr>
            <w:r>
              <w:rPr>
                <w:w w:val="105"/>
                <w:sz w:val="20"/>
              </w:rPr>
              <w:t>Espacio</w:t>
            </w:r>
            <w:r>
              <w:rPr>
                <w:spacing w:val="-15"/>
                <w:w w:val="105"/>
                <w:sz w:val="20"/>
              </w:rPr>
              <w:t> </w:t>
            </w:r>
            <w:r>
              <w:rPr>
                <w:w w:val="105"/>
                <w:sz w:val="20"/>
              </w:rPr>
              <w:t>interior</w:t>
            </w:r>
            <w:r>
              <w:rPr>
                <w:spacing w:val="-14"/>
                <w:w w:val="105"/>
                <w:sz w:val="20"/>
              </w:rPr>
              <w:t> </w:t>
            </w:r>
            <w:r>
              <w:rPr>
                <w:w w:val="105"/>
                <w:sz w:val="20"/>
              </w:rPr>
              <w:t>o</w:t>
            </w:r>
            <w:r>
              <w:rPr>
                <w:spacing w:val="-15"/>
                <w:w w:val="105"/>
                <w:sz w:val="20"/>
              </w:rPr>
              <w:t> </w:t>
            </w:r>
            <w:r>
              <w:rPr>
                <w:w w:val="105"/>
                <w:sz w:val="20"/>
              </w:rPr>
              <w:t>exterior</w:t>
            </w:r>
            <w:r>
              <w:rPr>
                <w:spacing w:val="-14"/>
                <w:w w:val="105"/>
                <w:sz w:val="20"/>
              </w:rPr>
              <w:t> </w:t>
            </w:r>
            <w:r>
              <w:rPr>
                <w:w w:val="105"/>
                <w:sz w:val="20"/>
              </w:rPr>
              <w:t>de</w:t>
            </w:r>
            <w:r>
              <w:rPr>
                <w:spacing w:val="-13"/>
                <w:w w:val="105"/>
                <w:sz w:val="20"/>
              </w:rPr>
              <w:t> </w:t>
            </w:r>
            <w:r>
              <w:rPr>
                <w:w w:val="105"/>
                <w:sz w:val="20"/>
              </w:rPr>
              <w:t>escala</w:t>
            </w:r>
            <w:r>
              <w:rPr>
                <w:spacing w:val="-14"/>
                <w:w w:val="105"/>
                <w:sz w:val="20"/>
              </w:rPr>
              <w:t> </w:t>
            </w:r>
            <w:r>
              <w:rPr>
                <w:w w:val="105"/>
                <w:sz w:val="20"/>
              </w:rPr>
              <w:t>urbana</w:t>
            </w:r>
            <w:r>
              <w:rPr>
                <w:spacing w:val="-14"/>
                <w:w w:val="105"/>
                <w:sz w:val="20"/>
              </w:rPr>
              <w:t> </w:t>
            </w:r>
            <w:r>
              <w:rPr>
                <w:w w:val="105"/>
                <w:sz w:val="20"/>
              </w:rPr>
              <w:t>o</w:t>
            </w:r>
            <w:r>
              <w:rPr>
                <w:spacing w:val="-15"/>
                <w:w w:val="105"/>
                <w:sz w:val="20"/>
              </w:rPr>
              <w:t> </w:t>
            </w:r>
            <w:r>
              <w:rPr>
                <w:w w:val="105"/>
                <w:sz w:val="20"/>
              </w:rPr>
              <w:t>rural,</w:t>
            </w:r>
            <w:r>
              <w:rPr>
                <w:spacing w:val="-16"/>
                <w:w w:val="105"/>
                <w:sz w:val="20"/>
              </w:rPr>
              <w:t> </w:t>
            </w:r>
            <w:r>
              <w:rPr>
                <w:w w:val="105"/>
                <w:sz w:val="20"/>
              </w:rPr>
              <w:t>mezcla</w:t>
            </w:r>
            <w:r>
              <w:rPr>
                <w:spacing w:val="-14"/>
                <w:w w:val="105"/>
                <w:sz w:val="20"/>
              </w:rPr>
              <w:t> </w:t>
            </w:r>
            <w:r>
              <w:rPr>
                <w:w w:val="105"/>
                <w:sz w:val="20"/>
              </w:rPr>
              <w:t>entre</w:t>
            </w:r>
            <w:r>
              <w:rPr>
                <w:spacing w:val="-14"/>
                <w:w w:val="105"/>
                <w:sz w:val="20"/>
              </w:rPr>
              <w:t> </w:t>
            </w:r>
            <w:r>
              <w:rPr>
                <w:w w:val="105"/>
                <w:sz w:val="20"/>
              </w:rPr>
              <w:t>lo físico,</w:t>
            </w:r>
            <w:r>
              <w:rPr>
                <w:spacing w:val="-18"/>
                <w:w w:val="105"/>
                <w:sz w:val="20"/>
              </w:rPr>
              <w:t> </w:t>
            </w:r>
            <w:r>
              <w:rPr>
                <w:w w:val="105"/>
                <w:sz w:val="20"/>
              </w:rPr>
              <w:t>psicológico</w:t>
            </w:r>
            <w:r>
              <w:rPr>
                <w:spacing w:val="-17"/>
                <w:w w:val="105"/>
                <w:sz w:val="20"/>
              </w:rPr>
              <w:t> </w:t>
            </w:r>
            <w:r>
              <w:rPr>
                <w:w w:val="105"/>
                <w:sz w:val="20"/>
              </w:rPr>
              <w:t>y</w:t>
            </w:r>
            <w:r>
              <w:rPr>
                <w:spacing w:val="-16"/>
                <w:w w:val="105"/>
                <w:sz w:val="20"/>
              </w:rPr>
              <w:t> </w:t>
            </w:r>
            <w:r>
              <w:rPr>
                <w:w w:val="105"/>
                <w:sz w:val="20"/>
              </w:rPr>
              <w:t>social</w:t>
            </w:r>
            <w:r>
              <w:rPr>
                <w:spacing w:val="-15"/>
                <w:w w:val="105"/>
                <w:sz w:val="20"/>
              </w:rPr>
              <w:t> </w:t>
            </w:r>
            <w:r>
              <w:rPr>
                <w:w w:val="105"/>
                <w:sz w:val="20"/>
              </w:rPr>
              <w:t>sin</w:t>
            </w:r>
            <w:r>
              <w:rPr>
                <w:spacing w:val="-17"/>
                <w:w w:val="105"/>
                <w:sz w:val="20"/>
              </w:rPr>
              <w:t> </w:t>
            </w:r>
            <w:r>
              <w:rPr>
                <w:w w:val="105"/>
                <w:sz w:val="20"/>
              </w:rPr>
              <w:t>perder</w:t>
            </w:r>
            <w:r>
              <w:rPr>
                <w:spacing w:val="-17"/>
                <w:w w:val="105"/>
                <w:sz w:val="20"/>
              </w:rPr>
              <w:t> </w:t>
            </w:r>
            <w:r>
              <w:rPr>
                <w:w w:val="105"/>
                <w:sz w:val="20"/>
              </w:rPr>
              <w:t>la</w:t>
            </w:r>
            <w:r>
              <w:rPr>
                <w:spacing w:val="-17"/>
                <w:w w:val="105"/>
                <w:sz w:val="20"/>
              </w:rPr>
              <w:t> </w:t>
            </w:r>
            <w:r>
              <w:rPr>
                <w:w w:val="105"/>
                <w:sz w:val="20"/>
              </w:rPr>
              <w:t>interacción</w:t>
            </w:r>
            <w:r>
              <w:rPr>
                <w:spacing w:val="-17"/>
                <w:w w:val="105"/>
                <w:sz w:val="20"/>
              </w:rPr>
              <w:t> </w:t>
            </w:r>
            <w:r>
              <w:rPr>
                <w:w w:val="105"/>
                <w:sz w:val="20"/>
              </w:rPr>
              <w:t>con</w:t>
            </w:r>
            <w:r>
              <w:rPr>
                <w:spacing w:val="-17"/>
                <w:w w:val="105"/>
                <w:sz w:val="20"/>
              </w:rPr>
              <w:t> </w:t>
            </w:r>
            <w:r>
              <w:rPr>
                <w:w w:val="105"/>
                <w:sz w:val="20"/>
              </w:rPr>
              <w:t>los</w:t>
            </w:r>
            <w:r>
              <w:rPr>
                <w:spacing w:val="-17"/>
                <w:w w:val="105"/>
                <w:sz w:val="20"/>
              </w:rPr>
              <w:t> </w:t>
            </w:r>
            <w:r>
              <w:rPr>
                <w:w w:val="105"/>
                <w:sz w:val="20"/>
              </w:rPr>
              <w:t>procesos ambientales.</w:t>
            </w:r>
          </w:p>
        </w:tc>
      </w:tr>
      <w:tr>
        <w:trPr>
          <w:trHeight w:val="539" w:hRule="exact"/>
        </w:trPr>
        <w:tc>
          <w:tcPr>
            <w:tcW w:w="2920" w:type="dxa"/>
          </w:tcPr>
          <w:p>
            <w:pPr>
              <w:pStyle w:val="TableParagraph"/>
              <w:spacing w:before="132"/>
              <w:ind w:left="106" w:right="106"/>
              <w:jc w:val="center"/>
              <w:rPr>
                <w:sz w:val="20"/>
              </w:rPr>
            </w:pPr>
            <w:r>
              <w:rPr>
                <w:w w:val="105"/>
                <w:sz w:val="20"/>
              </w:rPr>
              <w:t>Arcas, 2011.</w:t>
            </w:r>
          </w:p>
        </w:tc>
        <w:tc>
          <w:tcPr>
            <w:tcW w:w="5898" w:type="dxa"/>
          </w:tcPr>
          <w:p>
            <w:pPr>
              <w:pStyle w:val="TableParagraph"/>
              <w:spacing w:before="132"/>
              <w:ind w:left="34" w:right="34"/>
              <w:jc w:val="center"/>
              <w:rPr>
                <w:sz w:val="20"/>
              </w:rPr>
            </w:pPr>
            <w:r>
              <w:rPr>
                <w:w w:val="105"/>
                <w:sz w:val="20"/>
              </w:rPr>
              <w:t>Entendida para satisfacer las necesidades humanas.</w:t>
            </w:r>
          </w:p>
        </w:tc>
      </w:tr>
      <w:tr>
        <w:trPr>
          <w:trHeight w:val="538" w:hRule="exact"/>
        </w:trPr>
        <w:tc>
          <w:tcPr>
            <w:tcW w:w="2920" w:type="dxa"/>
          </w:tcPr>
          <w:p>
            <w:pPr>
              <w:pStyle w:val="TableParagraph"/>
              <w:spacing w:before="132"/>
              <w:ind w:left="105" w:right="106"/>
              <w:jc w:val="center"/>
              <w:rPr>
                <w:sz w:val="20"/>
              </w:rPr>
            </w:pPr>
            <w:r>
              <w:rPr>
                <w:w w:val="105"/>
                <w:sz w:val="20"/>
              </w:rPr>
              <w:t>Mejía, 2012.</w:t>
            </w:r>
          </w:p>
        </w:tc>
        <w:tc>
          <w:tcPr>
            <w:tcW w:w="5898" w:type="dxa"/>
          </w:tcPr>
          <w:p>
            <w:pPr>
              <w:pStyle w:val="TableParagraph"/>
              <w:spacing w:line="264" w:lineRule="auto" w:before="7"/>
              <w:ind w:left="2340" w:hanging="2288"/>
              <w:rPr>
                <w:sz w:val="20"/>
              </w:rPr>
            </w:pPr>
            <w:r>
              <w:rPr>
                <w:w w:val="105"/>
                <w:sz w:val="20"/>
              </w:rPr>
              <w:t>Acceso</w:t>
            </w:r>
            <w:r>
              <w:rPr>
                <w:spacing w:val="-15"/>
                <w:w w:val="105"/>
                <w:sz w:val="20"/>
              </w:rPr>
              <w:t> </w:t>
            </w:r>
            <w:r>
              <w:rPr>
                <w:w w:val="105"/>
                <w:sz w:val="20"/>
              </w:rPr>
              <w:t>a</w:t>
            </w:r>
            <w:r>
              <w:rPr>
                <w:spacing w:val="-14"/>
                <w:w w:val="105"/>
                <w:sz w:val="20"/>
              </w:rPr>
              <w:t> </w:t>
            </w:r>
            <w:r>
              <w:rPr>
                <w:w w:val="105"/>
                <w:sz w:val="20"/>
              </w:rPr>
              <w:t>los</w:t>
            </w:r>
            <w:r>
              <w:rPr>
                <w:spacing w:val="-14"/>
                <w:w w:val="105"/>
                <w:sz w:val="20"/>
              </w:rPr>
              <w:t> </w:t>
            </w:r>
            <w:r>
              <w:rPr>
                <w:w w:val="105"/>
                <w:sz w:val="20"/>
              </w:rPr>
              <w:t>servicios</w:t>
            </w:r>
            <w:r>
              <w:rPr>
                <w:spacing w:val="-14"/>
                <w:w w:val="105"/>
                <w:sz w:val="20"/>
              </w:rPr>
              <w:t> </w:t>
            </w:r>
            <w:r>
              <w:rPr>
                <w:w w:val="105"/>
                <w:sz w:val="20"/>
              </w:rPr>
              <w:t>públicos,</w:t>
            </w:r>
            <w:r>
              <w:rPr>
                <w:spacing w:val="-15"/>
                <w:w w:val="105"/>
                <w:sz w:val="20"/>
              </w:rPr>
              <w:t> </w:t>
            </w:r>
            <w:r>
              <w:rPr>
                <w:w w:val="105"/>
                <w:sz w:val="20"/>
              </w:rPr>
              <w:t>los</w:t>
            </w:r>
            <w:r>
              <w:rPr>
                <w:spacing w:val="-14"/>
                <w:w w:val="105"/>
                <w:sz w:val="20"/>
              </w:rPr>
              <w:t> </w:t>
            </w:r>
            <w:r>
              <w:rPr>
                <w:w w:val="105"/>
                <w:sz w:val="20"/>
              </w:rPr>
              <w:t>materiales</w:t>
            </w:r>
            <w:r>
              <w:rPr>
                <w:spacing w:val="-13"/>
                <w:w w:val="105"/>
                <w:sz w:val="20"/>
              </w:rPr>
              <w:t> </w:t>
            </w:r>
            <w:r>
              <w:rPr>
                <w:w w:val="105"/>
                <w:sz w:val="20"/>
              </w:rPr>
              <w:t>y</w:t>
            </w:r>
            <w:r>
              <w:rPr>
                <w:spacing w:val="-13"/>
                <w:w w:val="105"/>
                <w:sz w:val="20"/>
              </w:rPr>
              <w:t> </w:t>
            </w:r>
            <w:r>
              <w:rPr>
                <w:w w:val="105"/>
                <w:sz w:val="20"/>
              </w:rPr>
              <w:t>estado</w:t>
            </w:r>
            <w:r>
              <w:rPr>
                <w:spacing w:val="-15"/>
                <w:w w:val="105"/>
                <w:sz w:val="20"/>
              </w:rPr>
              <w:t> </w:t>
            </w:r>
            <w:r>
              <w:rPr>
                <w:w w:val="105"/>
                <w:sz w:val="20"/>
              </w:rPr>
              <w:t>de</w:t>
            </w:r>
            <w:r>
              <w:rPr>
                <w:spacing w:val="-13"/>
                <w:w w:val="105"/>
                <w:sz w:val="20"/>
              </w:rPr>
              <w:t> </w:t>
            </w:r>
            <w:r>
              <w:rPr>
                <w:w w:val="105"/>
                <w:sz w:val="20"/>
              </w:rPr>
              <w:t>la</w:t>
            </w:r>
            <w:r>
              <w:rPr>
                <w:spacing w:val="-14"/>
                <w:w w:val="105"/>
                <w:sz w:val="20"/>
              </w:rPr>
              <w:t> </w:t>
            </w:r>
            <w:r>
              <w:rPr>
                <w:w w:val="105"/>
                <w:sz w:val="20"/>
              </w:rPr>
              <w:t>vivienda, hacinamiento.</w:t>
            </w:r>
          </w:p>
        </w:tc>
      </w:tr>
      <w:tr>
        <w:trPr>
          <w:trHeight w:val="808" w:hRule="exact"/>
        </w:trPr>
        <w:tc>
          <w:tcPr>
            <w:tcW w:w="2920" w:type="dxa"/>
          </w:tcPr>
          <w:p>
            <w:pPr>
              <w:pStyle w:val="TableParagraph"/>
              <w:spacing w:before="3"/>
              <w:rPr>
                <w:rFonts w:ascii="Arial"/>
                <w:sz w:val="23"/>
              </w:rPr>
            </w:pPr>
          </w:p>
          <w:p>
            <w:pPr>
              <w:pStyle w:val="TableParagraph"/>
              <w:ind w:left="106" w:right="98"/>
              <w:jc w:val="center"/>
              <w:rPr>
                <w:sz w:val="20"/>
              </w:rPr>
            </w:pPr>
            <w:r>
              <w:rPr>
                <w:w w:val="105"/>
                <w:sz w:val="20"/>
              </w:rPr>
              <w:t>Casals, Arcas, Cuchí, 2013.</w:t>
            </w:r>
          </w:p>
        </w:tc>
        <w:tc>
          <w:tcPr>
            <w:tcW w:w="5898" w:type="dxa"/>
          </w:tcPr>
          <w:p>
            <w:pPr>
              <w:pStyle w:val="TableParagraph"/>
              <w:spacing w:line="264" w:lineRule="auto" w:before="7"/>
              <w:ind w:left="71" w:right="71" w:firstLine="5"/>
              <w:jc w:val="center"/>
              <w:rPr>
                <w:sz w:val="20"/>
              </w:rPr>
            </w:pPr>
            <w:r>
              <w:rPr>
                <w:w w:val="105"/>
                <w:sz w:val="20"/>
              </w:rPr>
              <w:t>La habitabilidad son los materiales de construcción, servicios públicos,</w:t>
            </w:r>
            <w:r>
              <w:rPr>
                <w:spacing w:val="-30"/>
                <w:w w:val="105"/>
                <w:sz w:val="20"/>
              </w:rPr>
              <w:t> </w:t>
            </w:r>
            <w:r>
              <w:rPr>
                <w:w w:val="105"/>
                <w:sz w:val="20"/>
              </w:rPr>
              <w:t>dimensiones,</w:t>
            </w:r>
            <w:r>
              <w:rPr>
                <w:spacing w:val="-30"/>
                <w:w w:val="105"/>
                <w:sz w:val="20"/>
              </w:rPr>
              <w:t> </w:t>
            </w:r>
            <w:r>
              <w:rPr>
                <w:w w:val="105"/>
                <w:sz w:val="20"/>
              </w:rPr>
              <w:t>localización,</w:t>
            </w:r>
            <w:r>
              <w:rPr>
                <w:spacing w:val="-30"/>
                <w:w w:val="105"/>
                <w:sz w:val="20"/>
              </w:rPr>
              <w:t> </w:t>
            </w:r>
            <w:r>
              <w:rPr>
                <w:w w:val="105"/>
                <w:sz w:val="20"/>
              </w:rPr>
              <w:t>hacinamiento,</w:t>
            </w:r>
            <w:r>
              <w:rPr>
                <w:spacing w:val="-30"/>
                <w:w w:val="105"/>
                <w:sz w:val="20"/>
              </w:rPr>
              <w:t> </w:t>
            </w:r>
            <w:r>
              <w:rPr>
                <w:w w:val="105"/>
                <w:sz w:val="20"/>
              </w:rPr>
              <w:t>seguridad</w:t>
            </w:r>
            <w:r>
              <w:rPr>
                <w:spacing w:val="-29"/>
                <w:w w:val="105"/>
                <w:sz w:val="20"/>
              </w:rPr>
              <w:t> </w:t>
            </w:r>
            <w:r>
              <w:rPr>
                <w:w w:val="105"/>
                <w:sz w:val="20"/>
              </w:rPr>
              <w:t>jurídica y el</w:t>
            </w:r>
            <w:r>
              <w:rPr>
                <w:spacing w:val="-30"/>
                <w:w w:val="105"/>
                <w:sz w:val="20"/>
              </w:rPr>
              <w:t> </w:t>
            </w:r>
            <w:r>
              <w:rPr>
                <w:w w:val="105"/>
                <w:sz w:val="20"/>
              </w:rPr>
              <w:t>entorno.</w:t>
            </w:r>
          </w:p>
        </w:tc>
      </w:tr>
      <w:tr>
        <w:trPr>
          <w:trHeight w:val="808" w:hRule="exact"/>
        </w:trPr>
        <w:tc>
          <w:tcPr>
            <w:tcW w:w="2920" w:type="dxa"/>
          </w:tcPr>
          <w:p>
            <w:pPr>
              <w:pStyle w:val="TableParagraph"/>
              <w:spacing w:before="2"/>
              <w:rPr>
                <w:rFonts w:ascii="Arial"/>
                <w:sz w:val="23"/>
              </w:rPr>
            </w:pPr>
          </w:p>
          <w:p>
            <w:pPr>
              <w:pStyle w:val="TableParagraph"/>
              <w:ind w:left="106" w:right="105"/>
              <w:jc w:val="center"/>
              <w:rPr>
                <w:sz w:val="20"/>
              </w:rPr>
            </w:pPr>
            <w:r>
              <w:rPr>
                <w:w w:val="105"/>
                <w:sz w:val="20"/>
              </w:rPr>
              <w:t>Oliva, 2014.</w:t>
            </w:r>
          </w:p>
        </w:tc>
        <w:tc>
          <w:tcPr>
            <w:tcW w:w="5898" w:type="dxa"/>
          </w:tcPr>
          <w:p>
            <w:pPr>
              <w:pStyle w:val="TableParagraph"/>
              <w:spacing w:line="264" w:lineRule="auto" w:before="132"/>
              <w:ind w:left="991" w:hanging="705"/>
              <w:rPr>
                <w:sz w:val="20"/>
              </w:rPr>
            </w:pPr>
            <w:r>
              <w:rPr>
                <w:w w:val="105"/>
                <w:sz w:val="20"/>
              </w:rPr>
              <w:t>Cada</w:t>
            </w:r>
            <w:r>
              <w:rPr>
                <w:spacing w:val="-14"/>
                <w:w w:val="105"/>
                <w:sz w:val="20"/>
              </w:rPr>
              <w:t> </w:t>
            </w:r>
            <w:r>
              <w:rPr>
                <w:w w:val="105"/>
                <w:sz w:val="20"/>
              </w:rPr>
              <w:t>una</w:t>
            </w:r>
            <w:r>
              <w:rPr>
                <w:spacing w:val="-14"/>
                <w:w w:val="105"/>
                <w:sz w:val="20"/>
              </w:rPr>
              <w:t> </w:t>
            </w:r>
            <w:r>
              <w:rPr>
                <w:w w:val="105"/>
                <w:sz w:val="20"/>
              </w:rPr>
              <w:t>de</w:t>
            </w:r>
            <w:r>
              <w:rPr>
                <w:spacing w:val="-13"/>
                <w:w w:val="105"/>
                <w:sz w:val="20"/>
              </w:rPr>
              <w:t> </w:t>
            </w:r>
            <w:r>
              <w:rPr>
                <w:w w:val="105"/>
                <w:sz w:val="20"/>
              </w:rPr>
              <w:t>las</w:t>
            </w:r>
            <w:r>
              <w:rPr>
                <w:spacing w:val="-14"/>
                <w:w w:val="105"/>
                <w:sz w:val="20"/>
              </w:rPr>
              <w:t> </w:t>
            </w:r>
            <w:r>
              <w:rPr>
                <w:w w:val="105"/>
                <w:sz w:val="20"/>
              </w:rPr>
              <w:t>formas</w:t>
            </w:r>
            <w:r>
              <w:rPr>
                <w:spacing w:val="-14"/>
                <w:w w:val="105"/>
                <w:sz w:val="20"/>
              </w:rPr>
              <w:t> </w:t>
            </w:r>
            <w:r>
              <w:rPr>
                <w:w w:val="105"/>
                <w:sz w:val="20"/>
              </w:rPr>
              <w:t>naturales</w:t>
            </w:r>
            <w:r>
              <w:rPr>
                <w:spacing w:val="-13"/>
                <w:w w:val="105"/>
                <w:sz w:val="20"/>
              </w:rPr>
              <w:t> </w:t>
            </w:r>
            <w:r>
              <w:rPr>
                <w:w w:val="105"/>
                <w:sz w:val="20"/>
              </w:rPr>
              <w:t>o</w:t>
            </w:r>
            <w:r>
              <w:rPr>
                <w:spacing w:val="-15"/>
                <w:w w:val="105"/>
                <w:sz w:val="20"/>
              </w:rPr>
              <w:t> </w:t>
            </w:r>
            <w:r>
              <w:rPr>
                <w:w w:val="105"/>
                <w:sz w:val="20"/>
              </w:rPr>
              <w:t>adquiridas</w:t>
            </w:r>
            <w:r>
              <w:rPr>
                <w:spacing w:val="-14"/>
                <w:w w:val="105"/>
                <w:sz w:val="20"/>
              </w:rPr>
              <w:t> </w:t>
            </w:r>
            <w:r>
              <w:rPr>
                <w:w w:val="105"/>
                <w:sz w:val="20"/>
              </w:rPr>
              <w:t>que</w:t>
            </w:r>
            <w:r>
              <w:rPr>
                <w:spacing w:val="-13"/>
                <w:w w:val="105"/>
                <w:sz w:val="20"/>
              </w:rPr>
              <w:t> </w:t>
            </w:r>
            <w:r>
              <w:rPr>
                <w:w w:val="105"/>
                <w:sz w:val="20"/>
              </w:rPr>
              <w:t>distingue</w:t>
            </w:r>
            <w:r>
              <w:rPr>
                <w:spacing w:val="-13"/>
                <w:w w:val="105"/>
                <w:sz w:val="20"/>
              </w:rPr>
              <w:t> </w:t>
            </w:r>
            <w:r>
              <w:rPr>
                <w:w w:val="105"/>
                <w:sz w:val="20"/>
              </w:rPr>
              <w:t>los lugares</w:t>
            </w:r>
            <w:r>
              <w:rPr>
                <w:spacing w:val="-18"/>
                <w:w w:val="105"/>
                <w:sz w:val="20"/>
              </w:rPr>
              <w:t> </w:t>
            </w:r>
            <w:r>
              <w:rPr>
                <w:w w:val="105"/>
                <w:sz w:val="20"/>
              </w:rPr>
              <w:t>donde</w:t>
            </w:r>
            <w:r>
              <w:rPr>
                <w:spacing w:val="-17"/>
                <w:w w:val="105"/>
                <w:sz w:val="20"/>
              </w:rPr>
              <w:t> </w:t>
            </w:r>
            <w:r>
              <w:rPr>
                <w:w w:val="105"/>
                <w:sz w:val="20"/>
              </w:rPr>
              <w:t>se</w:t>
            </w:r>
            <w:r>
              <w:rPr>
                <w:spacing w:val="-17"/>
                <w:w w:val="105"/>
                <w:sz w:val="20"/>
              </w:rPr>
              <w:t> </w:t>
            </w:r>
            <w:r>
              <w:rPr>
                <w:w w:val="105"/>
                <w:sz w:val="20"/>
              </w:rPr>
              <w:t>vive</w:t>
            </w:r>
            <w:r>
              <w:rPr>
                <w:spacing w:val="-17"/>
                <w:w w:val="105"/>
                <w:sz w:val="20"/>
              </w:rPr>
              <w:t> </w:t>
            </w:r>
            <w:r>
              <w:rPr>
                <w:w w:val="105"/>
                <w:sz w:val="20"/>
              </w:rPr>
              <w:t>o</w:t>
            </w:r>
            <w:r>
              <w:rPr>
                <w:spacing w:val="-18"/>
                <w:w w:val="105"/>
                <w:sz w:val="20"/>
              </w:rPr>
              <w:t> </w:t>
            </w:r>
            <w:r>
              <w:rPr>
                <w:w w:val="105"/>
                <w:sz w:val="20"/>
              </w:rPr>
              <w:t>mora</w:t>
            </w:r>
            <w:r>
              <w:rPr>
                <w:spacing w:val="-18"/>
                <w:w w:val="105"/>
                <w:sz w:val="20"/>
              </w:rPr>
              <w:t> </w:t>
            </w:r>
            <w:r>
              <w:rPr>
                <w:w w:val="105"/>
                <w:sz w:val="20"/>
              </w:rPr>
              <w:t>frecuentemente.</w:t>
            </w:r>
          </w:p>
        </w:tc>
      </w:tr>
      <w:tr>
        <w:trPr>
          <w:trHeight w:val="1615" w:hRule="exact"/>
        </w:trPr>
        <w:tc>
          <w:tcPr>
            <w:tcW w:w="2920" w:type="dxa"/>
          </w:tcPr>
          <w:p>
            <w:pPr>
              <w:pStyle w:val="TableParagraph"/>
              <w:rPr>
                <w:rFonts w:ascii="Arial"/>
                <w:sz w:val="20"/>
              </w:rPr>
            </w:pPr>
          </w:p>
          <w:p>
            <w:pPr>
              <w:pStyle w:val="TableParagraph"/>
              <w:rPr>
                <w:rFonts w:ascii="Arial"/>
                <w:sz w:val="20"/>
              </w:rPr>
            </w:pPr>
          </w:p>
          <w:p>
            <w:pPr>
              <w:pStyle w:val="TableParagraph"/>
              <w:spacing w:before="3"/>
              <w:rPr>
                <w:rFonts w:ascii="Arial"/>
                <w:sz w:val="18"/>
              </w:rPr>
            </w:pPr>
          </w:p>
          <w:p>
            <w:pPr>
              <w:pStyle w:val="TableParagraph"/>
              <w:spacing w:before="1"/>
              <w:ind w:left="106" w:right="92"/>
              <w:jc w:val="center"/>
              <w:rPr>
                <w:sz w:val="20"/>
              </w:rPr>
            </w:pPr>
            <w:r>
              <w:rPr>
                <w:w w:val="105"/>
                <w:sz w:val="20"/>
              </w:rPr>
              <w:t>Avila, 2016.</w:t>
            </w:r>
          </w:p>
        </w:tc>
        <w:tc>
          <w:tcPr>
            <w:tcW w:w="5898" w:type="dxa"/>
          </w:tcPr>
          <w:p>
            <w:pPr>
              <w:pStyle w:val="TableParagraph"/>
              <w:spacing w:line="264" w:lineRule="auto" w:before="132"/>
              <w:ind w:left="35" w:right="34"/>
              <w:jc w:val="center"/>
              <w:rPr>
                <w:sz w:val="20"/>
              </w:rPr>
            </w:pPr>
            <w:r>
              <w:rPr>
                <w:w w:val="105"/>
                <w:sz w:val="20"/>
              </w:rPr>
              <w:t>Es el espacio geográfico que cubre la necesidad humana de residencia,</w:t>
            </w:r>
            <w:r>
              <w:rPr>
                <w:spacing w:val="-16"/>
                <w:w w:val="105"/>
                <w:sz w:val="20"/>
              </w:rPr>
              <w:t> </w:t>
            </w:r>
            <w:r>
              <w:rPr>
                <w:w w:val="105"/>
                <w:sz w:val="20"/>
              </w:rPr>
              <w:t>con</w:t>
            </w:r>
            <w:r>
              <w:rPr>
                <w:spacing w:val="-15"/>
                <w:w w:val="105"/>
                <w:sz w:val="20"/>
              </w:rPr>
              <w:t> </w:t>
            </w:r>
            <w:r>
              <w:rPr>
                <w:w w:val="105"/>
                <w:sz w:val="20"/>
              </w:rPr>
              <w:t>accesibilidad</w:t>
            </w:r>
            <w:r>
              <w:rPr>
                <w:spacing w:val="-15"/>
                <w:w w:val="105"/>
                <w:sz w:val="20"/>
              </w:rPr>
              <w:t> </w:t>
            </w:r>
            <w:r>
              <w:rPr>
                <w:w w:val="105"/>
                <w:sz w:val="20"/>
              </w:rPr>
              <w:t>a</w:t>
            </w:r>
            <w:r>
              <w:rPr>
                <w:spacing w:val="-15"/>
                <w:w w:val="105"/>
                <w:sz w:val="20"/>
              </w:rPr>
              <w:t> </w:t>
            </w:r>
            <w:r>
              <w:rPr>
                <w:w w:val="105"/>
                <w:sz w:val="20"/>
              </w:rPr>
              <w:t>servicios</w:t>
            </w:r>
            <w:r>
              <w:rPr>
                <w:spacing w:val="-15"/>
                <w:w w:val="105"/>
                <w:sz w:val="20"/>
              </w:rPr>
              <w:t> </w:t>
            </w:r>
            <w:r>
              <w:rPr>
                <w:w w:val="105"/>
                <w:sz w:val="20"/>
              </w:rPr>
              <w:t>públicos</w:t>
            </w:r>
            <w:r>
              <w:rPr>
                <w:spacing w:val="-15"/>
                <w:w w:val="105"/>
                <w:sz w:val="20"/>
              </w:rPr>
              <w:t> </w:t>
            </w:r>
            <w:r>
              <w:rPr>
                <w:w w:val="105"/>
                <w:sz w:val="20"/>
              </w:rPr>
              <w:t>(agua</w:t>
            </w:r>
            <w:r>
              <w:rPr>
                <w:spacing w:val="-15"/>
                <w:w w:val="105"/>
                <w:sz w:val="20"/>
              </w:rPr>
              <w:t> </w:t>
            </w:r>
            <w:r>
              <w:rPr>
                <w:w w:val="105"/>
                <w:sz w:val="20"/>
              </w:rPr>
              <w:t>potable,</w:t>
            </w:r>
            <w:r>
              <w:rPr>
                <w:spacing w:val="-16"/>
                <w:w w:val="105"/>
                <w:sz w:val="20"/>
              </w:rPr>
              <w:t> </w:t>
            </w:r>
            <w:r>
              <w:rPr>
                <w:w w:val="105"/>
                <w:sz w:val="20"/>
              </w:rPr>
              <w:t>luz eléctrica,</w:t>
            </w:r>
            <w:r>
              <w:rPr>
                <w:spacing w:val="-27"/>
                <w:w w:val="105"/>
                <w:sz w:val="20"/>
              </w:rPr>
              <w:t> </w:t>
            </w:r>
            <w:r>
              <w:rPr>
                <w:w w:val="105"/>
                <w:sz w:val="20"/>
              </w:rPr>
              <w:t>drenaje,</w:t>
            </w:r>
            <w:r>
              <w:rPr>
                <w:spacing w:val="-27"/>
                <w:w w:val="105"/>
                <w:sz w:val="20"/>
              </w:rPr>
              <w:t> </w:t>
            </w:r>
            <w:r>
              <w:rPr>
                <w:w w:val="105"/>
                <w:sz w:val="20"/>
              </w:rPr>
              <w:t>saneamiento),</w:t>
            </w:r>
            <w:r>
              <w:rPr>
                <w:spacing w:val="-27"/>
                <w:w w:val="105"/>
                <w:sz w:val="20"/>
              </w:rPr>
              <w:t> </w:t>
            </w:r>
            <w:r>
              <w:rPr>
                <w:w w:val="105"/>
                <w:sz w:val="20"/>
              </w:rPr>
              <w:t>materiales</w:t>
            </w:r>
            <w:r>
              <w:rPr>
                <w:spacing w:val="-25"/>
                <w:w w:val="105"/>
                <w:sz w:val="20"/>
              </w:rPr>
              <w:t> </w:t>
            </w:r>
            <w:r>
              <w:rPr>
                <w:w w:val="105"/>
                <w:sz w:val="20"/>
              </w:rPr>
              <w:t>de</w:t>
            </w:r>
            <w:r>
              <w:rPr>
                <w:spacing w:val="-25"/>
                <w:w w:val="105"/>
                <w:sz w:val="20"/>
              </w:rPr>
              <w:t> </w:t>
            </w:r>
            <w:r>
              <w:rPr>
                <w:w w:val="105"/>
                <w:sz w:val="20"/>
              </w:rPr>
              <w:t>construcción</w:t>
            </w:r>
            <w:r>
              <w:rPr>
                <w:spacing w:val="-26"/>
                <w:w w:val="105"/>
                <w:sz w:val="20"/>
              </w:rPr>
              <w:t> </w:t>
            </w:r>
            <w:r>
              <w:rPr>
                <w:w w:val="105"/>
                <w:sz w:val="20"/>
              </w:rPr>
              <w:t>durables y acordes al lugar geográfico, cercanía con el trabajo, educación, salud</w:t>
            </w:r>
            <w:r>
              <w:rPr>
                <w:spacing w:val="-18"/>
                <w:w w:val="105"/>
                <w:sz w:val="20"/>
              </w:rPr>
              <w:t> </w:t>
            </w:r>
            <w:r>
              <w:rPr>
                <w:w w:val="105"/>
                <w:sz w:val="20"/>
              </w:rPr>
              <w:t>y</w:t>
            </w:r>
            <w:r>
              <w:rPr>
                <w:spacing w:val="-16"/>
                <w:w w:val="105"/>
                <w:sz w:val="20"/>
              </w:rPr>
              <w:t> </w:t>
            </w:r>
            <w:r>
              <w:rPr>
                <w:w w:val="105"/>
                <w:sz w:val="20"/>
              </w:rPr>
              <w:t>recreación,</w:t>
            </w:r>
            <w:r>
              <w:rPr>
                <w:spacing w:val="-18"/>
                <w:w w:val="105"/>
                <w:sz w:val="20"/>
              </w:rPr>
              <w:t> </w:t>
            </w:r>
            <w:r>
              <w:rPr>
                <w:w w:val="105"/>
                <w:sz w:val="20"/>
              </w:rPr>
              <w:t>sin</w:t>
            </w:r>
            <w:r>
              <w:rPr>
                <w:spacing w:val="-18"/>
                <w:w w:val="105"/>
                <w:sz w:val="20"/>
              </w:rPr>
              <w:t> </w:t>
            </w:r>
            <w:r>
              <w:rPr>
                <w:w w:val="105"/>
                <w:sz w:val="20"/>
              </w:rPr>
              <w:t>riesgos</w:t>
            </w:r>
            <w:r>
              <w:rPr>
                <w:spacing w:val="-17"/>
                <w:w w:val="105"/>
                <w:sz w:val="20"/>
              </w:rPr>
              <w:t> </w:t>
            </w:r>
            <w:r>
              <w:rPr>
                <w:w w:val="105"/>
                <w:sz w:val="20"/>
              </w:rPr>
              <w:t>naturales</w:t>
            </w:r>
            <w:r>
              <w:rPr>
                <w:spacing w:val="-16"/>
                <w:w w:val="105"/>
                <w:sz w:val="20"/>
              </w:rPr>
              <w:t> </w:t>
            </w:r>
            <w:r>
              <w:rPr>
                <w:w w:val="105"/>
                <w:sz w:val="20"/>
              </w:rPr>
              <w:t>y</w:t>
            </w:r>
            <w:r>
              <w:rPr>
                <w:spacing w:val="-16"/>
                <w:w w:val="105"/>
                <w:sz w:val="20"/>
              </w:rPr>
              <w:t> </w:t>
            </w:r>
            <w:r>
              <w:rPr>
                <w:w w:val="105"/>
                <w:sz w:val="20"/>
              </w:rPr>
              <w:t>ambientales.</w:t>
            </w:r>
          </w:p>
        </w:tc>
      </w:tr>
    </w:tbl>
    <w:p>
      <w:pPr>
        <w:spacing w:before="0"/>
        <w:ind w:left="161" w:right="216" w:firstLine="0"/>
        <w:jc w:val="center"/>
        <w:rPr>
          <w:sz w:val="20"/>
        </w:rPr>
      </w:pPr>
      <w:r>
        <w:rPr>
          <w:sz w:val="20"/>
        </w:rPr>
        <w:t>Fuente: Elaboración propia.</w:t>
      </w:r>
    </w:p>
    <w:p>
      <w:pPr>
        <w:spacing w:after="0"/>
        <w:jc w:val="center"/>
        <w:rPr>
          <w:sz w:val="20"/>
        </w:rPr>
        <w:sectPr>
          <w:pgSz w:w="12240" w:h="15840"/>
          <w:pgMar w:header="0" w:footer="1003" w:top="1360" w:bottom="1200" w:left="1620" w:right="1560"/>
        </w:sectPr>
      </w:pPr>
    </w:p>
    <w:p>
      <w:pPr>
        <w:pStyle w:val="ListParagraph"/>
        <w:numPr>
          <w:ilvl w:val="2"/>
          <w:numId w:val="12"/>
        </w:numPr>
        <w:tabs>
          <w:tab w:pos="643" w:val="left" w:leader="none"/>
        </w:tabs>
        <w:spacing w:line="240" w:lineRule="auto" w:before="56" w:after="0"/>
        <w:ind w:left="642" w:right="0" w:hanging="540"/>
        <w:jc w:val="both"/>
        <w:rPr>
          <w:rFonts w:ascii="Cambria" w:hAnsi="Cambria"/>
          <w:b/>
          <w:sz w:val="22"/>
        </w:rPr>
      </w:pPr>
      <w:r>
        <w:rPr>
          <w:rFonts w:ascii="Cambria" w:hAnsi="Cambria"/>
          <w:b/>
          <w:color w:val="4F81BC"/>
          <w:sz w:val="22"/>
        </w:rPr>
        <w:t>Características de la</w:t>
      </w:r>
      <w:r>
        <w:rPr>
          <w:rFonts w:ascii="Cambria" w:hAnsi="Cambria"/>
          <w:b/>
          <w:color w:val="4F81BC"/>
          <w:spacing w:val="-17"/>
          <w:sz w:val="22"/>
        </w:rPr>
        <w:t> </w:t>
      </w:r>
      <w:r>
        <w:rPr>
          <w:rFonts w:ascii="Cambria" w:hAnsi="Cambria"/>
          <w:b/>
          <w:color w:val="4F81BC"/>
          <w:sz w:val="22"/>
        </w:rPr>
        <w:t>habitabilidad</w:t>
      </w:r>
    </w:p>
    <w:p>
      <w:pPr>
        <w:pStyle w:val="BodyText"/>
        <w:rPr>
          <w:rFonts w:ascii="Cambria"/>
          <w:b/>
          <w:sz w:val="22"/>
        </w:rPr>
      </w:pPr>
    </w:p>
    <w:p>
      <w:pPr>
        <w:pStyle w:val="BodyText"/>
        <w:rPr>
          <w:rFonts w:ascii="Cambria"/>
          <w:b/>
          <w:sz w:val="22"/>
        </w:rPr>
      </w:pPr>
    </w:p>
    <w:p>
      <w:pPr>
        <w:spacing w:line="360" w:lineRule="auto" w:before="134"/>
        <w:ind w:left="102" w:right="99" w:firstLine="0"/>
        <w:jc w:val="both"/>
        <w:rPr>
          <w:sz w:val="24"/>
        </w:rPr>
      </w:pPr>
      <w:r>
        <w:rPr>
          <w:sz w:val="24"/>
        </w:rPr>
        <w:t>Hoy en día las características de “</w:t>
      </w:r>
      <w:r>
        <w:rPr>
          <w:i/>
          <w:sz w:val="24"/>
        </w:rPr>
        <w:t>la habitabilidad de las viviendas nos muestran </w:t>
      </w:r>
      <w:r>
        <w:rPr>
          <w:i/>
          <w:sz w:val="24"/>
        </w:rPr>
        <w:t>una separación marcada por las distintas condiciones de habitabilidad en unas y otras partes de la ciudad” </w:t>
      </w:r>
      <w:r>
        <w:rPr>
          <w:sz w:val="24"/>
        </w:rPr>
        <w:t>(Alguacil, 1998), ya que en ciertas zonas de la zona metropolitana de Toluca se cuentan o no con la infraestructura y equipamiento para que exista la habitabilidad, también se deduce entonces que la calidad en el medio ambiente y el microclima urbano son factores importantes que determinan  el grado de habitabilidad de las viviendas en las</w:t>
      </w:r>
      <w:r>
        <w:rPr>
          <w:spacing w:val="-17"/>
          <w:sz w:val="24"/>
        </w:rPr>
        <w:t> </w:t>
      </w:r>
      <w:r>
        <w:rPr>
          <w:sz w:val="24"/>
        </w:rPr>
        <w:t>ciudades.</w:t>
      </w:r>
    </w:p>
    <w:p>
      <w:pPr>
        <w:pStyle w:val="BodyText"/>
        <w:spacing w:line="360" w:lineRule="auto" w:before="202"/>
        <w:ind w:left="102" w:right="99"/>
        <w:jc w:val="both"/>
      </w:pPr>
      <w:r>
        <w:rPr/>
        <w:t>Dentro de estas características de la </w:t>
      </w:r>
      <w:r>
        <w:rPr>
          <w:i/>
        </w:rPr>
        <w:t>habitabilidad </w:t>
      </w:r>
      <w:r>
        <w:rPr/>
        <w:t>de las viviendas es preciso considerar</w:t>
      </w:r>
    </w:p>
    <w:p>
      <w:pPr>
        <w:spacing w:line="240" w:lineRule="auto" w:before="199"/>
        <w:ind w:left="385" w:right="428" w:firstLine="0"/>
        <w:jc w:val="both"/>
        <w:rPr>
          <w:sz w:val="24"/>
        </w:rPr>
      </w:pPr>
      <w:r>
        <w:rPr>
          <w:sz w:val="24"/>
        </w:rPr>
        <w:t>“</w:t>
      </w:r>
      <w:r>
        <w:rPr>
          <w:i/>
          <w:sz w:val="24"/>
        </w:rPr>
        <w:t>el incremento de los precios del suelo, derivado del interés por atraer </w:t>
      </w:r>
      <w:r>
        <w:rPr>
          <w:i/>
          <w:sz w:val="24"/>
        </w:rPr>
        <w:t>inversiones a las ciudades, esto ha resultado imposible para sectores de la población para acceder a una vivienda, los cuales se ven obligados a recorrer enormes distancias entre el lugar de residencia y el lugar de trabajo” </w:t>
      </w:r>
      <w:r>
        <w:rPr>
          <w:sz w:val="24"/>
        </w:rPr>
        <w:t>(Alguacil, 1998:</w:t>
      </w:r>
      <w:r>
        <w:rPr>
          <w:spacing w:val="-8"/>
          <w:sz w:val="24"/>
        </w:rPr>
        <w:t> </w:t>
      </w:r>
      <w:r>
        <w:rPr>
          <w:sz w:val="24"/>
        </w:rPr>
        <w:t>206).</w:t>
      </w:r>
    </w:p>
    <w:p>
      <w:pPr>
        <w:pStyle w:val="BodyText"/>
      </w:pPr>
    </w:p>
    <w:p>
      <w:pPr>
        <w:pStyle w:val="BodyText"/>
        <w:spacing w:before="5"/>
        <w:rPr>
          <w:sz w:val="34"/>
        </w:rPr>
      </w:pPr>
    </w:p>
    <w:p>
      <w:pPr>
        <w:spacing w:line="360" w:lineRule="auto" w:before="0"/>
        <w:ind w:left="102" w:right="100" w:firstLine="0"/>
        <w:jc w:val="both"/>
        <w:rPr>
          <w:sz w:val="24"/>
        </w:rPr>
      </w:pPr>
      <w:r>
        <w:rPr>
          <w:sz w:val="24"/>
        </w:rPr>
        <w:t>Una característica de “</w:t>
      </w:r>
      <w:r>
        <w:rPr>
          <w:i/>
          <w:sz w:val="24"/>
        </w:rPr>
        <w:t>la habitabilidad es la socio cultural, se refiere a la forma o el </w:t>
      </w:r>
      <w:r>
        <w:rPr>
          <w:i/>
          <w:sz w:val="24"/>
        </w:rPr>
        <w:t>modo en que los espacios son habitados, a los modos de vida según tradiciones y costumbres ancestrales y a las relaciones entre los hombres y los espacios que habitan” </w:t>
      </w:r>
      <w:r>
        <w:rPr>
          <w:sz w:val="24"/>
        </w:rPr>
        <w:t>(Villagrán, 2001: 9). Esta </w:t>
      </w:r>
      <w:r>
        <w:rPr>
          <w:i/>
          <w:sz w:val="24"/>
        </w:rPr>
        <w:t>habitabilidad </w:t>
      </w:r>
      <w:r>
        <w:rPr>
          <w:sz w:val="24"/>
        </w:rPr>
        <w:t>socio cultural es notable en la ciudad por las migraciones de personas que se dan del campo a las ciudades.</w:t>
      </w:r>
    </w:p>
    <w:p>
      <w:pPr>
        <w:pStyle w:val="BodyText"/>
        <w:spacing w:line="362" w:lineRule="auto" w:before="202"/>
        <w:ind w:left="102" w:right="100"/>
        <w:jc w:val="both"/>
      </w:pPr>
      <w:r>
        <w:rPr/>
        <w:t>Esta característica socio cultural de la </w:t>
      </w:r>
      <w:r>
        <w:rPr>
          <w:i/>
        </w:rPr>
        <w:t>habitabilidad </w:t>
      </w:r>
      <w:r>
        <w:rPr/>
        <w:t>respeta los modos de vida de las personas, las tradiciones, costumbres, estos aspectos procuran espacios donde se pueda habitar</w:t>
      </w:r>
      <w:r>
        <w:rPr>
          <w:spacing w:val="-10"/>
        </w:rPr>
        <w:t> </w:t>
      </w:r>
      <w:r>
        <w:rPr/>
        <w:t>socialmente.</w:t>
      </w:r>
    </w:p>
    <w:p>
      <w:pPr>
        <w:pStyle w:val="BodyText"/>
        <w:spacing w:line="360" w:lineRule="auto" w:before="199"/>
        <w:ind w:left="102" w:right="101"/>
        <w:jc w:val="both"/>
      </w:pPr>
      <w:r>
        <w:rPr/>
        <w:t>Otra característica de la </w:t>
      </w:r>
      <w:r>
        <w:rPr>
          <w:i/>
        </w:rPr>
        <w:t>habitabilidad </w:t>
      </w:r>
      <w:r>
        <w:rPr/>
        <w:t>de las viviendas es sin duda la construcción, la </w:t>
      </w:r>
      <w:r>
        <w:rPr>
          <w:i/>
        </w:rPr>
        <w:t>habitabilidad </w:t>
      </w:r>
      <w:r>
        <w:rPr/>
        <w:t>a la hora de construir las viviendas es un rasgo fundamental del  ser humano. En este sentido, el edificar o construir la vivienda tiene como propósito el tener la capacidad de proteger a las personas que van a habitar esa vivienda</w:t>
      </w:r>
      <w:r>
        <w:rPr>
          <w:spacing w:val="26"/>
        </w:rPr>
        <w:t> </w:t>
      </w:r>
      <w:r>
        <w:rPr/>
        <w:t>además</w:t>
      </w:r>
      <w:r>
        <w:rPr>
          <w:spacing w:val="26"/>
        </w:rPr>
        <w:t> </w:t>
      </w:r>
      <w:r>
        <w:rPr/>
        <w:t>de</w:t>
      </w:r>
      <w:r>
        <w:rPr>
          <w:spacing w:val="24"/>
        </w:rPr>
        <w:t> </w:t>
      </w:r>
      <w:r>
        <w:rPr/>
        <w:t>aislarlo</w:t>
      </w:r>
      <w:r>
        <w:rPr>
          <w:spacing w:val="26"/>
        </w:rPr>
        <w:t> </w:t>
      </w:r>
      <w:r>
        <w:rPr/>
        <w:t>de</w:t>
      </w:r>
      <w:r>
        <w:rPr>
          <w:spacing w:val="26"/>
        </w:rPr>
        <w:t> </w:t>
      </w:r>
      <w:r>
        <w:rPr/>
        <w:t>las</w:t>
      </w:r>
      <w:r>
        <w:rPr>
          <w:spacing w:val="26"/>
        </w:rPr>
        <w:t> </w:t>
      </w:r>
      <w:r>
        <w:rPr/>
        <w:t>condiciones</w:t>
      </w:r>
      <w:r>
        <w:rPr>
          <w:spacing w:val="23"/>
        </w:rPr>
        <w:t> </w:t>
      </w:r>
      <w:r>
        <w:rPr/>
        <w:t>del</w:t>
      </w:r>
      <w:r>
        <w:rPr>
          <w:spacing w:val="23"/>
        </w:rPr>
        <w:t> </w:t>
      </w:r>
      <w:r>
        <w:rPr/>
        <w:t>medio</w:t>
      </w:r>
      <w:r>
        <w:rPr>
          <w:spacing w:val="24"/>
        </w:rPr>
        <w:t> </w:t>
      </w:r>
      <w:r>
        <w:rPr/>
        <w:t>ambiente.</w:t>
      </w:r>
      <w:r>
        <w:rPr>
          <w:spacing w:val="24"/>
        </w:rPr>
        <w:t> </w:t>
      </w:r>
      <w:r>
        <w:rPr/>
        <w:t>Es</w:t>
      </w:r>
      <w:r>
        <w:rPr>
          <w:spacing w:val="26"/>
        </w:rPr>
        <w:t> </w:t>
      </w:r>
      <w:r>
        <w:rPr/>
        <w:t>por</w:t>
      </w:r>
      <w:r>
        <w:rPr>
          <w:spacing w:val="25"/>
        </w:rPr>
        <w:t> </w:t>
      </w:r>
      <w:r>
        <w:rPr/>
        <w:t>ello,</w:t>
      </w:r>
    </w:p>
    <w:p>
      <w:pPr>
        <w:spacing w:after="0" w:line="360" w:lineRule="auto"/>
        <w:jc w:val="both"/>
        <w:sectPr>
          <w:pgSz w:w="12240" w:h="15840"/>
          <w:pgMar w:header="0" w:footer="1003" w:top="1360" w:bottom="1200" w:left="1600" w:right="1600"/>
        </w:sectPr>
      </w:pPr>
    </w:p>
    <w:p>
      <w:pPr>
        <w:pStyle w:val="BodyText"/>
        <w:spacing w:line="360" w:lineRule="auto" w:before="54"/>
        <w:ind w:left="102" w:right="125"/>
        <w:jc w:val="both"/>
      </w:pPr>
      <w:r>
        <w:rPr/>
        <w:t>que los materiales empleados en la construcción de las viviendas deben proporcionar estabilidad, firmeza y aislamiento para poder ser habitables las viviendas.</w:t>
      </w:r>
    </w:p>
    <w:p>
      <w:pPr>
        <w:spacing w:line="360" w:lineRule="auto" w:before="204"/>
        <w:ind w:left="102" w:right="116" w:firstLine="0"/>
        <w:jc w:val="both"/>
        <w:rPr>
          <w:sz w:val="24"/>
        </w:rPr>
      </w:pPr>
      <w:r>
        <w:rPr>
          <w:sz w:val="24"/>
        </w:rPr>
        <w:t>El diseño de las viviendas y de los espacios que habita el hombre varía de  acuerdo con las condiciones culturales locales y el modo de vida de sus moradores. “</w:t>
      </w:r>
      <w:r>
        <w:rPr>
          <w:i/>
          <w:sz w:val="24"/>
        </w:rPr>
        <w:t>La satisfacción de las necesidades que la vivienda brinda el diseño  </w:t>
      </w:r>
      <w:r>
        <w:rPr>
          <w:i/>
          <w:sz w:val="24"/>
        </w:rPr>
        <w:t>de las viviendas a los habitantes genera un grado de bienestar que va directamente relacionado con la calidad de vida” </w:t>
      </w:r>
      <w:r>
        <w:rPr>
          <w:sz w:val="24"/>
        </w:rPr>
        <w:t>(Moreno, 2008:</w:t>
      </w:r>
      <w:r>
        <w:rPr>
          <w:spacing w:val="-24"/>
          <w:sz w:val="24"/>
        </w:rPr>
        <w:t> </w:t>
      </w:r>
      <w:r>
        <w:rPr>
          <w:sz w:val="24"/>
        </w:rPr>
        <w:t>50).</w:t>
      </w:r>
    </w:p>
    <w:p>
      <w:pPr>
        <w:pStyle w:val="BodyText"/>
        <w:spacing w:line="360" w:lineRule="auto" w:before="207"/>
        <w:ind w:left="102" w:right="114"/>
        <w:jc w:val="both"/>
      </w:pPr>
      <w:r>
        <w:rPr/>
        <w:t>Cuando el diseño y los espacios en las viviendas no presentan calidad de vida por medio de la </w:t>
      </w:r>
      <w:r>
        <w:rPr>
          <w:i/>
        </w:rPr>
        <w:t>habitabilidad </w:t>
      </w:r>
      <w:r>
        <w:rPr/>
        <w:t>surge el interés de mejorar la vivienda, ya que al aumentar la población su déficit genera la exigencia de la construcción masiva de la misma orientándose a vivienda de interés social.</w:t>
      </w:r>
    </w:p>
    <w:p>
      <w:pPr>
        <w:spacing w:line="360" w:lineRule="auto" w:before="202"/>
        <w:ind w:left="102" w:right="115" w:firstLine="0"/>
        <w:jc w:val="both"/>
        <w:rPr>
          <w:sz w:val="24"/>
        </w:rPr>
      </w:pPr>
      <w:r>
        <w:rPr>
          <w:sz w:val="24"/>
        </w:rPr>
        <w:t>Las </w:t>
      </w:r>
      <w:r>
        <w:rPr>
          <w:i/>
          <w:sz w:val="24"/>
        </w:rPr>
        <w:t>características de habitabilidad </w:t>
      </w:r>
      <w:r>
        <w:rPr>
          <w:sz w:val="24"/>
        </w:rPr>
        <w:t>surgen inicialmente del interés por mejorar las viviendas. Sin embargo, “</w:t>
      </w:r>
      <w:r>
        <w:rPr>
          <w:i/>
          <w:sz w:val="24"/>
        </w:rPr>
        <w:t>uno de los mayores problemas se presenta por la </w:t>
      </w:r>
      <w:r>
        <w:rPr>
          <w:i/>
          <w:sz w:val="24"/>
        </w:rPr>
        <w:t>reducción de los espacios, que llega en algunos casos hasta los 35 metros cuadrados” </w:t>
      </w:r>
      <w:r>
        <w:rPr>
          <w:sz w:val="24"/>
        </w:rPr>
        <w:t>(Moreno, 2008: 51). Lo grave es cuando se hacen urbanizaciones con miles de viviendas de estas dimensiones. Y los habitantes improvisan tiendas, panaderías, recauderías, carnicerías, todo esto derivado de los planes de ordenamiento. “</w:t>
      </w:r>
      <w:r>
        <w:rPr>
          <w:i/>
          <w:sz w:val="24"/>
        </w:rPr>
        <w:t>Cuando se enfoca a la habitabilidad desde la perspectiva urbana, </w:t>
      </w:r>
      <w:r>
        <w:rPr>
          <w:i/>
          <w:sz w:val="24"/>
        </w:rPr>
        <w:t>se denomina habitabilidad urbana” </w:t>
      </w:r>
      <w:r>
        <w:rPr>
          <w:sz w:val="24"/>
        </w:rPr>
        <w:t>(PEDU, 2008).</w:t>
      </w:r>
    </w:p>
    <w:p>
      <w:pPr>
        <w:pStyle w:val="BodyText"/>
        <w:spacing w:line="360" w:lineRule="auto" w:before="202"/>
        <w:ind w:left="102" w:right="120"/>
        <w:jc w:val="both"/>
      </w:pPr>
      <w:r>
        <w:rPr/>
        <w:t>Son </w:t>
      </w:r>
      <w:r>
        <w:rPr>
          <w:i/>
        </w:rPr>
        <w:t>características de habitabilidad</w:t>
      </w:r>
      <w:r>
        <w:rPr/>
        <w:t>: el ordenamiento del entorno, los usos adecuados de la tierra, densidades de población, la seguridad y sanidad de las construcciones, la movilidad y facilidad de acceso para todos los bienes, los servicios y los medios públicos de esparcimiento en la ciudad, salud pública, las condiciones de seguridad, la educación y la integración social.</w:t>
      </w:r>
    </w:p>
    <w:p>
      <w:pPr>
        <w:pStyle w:val="BodyText"/>
        <w:spacing w:line="360" w:lineRule="auto" w:before="202"/>
        <w:ind w:left="102" w:right="119"/>
        <w:jc w:val="both"/>
      </w:pPr>
      <w:r>
        <w:rPr/>
        <w:t>Las características de la </w:t>
      </w:r>
      <w:r>
        <w:rPr>
          <w:i/>
        </w:rPr>
        <w:t>habitabilidad </w:t>
      </w:r>
      <w:r>
        <w:rPr/>
        <w:t>están determinadas por la relación y adecuación entre el hombre y su entorno, es evaluada según su capacidad de satisfacer las necesidades humanas. Se puede evaluar por medio de las variables censales de los censos de población y vivienda realizados por el </w:t>
      </w:r>
      <w:r>
        <w:rPr>
          <w:sz w:val="19"/>
        </w:rPr>
        <w:t>INEGI</w:t>
      </w:r>
      <w:r>
        <w:rPr/>
        <w:t>.</w:t>
      </w:r>
    </w:p>
    <w:p>
      <w:pPr>
        <w:spacing w:after="0" w:line="360" w:lineRule="auto"/>
        <w:jc w:val="both"/>
        <w:sectPr>
          <w:pgSz w:w="12240" w:h="15840"/>
          <w:pgMar w:header="0" w:footer="1003" w:top="1360" w:bottom="1200" w:left="1600" w:right="1580"/>
        </w:sectPr>
      </w:pPr>
    </w:p>
    <w:p>
      <w:pPr>
        <w:spacing w:line="240" w:lineRule="auto" w:before="49"/>
        <w:ind w:left="385" w:right="448" w:firstLine="0"/>
        <w:jc w:val="both"/>
        <w:rPr>
          <w:sz w:val="24"/>
        </w:rPr>
      </w:pPr>
      <w:r>
        <w:rPr>
          <w:i/>
          <w:sz w:val="24"/>
        </w:rPr>
        <w:t>“Las características de la habitabilidad determinan la calidad de vida, es un </w:t>
      </w:r>
      <w:r>
        <w:rPr>
          <w:i/>
          <w:sz w:val="24"/>
        </w:rPr>
        <w:t>conjunto de satisfactores que al integrarse permiten que un individuo o un grupo de individuos vivan y se desarrollen, incluyendo características biológicas, sociales, económicas, culturales, ideológicas y psicológicas” </w:t>
      </w:r>
      <w:r>
        <w:rPr>
          <w:sz w:val="24"/>
        </w:rPr>
        <w:t>(Moreno, 2008: 52).</w:t>
      </w:r>
    </w:p>
    <w:p>
      <w:pPr>
        <w:pStyle w:val="BodyText"/>
      </w:pPr>
    </w:p>
    <w:p>
      <w:pPr>
        <w:pStyle w:val="BodyText"/>
        <w:spacing w:before="9"/>
        <w:rPr>
          <w:sz w:val="34"/>
        </w:rPr>
      </w:pPr>
    </w:p>
    <w:p>
      <w:pPr>
        <w:pStyle w:val="BodyText"/>
        <w:spacing w:line="360" w:lineRule="auto" w:before="1"/>
        <w:ind w:left="102" w:right="126"/>
        <w:jc w:val="both"/>
      </w:pPr>
      <w:r>
        <w:rPr/>
        <w:t>También interviene la protección contra las condiciones climáticas de cada región, el respeto de los modos de vida (local, regional, nacional) y los usos tradicionales del espacio.</w:t>
      </w:r>
    </w:p>
    <w:p>
      <w:pPr>
        <w:pStyle w:val="BodyText"/>
        <w:spacing w:line="360" w:lineRule="auto" w:before="205"/>
        <w:ind w:left="102" w:right="117"/>
        <w:jc w:val="both"/>
      </w:pPr>
      <w:r>
        <w:rPr/>
        <w:t>En la investigación las características de habitabilidad están estrechamente vinculadas al aspecto urbano, es decir, a la manera en que los habitantes disfrutan los espacios del entorno urbano donde se ubica su vivienda. No se puede hablar de </w:t>
      </w:r>
      <w:r>
        <w:rPr>
          <w:i/>
        </w:rPr>
        <w:t>habitar </w:t>
      </w:r>
      <w:r>
        <w:rPr/>
        <w:t>sin hacer referencia inminente al espacio habitable en donde se suscita.</w:t>
      </w:r>
    </w:p>
    <w:p>
      <w:pPr>
        <w:pStyle w:val="BodyText"/>
        <w:spacing w:line="360" w:lineRule="auto" w:before="204"/>
        <w:ind w:left="102" w:right="119"/>
        <w:jc w:val="both"/>
      </w:pPr>
      <w:r>
        <w:rPr/>
        <w:t>Entonces las características de la </w:t>
      </w:r>
      <w:r>
        <w:rPr>
          <w:i/>
        </w:rPr>
        <w:t>habitabilidad </w:t>
      </w:r>
      <w:r>
        <w:rPr/>
        <w:t>en las viviendas, significan que debe cumplir con un conjunto de estructuras físicas (agua, saneamiento, energía) que satisfacen las necesidades esenciales de las viviendas en la </w:t>
      </w:r>
      <w:r>
        <w:rPr>
          <w:sz w:val="19"/>
        </w:rPr>
        <w:t>ZMT</w:t>
      </w:r>
      <w:r>
        <w:rPr/>
        <w:t>.</w:t>
      </w:r>
    </w:p>
    <w:p>
      <w:pPr>
        <w:pStyle w:val="BodyText"/>
        <w:spacing w:line="360" w:lineRule="auto" w:before="202"/>
        <w:ind w:left="102" w:right="118"/>
        <w:jc w:val="both"/>
      </w:pPr>
      <w:r>
        <w:rPr/>
        <w:t>Para que exista </w:t>
      </w:r>
      <w:r>
        <w:rPr>
          <w:i/>
        </w:rPr>
        <w:t>habitabilidad </w:t>
      </w:r>
      <w:r>
        <w:rPr/>
        <w:t>en las viviendas, estas deberán tener áreas urbanas habitables para los mexiquenses. Sin </w:t>
      </w:r>
      <w:r>
        <w:rPr>
          <w:i/>
        </w:rPr>
        <w:t>habitabilidad </w:t>
      </w:r>
      <w:r>
        <w:rPr/>
        <w:t>se reduce la calidad de vida, por lo tanto la </w:t>
      </w:r>
      <w:r>
        <w:rPr>
          <w:i/>
        </w:rPr>
        <w:t>habitabilidad </w:t>
      </w:r>
      <w:r>
        <w:rPr/>
        <w:t>constituye una condicionante para el desarrollo de calidad de vida dentro del espacio urbano.</w:t>
      </w:r>
    </w:p>
    <w:p>
      <w:pPr>
        <w:pStyle w:val="BodyText"/>
        <w:spacing w:line="360" w:lineRule="auto" w:before="204"/>
        <w:ind w:left="102" w:right="125"/>
        <w:jc w:val="both"/>
      </w:pPr>
      <w:r>
        <w:rPr/>
        <w:t>Como ya habíamos mencionado en párrafos anteriores en el contexto nacional, la Constitución Política de los Estados Unidos Mexicanos menciona en su artículo 4° que toda familia tiene derecho a disfrutar de vivienda digna y decorosa.</w:t>
      </w:r>
    </w:p>
    <w:p>
      <w:pPr>
        <w:spacing w:line="240" w:lineRule="auto" w:before="200"/>
        <w:ind w:left="385" w:right="448" w:firstLine="0"/>
        <w:jc w:val="both"/>
        <w:rPr>
          <w:sz w:val="24"/>
        </w:rPr>
      </w:pPr>
      <w:r>
        <w:rPr>
          <w:sz w:val="24"/>
        </w:rPr>
        <w:t>“</w:t>
      </w:r>
      <w:r>
        <w:rPr>
          <w:i/>
          <w:sz w:val="24"/>
        </w:rPr>
        <w:t>En España por ejemplo, existe el derecho constitucional a disfrutar de una </w:t>
      </w:r>
      <w:r>
        <w:rPr>
          <w:i/>
          <w:sz w:val="24"/>
        </w:rPr>
        <w:t>vivienda digna y adecuada. Los elementos para una vivienda adecuada en Colombia son los siguientes: seguridad jurídica de la tenencia, disponibilidad de servicios, materiales, equipamiento e infraestructura, habitabilidad, asequibilidad, gastos soportables, lugar adecuado y adecuación territorial” </w:t>
      </w:r>
      <w:r>
        <w:rPr>
          <w:sz w:val="24"/>
        </w:rPr>
        <w:t>(</w:t>
      </w:r>
      <w:r>
        <w:rPr>
          <w:sz w:val="19"/>
        </w:rPr>
        <w:t>ONU</w:t>
      </w:r>
      <w:r>
        <w:rPr>
          <w:sz w:val="24"/>
        </w:rPr>
        <w:t>, 1991).</w:t>
      </w:r>
    </w:p>
    <w:p>
      <w:pPr>
        <w:spacing w:after="0" w:line="240" w:lineRule="auto"/>
        <w:jc w:val="both"/>
        <w:rPr>
          <w:sz w:val="24"/>
        </w:rPr>
        <w:sectPr>
          <w:footerReference w:type="default" r:id="rId37"/>
          <w:pgSz w:w="12240" w:h="15840"/>
          <w:pgMar w:footer="1003" w:header="0" w:top="1360" w:bottom="1200" w:left="1600" w:right="1580"/>
        </w:sectPr>
      </w:pPr>
    </w:p>
    <w:p>
      <w:pPr>
        <w:spacing w:line="360" w:lineRule="auto" w:before="52"/>
        <w:ind w:left="102" w:right="118" w:firstLine="0"/>
        <w:jc w:val="both"/>
        <w:rPr>
          <w:sz w:val="24"/>
        </w:rPr>
      </w:pPr>
      <w:r>
        <w:rPr>
          <w:sz w:val="24"/>
        </w:rPr>
        <w:t>La característica de “</w:t>
      </w:r>
      <w:r>
        <w:rPr>
          <w:i/>
          <w:sz w:val="24"/>
        </w:rPr>
        <w:t>asequibilidad hace referencia a la posibilidad de acceder a la </w:t>
      </w:r>
      <w:r>
        <w:rPr>
          <w:i/>
          <w:sz w:val="24"/>
        </w:rPr>
        <w:t>vivienda adecuada con todos sus recursos: salud, educación, economía, transporte, seguridad, habitabilidad” </w:t>
      </w:r>
      <w:r>
        <w:rPr>
          <w:sz w:val="24"/>
        </w:rPr>
        <w:t>(Mejía, 2012). Además prioriza a la población vulnerable, niños, adultos mayores. Para el lugar adecuado determina que la vivienda debe localizarse de tal manera que permita el acceso al empleo, facilidades de acceso físico a servicios de salud y otros equipamientos sociales.</w:t>
      </w:r>
    </w:p>
    <w:p>
      <w:pPr>
        <w:spacing w:line="360" w:lineRule="auto" w:before="202"/>
        <w:ind w:left="102" w:right="115" w:firstLine="0"/>
        <w:jc w:val="both"/>
        <w:rPr>
          <w:sz w:val="24"/>
        </w:rPr>
      </w:pPr>
      <w:r>
        <w:rPr>
          <w:sz w:val="24"/>
        </w:rPr>
        <w:t>Podemos decir que las viviendas para que sean </w:t>
      </w:r>
      <w:r>
        <w:rPr>
          <w:i/>
          <w:sz w:val="24"/>
        </w:rPr>
        <w:t>habitables </w:t>
      </w:r>
      <w:r>
        <w:rPr>
          <w:sz w:val="24"/>
        </w:rPr>
        <w:t>no deberían ubicarse en zonas de riesgo como son los desastres naturales. “</w:t>
      </w:r>
      <w:r>
        <w:rPr>
          <w:i/>
          <w:sz w:val="24"/>
        </w:rPr>
        <w:t>La vivienda no debe </w:t>
      </w:r>
      <w:r>
        <w:rPr>
          <w:i/>
          <w:sz w:val="24"/>
        </w:rPr>
        <w:t>localizarse en sitios contaminados o con amenazas naturales que vulneran el derecho de los habitantes a un ambiente saludable” </w:t>
      </w:r>
      <w:r>
        <w:rPr>
          <w:sz w:val="24"/>
        </w:rPr>
        <w:t>(Mejía, 2012: 221)  La  vivienda </w:t>
      </w:r>
      <w:r>
        <w:rPr>
          <w:i/>
          <w:sz w:val="24"/>
        </w:rPr>
        <w:t>habitable </w:t>
      </w:r>
      <w:r>
        <w:rPr>
          <w:sz w:val="24"/>
        </w:rPr>
        <w:t>tiene elementos asociados como el sistema constructivo, los materiales, las facilidades tecnológicas y las políticas para acceso a la vivienda, se encuentran en concordancia con la identidad cultural de los</w:t>
      </w:r>
      <w:r>
        <w:rPr>
          <w:spacing w:val="-32"/>
          <w:sz w:val="24"/>
        </w:rPr>
        <w:t> </w:t>
      </w:r>
      <w:r>
        <w:rPr>
          <w:sz w:val="24"/>
        </w:rPr>
        <w:t>habitantes.</w:t>
      </w:r>
    </w:p>
    <w:p>
      <w:pPr>
        <w:pStyle w:val="BodyText"/>
      </w:pPr>
    </w:p>
    <w:p>
      <w:pPr>
        <w:pStyle w:val="BodyText"/>
      </w:pPr>
    </w:p>
    <w:p>
      <w:pPr>
        <w:pStyle w:val="BodyText"/>
        <w:spacing w:before="1"/>
        <w:rPr>
          <w:sz w:val="23"/>
        </w:rPr>
      </w:pPr>
    </w:p>
    <w:p>
      <w:pPr>
        <w:pStyle w:val="ListParagraph"/>
        <w:numPr>
          <w:ilvl w:val="2"/>
          <w:numId w:val="12"/>
        </w:numPr>
        <w:tabs>
          <w:tab w:pos="643" w:val="left" w:leader="none"/>
        </w:tabs>
        <w:spacing w:line="240" w:lineRule="auto" w:before="0" w:after="0"/>
        <w:ind w:left="642" w:right="0" w:hanging="540"/>
        <w:jc w:val="both"/>
        <w:rPr>
          <w:rFonts w:ascii="Cambria"/>
          <w:b/>
          <w:sz w:val="22"/>
        </w:rPr>
      </w:pPr>
      <w:r>
        <w:rPr>
          <w:rFonts w:ascii="Cambria"/>
          <w:b/>
          <w:color w:val="4F81BC"/>
          <w:sz w:val="22"/>
        </w:rPr>
        <w:t>La habitabilidad de las</w:t>
      </w:r>
      <w:r>
        <w:rPr>
          <w:rFonts w:ascii="Cambria"/>
          <w:b/>
          <w:color w:val="4F81BC"/>
          <w:spacing w:val="-12"/>
          <w:sz w:val="22"/>
        </w:rPr>
        <w:t> </w:t>
      </w:r>
      <w:r>
        <w:rPr>
          <w:rFonts w:ascii="Cambria"/>
          <w:b/>
          <w:color w:val="4F81BC"/>
          <w:sz w:val="22"/>
        </w:rPr>
        <w:t>viviendas</w:t>
      </w:r>
    </w:p>
    <w:p>
      <w:pPr>
        <w:pStyle w:val="BodyText"/>
        <w:rPr>
          <w:rFonts w:ascii="Cambria"/>
          <w:b/>
          <w:sz w:val="22"/>
        </w:rPr>
      </w:pPr>
    </w:p>
    <w:p>
      <w:pPr>
        <w:pStyle w:val="BodyText"/>
        <w:rPr>
          <w:rFonts w:ascii="Cambria"/>
          <w:b/>
          <w:sz w:val="22"/>
        </w:rPr>
      </w:pPr>
    </w:p>
    <w:p>
      <w:pPr>
        <w:spacing w:line="360" w:lineRule="auto" w:before="134"/>
        <w:ind w:left="102" w:right="118" w:firstLine="0"/>
        <w:jc w:val="both"/>
        <w:rPr>
          <w:sz w:val="24"/>
        </w:rPr>
      </w:pPr>
      <w:r>
        <w:rPr>
          <w:i/>
          <w:sz w:val="24"/>
        </w:rPr>
        <w:t>“La habitabilidad de las viviendas se expresa por un lado, a partir de las </w:t>
      </w:r>
      <w:r>
        <w:rPr>
          <w:i/>
          <w:sz w:val="24"/>
        </w:rPr>
        <w:t>condiciones materiales con las que están construidas” </w:t>
      </w:r>
      <w:r>
        <w:rPr>
          <w:sz w:val="24"/>
        </w:rPr>
        <w:t>(Ceballos, 2006). Un concepto expresado directamente desde la definición de requerimientos sobre parámetros constructivos sobre espacios, equipamientos, instalaciones y suministros, sin una ordenación explícita de las necesidades básicas a cubrir.</w:t>
      </w:r>
    </w:p>
    <w:p>
      <w:pPr>
        <w:pStyle w:val="BodyText"/>
        <w:spacing w:line="360" w:lineRule="auto" w:before="202"/>
        <w:ind w:left="102" w:right="118"/>
        <w:jc w:val="both"/>
      </w:pPr>
      <w:r>
        <w:rPr/>
        <w:t>Por otro lado, el término está recluido a la escala doméstica. Este concepto </w:t>
      </w:r>
      <w:r>
        <w:rPr>
          <w:spacing w:val="-3"/>
        </w:rPr>
        <w:t>se </w:t>
      </w:r>
      <w:r>
        <w:rPr/>
        <w:t>puede considerar como uno de los factores que permiten mejorar la calidad de vida dentro del espacio urbano. El objeto de estudio se expresa sobre la vivienda, adoptando la escala del</w:t>
      </w:r>
      <w:r>
        <w:rPr>
          <w:spacing w:val="-14"/>
        </w:rPr>
        <w:t> </w:t>
      </w:r>
      <w:r>
        <w:rPr/>
        <w:t>domicilio.</w:t>
      </w:r>
    </w:p>
    <w:p>
      <w:pPr>
        <w:spacing w:line="360" w:lineRule="auto" w:before="202"/>
        <w:ind w:left="102" w:right="117" w:firstLine="0"/>
        <w:jc w:val="both"/>
        <w:rPr>
          <w:sz w:val="24"/>
        </w:rPr>
      </w:pPr>
      <w:r>
        <w:rPr>
          <w:sz w:val="24"/>
        </w:rPr>
        <w:t>Otra característica habitable en las viviendas, está considerada como “</w:t>
      </w:r>
      <w:r>
        <w:rPr>
          <w:i/>
          <w:sz w:val="24"/>
        </w:rPr>
        <w:t>la tenencia </w:t>
      </w:r>
      <w:r>
        <w:rPr>
          <w:i/>
          <w:sz w:val="24"/>
        </w:rPr>
        <w:t>segura que el habitante obtiene con el título de propiedad, los materiales de construcción deben ser durables y con un suelo estable de localización donde el Estado las pueda ver como viviendas dignas y decorosas”  </w:t>
      </w:r>
      <w:r>
        <w:rPr>
          <w:sz w:val="24"/>
        </w:rPr>
        <w:t>(Mejía, 2012: 205)</w:t>
      </w:r>
    </w:p>
    <w:p>
      <w:pPr>
        <w:spacing w:after="0" w:line="360" w:lineRule="auto"/>
        <w:jc w:val="both"/>
        <w:rPr>
          <w:sz w:val="24"/>
        </w:rPr>
        <w:sectPr>
          <w:footerReference w:type="default" r:id="rId38"/>
          <w:pgSz w:w="12240" w:h="15840"/>
          <w:pgMar w:footer="1003" w:header="0" w:top="1360" w:bottom="1200" w:left="1600" w:right="1580"/>
          <w:pgNumType w:start="71"/>
        </w:sectPr>
      </w:pPr>
    </w:p>
    <w:p>
      <w:pPr>
        <w:spacing w:line="360" w:lineRule="auto" w:before="52"/>
        <w:ind w:left="102" w:right="116" w:firstLine="0"/>
        <w:jc w:val="both"/>
        <w:rPr>
          <w:sz w:val="24"/>
        </w:rPr>
      </w:pPr>
      <w:r>
        <w:rPr>
          <w:sz w:val="24"/>
        </w:rPr>
        <w:t>Cuando las viviendas ofrecen </w:t>
      </w:r>
      <w:r>
        <w:rPr>
          <w:i/>
          <w:sz w:val="24"/>
        </w:rPr>
        <w:t>habitabilidad </w:t>
      </w:r>
      <w:r>
        <w:rPr>
          <w:sz w:val="24"/>
        </w:rPr>
        <w:t>a las personas, la población forma una identidad con el lugar donde están ubicadas sus viviendas aun cuando no hayan nacido en ese lugar. “</w:t>
      </w:r>
      <w:r>
        <w:rPr>
          <w:i/>
          <w:sz w:val="24"/>
        </w:rPr>
        <w:t>La obtención de condiciones adecuadas para la  </w:t>
      </w:r>
      <w:r>
        <w:rPr>
          <w:i/>
          <w:sz w:val="24"/>
        </w:rPr>
        <w:t>permanencia de las personas en un lugar y para el desarrollo satisfactorio de las actividades propias de su permanencia” </w:t>
      </w:r>
      <w:r>
        <w:rPr>
          <w:sz w:val="24"/>
        </w:rPr>
        <w:t>(Saldarriaga, 1982:</w:t>
      </w:r>
      <w:r>
        <w:rPr>
          <w:spacing w:val="-20"/>
          <w:sz w:val="24"/>
        </w:rPr>
        <w:t> </w:t>
      </w:r>
      <w:r>
        <w:rPr>
          <w:sz w:val="24"/>
        </w:rPr>
        <w:t>154).</w:t>
      </w:r>
    </w:p>
    <w:p>
      <w:pPr>
        <w:spacing w:line="360" w:lineRule="auto" w:before="204"/>
        <w:ind w:left="102" w:right="121" w:firstLine="0"/>
        <w:jc w:val="both"/>
        <w:rPr>
          <w:sz w:val="24"/>
        </w:rPr>
      </w:pPr>
      <w:r>
        <w:rPr>
          <w:sz w:val="24"/>
        </w:rPr>
        <w:t>Este concepto, aplicado a “</w:t>
      </w:r>
      <w:r>
        <w:rPr>
          <w:i/>
          <w:sz w:val="24"/>
        </w:rPr>
        <w:t>la vivienda, se refiere al establecimiento de condiciones </w:t>
      </w:r>
      <w:r>
        <w:rPr>
          <w:i/>
          <w:sz w:val="24"/>
        </w:rPr>
        <w:t>mínimas de alojamiento, con el suministro de servicios básicos y con una distribución tal del espacio que se cuente con un lugar adecuado para cada actividad del individuo o la familia” </w:t>
      </w:r>
      <w:r>
        <w:rPr>
          <w:sz w:val="24"/>
        </w:rPr>
        <w:t>(Mejía, 2012).</w:t>
      </w:r>
    </w:p>
    <w:p>
      <w:pPr>
        <w:spacing w:line="360" w:lineRule="auto" w:before="202"/>
        <w:ind w:left="102" w:right="114" w:firstLine="0"/>
        <w:jc w:val="both"/>
        <w:rPr>
          <w:sz w:val="24"/>
        </w:rPr>
      </w:pPr>
      <w:r>
        <w:rPr>
          <w:sz w:val="24"/>
        </w:rPr>
        <w:t>Encontramos que “</w:t>
      </w:r>
      <w:r>
        <w:rPr>
          <w:i/>
          <w:sz w:val="24"/>
        </w:rPr>
        <w:t>la habitabilidad en la vivienda, como utilidad básica que </w:t>
      </w:r>
      <w:r>
        <w:rPr>
          <w:i/>
          <w:sz w:val="24"/>
        </w:rPr>
        <w:t>proporciona la vivienda, debe estar enfocada a satisfacer las necesidades básicas de las personas que la habitan, mediante el uso eficiente de los recursos disponibles, pues el único fin es explicar lo social y ambientalmente su existencia” </w:t>
      </w:r>
      <w:r>
        <w:rPr>
          <w:sz w:val="24"/>
        </w:rPr>
        <w:t>(Casals et al, 2013: 197).</w:t>
      </w:r>
    </w:p>
    <w:p>
      <w:pPr>
        <w:spacing w:line="360" w:lineRule="auto" w:before="204"/>
        <w:ind w:left="102" w:right="116" w:firstLine="0"/>
        <w:jc w:val="both"/>
        <w:rPr>
          <w:sz w:val="24"/>
        </w:rPr>
      </w:pPr>
      <w:r>
        <w:rPr>
          <w:sz w:val="24"/>
        </w:rPr>
        <w:t>La habitabilidad en las viviendas evoluciona con la sociedad y debe amoldarse a los distintos modos de vida presentes en ella. “</w:t>
      </w:r>
      <w:r>
        <w:rPr>
          <w:i/>
          <w:sz w:val="24"/>
        </w:rPr>
        <w:t>Se interpreta como la capacidad de </w:t>
      </w:r>
      <w:r>
        <w:rPr>
          <w:i/>
          <w:sz w:val="24"/>
        </w:rPr>
        <w:t>los espacios construidos para satisfacer necesidades subjetivas y objetivas de los individuos que ocupan, usan y habitan esos espacios determinados” </w:t>
      </w:r>
      <w:r>
        <w:rPr>
          <w:sz w:val="24"/>
        </w:rPr>
        <w:t>(Espinoza y Gómez Azpeitia, 2010: 66).</w:t>
      </w:r>
    </w:p>
    <w:p>
      <w:pPr>
        <w:pStyle w:val="BodyText"/>
        <w:spacing w:line="360" w:lineRule="auto" w:before="204"/>
        <w:ind w:left="102" w:right="117"/>
        <w:jc w:val="both"/>
      </w:pPr>
      <w:r>
        <w:rPr/>
        <w:t>Dentro de la vivienda el concepto estudiado puede ser expresado por las personas y sus necesidades, por lo tanto, es necesario reconocer que existe una amplia variedad de situaciones sociodemográficas en función de la edad, sexo, condición social, cultural, además del entorno, donde están ubicadas las viviendas en la </w:t>
      </w:r>
      <w:r>
        <w:rPr>
          <w:sz w:val="19"/>
        </w:rPr>
        <w:t>ZMT</w:t>
      </w:r>
      <w:r>
        <w:rPr/>
        <w:t>.</w:t>
      </w:r>
    </w:p>
    <w:p>
      <w:pPr>
        <w:spacing w:line="360" w:lineRule="auto" w:before="202"/>
        <w:ind w:left="102" w:right="117" w:firstLine="0"/>
        <w:jc w:val="both"/>
        <w:rPr>
          <w:sz w:val="24"/>
        </w:rPr>
      </w:pPr>
      <w:r>
        <w:rPr>
          <w:sz w:val="24"/>
        </w:rPr>
        <w:t>Para cumplir “</w:t>
      </w:r>
      <w:r>
        <w:rPr>
          <w:i/>
          <w:sz w:val="24"/>
        </w:rPr>
        <w:t>la habitabilidad de las viviendas a partir de las demandas sociales, </w:t>
      </w:r>
      <w:r>
        <w:rPr>
          <w:i/>
          <w:sz w:val="24"/>
        </w:rPr>
        <w:t>debe articularse desde el consumo para la satisfacción de necesidades y no del resultado de la producción de los espacios” </w:t>
      </w:r>
      <w:r>
        <w:rPr>
          <w:sz w:val="24"/>
        </w:rPr>
        <w:t>(Ceballos, 2006). Entonces la habitabilidad en las viviendas debería ser diversificada y adaptable, además de proporcionar respuestas adecuadas a la variedad de modos de vida y estructuras de convivencia presentes en la actualidad.</w:t>
      </w:r>
    </w:p>
    <w:p>
      <w:pPr>
        <w:spacing w:after="0" w:line="360" w:lineRule="auto"/>
        <w:jc w:val="both"/>
        <w:rPr>
          <w:sz w:val="24"/>
        </w:rPr>
        <w:sectPr>
          <w:pgSz w:w="12240" w:h="15840"/>
          <w:pgMar w:header="0" w:footer="1003" w:top="1360" w:bottom="1200" w:left="1600" w:right="1580"/>
        </w:sectPr>
      </w:pPr>
    </w:p>
    <w:p>
      <w:pPr>
        <w:pStyle w:val="BodyText"/>
        <w:spacing w:line="360" w:lineRule="auto" w:before="54"/>
        <w:ind w:left="102" w:right="117"/>
        <w:jc w:val="both"/>
      </w:pPr>
      <w:r>
        <w:rPr/>
        <w:t>La habitabilidad en las viviendas a escala urbana debe englobar bajo un mismo enfoque un conjunto de utilidades que permiten la satisfacción de necesidades socialmente reconocidas, considerando transversalmente desde el espacio doméstico hasta el espacio urbano.</w:t>
      </w:r>
    </w:p>
    <w:p>
      <w:pPr>
        <w:pStyle w:val="BodyText"/>
        <w:spacing w:line="360" w:lineRule="auto" w:before="202"/>
        <w:ind w:left="102" w:right="118"/>
        <w:jc w:val="both"/>
      </w:pPr>
      <w:r>
        <w:rPr/>
        <w:t>La </w:t>
      </w:r>
      <w:r>
        <w:rPr>
          <w:i/>
        </w:rPr>
        <w:t>habitabilidad </w:t>
      </w:r>
      <w:r>
        <w:rPr/>
        <w:t>de la vivienda en la </w:t>
      </w:r>
      <w:r>
        <w:rPr>
          <w:sz w:val="19"/>
        </w:rPr>
        <w:t>ZMT </w:t>
      </w:r>
      <w:r>
        <w:rPr/>
        <w:t>debe ofrecer las condiciones mínimas de bienestar, confort, salud y seguridad física que puedan generar espacios eficaces en la calidad de vida. Es incuestionable la necesidad de recoger información (por medio de variables censales) sobre indicadores físicos exteriores de la vivienda o mejor dicho del entorno de las viviendas como son el equipamiento urbano e infraestructura con la que cuenta la zona metropolitana de Toluca.</w:t>
      </w:r>
    </w:p>
    <w:p>
      <w:pPr>
        <w:spacing w:line="360" w:lineRule="auto" w:before="202"/>
        <w:ind w:left="102" w:right="114" w:firstLine="0"/>
        <w:jc w:val="both"/>
        <w:rPr>
          <w:sz w:val="24"/>
        </w:rPr>
      </w:pPr>
      <w:r>
        <w:rPr>
          <w:sz w:val="24"/>
        </w:rPr>
        <w:t>Esta noción en “</w:t>
      </w:r>
      <w:r>
        <w:rPr>
          <w:i/>
          <w:sz w:val="24"/>
        </w:rPr>
        <w:t>las viviendas también puede ser utilizada por las condiciones o </w:t>
      </w:r>
      <w:r>
        <w:rPr>
          <w:i/>
          <w:sz w:val="24"/>
        </w:rPr>
        <w:t>características objetivas de los desarrolladores urbanos de vivienda social, las que deben ofrecer satisfacción a necesidades de protección y soporte, ofreciendo bienestar en las viviendas y comodidad que el habitante tenga al  habitarlas” </w:t>
      </w:r>
      <w:r>
        <w:rPr>
          <w:sz w:val="24"/>
        </w:rPr>
        <w:t>(Fique, 2005: 12).</w:t>
      </w:r>
    </w:p>
    <w:p>
      <w:pPr>
        <w:pStyle w:val="BodyText"/>
        <w:spacing w:line="360" w:lineRule="auto" w:before="204"/>
        <w:ind w:left="102" w:right="122"/>
        <w:jc w:val="both"/>
      </w:pPr>
      <w:r>
        <w:rPr/>
        <w:t>Desde el punto de vista habitable de las viviendas, es necesario analizar los planes de desarrollo urbano que podrían tener un impacto directo en la mejora de las condiciones habitacionales, la infraestructura, los servicios, el trasporte público, los espacios</w:t>
      </w:r>
      <w:r>
        <w:rPr>
          <w:spacing w:val="-6"/>
        </w:rPr>
        <w:t> </w:t>
      </w:r>
      <w:r>
        <w:rPr/>
        <w:t>verdes.</w:t>
      </w:r>
    </w:p>
    <w:p>
      <w:pPr>
        <w:pStyle w:val="BodyText"/>
        <w:spacing w:line="360" w:lineRule="auto" w:before="204"/>
        <w:ind w:left="102" w:right="116"/>
        <w:jc w:val="both"/>
      </w:pPr>
      <w:r>
        <w:rPr/>
        <w:t>Dentro de las viviendas se presentan las necesidades orgánicas: una vivienda se considera habitable cuando tenga la infraestructura mínima para realizar las actividades orgánicas básicas dentro de un espacio, como son las siguientes:</w:t>
      </w:r>
    </w:p>
    <w:p>
      <w:pPr>
        <w:pStyle w:val="BodyText"/>
        <w:spacing w:line="360" w:lineRule="auto" w:before="205"/>
        <w:ind w:left="102" w:right="124"/>
        <w:jc w:val="both"/>
      </w:pPr>
      <w:r>
        <w:rPr/>
        <w:t>Necesidades de salud e higiene; una vivienda habitable debe ser capaz de brindar salubridad y seguridad al residente y al estar situada en un entorno apto para ser habitado, sin poner en peligro la vida del habitante.</w:t>
      </w:r>
    </w:p>
    <w:p>
      <w:pPr>
        <w:pStyle w:val="BodyText"/>
        <w:spacing w:line="360" w:lineRule="auto" w:before="204"/>
        <w:ind w:left="102" w:right="123"/>
        <w:jc w:val="both"/>
      </w:pPr>
      <w:r>
        <w:rPr/>
        <w:t>Necesidades sociales; se refiere al ambiente urbano que debe posibilitar el contacto, la relación social, la amistad y la asociación.</w:t>
      </w:r>
    </w:p>
    <w:p>
      <w:pPr>
        <w:spacing w:after="0" w:line="360" w:lineRule="auto"/>
        <w:jc w:val="both"/>
        <w:sectPr>
          <w:pgSz w:w="12240" w:h="15840"/>
          <w:pgMar w:header="0" w:footer="1003" w:top="1360" w:bottom="1200" w:left="1600" w:right="1580"/>
        </w:sectPr>
      </w:pPr>
    </w:p>
    <w:p>
      <w:pPr>
        <w:spacing w:line="360" w:lineRule="auto" w:before="52"/>
        <w:ind w:left="102" w:right="119" w:firstLine="0"/>
        <w:jc w:val="both"/>
        <w:rPr>
          <w:sz w:val="24"/>
        </w:rPr>
      </w:pPr>
      <w:r>
        <w:rPr>
          <w:sz w:val="24"/>
        </w:rPr>
        <w:t>Encontramos una dimensión de la habitabilidad, “</w:t>
      </w:r>
      <w:r>
        <w:rPr>
          <w:i/>
          <w:sz w:val="24"/>
        </w:rPr>
        <w:t>cuando se satisfacen la </w:t>
      </w:r>
      <w:r>
        <w:rPr>
          <w:i/>
          <w:sz w:val="24"/>
        </w:rPr>
        <w:t>necesidad de salud e higiene dentro de las viviendas, además de las necesidades sociales, existe la necesidad de conformar redes sociales con las personas que habitan el espacio, lo que a su vez genera en las personas la necesidad de pertenecer al lugar que habitan” </w:t>
      </w:r>
      <w:r>
        <w:rPr>
          <w:sz w:val="24"/>
        </w:rPr>
        <w:t>(Moreno, 2008: 49).</w:t>
      </w:r>
    </w:p>
    <w:p>
      <w:pPr>
        <w:pStyle w:val="BodyText"/>
        <w:spacing w:line="362" w:lineRule="auto" w:before="204"/>
        <w:ind w:left="102" w:right="114"/>
        <w:jc w:val="both"/>
      </w:pPr>
      <w:r>
        <w:rPr/>
        <w:t>Se puede mencionar que las necesidades básicas en una vivienda </w:t>
      </w:r>
      <w:r>
        <w:rPr>
          <w:i/>
        </w:rPr>
        <w:t>habitable </w:t>
      </w:r>
      <w:r>
        <w:rPr/>
        <w:t>del ser humano generalmente son las mismas, sin embargo la forma en que son satisfechas por cada ser humano varía y eso hace que se sienta satisfecho o insatisfecho.</w:t>
      </w:r>
    </w:p>
    <w:p>
      <w:pPr>
        <w:pStyle w:val="BodyText"/>
        <w:spacing w:line="360" w:lineRule="auto" w:before="199"/>
        <w:ind w:left="102" w:right="126"/>
        <w:jc w:val="both"/>
      </w:pPr>
      <w:r>
        <w:rPr/>
        <w:t>Los satisfactores de los diferentes grupos de población son distintos, por lo cual las viviendas deberían ser modificadas o adaptadas con el paso del tiempo, si lo trasladamos al entorno urbano donde lo ideal es lograr el bienestar y mejorar la calidad de vida, un aspecto a considerar será la diversidad de usos y la variedad de espacios en un mismo entorno para entonces cubrir los distintos grados de satisfacción.</w:t>
      </w:r>
    </w:p>
    <w:p>
      <w:pPr>
        <w:pStyle w:val="BodyText"/>
        <w:spacing w:line="360" w:lineRule="auto" w:before="204"/>
        <w:ind w:left="102" w:right="124"/>
        <w:jc w:val="both"/>
      </w:pPr>
      <w:r>
        <w:rPr/>
        <w:t>Cuando se modifican las viviendas se deberá tomar en cuenta a la población que la habita. Por ello el diseño de la vivienda y los espacios que habita el hombre varían de acuerdo con las condiciones culturales locales y el modo de vida de sus moradores.</w:t>
      </w:r>
    </w:p>
    <w:p>
      <w:pPr>
        <w:pStyle w:val="BodyText"/>
        <w:spacing w:before="204"/>
        <w:ind w:left="102"/>
        <w:jc w:val="both"/>
      </w:pPr>
      <w:r>
        <w:rPr/>
        <w:t>Cuando se investiga</w:t>
      </w:r>
    </w:p>
    <w:p>
      <w:pPr>
        <w:pStyle w:val="BodyText"/>
        <w:rPr>
          <w:sz w:val="29"/>
        </w:rPr>
      </w:pPr>
    </w:p>
    <w:p>
      <w:pPr>
        <w:spacing w:line="240" w:lineRule="auto" w:before="0"/>
        <w:ind w:left="385" w:right="451" w:firstLine="0"/>
        <w:jc w:val="both"/>
        <w:rPr>
          <w:sz w:val="24"/>
        </w:rPr>
      </w:pPr>
      <w:r>
        <w:rPr>
          <w:sz w:val="24"/>
        </w:rPr>
        <w:t>“</w:t>
      </w:r>
      <w:r>
        <w:rPr>
          <w:i/>
          <w:sz w:val="24"/>
        </w:rPr>
        <w:t>la habitabilidad se deben definir los aspectos básicos con los que debe </w:t>
      </w:r>
      <w:r>
        <w:rPr>
          <w:i/>
          <w:sz w:val="24"/>
        </w:rPr>
        <w:t>contar una vivienda” </w:t>
      </w:r>
      <w:r>
        <w:rPr>
          <w:sz w:val="24"/>
        </w:rPr>
        <w:t>(Casals, Arcas, Cuchí, 2013). “</w:t>
      </w:r>
      <w:r>
        <w:rPr>
          <w:i/>
          <w:sz w:val="24"/>
        </w:rPr>
        <w:t>Existen dos dimensiones </w:t>
      </w:r>
      <w:r>
        <w:rPr>
          <w:i/>
          <w:sz w:val="24"/>
        </w:rPr>
        <w:t>fundamentales la física y la social</w:t>
      </w:r>
      <w:r>
        <w:rPr>
          <w:sz w:val="24"/>
        </w:rPr>
        <w:t>. </w:t>
      </w:r>
      <w:r>
        <w:rPr>
          <w:i/>
          <w:sz w:val="24"/>
        </w:rPr>
        <w:t>En la dimensión física se encuentra el </w:t>
      </w:r>
      <w:r>
        <w:rPr>
          <w:i/>
          <w:sz w:val="24"/>
        </w:rPr>
        <w:t>factor urbanístico, con su atributo de localización, además del factor arquitectónico con los atributos de higiene, privacidad, comodidad y protección. En la segunda, la dimensión social, analiza las condiciones de adecuación social, y seguridad en la tenencia” </w:t>
      </w:r>
      <w:r>
        <w:rPr>
          <w:sz w:val="24"/>
        </w:rPr>
        <w:t>(Ceballos, 2006: 149).</w:t>
      </w:r>
    </w:p>
    <w:p>
      <w:pPr>
        <w:pStyle w:val="BodyText"/>
      </w:pPr>
    </w:p>
    <w:p>
      <w:pPr>
        <w:pStyle w:val="BodyText"/>
        <w:spacing w:before="9"/>
        <w:rPr>
          <w:sz w:val="34"/>
        </w:rPr>
      </w:pPr>
    </w:p>
    <w:p>
      <w:pPr>
        <w:pStyle w:val="BodyText"/>
        <w:spacing w:line="360" w:lineRule="auto" w:before="1"/>
        <w:ind w:left="102" w:right="120"/>
        <w:jc w:val="both"/>
      </w:pPr>
      <w:r>
        <w:rPr/>
        <w:t>Como se mencionó en párrafos anteriores, hoy en día se considera que la </w:t>
      </w:r>
      <w:r>
        <w:rPr>
          <w:i/>
        </w:rPr>
        <w:t>habitabilidad de las viviendas </w:t>
      </w:r>
      <w:r>
        <w:rPr/>
        <w:t>debe ser sostenible considerando los siguientes aspectos:  expresada  en  los  materiales  de  construcción  (cuidando  el      medio</w:t>
      </w:r>
    </w:p>
    <w:p>
      <w:pPr>
        <w:spacing w:after="0" w:line="360" w:lineRule="auto"/>
        <w:jc w:val="both"/>
        <w:sectPr>
          <w:pgSz w:w="12240" w:h="15840"/>
          <w:pgMar w:header="0" w:footer="1003" w:top="1360" w:bottom="1200" w:left="1600" w:right="1580"/>
        </w:sectPr>
      </w:pPr>
    </w:p>
    <w:p>
      <w:pPr>
        <w:pStyle w:val="BodyText"/>
        <w:spacing w:line="360" w:lineRule="auto" w:before="54"/>
        <w:ind w:left="102" w:right="115"/>
        <w:jc w:val="both"/>
      </w:pPr>
      <w:r>
        <w:rPr/>
        <w:t>ambiente en la producción de estos), identificada con los servicios públicos adecuados (conexiones e infraestructuras adecuadas), de riesgos vulnerables, planteada para todos los grupos de población (niños, capacidades diferentes, adultos mayores).</w:t>
      </w:r>
    </w:p>
    <w:p>
      <w:pPr>
        <w:pStyle w:val="BodyText"/>
        <w:spacing w:line="360" w:lineRule="auto" w:before="202"/>
        <w:ind w:left="102" w:right="116"/>
        <w:jc w:val="both"/>
      </w:pPr>
      <w:r>
        <w:rPr/>
        <w:t>Esta </w:t>
      </w:r>
      <w:r>
        <w:rPr>
          <w:i/>
        </w:rPr>
        <w:t>habitabilidad </w:t>
      </w:r>
      <w:r>
        <w:rPr/>
        <w:t>debe ser socialmente necesaria para todos en un marco  limitado de consumo de recursos y generación de residuos. La vivienda y el medio ambiente urbano son factores importantes que determinan el grado </w:t>
      </w:r>
      <w:r>
        <w:rPr>
          <w:spacing w:val="4"/>
        </w:rPr>
        <w:t>de </w:t>
      </w:r>
      <w:r>
        <w:rPr/>
        <w:t>habitabilidad urbana de la</w:t>
      </w:r>
      <w:r>
        <w:rPr>
          <w:spacing w:val="-12"/>
        </w:rPr>
        <w:t> </w:t>
      </w:r>
      <w:r>
        <w:rPr>
          <w:sz w:val="19"/>
        </w:rPr>
        <w:t>ZMT</w:t>
      </w:r>
      <w:r>
        <w:rPr/>
        <w:t>.</w:t>
      </w:r>
    </w:p>
    <w:p>
      <w:pPr>
        <w:spacing w:line="240" w:lineRule="auto" w:before="200"/>
        <w:ind w:left="385" w:right="451" w:firstLine="0"/>
        <w:jc w:val="both"/>
        <w:rPr>
          <w:sz w:val="24"/>
        </w:rPr>
      </w:pPr>
      <w:r>
        <w:rPr>
          <w:i/>
          <w:sz w:val="24"/>
        </w:rPr>
        <w:t>“Los problemas de habitabilidad de las viviendas son la sobre explotación del </w:t>
      </w:r>
      <w:r>
        <w:rPr>
          <w:i/>
          <w:sz w:val="24"/>
        </w:rPr>
        <w:t>suelo, limitaciones de la predialización, incomodidad por parte de los habitantes, falta de privacidad, falta de equipamiento en la vivienda prologando el proceso de deterioro en la calidad de la vivienda” </w:t>
      </w:r>
      <w:r>
        <w:rPr>
          <w:sz w:val="24"/>
        </w:rPr>
        <w:t>(Fique,  2005:</w:t>
      </w:r>
      <w:r>
        <w:rPr>
          <w:spacing w:val="-5"/>
          <w:sz w:val="24"/>
        </w:rPr>
        <w:t> </w:t>
      </w:r>
      <w:r>
        <w:rPr>
          <w:sz w:val="24"/>
        </w:rPr>
        <w:t>17).</w:t>
      </w:r>
    </w:p>
    <w:p>
      <w:pPr>
        <w:pStyle w:val="BodyText"/>
      </w:pPr>
    </w:p>
    <w:p>
      <w:pPr>
        <w:pStyle w:val="BodyText"/>
        <w:spacing w:before="7"/>
        <w:rPr>
          <w:sz w:val="34"/>
        </w:rPr>
      </w:pPr>
    </w:p>
    <w:p>
      <w:pPr>
        <w:spacing w:line="360" w:lineRule="auto" w:before="0"/>
        <w:ind w:left="102" w:right="112" w:firstLine="0"/>
        <w:jc w:val="both"/>
        <w:rPr>
          <w:sz w:val="24"/>
        </w:rPr>
      </w:pPr>
      <w:r>
        <w:rPr>
          <w:i/>
          <w:sz w:val="24"/>
        </w:rPr>
        <w:t>“Un problema básico en este sentido en las viviendas es la deficiente ventilación y </w:t>
      </w:r>
      <w:r>
        <w:rPr>
          <w:i/>
          <w:sz w:val="24"/>
        </w:rPr>
        <w:t>la falta de iluminación de permanencia principalmente en las habitaciones” </w:t>
      </w:r>
      <w:r>
        <w:rPr>
          <w:sz w:val="24"/>
        </w:rPr>
        <w:t>(Sánchez, 2013). Otro problema son las instalaciones eléctricas insuficientes que llevan a situaciones riesgosas para los habitantes de la vivienda. Aunque para la investigación no se tomen en cuenta, ya que no se cuenta con la información.</w:t>
      </w:r>
    </w:p>
    <w:p>
      <w:pPr>
        <w:pStyle w:val="BodyText"/>
        <w:spacing w:line="360" w:lineRule="auto" w:before="202"/>
        <w:ind w:left="102" w:right="117"/>
        <w:jc w:val="both"/>
      </w:pPr>
      <w:r>
        <w:rPr/>
        <w:t>No existen condiciones suficientes para las personas de menores ingresos se les permitan a este sector de la población acceder con facilidad a los bienes y servicios que ofrece la </w:t>
      </w:r>
      <w:r>
        <w:rPr>
          <w:sz w:val="19"/>
        </w:rPr>
        <w:t>ZMT</w:t>
      </w:r>
      <w:r>
        <w:rPr/>
        <w:t>, por lo cual su vivienda llega a ser inhabitable. Las dificultades de conexión y movilidad, asociadas a la baja provisión de equipamientos, marginan a los habitantes de disfrutar de una buena calidad de vida urbana.</w:t>
      </w:r>
    </w:p>
    <w:p>
      <w:pPr>
        <w:pStyle w:val="BodyText"/>
        <w:spacing w:before="202"/>
        <w:ind w:left="102"/>
        <w:jc w:val="both"/>
        <w:rPr>
          <w:i/>
        </w:rPr>
      </w:pPr>
      <w:r>
        <w:rPr/>
        <w:t>Se debe tomar en cuenta la eficacia de la vivienda en términos de </w:t>
      </w:r>
      <w:r>
        <w:rPr>
          <w:i/>
        </w:rPr>
        <w:t>habitabilidad</w:t>
      </w:r>
    </w:p>
    <w:p>
      <w:pPr>
        <w:pStyle w:val="BodyText"/>
        <w:spacing w:before="139"/>
        <w:ind w:left="102"/>
        <w:jc w:val="both"/>
      </w:pPr>
      <w:r>
        <w:rPr/>
        <w:t>asociada a la satisfacción de las necesidades básicas de sus usuarios.</w:t>
      </w:r>
    </w:p>
    <w:p>
      <w:pPr>
        <w:pStyle w:val="BodyText"/>
        <w:rPr>
          <w:sz w:val="29"/>
        </w:rPr>
      </w:pPr>
    </w:p>
    <w:p>
      <w:pPr>
        <w:spacing w:line="242" w:lineRule="auto" w:before="0"/>
        <w:ind w:left="385" w:right="448" w:firstLine="0"/>
        <w:jc w:val="both"/>
        <w:rPr>
          <w:sz w:val="24"/>
        </w:rPr>
      </w:pPr>
      <w:r>
        <w:rPr>
          <w:sz w:val="24"/>
        </w:rPr>
        <w:t>“</w:t>
      </w:r>
      <w:r>
        <w:rPr>
          <w:i/>
          <w:sz w:val="24"/>
        </w:rPr>
        <w:t>El fin de la habitabilidad es el mejoramiento de la calidad de vida de los </w:t>
      </w:r>
      <w:r>
        <w:rPr>
          <w:i/>
          <w:sz w:val="24"/>
        </w:rPr>
        <w:t>habitantes, la distribución equitativa de las oportunidades y los beneficios del desarrollo y la preservación del patrimonio cultural y natural” </w:t>
      </w:r>
      <w:r>
        <w:rPr>
          <w:sz w:val="24"/>
        </w:rPr>
        <w:t>(Casals, Arcas, Cuchí, 2013).</w:t>
      </w:r>
    </w:p>
    <w:p>
      <w:pPr>
        <w:spacing w:after="0" w:line="242" w:lineRule="auto"/>
        <w:jc w:val="both"/>
        <w:rPr>
          <w:sz w:val="24"/>
        </w:rPr>
        <w:sectPr>
          <w:pgSz w:w="12240" w:h="15840"/>
          <w:pgMar w:header="0" w:footer="1003" w:top="1360" w:bottom="1200" w:left="1600" w:right="1580"/>
        </w:sectPr>
      </w:pPr>
    </w:p>
    <w:p>
      <w:pPr>
        <w:pStyle w:val="BodyText"/>
        <w:spacing w:line="360" w:lineRule="auto" w:before="52"/>
        <w:ind w:left="102" w:right="122"/>
        <w:jc w:val="both"/>
      </w:pPr>
      <w:r>
        <w:rPr/>
        <w:t>Los requisitos de la </w:t>
      </w:r>
      <w:r>
        <w:rPr>
          <w:i/>
        </w:rPr>
        <w:t>habitabilidad </w:t>
      </w:r>
      <w:r>
        <w:rPr/>
        <w:t>en las viviendas, tienen para la humanidad un carácter unificado y global que se extiende a todas las demandas residenciales, no solo a las viviendas sino también al entorno de espacios públicos, con</w:t>
      </w:r>
    </w:p>
    <w:p>
      <w:pPr>
        <w:spacing w:line="242" w:lineRule="auto" w:before="199"/>
        <w:ind w:left="385" w:right="449" w:firstLine="0"/>
        <w:jc w:val="both"/>
        <w:rPr>
          <w:sz w:val="24"/>
        </w:rPr>
      </w:pPr>
      <w:r>
        <w:rPr>
          <w:sz w:val="24"/>
        </w:rPr>
        <w:t>“</w:t>
      </w:r>
      <w:r>
        <w:rPr>
          <w:i/>
          <w:sz w:val="24"/>
        </w:rPr>
        <w:t>los sistemas locales de las distintas infraestructuras y servicios que en su </w:t>
      </w:r>
      <w:r>
        <w:rPr>
          <w:i/>
          <w:sz w:val="24"/>
        </w:rPr>
        <w:t>conjunto, conforman los asentamientos humanos, tanto rurales como urbanos, propicios para la reproducción vital de las personas” </w:t>
      </w:r>
      <w:r>
        <w:rPr>
          <w:sz w:val="24"/>
        </w:rPr>
        <w:t>(Colavidas y Salas, 2005: 226-227).</w:t>
      </w:r>
    </w:p>
    <w:p>
      <w:pPr>
        <w:pStyle w:val="BodyText"/>
      </w:pPr>
    </w:p>
    <w:p>
      <w:pPr>
        <w:pStyle w:val="BodyText"/>
      </w:pPr>
    </w:p>
    <w:p>
      <w:pPr>
        <w:pStyle w:val="BodyText"/>
        <w:spacing w:before="8"/>
        <w:rPr>
          <w:sz w:val="22"/>
        </w:rPr>
      </w:pPr>
    </w:p>
    <w:p>
      <w:pPr>
        <w:pStyle w:val="ListParagraph"/>
        <w:numPr>
          <w:ilvl w:val="2"/>
          <w:numId w:val="12"/>
        </w:numPr>
        <w:tabs>
          <w:tab w:pos="643" w:val="left" w:leader="none"/>
        </w:tabs>
        <w:spacing w:line="240" w:lineRule="auto" w:before="0" w:after="0"/>
        <w:ind w:left="642" w:right="0" w:hanging="540"/>
        <w:jc w:val="both"/>
        <w:rPr>
          <w:rFonts w:ascii="Cambria"/>
          <w:b/>
          <w:sz w:val="22"/>
        </w:rPr>
      </w:pPr>
      <w:r>
        <w:rPr>
          <w:rFonts w:ascii="Cambria"/>
          <w:b/>
          <w:color w:val="4F81BC"/>
          <w:sz w:val="22"/>
        </w:rPr>
        <w:t>Evaluando la</w:t>
      </w:r>
      <w:r>
        <w:rPr>
          <w:rFonts w:ascii="Cambria"/>
          <w:b/>
          <w:color w:val="4F81BC"/>
          <w:spacing w:val="-12"/>
          <w:sz w:val="22"/>
        </w:rPr>
        <w:t> </w:t>
      </w:r>
      <w:r>
        <w:rPr>
          <w:rFonts w:ascii="Cambria"/>
          <w:b/>
          <w:color w:val="4F81BC"/>
          <w:sz w:val="22"/>
        </w:rPr>
        <w:t>habitabilidad</w:t>
      </w:r>
    </w:p>
    <w:p>
      <w:pPr>
        <w:pStyle w:val="BodyText"/>
        <w:rPr>
          <w:rFonts w:ascii="Cambria"/>
          <w:b/>
          <w:sz w:val="22"/>
        </w:rPr>
      </w:pPr>
    </w:p>
    <w:p>
      <w:pPr>
        <w:pStyle w:val="BodyText"/>
        <w:rPr>
          <w:rFonts w:ascii="Cambria"/>
          <w:b/>
          <w:sz w:val="22"/>
        </w:rPr>
      </w:pPr>
    </w:p>
    <w:p>
      <w:pPr>
        <w:pStyle w:val="BodyText"/>
        <w:spacing w:line="360" w:lineRule="auto" w:before="136"/>
        <w:ind w:left="102" w:right="117"/>
        <w:jc w:val="both"/>
      </w:pPr>
      <w:r>
        <w:rPr/>
        <w:t>Para realizar la evaluación de la habitabilidad de las viviendas en esta zona metropolitana, anteriormente se mencionó la construcción de un concepto el cual sirve de base para realizar la evaluación por medio de: los servicios públicos, los materiales de construcción, los bienes con los que cuentan las viviendas, finalmente el entorno respecto a la ubicación o de localización de las viviendas en la zona metropolitana de Toluca.</w:t>
      </w:r>
    </w:p>
    <w:p>
      <w:pPr>
        <w:pStyle w:val="BodyText"/>
        <w:spacing w:line="360" w:lineRule="auto" w:before="202"/>
        <w:ind w:left="102" w:right="115"/>
        <w:jc w:val="both"/>
      </w:pPr>
      <w:r>
        <w:rPr/>
        <w:t>Se considera evaluar la </w:t>
      </w:r>
      <w:r>
        <w:rPr>
          <w:i/>
        </w:rPr>
        <w:t>habitabilidad </w:t>
      </w:r>
      <w:r>
        <w:rPr/>
        <w:t>de las viviendas por medio de los materiales de construcción y de edificación, además de los servicios públicos con los que cuentan y los bienes que tienen. Utilizando los datos de los censos de población y vivienda que nos arrojan las variables de construcción así como los servicios y bienes disponibles dentro de ellas. Para evaluar el entorno se tomaron en cuenta los datos del Directorio Estadístico Nacional de Unidades Económicas.</w:t>
      </w:r>
    </w:p>
    <w:p>
      <w:pPr>
        <w:pStyle w:val="BodyText"/>
        <w:spacing w:line="360" w:lineRule="auto" w:before="202"/>
        <w:ind w:left="102" w:right="115"/>
        <w:jc w:val="both"/>
      </w:pPr>
      <w:r>
        <w:rPr/>
        <w:t>En la evaluación de la </w:t>
      </w:r>
      <w:r>
        <w:rPr>
          <w:i/>
        </w:rPr>
        <w:t>habitabilidad </w:t>
      </w:r>
      <w:r>
        <w:rPr/>
        <w:t>por medio de los materiales de construcción, se toman en cuenta las paredes, techo y piso con las que están construidas las viviendas, mientras que los servicios públicos se toman en cuenta el agua potable, energía eléctrica, drenaje público y servicio de sanitario, estas cuatro últimas pensando como parte de una calidad habitable de la vivienda, además de la infraestructura que requiere la vivienda para mejorar la calidad de vida de sus habitantes.</w:t>
      </w:r>
    </w:p>
    <w:p>
      <w:pPr>
        <w:spacing w:after="0" w:line="360" w:lineRule="auto"/>
        <w:jc w:val="both"/>
        <w:sectPr>
          <w:pgSz w:w="12240" w:h="15840"/>
          <w:pgMar w:header="0" w:footer="1003" w:top="1360" w:bottom="1200" w:left="1600" w:right="1580"/>
        </w:sectPr>
      </w:pPr>
    </w:p>
    <w:p>
      <w:pPr>
        <w:pStyle w:val="BodyText"/>
        <w:spacing w:line="360" w:lineRule="auto" w:before="52"/>
        <w:ind w:left="102" w:right="118"/>
        <w:jc w:val="both"/>
      </w:pPr>
      <w:r>
        <w:rPr/>
        <w:t>En ese sentido, para evaluar la </w:t>
      </w:r>
      <w:r>
        <w:rPr>
          <w:i/>
        </w:rPr>
        <w:t>habitabilidad </w:t>
      </w:r>
      <w:r>
        <w:rPr/>
        <w:t>de las viviendas se debe hacer combinaciones entre los materiales que son considerados como aptos o aceptables y los que no, así como el equipamiento e infraestructura referente a los servicios públicos con los que cuentan las viviendas.</w:t>
      </w:r>
    </w:p>
    <w:p>
      <w:pPr>
        <w:pStyle w:val="BodyText"/>
        <w:spacing w:line="360" w:lineRule="auto" w:before="204"/>
        <w:ind w:left="102" w:right="119"/>
        <w:jc w:val="both"/>
      </w:pPr>
      <w:r>
        <w:rPr/>
        <w:t>Cuando se estudia el servicio público de agua potable en las viviendas se debe tomar en cuenta que en el artículo 4° de la Constitución Política de los Estados Unidos Mexicanos, donde está plasmado que todo ciudadano tiene derecho a este servicio, más como un derecho humano universalmente.</w:t>
      </w:r>
    </w:p>
    <w:p>
      <w:pPr>
        <w:pStyle w:val="BodyText"/>
        <w:spacing w:line="360" w:lineRule="auto" w:before="205"/>
        <w:ind w:left="102" w:right="124"/>
        <w:jc w:val="both"/>
      </w:pPr>
      <w:r>
        <w:rPr/>
        <w:t>La calidad de los servicios con que cuentan las viviendas, en esta dimensión se considera la disponibilidad y acceso a servicios públicos de los habitantes de las viviendas. Para su evaluación se toman variables, disponibilidad de agua, electricidad, drenaje y sanitario.</w:t>
      </w:r>
    </w:p>
    <w:p>
      <w:pPr>
        <w:pStyle w:val="BodyText"/>
        <w:spacing w:line="360" w:lineRule="auto" w:before="204"/>
        <w:ind w:left="102" w:right="115"/>
        <w:jc w:val="both"/>
      </w:pPr>
      <w:r>
        <w:rPr/>
        <w:t>Para poder evaluar la habitabilidad de las viviendas se realiza un análisis de las dimensiones de las viviendas con sus respectivas variables, dando como resultado indicadores por medio del análisis de jerarquías de Saaty, este es un método que se realiza para analizar problemas complejos como lo es la habitabilidad.</w:t>
      </w:r>
    </w:p>
    <w:p>
      <w:pPr>
        <w:pStyle w:val="BodyText"/>
        <w:spacing w:line="360" w:lineRule="auto" w:before="204"/>
        <w:ind w:left="102" w:right="117"/>
        <w:jc w:val="both"/>
      </w:pPr>
      <w:r>
        <w:rPr/>
        <w:t>Finalmente se obtienen los indicadores de cada valor de la escala de Saaty de habitabilidad de las viviendas. Donde se compara la habitabilidad de las viviendas en el periodo de tiempo analizado, para observar si las condiciones fueron empeorando, mejorando o continúan iguales.</w:t>
      </w:r>
    </w:p>
    <w:p>
      <w:pPr>
        <w:spacing w:after="0" w:line="360" w:lineRule="auto"/>
        <w:jc w:val="both"/>
        <w:sectPr>
          <w:pgSz w:w="12240" w:h="15840"/>
          <w:pgMar w:header="0" w:footer="1003" w:top="1360" w:bottom="1200" w:left="1600" w:right="1580"/>
        </w:sectPr>
      </w:pPr>
    </w:p>
    <w:p>
      <w:pPr>
        <w:pStyle w:val="Heading3"/>
        <w:ind w:left="102" w:firstLine="0"/>
      </w:pPr>
      <w:bookmarkStart w:name="_TOC_250021" w:id="13"/>
      <w:bookmarkEnd w:id="13"/>
      <w:r>
        <w:rPr>
          <w:color w:val="4F81BC"/>
        </w:rPr>
        <w:t>Conclusiones</w:t>
      </w:r>
    </w:p>
    <w:p>
      <w:pPr>
        <w:pStyle w:val="BodyText"/>
        <w:rPr>
          <w:rFonts w:ascii="Cambria"/>
          <w:b/>
          <w:sz w:val="26"/>
        </w:rPr>
      </w:pPr>
    </w:p>
    <w:p>
      <w:pPr>
        <w:pStyle w:val="BodyText"/>
        <w:spacing w:before="4"/>
        <w:rPr>
          <w:rFonts w:ascii="Cambria"/>
          <w:b/>
          <w:sz w:val="23"/>
        </w:rPr>
      </w:pPr>
    </w:p>
    <w:p>
      <w:pPr>
        <w:pStyle w:val="BodyText"/>
        <w:spacing w:line="360" w:lineRule="auto"/>
        <w:ind w:left="102" w:right="124"/>
        <w:jc w:val="both"/>
      </w:pPr>
      <w:r>
        <w:rPr/>
        <w:t>La </w:t>
      </w:r>
      <w:r>
        <w:rPr>
          <w:i/>
        </w:rPr>
        <w:t>habitabilidad </w:t>
      </w:r>
      <w:r>
        <w:rPr/>
        <w:t>debe ser entendida más allá de las características físicas de la vivienda, con la dimensión material y social que se desarrolla a escala urbana. En el ámbito de la vivienda, es posible detectar profundos cambios acontecidos recientemente en sociedades con un aumento en los recursos disponibles.</w:t>
      </w:r>
    </w:p>
    <w:p>
      <w:pPr>
        <w:pStyle w:val="BodyText"/>
        <w:spacing w:line="362" w:lineRule="auto" w:before="199"/>
        <w:ind w:left="102" w:right="119"/>
        <w:jc w:val="both"/>
      </w:pPr>
      <w:r>
        <w:rPr/>
        <w:t>Las conformaciones de la </w:t>
      </w:r>
      <w:r>
        <w:rPr>
          <w:i/>
        </w:rPr>
        <w:t>habitabilidad </w:t>
      </w:r>
      <w:r>
        <w:rPr/>
        <w:t>presentes en la sociedad  actual, aceptando que más allá de la vivienda existen entornos y alojamientos habitables que suponen modelos de gestión de recursos alternativos.</w:t>
      </w:r>
    </w:p>
    <w:p>
      <w:pPr>
        <w:pStyle w:val="BodyText"/>
        <w:spacing w:line="360" w:lineRule="auto" w:before="201"/>
        <w:ind w:left="102" w:right="126"/>
        <w:jc w:val="both"/>
      </w:pPr>
      <w:r>
        <w:rPr/>
        <w:t>Deberían existir soluciones habitacionales presentes en la sociedad por ejemplo, adultos mayores, personas viviendo solas, inmigrantes, parejas sin hijos, familias extensas, familias compuestas, etc.</w:t>
      </w:r>
    </w:p>
    <w:p>
      <w:pPr>
        <w:pStyle w:val="BodyText"/>
        <w:spacing w:line="360" w:lineRule="auto" w:before="202"/>
        <w:ind w:left="102" w:right="116"/>
        <w:jc w:val="both"/>
      </w:pPr>
      <w:r>
        <w:rPr/>
        <w:t>El habitante cualifica un espacio como </w:t>
      </w:r>
      <w:r>
        <w:rPr>
          <w:i/>
        </w:rPr>
        <w:t>habitable </w:t>
      </w:r>
      <w:r>
        <w:rPr/>
        <w:t>o inhabitable con base en la posibilidad que el espacio ofrece para que su </w:t>
      </w:r>
      <w:r>
        <w:rPr>
          <w:i/>
        </w:rPr>
        <w:t>hábitat </w:t>
      </w:r>
      <w:r>
        <w:rPr/>
        <w:t>residencial esté acorde a sus necesidades, gustos, deseos, capacidades y logre modificarse en función de ellos.</w:t>
      </w:r>
    </w:p>
    <w:p>
      <w:pPr>
        <w:pStyle w:val="BodyText"/>
        <w:spacing w:line="360" w:lineRule="auto" w:before="202"/>
        <w:ind w:left="102" w:right="116"/>
        <w:jc w:val="both"/>
      </w:pPr>
      <w:r>
        <w:rPr/>
        <w:t>Es aquí que se pretende con el trabajo que el </w:t>
      </w:r>
      <w:r>
        <w:rPr>
          <w:i/>
        </w:rPr>
        <w:t>derecho a la vivienda </w:t>
      </w:r>
      <w:r>
        <w:rPr/>
        <w:t>aparezca más como el derecho a la ciudad ya que todo ser humano tiene derecho acontar con una vivienda habitable, aunado a que los planes de desarrollo urbano se enfoquen a la </w:t>
      </w:r>
      <w:r>
        <w:rPr>
          <w:i/>
        </w:rPr>
        <w:t>habitabilidad</w:t>
      </w:r>
      <w:r>
        <w:rPr/>
        <w:t>, basadas en las viviendas donde la gente vive, trabaja, estudia, en un mismo espacio dentro de la ciudad. De lado contrario hacer visible las personas con menor habitabilidad en sus viviendas, aplicando las leyes y reglamentos de los planes de desarrollo urbano.</w:t>
      </w:r>
    </w:p>
    <w:p>
      <w:pPr>
        <w:spacing w:after="0" w:line="360" w:lineRule="auto"/>
        <w:jc w:val="both"/>
        <w:sectPr>
          <w:pgSz w:w="12240" w:h="15840"/>
          <w:pgMar w:header="0" w:footer="1003" w:top="138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197"/>
      </w:pPr>
      <w:r>
        <w:rPr>
          <w:color w:val="365F91"/>
        </w:rPr>
        <w:t>Capítulo 2</w:t>
      </w:r>
    </w:p>
    <w:p>
      <w:pPr>
        <w:pStyle w:val="BodyText"/>
        <w:rPr>
          <w:rFonts w:ascii="Cambria"/>
          <w:b/>
          <w:sz w:val="28"/>
        </w:rPr>
      </w:pPr>
    </w:p>
    <w:p>
      <w:pPr>
        <w:spacing w:before="202"/>
        <w:ind w:left="102" w:right="0" w:firstLine="0"/>
        <w:jc w:val="left"/>
        <w:rPr>
          <w:rFonts w:ascii="Cambria" w:hAnsi="Cambria"/>
          <w:b/>
          <w:sz w:val="22"/>
        </w:rPr>
      </w:pPr>
      <w:r>
        <w:rPr>
          <w:rFonts w:ascii="Cambria" w:hAnsi="Cambria"/>
          <w:b/>
          <w:color w:val="365F91"/>
          <w:sz w:val="28"/>
        </w:rPr>
        <w:t>Método para evaluar la habitabilidad de la vivienda en la </w:t>
      </w:r>
      <w:r>
        <w:rPr>
          <w:rFonts w:ascii="Cambria" w:hAnsi="Cambria"/>
          <w:b/>
          <w:color w:val="365F91"/>
          <w:sz w:val="22"/>
        </w:rPr>
        <w:t>ZMT</w:t>
      </w:r>
    </w:p>
    <w:p>
      <w:pPr>
        <w:spacing w:after="0"/>
        <w:jc w:val="left"/>
        <w:rPr>
          <w:rFonts w:ascii="Cambria" w:hAnsi="Cambria"/>
          <w:sz w:val="22"/>
        </w:rPr>
        <w:sectPr>
          <w:pgSz w:w="12240" w:h="15840"/>
          <w:pgMar w:header="0" w:footer="1003" w:top="1500" w:bottom="1200" w:left="1600" w:right="1720"/>
        </w:sectPr>
      </w:pPr>
    </w:p>
    <w:p>
      <w:pPr>
        <w:pStyle w:val="Heading3"/>
        <w:ind w:left="102" w:firstLine="0"/>
      </w:pPr>
      <w:bookmarkStart w:name="_TOC_250020" w:id="14"/>
      <w:bookmarkEnd w:id="14"/>
      <w:r>
        <w:rPr>
          <w:color w:val="4F81BC"/>
        </w:rPr>
        <w:t>Introducción</w:t>
      </w:r>
    </w:p>
    <w:p>
      <w:pPr>
        <w:pStyle w:val="BodyText"/>
        <w:rPr>
          <w:rFonts w:ascii="Cambria"/>
          <w:b/>
          <w:sz w:val="26"/>
        </w:rPr>
      </w:pPr>
    </w:p>
    <w:p>
      <w:pPr>
        <w:pStyle w:val="BodyText"/>
        <w:spacing w:before="6"/>
        <w:rPr>
          <w:rFonts w:ascii="Cambria"/>
          <w:b/>
          <w:sz w:val="23"/>
        </w:rPr>
      </w:pPr>
    </w:p>
    <w:p>
      <w:pPr>
        <w:pStyle w:val="BodyText"/>
        <w:spacing w:line="360" w:lineRule="auto"/>
        <w:ind w:left="102" w:right="119"/>
        <w:jc w:val="both"/>
      </w:pPr>
      <w:r>
        <w:rPr/>
        <w:t>En este capítulo se describe la metodología empleada en esta investigación para poder evaluar la habitabilidad de las viviendas en la Zona Metropolitana de Toluca (</w:t>
      </w:r>
      <w:r>
        <w:rPr>
          <w:sz w:val="19"/>
        </w:rPr>
        <w:t>ZMT</w:t>
      </w:r>
      <w:r>
        <w:rPr/>
        <w:t>). Los métodos utilizados en primer lugar, es el método jerárquico de Saaty, este permite ponderar las variables censales utilizadas y crear un índice resumen que arroja cinco niveles de habitabilidad (alta, buena, media, baja, muy baja habitabilidad) los primeros resultados de las zonas que cuentan con viviendas habitables, es decir, cuentan con alta habitabilidad, materiales de construcción adecuados, confort en las viviendas y también las zonas con viviendas con habitabilidad crítica sin servicios públicos, materiales precarios y no existe confort porque no cuentan con bienes en las viviendas en el lugar de estudio.</w:t>
      </w:r>
    </w:p>
    <w:p>
      <w:pPr>
        <w:pStyle w:val="BodyText"/>
        <w:spacing w:line="360" w:lineRule="auto" w:before="202"/>
        <w:ind w:left="102" w:right="117"/>
        <w:jc w:val="both"/>
      </w:pPr>
      <w:r>
        <w:rPr/>
        <w:t>Posteriormente como segundo método se utilizó el índice de accesibilidad, este permite conocer en qué zonas las viviendas cuentan con mejor índice de accesibilidad al empleo, la salud, educación, el abastecimiento, las áreas verdes y recreación, denominando la dimensión como el entorno de las viviendas, arrojando así una mejor habitabilidad para las personas que su viviendas están ubicadas cerca de estos servicios.</w:t>
      </w:r>
    </w:p>
    <w:p>
      <w:pPr>
        <w:pStyle w:val="BodyText"/>
        <w:spacing w:line="360" w:lineRule="auto" w:before="204"/>
        <w:ind w:left="102" w:right="115"/>
        <w:jc w:val="both"/>
      </w:pPr>
      <w:r>
        <w:rPr/>
        <w:t>La investigación está fundamentada con un enfoque cuantitativo ya que los datos utilizados son los del XIII Censo de Población y Vivienda del </w:t>
      </w:r>
      <w:r>
        <w:rPr>
          <w:sz w:val="19"/>
        </w:rPr>
        <w:t>INEGI</w:t>
      </w:r>
      <w:r>
        <w:rPr/>
        <w:t>, 2010 y datos del Directorio Estadístico Nación de Unidades Económicas del </w:t>
      </w:r>
      <w:r>
        <w:rPr>
          <w:sz w:val="19"/>
        </w:rPr>
        <w:t>INEGI</w:t>
      </w:r>
      <w:r>
        <w:rPr/>
        <w:t>, 2014. Esta diversidad de datos enriquece el análisis, pero al mismo tiempo dificulta lograr la mezcla balanceada entre la teoría y práctica en busca de la habitabilidad de las viviendas de esta zona</w:t>
      </w:r>
      <w:r>
        <w:rPr>
          <w:spacing w:val="-14"/>
        </w:rPr>
        <w:t> </w:t>
      </w:r>
      <w:r>
        <w:rPr/>
        <w:t>metropolitana.</w:t>
      </w:r>
    </w:p>
    <w:p>
      <w:pPr>
        <w:pStyle w:val="BodyText"/>
        <w:spacing w:line="360" w:lineRule="auto" w:before="204"/>
        <w:ind w:left="102" w:right="115"/>
        <w:jc w:val="both"/>
      </w:pPr>
      <w:r>
        <w:rPr/>
        <w:t>En los siguientes párrafos de este texto se demuestra esta aseveración, lo que resulta relevante porque así se contará con una visión más integral de la parte teórica y los métodos utilizados en el trabajo. Una visión que al combinar los conceptos teóricos, con los planes de planeación, contribuye al diseño de mejores alternativas de planeación de vivienda y por ende de habitabilidad en la zona metropolitana de Toluca.</w:t>
      </w:r>
    </w:p>
    <w:p>
      <w:pPr>
        <w:spacing w:after="0" w:line="360" w:lineRule="auto"/>
        <w:jc w:val="both"/>
        <w:sectPr>
          <w:footerReference w:type="default" r:id="rId39"/>
          <w:pgSz w:w="12240" w:h="15840"/>
          <w:pgMar w:footer="1003" w:header="0" w:top="1380" w:bottom="1200" w:left="1600" w:right="1580"/>
        </w:sectPr>
      </w:pPr>
    </w:p>
    <w:p>
      <w:pPr>
        <w:pStyle w:val="BodyText"/>
        <w:spacing w:before="54"/>
        <w:ind w:left="102"/>
        <w:jc w:val="both"/>
      </w:pPr>
      <w:r>
        <w:rPr/>
        <w:t>Zona Metropolitana</w:t>
      </w:r>
    </w:p>
    <w:p>
      <w:pPr>
        <w:pStyle w:val="BodyText"/>
      </w:pPr>
    </w:p>
    <w:p>
      <w:pPr>
        <w:pStyle w:val="BodyText"/>
      </w:pPr>
    </w:p>
    <w:p>
      <w:pPr>
        <w:pStyle w:val="BodyText"/>
        <w:spacing w:before="9"/>
        <w:rPr>
          <w:sz w:val="34"/>
        </w:rPr>
      </w:pPr>
    </w:p>
    <w:p>
      <w:pPr>
        <w:pStyle w:val="BodyText"/>
        <w:spacing w:before="1"/>
        <w:ind w:left="102"/>
        <w:jc w:val="both"/>
      </w:pPr>
      <w:r>
        <w:rPr/>
        <w:t>En términos generales se define a</w:t>
      </w:r>
    </w:p>
    <w:p>
      <w:pPr>
        <w:pStyle w:val="BodyText"/>
      </w:pPr>
    </w:p>
    <w:p>
      <w:pPr>
        <w:pStyle w:val="BodyText"/>
        <w:spacing w:before="6"/>
        <w:rPr>
          <w:sz w:val="23"/>
        </w:rPr>
      </w:pPr>
    </w:p>
    <w:p>
      <w:pPr>
        <w:spacing w:before="0"/>
        <w:ind w:left="385" w:right="451" w:firstLine="0"/>
        <w:jc w:val="both"/>
        <w:rPr>
          <w:sz w:val="24"/>
        </w:rPr>
      </w:pPr>
      <w:r>
        <w:rPr>
          <w:sz w:val="24"/>
        </w:rPr>
        <w:t>“</w:t>
      </w:r>
      <w:r>
        <w:rPr>
          <w:i/>
          <w:sz w:val="24"/>
        </w:rPr>
        <w:t>la zona metropolitana como extensión territorial en la que se encuentra la </w:t>
      </w:r>
      <w:r>
        <w:rPr>
          <w:i/>
          <w:sz w:val="24"/>
        </w:rPr>
        <w:t>unidad política administrativa de la ciudad central así como todas las unidades político administrativas de localidades contiguas que presentan características urbanas tales como sitios de trabajo, o lugares de residencia de trabajadores dedicados a labores no agrícolas y que mantienen una relación socioeconómicamente directa, intensa y recíproca con la ciudad central” </w:t>
      </w:r>
      <w:r>
        <w:rPr>
          <w:sz w:val="24"/>
        </w:rPr>
        <w:t>(Unikel, 1976: 118).</w:t>
      </w:r>
    </w:p>
    <w:p>
      <w:pPr>
        <w:pStyle w:val="BodyText"/>
      </w:pPr>
    </w:p>
    <w:p>
      <w:pPr>
        <w:pStyle w:val="BodyText"/>
        <w:spacing w:before="7"/>
        <w:rPr>
          <w:sz w:val="29"/>
        </w:rPr>
      </w:pPr>
    </w:p>
    <w:p>
      <w:pPr>
        <w:spacing w:line="360" w:lineRule="auto" w:before="0"/>
        <w:ind w:left="102" w:right="123" w:firstLine="0"/>
        <w:jc w:val="both"/>
        <w:rPr>
          <w:sz w:val="24"/>
        </w:rPr>
      </w:pPr>
      <w:r>
        <w:rPr>
          <w:sz w:val="24"/>
        </w:rPr>
        <w:t>La zona metropolitana, “</w:t>
      </w:r>
      <w:r>
        <w:rPr>
          <w:i/>
          <w:sz w:val="24"/>
        </w:rPr>
        <w:t>noción utilizada primero en los Estados Unidos designa un </w:t>
      </w:r>
      <w:r>
        <w:rPr>
          <w:i/>
          <w:sz w:val="24"/>
        </w:rPr>
        <w:t>principio únicamente a ciudades de muy grande tamaño, y en el caso de Estados Unidos, a las ciudades que tienen un centro administrativo de unos 50 000 habitantes” </w:t>
      </w:r>
      <w:r>
        <w:rPr>
          <w:sz w:val="24"/>
        </w:rPr>
        <w:t>(Bairoch, 1990).</w:t>
      </w:r>
    </w:p>
    <w:p>
      <w:pPr>
        <w:pStyle w:val="BodyText"/>
        <w:spacing w:line="360" w:lineRule="auto" w:before="206"/>
        <w:ind w:left="102" w:right="117"/>
        <w:jc w:val="both"/>
      </w:pPr>
      <w:r>
        <w:rPr/>
        <w:t>En términos prácticos la zona metropolitana engloba no solo a los alrededores adyacentes sino igualmente a pequeñas poblaciones que en virtud de su cercanía han pasado a ser dependientes de la gran ciudad y que estas ciudades satélites pueden funcionar como ciudades dormitorio, industriales, comerciales, todo ello organizado de una manera centralizada.</w:t>
      </w:r>
    </w:p>
    <w:p>
      <w:pPr>
        <w:pStyle w:val="BodyText"/>
        <w:spacing w:line="360" w:lineRule="auto" w:before="204"/>
        <w:ind w:left="102" w:right="127"/>
        <w:jc w:val="both"/>
      </w:pPr>
      <w:r>
        <w:rPr/>
        <w:t>La aparición de un gran número de zonas metropolitanas alrededor del mundo se desarrolla a partir del siglo </w:t>
      </w:r>
      <w:r>
        <w:rPr>
          <w:sz w:val="19"/>
        </w:rPr>
        <w:t>XX </w:t>
      </w:r>
      <w:r>
        <w:rPr/>
        <w:t>se presenta, esencialmente a</w:t>
      </w:r>
    </w:p>
    <w:p>
      <w:pPr>
        <w:spacing w:line="240" w:lineRule="auto" w:before="199"/>
        <w:ind w:left="385" w:right="450" w:firstLine="0"/>
        <w:jc w:val="both"/>
        <w:rPr>
          <w:sz w:val="24"/>
        </w:rPr>
      </w:pPr>
      <w:r>
        <w:rPr>
          <w:sz w:val="24"/>
        </w:rPr>
        <w:t>“</w:t>
      </w:r>
      <w:r>
        <w:rPr>
          <w:i/>
          <w:sz w:val="24"/>
        </w:rPr>
        <w:t>la fase posterior a la Revolución Industrial, afectando a la mayoría de </w:t>
      </w:r>
      <w:r>
        <w:rPr>
          <w:i/>
          <w:sz w:val="24"/>
        </w:rPr>
        <w:t>ciudades grandes y medias, no solo producido por el desarrollo económico y social, sino también por las altas tasas de crecimiento demográfico, este da lugar a un rápido crecimiento urbano y a la aparición de ciudades muy grandes, otro factor ha sido los sistemas de transporte especialmente el automóvil que ha contribuido al crecimiento desmesurado de las zonas metropolitanas” </w:t>
      </w:r>
      <w:r>
        <w:rPr>
          <w:sz w:val="24"/>
        </w:rPr>
        <w:t>(Bairoch, 1990).</w:t>
      </w:r>
    </w:p>
    <w:p>
      <w:pPr>
        <w:spacing w:after="0" w:line="240" w:lineRule="auto"/>
        <w:jc w:val="both"/>
        <w:rPr>
          <w:sz w:val="24"/>
        </w:rPr>
        <w:sectPr>
          <w:footerReference w:type="default" r:id="rId40"/>
          <w:pgSz w:w="12240" w:h="15840"/>
          <w:pgMar w:footer="1003" w:header="0" w:top="1360" w:bottom="1200" w:left="1600" w:right="1580"/>
          <w:pgNumType w:start="81"/>
        </w:sectPr>
      </w:pPr>
    </w:p>
    <w:p>
      <w:pPr>
        <w:pStyle w:val="BodyText"/>
        <w:spacing w:before="54"/>
        <w:ind w:left="122"/>
        <w:jc w:val="both"/>
      </w:pPr>
      <w:r>
        <w:rPr/>
        <w:t>Para nuestro país la definición de la zona metropolitana;</w:t>
      </w:r>
    </w:p>
    <w:p>
      <w:pPr>
        <w:pStyle w:val="BodyText"/>
        <w:rPr>
          <w:sz w:val="29"/>
        </w:rPr>
      </w:pPr>
    </w:p>
    <w:p>
      <w:pPr>
        <w:spacing w:line="240" w:lineRule="auto" w:before="0"/>
        <w:ind w:left="405" w:right="448" w:firstLine="0"/>
        <w:jc w:val="both"/>
        <w:rPr>
          <w:sz w:val="24"/>
        </w:rPr>
      </w:pPr>
      <w:r>
        <w:rPr>
          <w:sz w:val="24"/>
        </w:rPr>
        <w:t>“</w:t>
      </w:r>
      <w:r>
        <w:rPr>
          <w:i/>
          <w:sz w:val="24"/>
        </w:rPr>
        <w:t>es el conjunto de dos o más municipios donde se localiza una ciudad de 50 </w:t>
      </w:r>
      <w:r>
        <w:rPr>
          <w:i/>
          <w:sz w:val="24"/>
        </w:rPr>
        <w:t>mil o más habitantes, cuya área urbana, funciones y actividades rebasan el límite del municipio que originalmente la contenía, incorporando como parte de sí misma o de su área de influencia directa a los municipios vecinos, predominantemente urbanos, con los que mantiene un alto grado de integración socioeconómica” </w:t>
      </w:r>
      <w:r>
        <w:rPr>
          <w:sz w:val="24"/>
        </w:rPr>
        <w:t>(</w:t>
      </w:r>
      <w:r>
        <w:rPr>
          <w:sz w:val="19"/>
        </w:rPr>
        <w:t>CONAPO</w:t>
      </w:r>
      <w:r>
        <w:rPr>
          <w:sz w:val="24"/>
        </w:rPr>
        <w:t>, 2007). “</w:t>
      </w:r>
      <w:r>
        <w:rPr>
          <w:i/>
          <w:sz w:val="24"/>
        </w:rPr>
        <w:t>También se incluye a aquellos </w:t>
      </w:r>
      <w:r>
        <w:rPr>
          <w:i/>
          <w:sz w:val="24"/>
        </w:rPr>
        <w:t>municipios que por sus características particulares son relevantes para la planeación y política urbanas de las zonas metropolitanas en cuestión” </w:t>
      </w:r>
      <w:r>
        <w:rPr>
          <w:sz w:val="24"/>
        </w:rPr>
        <w:t>(</w:t>
      </w:r>
      <w:r>
        <w:rPr>
          <w:sz w:val="19"/>
        </w:rPr>
        <w:t>CONAPO</w:t>
      </w:r>
      <w:r>
        <w:rPr>
          <w:sz w:val="24"/>
        </w:rPr>
        <w:t>-</w:t>
      </w:r>
      <w:r>
        <w:rPr>
          <w:sz w:val="19"/>
        </w:rPr>
        <w:t>SEDESOL</w:t>
      </w:r>
      <w:r>
        <w:rPr>
          <w:sz w:val="24"/>
        </w:rPr>
        <w:t>- </w:t>
      </w:r>
      <w:r>
        <w:rPr>
          <w:sz w:val="19"/>
        </w:rPr>
        <w:t>INEGI</w:t>
      </w:r>
      <w:r>
        <w:rPr>
          <w:sz w:val="24"/>
        </w:rPr>
        <w:t>, 2012).</w:t>
      </w:r>
    </w:p>
    <w:p>
      <w:pPr>
        <w:pStyle w:val="BodyText"/>
      </w:pPr>
    </w:p>
    <w:p>
      <w:pPr>
        <w:pStyle w:val="BodyText"/>
        <w:spacing w:before="8"/>
        <w:rPr>
          <w:sz w:val="34"/>
        </w:rPr>
      </w:pPr>
    </w:p>
    <w:p>
      <w:pPr>
        <w:spacing w:line="360" w:lineRule="auto" w:before="0"/>
        <w:ind w:left="122" w:right="123" w:firstLine="0"/>
        <w:jc w:val="both"/>
        <w:rPr>
          <w:sz w:val="24"/>
        </w:rPr>
      </w:pPr>
      <w:r>
        <w:rPr>
          <w:sz w:val="24"/>
        </w:rPr>
        <w:t>Asimismo, se define como “</w:t>
      </w:r>
      <w:r>
        <w:rPr>
          <w:i/>
          <w:sz w:val="24"/>
        </w:rPr>
        <w:t>zonas metropolitanas todos aquellos municipios que </w:t>
      </w:r>
      <w:r>
        <w:rPr>
          <w:i/>
          <w:sz w:val="24"/>
        </w:rPr>
        <w:t>contienen una ciudad de un millón o más de habitantes, así como aquellos con ciudades de 250 mil o más habitantes que comparten procesos de conurbación con ciudades de Estados Unidos de América” </w:t>
      </w:r>
      <w:r>
        <w:rPr>
          <w:sz w:val="24"/>
        </w:rPr>
        <w:t>(</w:t>
      </w:r>
      <w:r>
        <w:rPr>
          <w:sz w:val="19"/>
        </w:rPr>
        <w:t>CONAPO</w:t>
      </w:r>
      <w:r>
        <w:rPr>
          <w:sz w:val="24"/>
        </w:rPr>
        <w:t>-</w:t>
      </w:r>
      <w:r>
        <w:rPr>
          <w:sz w:val="19"/>
        </w:rPr>
        <w:t>SEDESOL</w:t>
      </w:r>
      <w:r>
        <w:rPr>
          <w:sz w:val="24"/>
        </w:rPr>
        <w:t>- </w:t>
      </w:r>
      <w:r>
        <w:rPr>
          <w:sz w:val="19"/>
        </w:rPr>
        <w:t>INEGI</w:t>
      </w:r>
      <w:r>
        <w:rPr>
          <w:sz w:val="24"/>
        </w:rPr>
        <w:t>,</w:t>
      </w:r>
      <w:r>
        <w:rPr>
          <w:spacing w:val="-36"/>
          <w:sz w:val="24"/>
        </w:rPr>
        <w:t> </w:t>
      </w:r>
      <w:r>
        <w:rPr>
          <w:sz w:val="24"/>
        </w:rPr>
        <w:t>2012).</w:t>
      </w:r>
    </w:p>
    <w:p>
      <w:pPr>
        <w:pStyle w:val="BodyText"/>
      </w:pPr>
    </w:p>
    <w:p>
      <w:pPr>
        <w:pStyle w:val="BodyText"/>
        <w:spacing w:line="360" w:lineRule="auto" w:before="144"/>
        <w:ind w:left="122" w:right="115"/>
        <w:jc w:val="both"/>
      </w:pPr>
      <w:r>
        <w:rPr/>
        <w:t>De acuerdo con Unikel, 1976, respecto a la zona metropolitana de Toluca, la ciudad central es Toluca, los municipios exteriores presentan características urbanas como trabajo, residencia, trabajadores en el sector terciario</w:t>
      </w:r>
      <w:r>
        <w:rPr>
          <w:position w:val="8"/>
          <w:sz w:val="16"/>
        </w:rPr>
        <w:t>6</w:t>
      </w:r>
      <w:r>
        <w:rPr/>
        <w:t>,  manteniendo una relación entre ellos socioeconómica directa y recíproca con la ciudad de</w:t>
      </w:r>
      <w:r>
        <w:rPr>
          <w:spacing w:val="-4"/>
        </w:rPr>
        <w:t> </w:t>
      </w:r>
      <w:r>
        <w:rPr/>
        <w:t>Toluca.</w:t>
      </w:r>
    </w:p>
    <w:p>
      <w:pPr>
        <w:pStyle w:val="BodyText"/>
      </w:pPr>
    </w:p>
    <w:p>
      <w:pPr>
        <w:pStyle w:val="BodyText"/>
        <w:spacing w:line="360" w:lineRule="auto" w:before="142"/>
        <w:ind w:left="122" w:right="122"/>
        <w:jc w:val="both"/>
      </w:pPr>
      <w:r>
        <w:rPr/>
        <w:t>Por su conurbación física en la zona metropolitana de Toluca se encuentran los municipios de Almoloya de Juárez, Calimaya, Lerma, Metepec, Mexicaltzingo, Otzolotepec, San Mateo Atenco, Toluca y Zinacantepec. Mientras que por integración funcional se encuentran los municipios exteriores de Chapultepec, Ocoyoacac, Rayón, San Antonio la Isla, Temoaya y Xonacatlán (ver cuadro No. 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0"/>
        </w:rPr>
      </w:pPr>
      <w:r>
        <w:rPr/>
        <w:pict>
          <v:line style="position:absolute;mso-position-horizontal-relative:page;mso-position-vertical-relative:paragraph;z-index:1960;mso-wrap-distance-left:0;mso-wrap-distance-right:0" from="85.103996pt,8.501709pt" to="229.123996pt,8.501709pt" stroked="true" strokeweight=".84003pt" strokecolor="#000000">
            <w10:wrap type="topAndBottom"/>
          </v:line>
        </w:pict>
      </w:r>
    </w:p>
    <w:p>
      <w:pPr>
        <w:spacing w:before="74"/>
        <w:ind w:left="122" w:right="214" w:firstLine="0"/>
        <w:jc w:val="left"/>
        <w:rPr>
          <w:rFonts w:ascii="Calibri" w:hAnsi="Calibri"/>
          <w:sz w:val="20"/>
        </w:rPr>
      </w:pPr>
      <w:r>
        <w:rPr>
          <w:rFonts w:ascii="Calibri" w:hAnsi="Calibri"/>
          <w:position w:val="7"/>
          <w:sz w:val="13"/>
        </w:rPr>
        <w:t>6 </w:t>
      </w:r>
      <w:r>
        <w:rPr>
          <w:rFonts w:ascii="Calibri" w:hAnsi="Calibri"/>
          <w:sz w:val="20"/>
        </w:rPr>
        <w:t>También conocido como el sector servicios o sector económico donde los servicios producidos no generan bienes.</w:t>
      </w:r>
    </w:p>
    <w:p>
      <w:pPr>
        <w:spacing w:after="0"/>
        <w:jc w:val="left"/>
        <w:rPr>
          <w:rFonts w:ascii="Calibri" w:hAnsi="Calibri"/>
          <w:sz w:val="20"/>
        </w:rPr>
        <w:sectPr>
          <w:pgSz w:w="12240" w:h="15840"/>
          <w:pgMar w:header="0" w:footer="1003" w:top="1360" w:bottom="1200" w:left="1580" w:right="1580"/>
        </w:sectPr>
      </w:pPr>
    </w:p>
    <w:p>
      <w:pPr>
        <w:spacing w:before="53"/>
        <w:ind w:left="38" w:right="56" w:firstLine="0"/>
        <w:jc w:val="center"/>
        <w:rPr>
          <w:sz w:val="20"/>
        </w:rPr>
      </w:pPr>
      <w:r>
        <w:rPr>
          <w:sz w:val="20"/>
        </w:rPr>
        <w:t>Cuadro No. 3</w:t>
      </w:r>
    </w:p>
    <w:p>
      <w:pPr>
        <w:tabs>
          <w:tab w:pos="8861" w:val="left" w:leader="none"/>
        </w:tabs>
        <w:spacing w:before="0"/>
        <w:ind w:left="38" w:right="0" w:firstLine="0"/>
        <w:jc w:val="center"/>
        <w:rPr>
          <w:sz w:val="20"/>
        </w:rPr>
      </w:pPr>
      <w:r>
        <w:rPr>
          <w:w w:val="99"/>
          <w:sz w:val="20"/>
          <w:u w:val="thick"/>
        </w:rPr>
        <w:t> </w:t>
      </w:r>
      <w:r>
        <w:rPr>
          <w:sz w:val="20"/>
          <w:u w:val="thick"/>
        </w:rPr>
        <w:t>  </w:t>
      </w:r>
      <w:r>
        <w:rPr>
          <w:spacing w:val="23"/>
          <w:sz w:val="20"/>
          <w:u w:val="thick"/>
        </w:rPr>
        <w:t> </w:t>
      </w:r>
      <w:r>
        <w:rPr>
          <w:sz w:val="20"/>
          <w:u w:val="thick"/>
        </w:rPr>
        <w:t>Zona metropolitana de Toluca: municipios centrales y criterios de incorpora</w:t>
      </w:r>
      <w:r>
        <w:rPr>
          <w:sz w:val="20"/>
        </w:rPr>
        <w:t>c</w:t>
      </w:r>
      <w:r>
        <w:rPr>
          <w:sz w:val="20"/>
          <w:u w:val="thick"/>
        </w:rPr>
        <w:t>ión por</w:t>
      </w:r>
      <w:r>
        <w:rPr>
          <w:spacing w:val="-26"/>
          <w:sz w:val="20"/>
          <w:u w:val="thick"/>
        </w:rPr>
        <w:t> </w:t>
      </w:r>
      <w:r>
        <w:rPr>
          <w:sz w:val="20"/>
          <w:u w:val="thick"/>
        </w:rPr>
        <w:t>municipio.</w:t>
        <w:tab/>
      </w:r>
    </w:p>
    <w:p>
      <w:pPr>
        <w:tabs>
          <w:tab w:pos="7389" w:val="left" w:leader="none"/>
        </w:tabs>
        <w:spacing w:before="107" w:after="7"/>
        <w:ind w:left="4555" w:right="0" w:firstLine="0"/>
        <w:jc w:val="left"/>
        <w:rPr>
          <w:b/>
          <w:sz w:val="13"/>
        </w:rPr>
      </w:pPr>
      <w:r>
        <w:rPr>
          <w:b/>
          <w:sz w:val="13"/>
        </w:rPr>
        <w:t>Municipios</w:t>
      </w:r>
      <w:r>
        <w:rPr>
          <w:b/>
          <w:spacing w:val="6"/>
          <w:sz w:val="13"/>
        </w:rPr>
        <w:t> </w:t>
      </w:r>
      <w:r>
        <w:rPr>
          <w:b/>
          <w:sz w:val="13"/>
        </w:rPr>
        <w:t>centrales</w:t>
        <w:tab/>
        <w:t>Municipios</w:t>
      </w:r>
      <w:r>
        <w:rPr>
          <w:b/>
          <w:spacing w:val="17"/>
          <w:sz w:val="13"/>
        </w:rPr>
        <w:t> </w:t>
      </w:r>
      <w:r>
        <w:rPr>
          <w:b/>
          <w:sz w:val="13"/>
        </w:rPr>
        <w:t>exteriores</w:t>
      </w:r>
    </w:p>
    <w:p>
      <w:pPr>
        <w:pStyle w:val="BodyText"/>
        <w:spacing w:line="20" w:lineRule="exact"/>
        <w:ind w:left="3372"/>
        <w:rPr>
          <w:sz w:val="2"/>
        </w:rPr>
      </w:pPr>
      <w:r>
        <w:rPr>
          <w:sz w:val="2"/>
        </w:rPr>
        <w:pict>
          <v:group style="width:280.8pt;height:.75pt;mso-position-horizontal-relative:char;mso-position-vertical-relative:line" coordorigin="0,0" coordsize="5616,15">
            <v:line style="position:absolute" from="9,2" to="5606,2" stroked="true" strokeweight=".173325pt" strokecolor="#000000"/>
            <v:line style="position:absolute" from="7,7" to="5608,7" stroked="true" strokeweight=".693334pt" strokecolor="#000000"/>
          </v:group>
        </w:pict>
      </w:r>
      <w:r>
        <w:rPr>
          <w:sz w:val="2"/>
        </w:rPr>
      </w:r>
    </w:p>
    <w:p>
      <w:pPr>
        <w:pStyle w:val="BodyText"/>
        <w:spacing w:before="3"/>
        <w:rPr>
          <w:b/>
          <w:sz w:val="8"/>
        </w:rPr>
      </w:pPr>
    </w:p>
    <w:p>
      <w:pPr>
        <w:spacing w:after="0"/>
        <w:rPr>
          <w:sz w:val="8"/>
        </w:rPr>
        <w:sectPr>
          <w:pgSz w:w="12240" w:h="15840"/>
          <w:pgMar w:header="0" w:footer="1003" w:top="1360" w:bottom="1200" w:left="1580" w:right="1560"/>
        </w:sectPr>
      </w:pPr>
    </w:p>
    <w:p>
      <w:pPr>
        <w:pStyle w:val="BodyText"/>
        <w:spacing w:before="4"/>
        <w:rPr>
          <w:b/>
          <w:sz w:val="14"/>
        </w:rPr>
      </w:pPr>
    </w:p>
    <w:p>
      <w:pPr>
        <w:tabs>
          <w:tab w:pos="1846" w:val="left" w:leader="none"/>
        </w:tabs>
        <w:spacing w:before="0"/>
        <w:ind w:left="368" w:right="0" w:firstLine="0"/>
        <w:jc w:val="left"/>
        <w:rPr>
          <w:b/>
          <w:sz w:val="13"/>
        </w:rPr>
      </w:pPr>
      <w:r>
        <w:rPr>
          <w:b/>
          <w:sz w:val="13"/>
        </w:rPr>
        <w:t>Clave</w:t>
        <w:tab/>
        <w:t>Municipio</w:t>
      </w:r>
    </w:p>
    <w:p>
      <w:pPr>
        <w:pStyle w:val="BodyText"/>
        <w:spacing w:before="11"/>
        <w:rPr>
          <w:b/>
          <w:sz w:val="14"/>
        </w:rPr>
      </w:pPr>
      <w:r>
        <w:rPr/>
        <w:br w:type="column"/>
      </w:r>
      <w:r>
        <w:rPr>
          <w:b/>
          <w:sz w:val="14"/>
        </w:rPr>
      </w:r>
    </w:p>
    <w:p>
      <w:pPr>
        <w:spacing w:line="278" w:lineRule="auto" w:before="0"/>
        <w:ind w:left="604" w:right="-12" w:hanging="236"/>
        <w:jc w:val="left"/>
        <w:rPr>
          <w:b/>
          <w:sz w:val="13"/>
        </w:rPr>
      </w:pPr>
      <w:r>
        <w:rPr/>
        <w:pict>
          <v:shape style="position:absolute;margin-left:86.866692pt;margin-top:13.773761pt;width:441.2pt;height:163.050pt;mso-position-horizontal-relative:page;mso-position-vertical-relative:paragraph;z-index:203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88"/>
                    <w:gridCol w:w="2108"/>
                    <w:gridCol w:w="3824"/>
                    <w:gridCol w:w="2202"/>
                  </w:tblGrid>
                  <w:tr>
                    <w:trPr>
                      <w:trHeight w:val="412" w:hRule="exact"/>
                    </w:trPr>
                    <w:tc>
                      <w:tcPr>
                        <w:tcW w:w="2797" w:type="dxa"/>
                        <w:gridSpan w:val="2"/>
                        <w:tcBorders>
                          <w:bottom w:val="single" w:sz="6" w:space="0" w:color="000000"/>
                        </w:tcBorders>
                      </w:tcPr>
                      <w:p>
                        <w:pPr/>
                      </w:p>
                    </w:tc>
                    <w:tc>
                      <w:tcPr>
                        <w:tcW w:w="3824" w:type="dxa"/>
                        <w:tcBorders>
                          <w:bottom w:val="single" w:sz="6" w:space="0" w:color="000000"/>
                        </w:tcBorders>
                      </w:tcPr>
                      <w:p>
                        <w:pPr>
                          <w:pStyle w:val="TableParagraph"/>
                          <w:spacing w:line="134" w:lineRule="exact"/>
                          <w:ind w:left="2378"/>
                          <w:rPr>
                            <w:rFonts w:ascii="Arial"/>
                            <w:b/>
                            <w:sz w:val="13"/>
                          </w:rPr>
                        </w:pPr>
                        <w:r>
                          <w:rPr>
                            <w:rFonts w:ascii="Arial"/>
                            <w:b/>
                            <w:sz w:val="13"/>
                          </w:rPr>
                          <w:t>habitantes</w:t>
                        </w:r>
                      </w:p>
                    </w:tc>
                    <w:tc>
                      <w:tcPr>
                        <w:tcW w:w="2202" w:type="dxa"/>
                        <w:vMerge w:val="restart"/>
                      </w:tcPr>
                      <w:p>
                        <w:pPr/>
                      </w:p>
                    </w:tc>
                  </w:tr>
                  <w:tr>
                    <w:trPr>
                      <w:trHeight w:val="257" w:hRule="exact"/>
                    </w:trPr>
                    <w:tc>
                      <w:tcPr>
                        <w:tcW w:w="688" w:type="dxa"/>
                        <w:tcBorders>
                          <w:top w:val="single" w:sz="6" w:space="0" w:color="000000"/>
                        </w:tcBorders>
                      </w:tcPr>
                      <w:p>
                        <w:pPr>
                          <w:pStyle w:val="TableParagraph"/>
                          <w:spacing w:before="89"/>
                          <w:ind w:right="110"/>
                          <w:jc w:val="right"/>
                          <w:rPr>
                            <w:rFonts w:ascii="Arial"/>
                            <w:sz w:val="13"/>
                          </w:rPr>
                        </w:pPr>
                        <w:r>
                          <w:rPr>
                            <w:rFonts w:ascii="Arial"/>
                            <w:sz w:val="13"/>
                          </w:rPr>
                          <w:t>15005</w:t>
                        </w:r>
                      </w:p>
                    </w:tc>
                    <w:tc>
                      <w:tcPr>
                        <w:tcW w:w="2108" w:type="dxa"/>
                        <w:tcBorders>
                          <w:top w:val="single" w:sz="6" w:space="0" w:color="000000"/>
                        </w:tcBorders>
                      </w:tcPr>
                      <w:p>
                        <w:pPr>
                          <w:pStyle w:val="TableParagraph"/>
                          <w:spacing w:before="89"/>
                          <w:ind w:left="112"/>
                          <w:rPr>
                            <w:rFonts w:ascii="Arial" w:hAnsi="Arial"/>
                            <w:sz w:val="13"/>
                          </w:rPr>
                        </w:pPr>
                        <w:r>
                          <w:rPr>
                            <w:rFonts w:ascii="Arial" w:hAnsi="Arial"/>
                            <w:sz w:val="13"/>
                          </w:rPr>
                          <w:t>Almoloya de Juárez</w:t>
                        </w:r>
                      </w:p>
                    </w:tc>
                    <w:tc>
                      <w:tcPr>
                        <w:tcW w:w="3824" w:type="dxa"/>
                        <w:tcBorders>
                          <w:top w:val="single" w:sz="6" w:space="0" w:color="000000"/>
                        </w:tcBorders>
                      </w:tcPr>
                      <w:p>
                        <w:pPr>
                          <w:pStyle w:val="TableParagraph"/>
                          <w:spacing w:before="61"/>
                          <w:ind w:left="838"/>
                          <w:rPr>
                            <w:rFonts w:ascii="Arial" w:hAnsi="Arial"/>
                            <w:sz w:val="16"/>
                          </w:rPr>
                        </w:pPr>
                        <w:r>
                          <w:rPr>
                            <w:rFonts w:ascii="Arial" w:hAnsi="Arial"/>
                            <w:w w:val="99"/>
                            <w:sz w:val="16"/>
                          </w:rPr>
                          <w:t>●</w:t>
                        </w:r>
                      </w:p>
                    </w:tc>
                    <w:tc>
                      <w:tcPr>
                        <w:tcW w:w="2202" w:type="dxa"/>
                        <w:vMerge/>
                      </w:tcPr>
                      <w:p>
                        <w:pPr/>
                      </w:p>
                    </w:tc>
                  </w:tr>
                  <w:tr>
                    <w:trPr>
                      <w:trHeight w:val="177" w:hRule="exact"/>
                    </w:trPr>
                    <w:tc>
                      <w:tcPr>
                        <w:tcW w:w="688" w:type="dxa"/>
                      </w:tcPr>
                      <w:p>
                        <w:pPr>
                          <w:pStyle w:val="TableParagraph"/>
                          <w:spacing w:before="16"/>
                          <w:ind w:right="110"/>
                          <w:jc w:val="right"/>
                          <w:rPr>
                            <w:rFonts w:ascii="Arial"/>
                            <w:sz w:val="13"/>
                          </w:rPr>
                        </w:pPr>
                        <w:r>
                          <w:rPr>
                            <w:rFonts w:ascii="Arial"/>
                            <w:sz w:val="13"/>
                          </w:rPr>
                          <w:t>15018</w:t>
                        </w:r>
                      </w:p>
                    </w:tc>
                    <w:tc>
                      <w:tcPr>
                        <w:tcW w:w="2108" w:type="dxa"/>
                      </w:tcPr>
                      <w:p>
                        <w:pPr>
                          <w:pStyle w:val="TableParagraph"/>
                          <w:spacing w:before="16"/>
                          <w:ind w:left="112"/>
                          <w:rPr>
                            <w:rFonts w:ascii="Arial"/>
                            <w:sz w:val="13"/>
                          </w:rPr>
                        </w:pPr>
                        <w:r>
                          <w:rPr>
                            <w:rFonts w:ascii="Arial"/>
                            <w:sz w:val="13"/>
                          </w:rPr>
                          <w:t>Calimaya</w:t>
                        </w:r>
                      </w:p>
                    </w:tc>
                    <w:tc>
                      <w:tcPr>
                        <w:tcW w:w="3824" w:type="dxa"/>
                      </w:tcPr>
                      <w:p>
                        <w:pPr>
                          <w:pStyle w:val="TableParagraph"/>
                          <w:spacing w:line="172" w:lineRule="exact"/>
                          <w:ind w:left="838"/>
                          <w:rPr>
                            <w:rFonts w:ascii="Arial" w:hAnsi="Arial"/>
                            <w:sz w:val="16"/>
                          </w:rPr>
                        </w:pPr>
                        <w:r>
                          <w:rPr>
                            <w:rFonts w:ascii="Arial" w:hAnsi="Arial"/>
                            <w:w w:val="99"/>
                            <w:sz w:val="16"/>
                          </w:rPr>
                          <w:t>●</w:t>
                        </w:r>
                      </w:p>
                    </w:tc>
                    <w:tc>
                      <w:tcPr>
                        <w:tcW w:w="2202" w:type="dxa"/>
                        <w:vMerge/>
                      </w:tcPr>
                      <w:p>
                        <w:pPr/>
                      </w:p>
                    </w:tc>
                  </w:tr>
                  <w:tr>
                    <w:trPr>
                      <w:trHeight w:val="177" w:hRule="exact"/>
                    </w:trPr>
                    <w:tc>
                      <w:tcPr>
                        <w:tcW w:w="688" w:type="dxa"/>
                      </w:tcPr>
                      <w:p>
                        <w:pPr>
                          <w:pStyle w:val="TableParagraph"/>
                          <w:spacing w:before="16"/>
                          <w:ind w:right="110"/>
                          <w:jc w:val="right"/>
                          <w:rPr>
                            <w:rFonts w:ascii="Arial"/>
                            <w:sz w:val="13"/>
                          </w:rPr>
                        </w:pPr>
                        <w:r>
                          <w:rPr>
                            <w:rFonts w:ascii="Arial"/>
                            <w:sz w:val="13"/>
                          </w:rPr>
                          <w:t>15027</w:t>
                        </w:r>
                      </w:p>
                    </w:tc>
                    <w:tc>
                      <w:tcPr>
                        <w:tcW w:w="2108" w:type="dxa"/>
                      </w:tcPr>
                      <w:p>
                        <w:pPr>
                          <w:pStyle w:val="TableParagraph"/>
                          <w:spacing w:before="16"/>
                          <w:ind w:left="112"/>
                          <w:rPr>
                            <w:rFonts w:ascii="Arial"/>
                            <w:sz w:val="13"/>
                          </w:rPr>
                        </w:pPr>
                        <w:r>
                          <w:rPr>
                            <w:rFonts w:ascii="Arial"/>
                            <w:sz w:val="13"/>
                          </w:rPr>
                          <w:t>Chapultepec</w:t>
                        </w:r>
                      </w:p>
                    </w:tc>
                    <w:tc>
                      <w:tcPr>
                        <w:tcW w:w="3824" w:type="dxa"/>
                      </w:tcPr>
                      <w:p>
                        <w:pPr/>
                      </w:p>
                    </w:tc>
                    <w:tc>
                      <w:tcPr>
                        <w:tcW w:w="2202" w:type="dxa"/>
                      </w:tcPr>
                      <w:p>
                        <w:pPr>
                          <w:pStyle w:val="TableParagraph"/>
                          <w:spacing w:line="172" w:lineRule="exact"/>
                          <w:ind w:left="787"/>
                          <w:rPr>
                            <w:rFonts w:ascii="Arial" w:hAnsi="Arial"/>
                            <w:sz w:val="16"/>
                          </w:rPr>
                        </w:pPr>
                        <w:r>
                          <w:rPr>
                            <w:rFonts w:ascii="Arial" w:hAnsi="Arial"/>
                            <w:w w:val="99"/>
                            <w:sz w:val="16"/>
                          </w:rPr>
                          <w:t>●</w:t>
                        </w:r>
                      </w:p>
                    </w:tc>
                  </w:tr>
                  <w:tr>
                    <w:trPr>
                      <w:trHeight w:val="177" w:hRule="exact"/>
                    </w:trPr>
                    <w:tc>
                      <w:tcPr>
                        <w:tcW w:w="688" w:type="dxa"/>
                      </w:tcPr>
                      <w:p>
                        <w:pPr>
                          <w:pStyle w:val="TableParagraph"/>
                          <w:spacing w:before="16"/>
                          <w:ind w:right="110"/>
                          <w:jc w:val="right"/>
                          <w:rPr>
                            <w:rFonts w:ascii="Arial"/>
                            <w:sz w:val="13"/>
                          </w:rPr>
                        </w:pPr>
                        <w:r>
                          <w:rPr>
                            <w:rFonts w:ascii="Arial"/>
                            <w:sz w:val="13"/>
                          </w:rPr>
                          <w:t>15051</w:t>
                        </w:r>
                      </w:p>
                    </w:tc>
                    <w:tc>
                      <w:tcPr>
                        <w:tcW w:w="2108" w:type="dxa"/>
                      </w:tcPr>
                      <w:p>
                        <w:pPr>
                          <w:pStyle w:val="TableParagraph"/>
                          <w:spacing w:before="16"/>
                          <w:ind w:left="112"/>
                          <w:rPr>
                            <w:rFonts w:ascii="Arial"/>
                            <w:sz w:val="13"/>
                          </w:rPr>
                        </w:pPr>
                        <w:r>
                          <w:rPr>
                            <w:rFonts w:ascii="Arial"/>
                            <w:sz w:val="13"/>
                          </w:rPr>
                          <w:t>Lerma</w:t>
                        </w:r>
                      </w:p>
                    </w:tc>
                    <w:tc>
                      <w:tcPr>
                        <w:tcW w:w="3824" w:type="dxa"/>
                      </w:tcPr>
                      <w:p>
                        <w:pPr>
                          <w:pStyle w:val="TableParagraph"/>
                          <w:spacing w:line="172" w:lineRule="exact"/>
                          <w:ind w:left="838"/>
                          <w:rPr>
                            <w:rFonts w:ascii="Arial" w:hAnsi="Arial"/>
                            <w:sz w:val="16"/>
                          </w:rPr>
                        </w:pPr>
                        <w:r>
                          <w:rPr>
                            <w:rFonts w:ascii="Arial" w:hAnsi="Arial"/>
                            <w:w w:val="99"/>
                            <w:sz w:val="16"/>
                          </w:rPr>
                          <w:t>●</w:t>
                        </w:r>
                      </w:p>
                    </w:tc>
                    <w:tc>
                      <w:tcPr>
                        <w:tcW w:w="2202" w:type="dxa"/>
                      </w:tcPr>
                      <w:p>
                        <w:pPr/>
                      </w:p>
                    </w:tc>
                  </w:tr>
                  <w:tr>
                    <w:trPr>
                      <w:trHeight w:val="177" w:hRule="exact"/>
                    </w:trPr>
                    <w:tc>
                      <w:tcPr>
                        <w:tcW w:w="688" w:type="dxa"/>
                      </w:tcPr>
                      <w:p>
                        <w:pPr>
                          <w:pStyle w:val="TableParagraph"/>
                          <w:spacing w:before="16"/>
                          <w:ind w:right="110"/>
                          <w:jc w:val="right"/>
                          <w:rPr>
                            <w:rFonts w:ascii="Arial"/>
                            <w:sz w:val="13"/>
                          </w:rPr>
                        </w:pPr>
                        <w:r>
                          <w:rPr>
                            <w:rFonts w:ascii="Arial"/>
                            <w:sz w:val="13"/>
                          </w:rPr>
                          <w:t>15054</w:t>
                        </w:r>
                      </w:p>
                    </w:tc>
                    <w:tc>
                      <w:tcPr>
                        <w:tcW w:w="2108" w:type="dxa"/>
                      </w:tcPr>
                      <w:p>
                        <w:pPr>
                          <w:pStyle w:val="TableParagraph"/>
                          <w:spacing w:before="16"/>
                          <w:ind w:left="112"/>
                          <w:rPr>
                            <w:rFonts w:ascii="Arial"/>
                            <w:sz w:val="13"/>
                          </w:rPr>
                        </w:pPr>
                        <w:r>
                          <w:rPr>
                            <w:rFonts w:ascii="Arial"/>
                            <w:sz w:val="13"/>
                          </w:rPr>
                          <w:t>Metepec</w:t>
                        </w:r>
                      </w:p>
                    </w:tc>
                    <w:tc>
                      <w:tcPr>
                        <w:tcW w:w="3824" w:type="dxa"/>
                      </w:tcPr>
                      <w:p>
                        <w:pPr>
                          <w:pStyle w:val="TableParagraph"/>
                          <w:spacing w:line="172" w:lineRule="exact"/>
                          <w:ind w:left="838"/>
                          <w:rPr>
                            <w:rFonts w:ascii="Arial" w:hAnsi="Arial"/>
                            <w:sz w:val="16"/>
                          </w:rPr>
                        </w:pPr>
                        <w:r>
                          <w:rPr>
                            <w:rFonts w:ascii="Arial" w:hAnsi="Arial"/>
                            <w:w w:val="99"/>
                            <w:sz w:val="16"/>
                          </w:rPr>
                          <w:t>●</w:t>
                        </w:r>
                      </w:p>
                    </w:tc>
                    <w:tc>
                      <w:tcPr>
                        <w:tcW w:w="2202" w:type="dxa"/>
                      </w:tcPr>
                      <w:p>
                        <w:pPr/>
                      </w:p>
                    </w:tc>
                  </w:tr>
                  <w:tr>
                    <w:trPr>
                      <w:trHeight w:val="177" w:hRule="exact"/>
                    </w:trPr>
                    <w:tc>
                      <w:tcPr>
                        <w:tcW w:w="688" w:type="dxa"/>
                      </w:tcPr>
                      <w:p>
                        <w:pPr>
                          <w:pStyle w:val="TableParagraph"/>
                          <w:spacing w:before="16"/>
                          <w:ind w:right="110"/>
                          <w:jc w:val="right"/>
                          <w:rPr>
                            <w:rFonts w:ascii="Arial"/>
                            <w:sz w:val="13"/>
                          </w:rPr>
                        </w:pPr>
                        <w:r>
                          <w:rPr>
                            <w:rFonts w:ascii="Arial"/>
                            <w:sz w:val="13"/>
                          </w:rPr>
                          <w:t>15055</w:t>
                        </w:r>
                      </w:p>
                    </w:tc>
                    <w:tc>
                      <w:tcPr>
                        <w:tcW w:w="2108" w:type="dxa"/>
                      </w:tcPr>
                      <w:p>
                        <w:pPr>
                          <w:pStyle w:val="TableParagraph"/>
                          <w:spacing w:before="16"/>
                          <w:ind w:left="112"/>
                          <w:rPr>
                            <w:rFonts w:ascii="Arial"/>
                            <w:sz w:val="13"/>
                          </w:rPr>
                        </w:pPr>
                        <w:r>
                          <w:rPr>
                            <w:rFonts w:ascii="Arial"/>
                            <w:sz w:val="13"/>
                          </w:rPr>
                          <w:t>Mexicaltzingo</w:t>
                        </w:r>
                      </w:p>
                    </w:tc>
                    <w:tc>
                      <w:tcPr>
                        <w:tcW w:w="3824" w:type="dxa"/>
                      </w:tcPr>
                      <w:p>
                        <w:pPr>
                          <w:pStyle w:val="TableParagraph"/>
                          <w:spacing w:line="172" w:lineRule="exact"/>
                          <w:ind w:left="838"/>
                          <w:rPr>
                            <w:rFonts w:ascii="Arial" w:hAnsi="Arial"/>
                            <w:sz w:val="16"/>
                          </w:rPr>
                        </w:pPr>
                        <w:r>
                          <w:rPr>
                            <w:rFonts w:ascii="Arial" w:hAnsi="Arial"/>
                            <w:w w:val="99"/>
                            <w:sz w:val="16"/>
                          </w:rPr>
                          <w:t>●</w:t>
                        </w:r>
                      </w:p>
                    </w:tc>
                    <w:tc>
                      <w:tcPr>
                        <w:tcW w:w="2202" w:type="dxa"/>
                      </w:tcPr>
                      <w:p>
                        <w:pPr/>
                      </w:p>
                    </w:tc>
                  </w:tr>
                  <w:tr>
                    <w:trPr>
                      <w:trHeight w:val="177" w:hRule="exact"/>
                    </w:trPr>
                    <w:tc>
                      <w:tcPr>
                        <w:tcW w:w="688" w:type="dxa"/>
                      </w:tcPr>
                      <w:p>
                        <w:pPr>
                          <w:pStyle w:val="TableParagraph"/>
                          <w:spacing w:before="16"/>
                          <w:ind w:right="110"/>
                          <w:jc w:val="right"/>
                          <w:rPr>
                            <w:rFonts w:ascii="Arial"/>
                            <w:sz w:val="13"/>
                          </w:rPr>
                        </w:pPr>
                        <w:r>
                          <w:rPr>
                            <w:rFonts w:ascii="Arial"/>
                            <w:sz w:val="13"/>
                          </w:rPr>
                          <w:t>15062</w:t>
                        </w:r>
                      </w:p>
                    </w:tc>
                    <w:tc>
                      <w:tcPr>
                        <w:tcW w:w="2108" w:type="dxa"/>
                      </w:tcPr>
                      <w:p>
                        <w:pPr>
                          <w:pStyle w:val="TableParagraph"/>
                          <w:spacing w:before="16"/>
                          <w:ind w:left="112"/>
                          <w:rPr>
                            <w:rFonts w:ascii="Arial"/>
                            <w:sz w:val="13"/>
                          </w:rPr>
                        </w:pPr>
                        <w:r>
                          <w:rPr>
                            <w:rFonts w:ascii="Arial"/>
                            <w:sz w:val="13"/>
                          </w:rPr>
                          <w:t>Ocoyoacac</w:t>
                        </w:r>
                      </w:p>
                    </w:tc>
                    <w:tc>
                      <w:tcPr>
                        <w:tcW w:w="3824" w:type="dxa"/>
                      </w:tcPr>
                      <w:p>
                        <w:pPr/>
                      </w:p>
                    </w:tc>
                    <w:tc>
                      <w:tcPr>
                        <w:tcW w:w="2202" w:type="dxa"/>
                      </w:tcPr>
                      <w:p>
                        <w:pPr>
                          <w:pStyle w:val="TableParagraph"/>
                          <w:spacing w:line="172" w:lineRule="exact"/>
                          <w:ind w:left="787"/>
                          <w:rPr>
                            <w:rFonts w:ascii="Arial" w:hAnsi="Arial"/>
                            <w:sz w:val="16"/>
                          </w:rPr>
                        </w:pPr>
                        <w:r>
                          <w:rPr>
                            <w:rFonts w:ascii="Arial" w:hAnsi="Arial"/>
                            <w:w w:val="99"/>
                            <w:sz w:val="16"/>
                          </w:rPr>
                          <w:t>●</w:t>
                        </w:r>
                      </w:p>
                    </w:tc>
                  </w:tr>
                  <w:tr>
                    <w:trPr>
                      <w:trHeight w:val="177" w:hRule="exact"/>
                    </w:trPr>
                    <w:tc>
                      <w:tcPr>
                        <w:tcW w:w="688" w:type="dxa"/>
                      </w:tcPr>
                      <w:p>
                        <w:pPr>
                          <w:pStyle w:val="TableParagraph"/>
                          <w:spacing w:before="16"/>
                          <w:ind w:right="110"/>
                          <w:jc w:val="right"/>
                          <w:rPr>
                            <w:rFonts w:ascii="Arial"/>
                            <w:sz w:val="13"/>
                          </w:rPr>
                        </w:pPr>
                        <w:r>
                          <w:rPr>
                            <w:rFonts w:ascii="Arial"/>
                            <w:sz w:val="13"/>
                          </w:rPr>
                          <w:t>15067</w:t>
                        </w:r>
                      </w:p>
                    </w:tc>
                    <w:tc>
                      <w:tcPr>
                        <w:tcW w:w="2108" w:type="dxa"/>
                      </w:tcPr>
                      <w:p>
                        <w:pPr>
                          <w:pStyle w:val="TableParagraph"/>
                          <w:spacing w:before="16"/>
                          <w:ind w:left="112"/>
                          <w:rPr>
                            <w:rFonts w:ascii="Arial"/>
                            <w:sz w:val="13"/>
                          </w:rPr>
                        </w:pPr>
                        <w:r>
                          <w:rPr>
                            <w:rFonts w:ascii="Arial"/>
                            <w:sz w:val="13"/>
                          </w:rPr>
                          <w:t>Otzolotepec</w:t>
                        </w:r>
                      </w:p>
                    </w:tc>
                    <w:tc>
                      <w:tcPr>
                        <w:tcW w:w="3824" w:type="dxa"/>
                      </w:tcPr>
                      <w:p>
                        <w:pPr>
                          <w:pStyle w:val="TableParagraph"/>
                          <w:spacing w:line="172" w:lineRule="exact"/>
                          <w:ind w:left="838"/>
                          <w:rPr>
                            <w:rFonts w:ascii="Arial" w:hAnsi="Arial"/>
                            <w:sz w:val="16"/>
                          </w:rPr>
                        </w:pPr>
                        <w:r>
                          <w:rPr>
                            <w:rFonts w:ascii="Arial" w:hAnsi="Arial"/>
                            <w:w w:val="99"/>
                            <w:sz w:val="16"/>
                          </w:rPr>
                          <w:t>●</w:t>
                        </w:r>
                      </w:p>
                    </w:tc>
                    <w:tc>
                      <w:tcPr>
                        <w:tcW w:w="2202" w:type="dxa"/>
                      </w:tcPr>
                      <w:p>
                        <w:pPr/>
                      </w:p>
                    </w:tc>
                  </w:tr>
                  <w:tr>
                    <w:trPr>
                      <w:trHeight w:val="177" w:hRule="exact"/>
                    </w:trPr>
                    <w:tc>
                      <w:tcPr>
                        <w:tcW w:w="688" w:type="dxa"/>
                      </w:tcPr>
                      <w:p>
                        <w:pPr>
                          <w:pStyle w:val="TableParagraph"/>
                          <w:spacing w:before="16"/>
                          <w:ind w:right="110"/>
                          <w:jc w:val="right"/>
                          <w:rPr>
                            <w:rFonts w:ascii="Arial"/>
                            <w:sz w:val="13"/>
                          </w:rPr>
                        </w:pPr>
                        <w:r>
                          <w:rPr>
                            <w:rFonts w:ascii="Arial"/>
                            <w:sz w:val="13"/>
                          </w:rPr>
                          <w:t>15072</w:t>
                        </w:r>
                      </w:p>
                    </w:tc>
                    <w:tc>
                      <w:tcPr>
                        <w:tcW w:w="2108" w:type="dxa"/>
                      </w:tcPr>
                      <w:p>
                        <w:pPr>
                          <w:pStyle w:val="TableParagraph"/>
                          <w:spacing w:before="16"/>
                          <w:ind w:left="112"/>
                          <w:rPr>
                            <w:rFonts w:ascii="Arial" w:hAnsi="Arial"/>
                            <w:sz w:val="13"/>
                          </w:rPr>
                        </w:pPr>
                        <w:r>
                          <w:rPr>
                            <w:rFonts w:ascii="Arial" w:hAnsi="Arial"/>
                            <w:sz w:val="13"/>
                          </w:rPr>
                          <w:t>Rayón</w:t>
                        </w:r>
                      </w:p>
                    </w:tc>
                    <w:tc>
                      <w:tcPr>
                        <w:tcW w:w="3824" w:type="dxa"/>
                      </w:tcPr>
                      <w:p>
                        <w:pPr/>
                      </w:p>
                    </w:tc>
                    <w:tc>
                      <w:tcPr>
                        <w:tcW w:w="2202" w:type="dxa"/>
                      </w:tcPr>
                      <w:p>
                        <w:pPr>
                          <w:pStyle w:val="TableParagraph"/>
                          <w:spacing w:line="172" w:lineRule="exact"/>
                          <w:ind w:left="787"/>
                          <w:rPr>
                            <w:rFonts w:ascii="Arial" w:hAnsi="Arial"/>
                            <w:sz w:val="16"/>
                          </w:rPr>
                        </w:pPr>
                        <w:r>
                          <w:rPr>
                            <w:rFonts w:ascii="Arial" w:hAnsi="Arial"/>
                            <w:w w:val="99"/>
                            <w:sz w:val="16"/>
                          </w:rPr>
                          <w:t>●</w:t>
                        </w:r>
                      </w:p>
                    </w:tc>
                  </w:tr>
                  <w:tr>
                    <w:trPr>
                      <w:trHeight w:val="177" w:hRule="exact"/>
                    </w:trPr>
                    <w:tc>
                      <w:tcPr>
                        <w:tcW w:w="688" w:type="dxa"/>
                      </w:tcPr>
                      <w:p>
                        <w:pPr>
                          <w:pStyle w:val="TableParagraph"/>
                          <w:spacing w:before="16"/>
                          <w:ind w:right="110"/>
                          <w:jc w:val="right"/>
                          <w:rPr>
                            <w:rFonts w:ascii="Arial"/>
                            <w:sz w:val="13"/>
                          </w:rPr>
                        </w:pPr>
                        <w:r>
                          <w:rPr>
                            <w:rFonts w:ascii="Arial"/>
                            <w:sz w:val="13"/>
                          </w:rPr>
                          <w:t>15073</w:t>
                        </w:r>
                      </w:p>
                    </w:tc>
                    <w:tc>
                      <w:tcPr>
                        <w:tcW w:w="2108" w:type="dxa"/>
                      </w:tcPr>
                      <w:p>
                        <w:pPr>
                          <w:pStyle w:val="TableParagraph"/>
                          <w:spacing w:before="16"/>
                          <w:ind w:left="112"/>
                          <w:rPr>
                            <w:rFonts w:ascii="Arial"/>
                            <w:sz w:val="13"/>
                          </w:rPr>
                        </w:pPr>
                        <w:r>
                          <w:rPr>
                            <w:rFonts w:ascii="Arial"/>
                            <w:sz w:val="13"/>
                          </w:rPr>
                          <w:t>San Antonio la Isla</w:t>
                        </w:r>
                      </w:p>
                    </w:tc>
                    <w:tc>
                      <w:tcPr>
                        <w:tcW w:w="3824" w:type="dxa"/>
                      </w:tcPr>
                      <w:p>
                        <w:pPr/>
                      </w:p>
                    </w:tc>
                    <w:tc>
                      <w:tcPr>
                        <w:tcW w:w="2202" w:type="dxa"/>
                      </w:tcPr>
                      <w:p>
                        <w:pPr>
                          <w:pStyle w:val="TableParagraph"/>
                          <w:spacing w:line="172" w:lineRule="exact"/>
                          <w:ind w:left="787"/>
                          <w:rPr>
                            <w:rFonts w:ascii="Arial" w:hAnsi="Arial"/>
                            <w:sz w:val="16"/>
                          </w:rPr>
                        </w:pPr>
                        <w:r>
                          <w:rPr>
                            <w:rFonts w:ascii="Arial" w:hAnsi="Arial"/>
                            <w:w w:val="99"/>
                            <w:sz w:val="16"/>
                          </w:rPr>
                          <w:t>●</w:t>
                        </w:r>
                      </w:p>
                    </w:tc>
                  </w:tr>
                  <w:tr>
                    <w:trPr>
                      <w:trHeight w:val="177" w:hRule="exact"/>
                    </w:trPr>
                    <w:tc>
                      <w:tcPr>
                        <w:tcW w:w="688" w:type="dxa"/>
                      </w:tcPr>
                      <w:p>
                        <w:pPr>
                          <w:pStyle w:val="TableParagraph"/>
                          <w:spacing w:before="16"/>
                          <w:ind w:right="110"/>
                          <w:jc w:val="right"/>
                          <w:rPr>
                            <w:rFonts w:ascii="Arial"/>
                            <w:sz w:val="13"/>
                          </w:rPr>
                        </w:pPr>
                        <w:r>
                          <w:rPr>
                            <w:rFonts w:ascii="Arial"/>
                            <w:sz w:val="13"/>
                          </w:rPr>
                          <w:t>15076</w:t>
                        </w:r>
                      </w:p>
                    </w:tc>
                    <w:tc>
                      <w:tcPr>
                        <w:tcW w:w="2108" w:type="dxa"/>
                      </w:tcPr>
                      <w:p>
                        <w:pPr>
                          <w:pStyle w:val="TableParagraph"/>
                          <w:spacing w:before="16"/>
                          <w:ind w:left="112"/>
                          <w:rPr>
                            <w:rFonts w:ascii="Arial"/>
                            <w:sz w:val="13"/>
                          </w:rPr>
                        </w:pPr>
                        <w:r>
                          <w:rPr>
                            <w:rFonts w:ascii="Arial"/>
                            <w:sz w:val="13"/>
                          </w:rPr>
                          <w:t>San Mateo Atenco</w:t>
                        </w:r>
                      </w:p>
                    </w:tc>
                    <w:tc>
                      <w:tcPr>
                        <w:tcW w:w="3824" w:type="dxa"/>
                      </w:tcPr>
                      <w:p>
                        <w:pPr>
                          <w:pStyle w:val="TableParagraph"/>
                          <w:spacing w:line="172" w:lineRule="exact"/>
                          <w:ind w:left="838"/>
                          <w:rPr>
                            <w:rFonts w:ascii="Arial" w:hAnsi="Arial"/>
                            <w:sz w:val="16"/>
                          </w:rPr>
                        </w:pPr>
                        <w:r>
                          <w:rPr>
                            <w:rFonts w:ascii="Arial" w:hAnsi="Arial"/>
                            <w:w w:val="99"/>
                            <w:sz w:val="16"/>
                          </w:rPr>
                          <w:t>●</w:t>
                        </w:r>
                      </w:p>
                    </w:tc>
                    <w:tc>
                      <w:tcPr>
                        <w:tcW w:w="2202" w:type="dxa"/>
                      </w:tcPr>
                      <w:p>
                        <w:pPr/>
                      </w:p>
                    </w:tc>
                  </w:tr>
                  <w:tr>
                    <w:trPr>
                      <w:trHeight w:val="177" w:hRule="exact"/>
                    </w:trPr>
                    <w:tc>
                      <w:tcPr>
                        <w:tcW w:w="688" w:type="dxa"/>
                      </w:tcPr>
                      <w:p>
                        <w:pPr>
                          <w:pStyle w:val="TableParagraph"/>
                          <w:spacing w:before="16"/>
                          <w:ind w:right="110"/>
                          <w:jc w:val="right"/>
                          <w:rPr>
                            <w:rFonts w:ascii="Arial"/>
                            <w:sz w:val="13"/>
                          </w:rPr>
                        </w:pPr>
                        <w:r>
                          <w:rPr>
                            <w:rFonts w:ascii="Arial"/>
                            <w:sz w:val="13"/>
                          </w:rPr>
                          <w:t>15087</w:t>
                        </w:r>
                      </w:p>
                    </w:tc>
                    <w:tc>
                      <w:tcPr>
                        <w:tcW w:w="2108" w:type="dxa"/>
                      </w:tcPr>
                      <w:p>
                        <w:pPr>
                          <w:pStyle w:val="TableParagraph"/>
                          <w:spacing w:before="16"/>
                          <w:ind w:left="112"/>
                          <w:rPr>
                            <w:rFonts w:ascii="Arial"/>
                            <w:sz w:val="13"/>
                          </w:rPr>
                        </w:pPr>
                        <w:r>
                          <w:rPr>
                            <w:rFonts w:ascii="Arial"/>
                            <w:sz w:val="13"/>
                          </w:rPr>
                          <w:t>Temoaya</w:t>
                        </w:r>
                      </w:p>
                    </w:tc>
                    <w:tc>
                      <w:tcPr>
                        <w:tcW w:w="3824" w:type="dxa"/>
                      </w:tcPr>
                      <w:p>
                        <w:pPr/>
                      </w:p>
                    </w:tc>
                    <w:tc>
                      <w:tcPr>
                        <w:tcW w:w="2202" w:type="dxa"/>
                      </w:tcPr>
                      <w:p>
                        <w:pPr>
                          <w:pStyle w:val="TableParagraph"/>
                          <w:spacing w:line="172" w:lineRule="exact"/>
                          <w:ind w:left="787"/>
                          <w:rPr>
                            <w:rFonts w:ascii="Arial" w:hAnsi="Arial"/>
                            <w:sz w:val="16"/>
                          </w:rPr>
                        </w:pPr>
                        <w:r>
                          <w:rPr>
                            <w:rFonts w:ascii="Arial" w:hAnsi="Arial"/>
                            <w:w w:val="99"/>
                            <w:sz w:val="16"/>
                          </w:rPr>
                          <w:t>●</w:t>
                        </w:r>
                      </w:p>
                    </w:tc>
                  </w:tr>
                  <w:tr>
                    <w:trPr>
                      <w:trHeight w:val="177" w:hRule="exact"/>
                    </w:trPr>
                    <w:tc>
                      <w:tcPr>
                        <w:tcW w:w="688" w:type="dxa"/>
                      </w:tcPr>
                      <w:p>
                        <w:pPr>
                          <w:pStyle w:val="TableParagraph"/>
                          <w:spacing w:before="16"/>
                          <w:ind w:right="110"/>
                          <w:jc w:val="right"/>
                          <w:rPr>
                            <w:rFonts w:ascii="Arial"/>
                            <w:sz w:val="13"/>
                          </w:rPr>
                        </w:pPr>
                        <w:r>
                          <w:rPr>
                            <w:rFonts w:ascii="Arial"/>
                            <w:sz w:val="13"/>
                          </w:rPr>
                          <w:t>15106</w:t>
                        </w:r>
                      </w:p>
                    </w:tc>
                    <w:tc>
                      <w:tcPr>
                        <w:tcW w:w="2108" w:type="dxa"/>
                      </w:tcPr>
                      <w:p>
                        <w:pPr>
                          <w:pStyle w:val="TableParagraph"/>
                          <w:spacing w:before="16"/>
                          <w:ind w:left="112"/>
                          <w:rPr>
                            <w:rFonts w:ascii="Arial"/>
                            <w:sz w:val="13"/>
                          </w:rPr>
                        </w:pPr>
                        <w:r>
                          <w:rPr>
                            <w:rFonts w:ascii="Arial"/>
                            <w:sz w:val="13"/>
                          </w:rPr>
                          <w:t>Toluca</w:t>
                        </w:r>
                      </w:p>
                    </w:tc>
                    <w:tc>
                      <w:tcPr>
                        <w:tcW w:w="3824" w:type="dxa"/>
                      </w:tcPr>
                      <w:p>
                        <w:pPr>
                          <w:pStyle w:val="TableParagraph"/>
                          <w:spacing w:line="172" w:lineRule="exact"/>
                          <w:ind w:left="838"/>
                          <w:rPr>
                            <w:rFonts w:ascii="Arial" w:hAnsi="Arial"/>
                            <w:sz w:val="16"/>
                          </w:rPr>
                        </w:pPr>
                        <w:r>
                          <w:rPr>
                            <w:rFonts w:ascii="Arial" w:hAnsi="Arial"/>
                            <w:w w:val="99"/>
                            <w:sz w:val="16"/>
                          </w:rPr>
                          <w:t>●</w:t>
                        </w:r>
                      </w:p>
                    </w:tc>
                    <w:tc>
                      <w:tcPr>
                        <w:tcW w:w="2202" w:type="dxa"/>
                      </w:tcPr>
                      <w:p>
                        <w:pPr/>
                      </w:p>
                    </w:tc>
                  </w:tr>
                  <w:tr>
                    <w:trPr>
                      <w:trHeight w:val="177" w:hRule="exact"/>
                    </w:trPr>
                    <w:tc>
                      <w:tcPr>
                        <w:tcW w:w="688" w:type="dxa"/>
                      </w:tcPr>
                      <w:p>
                        <w:pPr>
                          <w:pStyle w:val="TableParagraph"/>
                          <w:spacing w:before="16"/>
                          <w:ind w:right="110"/>
                          <w:jc w:val="right"/>
                          <w:rPr>
                            <w:rFonts w:ascii="Arial"/>
                            <w:sz w:val="13"/>
                          </w:rPr>
                        </w:pPr>
                        <w:r>
                          <w:rPr>
                            <w:rFonts w:ascii="Arial"/>
                            <w:sz w:val="13"/>
                          </w:rPr>
                          <w:t>15115</w:t>
                        </w:r>
                      </w:p>
                    </w:tc>
                    <w:tc>
                      <w:tcPr>
                        <w:tcW w:w="2108" w:type="dxa"/>
                      </w:tcPr>
                      <w:p>
                        <w:pPr>
                          <w:pStyle w:val="TableParagraph"/>
                          <w:spacing w:before="16"/>
                          <w:ind w:left="112"/>
                          <w:rPr>
                            <w:rFonts w:ascii="Arial" w:hAnsi="Arial"/>
                            <w:sz w:val="13"/>
                          </w:rPr>
                        </w:pPr>
                        <w:r>
                          <w:rPr>
                            <w:rFonts w:ascii="Arial" w:hAnsi="Arial"/>
                            <w:sz w:val="13"/>
                          </w:rPr>
                          <w:t>Xonacatlán</w:t>
                        </w:r>
                      </w:p>
                    </w:tc>
                    <w:tc>
                      <w:tcPr>
                        <w:tcW w:w="3824" w:type="dxa"/>
                      </w:tcPr>
                      <w:p>
                        <w:pPr/>
                      </w:p>
                    </w:tc>
                    <w:tc>
                      <w:tcPr>
                        <w:tcW w:w="2202" w:type="dxa"/>
                      </w:tcPr>
                      <w:p>
                        <w:pPr>
                          <w:pStyle w:val="TableParagraph"/>
                          <w:spacing w:line="172" w:lineRule="exact"/>
                          <w:ind w:left="787"/>
                          <w:rPr>
                            <w:rFonts w:ascii="Arial" w:hAnsi="Arial"/>
                            <w:sz w:val="16"/>
                          </w:rPr>
                        </w:pPr>
                        <w:r>
                          <w:rPr>
                            <w:rFonts w:ascii="Arial" w:hAnsi="Arial"/>
                            <w:w w:val="99"/>
                            <w:sz w:val="16"/>
                          </w:rPr>
                          <w:t>●</w:t>
                        </w:r>
                      </w:p>
                    </w:tc>
                  </w:tr>
                  <w:tr>
                    <w:trPr>
                      <w:trHeight w:val="263" w:hRule="exact"/>
                    </w:trPr>
                    <w:tc>
                      <w:tcPr>
                        <w:tcW w:w="688" w:type="dxa"/>
                        <w:tcBorders>
                          <w:bottom w:val="single" w:sz="11" w:space="0" w:color="000000"/>
                        </w:tcBorders>
                      </w:tcPr>
                      <w:p>
                        <w:pPr>
                          <w:pStyle w:val="TableParagraph"/>
                          <w:spacing w:before="16"/>
                          <w:ind w:right="110"/>
                          <w:jc w:val="right"/>
                          <w:rPr>
                            <w:rFonts w:ascii="Arial"/>
                            <w:sz w:val="13"/>
                          </w:rPr>
                        </w:pPr>
                        <w:r>
                          <w:rPr>
                            <w:rFonts w:ascii="Arial"/>
                            <w:sz w:val="13"/>
                          </w:rPr>
                          <w:t>15118</w:t>
                        </w:r>
                      </w:p>
                    </w:tc>
                    <w:tc>
                      <w:tcPr>
                        <w:tcW w:w="2108" w:type="dxa"/>
                        <w:tcBorders>
                          <w:bottom w:val="single" w:sz="11" w:space="0" w:color="000000"/>
                        </w:tcBorders>
                      </w:tcPr>
                      <w:p>
                        <w:pPr>
                          <w:pStyle w:val="TableParagraph"/>
                          <w:spacing w:before="16"/>
                          <w:ind w:left="112"/>
                          <w:rPr>
                            <w:rFonts w:ascii="Arial"/>
                            <w:sz w:val="13"/>
                          </w:rPr>
                        </w:pPr>
                        <w:r>
                          <w:rPr>
                            <w:rFonts w:ascii="Arial"/>
                            <w:sz w:val="13"/>
                          </w:rPr>
                          <w:t>Zinacantepec</w:t>
                        </w:r>
                      </w:p>
                    </w:tc>
                    <w:tc>
                      <w:tcPr>
                        <w:tcW w:w="3824" w:type="dxa"/>
                        <w:tcBorders>
                          <w:bottom w:val="single" w:sz="11" w:space="0" w:color="000000"/>
                        </w:tcBorders>
                      </w:tcPr>
                      <w:p>
                        <w:pPr>
                          <w:pStyle w:val="TableParagraph"/>
                          <w:spacing w:line="172" w:lineRule="exact"/>
                          <w:ind w:left="838"/>
                          <w:rPr>
                            <w:rFonts w:ascii="Arial" w:hAnsi="Arial"/>
                            <w:sz w:val="16"/>
                          </w:rPr>
                        </w:pPr>
                        <w:r>
                          <w:rPr>
                            <w:rFonts w:ascii="Arial" w:hAnsi="Arial"/>
                            <w:w w:val="99"/>
                            <w:sz w:val="16"/>
                          </w:rPr>
                          <w:t>●</w:t>
                        </w:r>
                      </w:p>
                    </w:tc>
                    <w:tc>
                      <w:tcPr>
                        <w:tcW w:w="2202" w:type="dxa"/>
                        <w:tcBorders>
                          <w:bottom w:val="single" w:sz="11" w:space="0" w:color="000000"/>
                        </w:tcBorders>
                      </w:tcPr>
                      <w:p>
                        <w:pPr/>
                      </w:p>
                    </w:tc>
                  </w:tr>
                </w:tbl>
                <w:p>
                  <w:pPr>
                    <w:pStyle w:val="BodyText"/>
                  </w:pPr>
                </w:p>
              </w:txbxContent>
            </v:textbox>
            <w10:wrap type="none"/>
          </v:shape>
        </w:pict>
      </w:r>
      <w:r>
        <w:rPr>
          <w:b/>
          <w:sz w:val="13"/>
        </w:rPr>
        <w:t>Conurbación física</w:t>
      </w:r>
    </w:p>
    <w:p>
      <w:pPr>
        <w:pStyle w:val="BodyText"/>
        <w:spacing w:before="11"/>
        <w:rPr>
          <w:b/>
          <w:sz w:val="14"/>
        </w:rPr>
      </w:pPr>
      <w:r>
        <w:rPr/>
        <w:br w:type="column"/>
      </w:r>
      <w:r>
        <w:rPr>
          <w:b/>
          <w:sz w:val="14"/>
        </w:rPr>
      </w:r>
    </w:p>
    <w:p>
      <w:pPr>
        <w:spacing w:line="278" w:lineRule="auto" w:before="0"/>
        <w:ind w:left="174" w:right="-8" w:hanging="63"/>
        <w:jc w:val="left"/>
        <w:rPr>
          <w:b/>
          <w:sz w:val="13"/>
        </w:rPr>
      </w:pPr>
      <w:r>
        <w:rPr>
          <w:b/>
          <w:sz w:val="13"/>
        </w:rPr>
        <w:t>Integración funcional</w:t>
      </w:r>
    </w:p>
    <w:p>
      <w:pPr>
        <w:spacing w:line="278" w:lineRule="auto" w:before="85"/>
        <w:ind w:left="227" w:right="-6" w:hanging="32"/>
        <w:jc w:val="left"/>
        <w:rPr>
          <w:b/>
          <w:sz w:val="13"/>
        </w:rPr>
      </w:pPr>
      <w:r>
        <w:rPr/>
        <w:br w:type="column"/>
      </w:r>
      <w:r>
        <w:rPr>
          <w:b/>
          <w:sz w:val="13"/>
        </w:rPr>
        <w:t>Más de un millón de</w:t>
      </w:r>
    </w:p>
    <w:p>
      <w:pPr>
        <w:pStyle w:val="BodyText"/>
        <w:spacing w:before="11"/>
        <w:rPr>
          <w:b/>
          <w:sz w:val="14"/>
        </w:rPr>
      </w:pPr>
      <w:r>
        <w:rPr/>
        <w:br w:type="column"/>
      </w:r>
      <w:r>
        <w:rPr>
          <w:b/>
          <w:sz w:val="14"/>
        </w:rPr>
      </w:r>
    </w:p>
    <w:p>
      <w:pPr>
        <w:spacing w:line="278" w:lineRule="auto" w:before="0"/>
        <w:ind w:left="327" w:right="-10" w:hanging="18"/>
        <w:jc w:val="left"/>
        <w:rPr>
          <w:b/>
          <w:sz w:val="13"/>
        </w:rPr>
      </w:pPr>
      <w:r>
        <w:rPr>
          <w:b/>
          <w:sz w:val="13"/>
        </w:rPr>
        <w:t>Política urbana</w:t>
      </w:r>
    </w:p>
    <w:p>
      <w:pPr>
        <w:pStyle w:val="BodyText"/>
        <w:spacing w:before="11"/>
        <w:rPr>
          <w:b/>
          <w:sz w:val="14"/>
        </w:rPr>
      </w:pPr>
      <w:r>
        <w:rPr/>
        <w:br w:type="column"/>
      </w:r>
      <w:r>
        <w:rPr>
          <w:b/>
          <w:sz w:val="14"/>
        </w:rPr>
      </w:r>
    </w:p>
    <w:p>
      <w:pPr>
        <w:spacing w:line="278" w:lineRule="auto" w:before="0"/>
        <w:ind w:left="431" w:right="-9" w:hanging="63"/>
        <w:jc w:val="left"/>
        <w:rPr>
          <w:b/>
          <w:sz w:val="13"/>
        </w:rPr>
      </w:pPr>
      <w:r>
        <w:rPr>
          <w:b/>
          <w:sz w:val="13"/>
        </w:rPr>
        <w:t>Integración funcional</w:t>
      </w:r>
    </w:p>
    <w:p>
      <w:pPr>
        <w:pStyle w:val="BodyText"/>
        <w:spacing w:before="11"/>
        <w:rPr>
          <w:b/>
          <w:sz w:val="14"/>
        </w:rPr>
      </w:pPr>
      <w:r>
        <w:rPr/>
        <w:br w:type="column"/>
      </w:r>
      <w:r>
        <w:rPr>
          <w:b/>
          <w:sz w:val="14"/>
        </w:rPr>
      </w:r>
    </w:p>
    <w:p>
      <w:pPr>
        <w:spacing w:line="278" w:lineRule="auto" w:before="0"/>
        <w:ind w:left="300" w:right="329" w:hanging="18"/>
        <w:jc w:val="left"/>
        <w:rPr>
          <w:b/>
          <w:sz w:val="13"/>
        </w:rPr>
      </w:pPr>
      <w:r>
        <w:rPr>
          <w:b/>
          <w:sz w:val="13"/>
        </w:rPr>
        <w:t>Política urbana</w:t>
      </w:r>
    </w:p>
    <w:p>
      <w:pPr>
        <w:spacing w:after="0" w:line="278" w:lineRule="auto"/>
        <w:jc w:val="left"/>
        <w:rPr>
          <w:sz w:val="13"/>
        </w:rPr>
        <w:sectPr>
          <w:type w:val="continuous"/>
          <w:pgSz w:w="12240" w:h="15840"/>
          <w:pgMar w:top="1420" w:bottom="280" w:left="1580" w:right="1560"/>
          <w:cols w:num="7" w:equalWidth="0">
            <w:col w:w="2467" w:space="595"/>
            <w:col w:w="1178" w:space="40"/>
            <w:col w:w="824" w:space="40"/>
            <w:col w:w="845" w:space="40"/>
            <w:col w:w="782" w:space="75"/>
            <w:col w:w="1080" w:space="40"/>
            <w:col w:w="1094"/>
          </w:cols>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15"/>
        </w:rPr>
      </w:pPr>
    </w:p>
    <w:p>
      <w:pPr>
        <w:pStyle w:val="BodyText"/>
        <w:spacing w:before="9"/>
        <w:rPr>
          <w:b/>
          <w:sz w:val="7"/>
        </w:rPr>
      </w:pPr>
    </w:p>
    <w:p>
      <w:pPr>
        <w:spacing w:line="362" w:lineRule="auto" w:before="1"/>
        <w:ind w:left="181" w:right="0" w:firstLine="0"/>
        <w:jc w:val="left"/>
        <w:rPr>
          <w:sz w:val="11"/>
        </w:rPr>
      </w:pPr>
      <w:r>
        <w:rPr>
          <w:spacing w:val="-3"/>
          <w:w w:val="105"/>
          <w:sz w:val="11"/>
        </w:rPr>
        <w:t>Fuente: Elaborado por el </w:t>
      </w:r>
      <w:r>
        <w:rPr>
          <w:w w:val="105"/>
          <w:sz w:val="11"/>
        </w:rPr>
        <w:t>Grupo Interinstitucional con base </w:t>
      </w:r>
      <w:r>
        <w:rPr>
          <w:spacing w:val="-3"/>
          <w:w w:val="105"/>
          <w:sz w:val="11"/>
        </w:rPr>
        <w:t>en el </w:t>
      </w:r>
      <w:r>
        <w:rPr>
          <w:w w:val="105"/>
          <w:sz w:val="11"/>
        </w:rPr>
        <w:t>Censo de </w:t>
      </w:r>
      <w:r>
        <w:rPr>
          <w:spacing w:val="-3"/>
          <w:w w:val="105"/>
          <w:sz w:val="11"/>
        </w:rPr>
        <w:t>Población </w:t>
      </w:r>
      <w:r>
        <w:rPr>
          <w:w w:val="105"/>
          <w:sz w:val="11"/>
        </w:rPr>
        <w:t>y </w:t>
      </w:r>
      <w:r>
        <w:rPr>
          <w:spacing w:val="-3"/>
          <w:w w:val="105"/>
          <w:sz w:val="11"/>
        </w:rPr>
        <w:t>Vivienda </w:t>
      </w:r>
      <w:r>
        <w:rPr>
          <w:w w:val="105"/>
          <w:sz w:val="11"/>
        </w:rPr>
        <w:t>2010, </w:t>
      </w:r>
      <w:r>
        <w:rPr>
          <w:spacing w:val="-3"/>
          <w:w w:val="105"/>
          <w:sz w:val="11"/>
        </w:rPr>
        <w:t>declaratorias </w:t>
      </w:r>
      <w:r>
        <w:rPr>
          <w:w w:val="105"/>
          <w:sz w:val="11"/>
        </w:rPr>
        <w:t>y </w:t>
      </w:r>
      <w:r>
        <w:rPr>
          <w:spacing w:val="-3"/>
          <w:w w:val="105"/>
          <w:sz w:val="11"/>
        </w:rPr>
        <w:t>programas </w:t>
      </w:r>
      <w:r>
        <w:rPr>
          <w:w w:val="105"/>
          <w:sz w:val="11"/>
        </w:rPr>
        <w:t>de </w:t>
      </w:r>
      <w:r>
        <w:rPr>
          <w:spacing w:val="-3"/>
          <w:w w:val="105"/>
          <w:sz w:val="11"/>
        </w:rPr>
        <w:t>ordenación </w:t>
      </w:r>
      <w:r>
        <w:rPr>
          <w:w w:val="105"/>
          <w:sz w:val="11"/>
        </w:rPr>
        <w:t>de </w:t>
      </w:r>
      <w:r>
        <w:rPr>
          <w:spacing w:val="-3"/>
          <w:w w:val="105"/>
          <w:sz w:val="11"/>
        </w:rPr>
        <w:t>zonas conurbadas </w:t>
      </w:r>
      <w:r>
        <w:rPr>
          <w:w w:val="105"/>
          <w:sz w:val="11"/>
        </w:rPr>
        <w:t>y </w:t>
      </w:r>
      <w:r>
        <w:rPr>
          <w:spacing w:val="-3"/>
          <w:w w:val="105"/>
          <w:sz w:val="11"/>
        </w:rPr>
        <w:t>zonas</w:t>
      </w:r>
      <w:r>
        <w:rPr>
          <w:spacing w:val="26"/>
          <w:w w:val="105"/>
          <w:sz w:val="11"/>
        </w:rPr>
        <w:t> </w:t>
      </w:r>
      <w:r>
        <w:rPr>
          <w:spacing w:val="-3"/>
          <w:w w:val="105"/>
          <w:sz w:val="11"/>
        </w:rPr>
        <w:t>metropolitanas.</w:t>
      </w:r>
    </w:p>
    <w:p>
      <w:pPr>
        <w:pStyle w:val="BodyText"/>
        <w:rPr>
          <w:sz w:val="20"/>
        </w:rPr>
      </w:pPr>
    </w:p>
    <w:p>
      <w:pPr>
        <w:pStyle w:val="BodyText"/>
        <w:spacing w:before="10"/>
        <w:rPr>
          <w:sz w:val="18"/>
        </w:rPr>
      </w:pPr>
    </w:p>
    <w:p>
      <w:pPr>
        <w:spacing w:line="360" w:lineRule="auto" w:before="70"/>
        <w:ind w:left="122" w:right="136" w:firstLine="0"/>
        <w:jc w:val="both"/>
        <w:rPr>
          <w:sz w:val="24"/>
        </w:rPr>
      </w:pPr>
      <w:r>
        <w:rPr>
          <w:sz w:val="24"/>
        </w:rPr>
        <w:t>Las zonas metropolitanas son el resultado de distintas expresiones de la forma de vida de la sociedad industrial que influye progresivamente sobre cada vez más territorio periférico alrededor de las ciudades, e incorpora a su área de predominio directo y continuo más zonas, ya que para su uso predominante habitacional o para que trabajen empleados, obreros, profesionistas y empresarios que diariamente viajan entre el centro y la periferia metropolitana. De esta manera “</w:t>
      </w:r>
      <w:r>
        <w:rPr>
          <w:i/>
          <w:sz w:val="24"/>
        </w:rPr>
        <w:t>la </w:t>
      </w:r>
      <w:r>
        <w:rPr>
          <w:i/>
          <w:sz w:val="24"/>
        </w:rPr>
        <w:t>ciudad central extiende su dominio sobre los municipios vecinos con los cuales conforma un conjunto de unidades político administrativas integrado social y económicamente” </w:t>
      </w:r>
      <w:r>
        <w:rPr>
          <w:sz w:val="24"/>
        </w:rPr>
        <w:t>(Ramírez, 1978).</w:t>
      </w:r>
    </w:p>
    <w:p>
      <w:pPr>
        <w:pStyle w:val="BodyText"/>
      </w:pPr>
    </w:p>
    <w:p>
      <w:pPr>
        <w:pStyle w:val="BodyText"/>
        <w:spacing w:line="360" w:lineRule="auto" w:before="139"/>
        <w:ind w:left="122" w:right="135"/>
        <w:jc w:val="both"/>
      </w:pPr>
      <w:r>
        <w:rPr/>
        <w:t>Teóricamente hablando, la zona metropolitana, como toda la región nodal</w:t>
      </w:r>
      <w:r>
        <w:rPr>
          <w:position w:val="8"/>
          <w:sz w:val="16"/>
        </w:rPr>
        <w:t>7</w:t>
      </w:r>
      <w:r>
        <w:rPr/>
        <w:t>, es el centro de la ciudad central donde comienza </w:t>
      </w:r>
      <w:r>
        <w:rPr>
          <w:spacing w:val="3"/>
        </w:rPr>
        <w:t>el </w:t>
      </w:r>
      <w:r>
        <w:rPr/>
        <w:t>proceso de urbanización, no obstante los grandes contrastes intrametropolitanos, debe presentar  características de máxima homogeneidad interna y máxima heterogeneidad externa.</w:t>
      </w:r>
    </w:p>
    <w:p>
      <w:pPr>
        <w:pStyle w:val="BodyText"/>
        <w:rPr>
          <w:sz w:val="20"/>
        </w:rPr>
      </w:pPr>
    </w:p>
    <w:p>
      <w:pPr>
        <w:pStyle w:val="BodyText"/>
        <w:spacing w:before="1"/>
        <w:rPr>
          <w:sz w:val="14"/>
        </w:rPr>
      </w:pPr>
      <w:r>
        <w:rPr/>
        <w:pict>
          <v:line style="position:absolute;mso-position-horizontal-relative:page;mso-position-vertical-relative:paragraph;z-index:2008;mso-wrap-distance-left:0;mso-wrap-distance-right:0" from="85.103996pt,10.514868pt" to="229.123996pt,10.514868pt" stroked="true" strokeweight=".84003pt" strokecolor="#000000">
            <w10:wrap type="topAndBottom"/>
          </v:line>
        </w:pict>
      </w:r>
    </w:p>
    <w:p>
      <w:pPr>
        <w:spacing w:before="74"/>
        <w:ind w:left="122" w:right="149" w:firstLine="0"/>
        <w:jc w:val="both"/>
        <w:rPr>
          <w:rFonts w:ascii="Calibri" w:hAnsi="Calibri"/>
          <w:sz w:val="20"/>
        </w:rPr>
      </w:pPr>
      <w:r>
        <w:rPr>
          <w:rFonts w:ascii="Calibri" w:hAnsi="Calibri"/>
          <w:position w:val="7"/>
          <w:sz w:val="13"/>
        </w:rPr>
        <w:t>7 </w:t>
      </w:r>
      <w:r>
        <w:rPr>
          <w:rFonts w:ascii="Calibri" w:hAnsi="Calibri"/>
          <w:sz w:val="20"/>
        </w:rPr>
        <w:t>El concepto básico en que se funda la idea de región nodal es que la sociedad se organiza a sí misma espacialmente. La autoridad presupone un centro desde el cual se ejerce influencia sobre una comarca circundante. Dicho centro y la zona circundante constituyen una región nodal (Norton, 1968: 3).</w:t>
      </w:r>
    </w:p>
    <w:p>
      <w:pPr>
        <w:spacing w:after="0"/>
        <w:jc w:val="both"/>
        <w:rPr>
          <w:rFonts w:ascii="Calibri" w:hAnsi="Calibri"/>
          <w:sz w:val="20"/>
        </w:rPr>
        <w:sectPr>
          <w:type w:val="continuous"/>
          <w:pgSz w:w="12240" w:h="15840"/>
          <w:pgMar w:top="1420" w:bottom="280" w:left="1580" w:right="1560"/>
        </w:sectPr>
      </w:pPr>
    </w:p>
    <w:p>
      <w:pPr>
        <w:pStyle w:val="BodyText"/>
        <w:spacing w:before="54"/>
        <w:ind w:left="102"/>
        <w:jc w:val="both"/>
      </w:pPr>
      <w:r>
        <w:rPr/>
        <w:t>Zona en estudio</w:t>
      </w:r>
    </w:p>
    <w:p>
      <w:pPr>
        <w:pStyle w:val="BodyText"/>
      </w:pPr>
    </w:p>
    <w:p>
      <w:pPr>
        <w:pStyle w:val="BodyText"/>
      </w:pPr>
    </w:p>
    <w:p>
      <w:pPr>
        <w:pStyle w:val="BodyText"/>
        <w:spacing w:before="9"/>
        <w:rPr>
          <w:sz w:val="34"/>
        </w:rPr>
      </w:pPr>
    </w:p>
    <w:p>
      <w:pPr>
        <w:pStyle w:val="BodyText"/>
        <w:spacing w:line="360" w:lineRule="auto" w:before="1"/>
        <w:ind w:left="102" w:right="114"/>
        <w:jc w:val="both"/>
      </w:pPr>
      <w:r>
        <w:rPr/>
        <w:t>Para analizar la zona en estudio es necesario contar con el diagnóstico previo respecto a su población total que habita en dicho lugar. La zona metropolitana de Toluca, contaba con una población total en la década de 1990 de 1’110,492 habitantes, una década después en el año 2000 la población se incrementó a 1’540,452 habitantes con una tasa de crecimiento para este periodo de 3.3 por ciento, para el año 2010  la población total fue de más de 1’936,126 habitantes  con una tasa de crecimiento para este año de 2.2, datos recolectados con base en los datos de los censos de población y vivienda del </w:t>
      </w:r>
      <w:r>
        <w:rPr>
          <w:sz w:val="19"/>
        </w:rPr>
        <w:t>INEGI</w:t>
      </w:r>
      <w:r>
        <w:rPr/>
        <w:t>, 1990, 2000,</w:t>
      </w:r>
      <w:r>
        <w:rPr>
          <w:spacing w:val="-28"/>
        </w:rPr>
        <w:t> </w:t>
      </w:r>
      <w:r>
        <w:rPr/>
        <w:t>2010.</w:t>
      </w:r>
    </w:p>
    <w:p>
      <w:pPr>
        <w:pStyle w:val="BodyText"/>
        <w:spacing w:line="360" w:lineRule="auto" w:before="204"/>
        <w:ind w:left="102" w:right="117"/>
        <w:jc w:val="both"/>
      </w:pPr>
      <w:r>
        <w:rPr/>
        <w:t>En la </w:t>
      </w:r>
      <w:r>
        <w:rPr>
          <w:sz w:val="19"/>
        </w:rPr>
        <w:t>ZMT </w:t>
      </w:r>
      <w:r>
        <w:rPr/>
        <w:t>en 1990 existían más de 204 mil viviendas mientras que en el año 2000 según datos del censo de población y vivienda, existían más de 322 mil viviendas, siendo el municipio de Toluca que contaba con más de 145 mil viviendas, es decir el 45 por ciento, seguido del municipio de Metepec con más de 43 mil, y  municipios con más de 20 mil viviendas encontramos a Zinacantepec con más de 23 mil, Almoloya de Juárez casi 22 mil y Lerma con más de 20 mil. Los municipios con menor cantidad de viviendas, son Chapultepec con más mil 100 viviendas Rayón y San Antonio la Isla mil 600 y mil 800 respectivamente en el año 2000 (ver cuadro</w:t>
      </w:r>
      <w:r>
        <w:rPr>
          <w:spacing w:val="-3"/>
        </w:rPr>
        <w:t> </w:t>
      </w:r>
      <w:r>
        <w:rPr/>
        <w:t>2).</w:t>
      </w:r>
    </w:p>
    <w:p>
      <w:pPr>
        <w:pStyle w:val="BodyText"/>
      </w:pPr>
    </w:p>
    <w:p>
      <w:pPr>
        <w:pStyle w:val="BodyText"/>
        <w:spacing w:before="9"/>
        <w:rPr>
          <w:sz w:val="23"/>
        </w:rPr>
      </w:pPr>
    </w:p>
    <w:p>
      <w:pPr>
        <w:pStyle w:val="BodyText"/>
        <w:spacing w:line="360" w:lineRule="auto"/>
        <w:ind w:left="102" w:right="116"/>
        <w:jc w:val="both"/>
      </w:pPr>
      <w:r>
        <w:rPr/>
        <w:t>Para el año 2010, el municipio de Toluca cuenta con mayor número absoluto de viviendas más de 199 mil, incrementó en una década el número de viviendas en más de 54 mil, seguido del municipio de Metepec más de 54 mil, incrementando  en una década más de 11 mil, Zinacantepec el número total de viviendas fue más de 37 mil, incrementando más de 14 mil nuevas viviendas. Además los municipios que incrementaron el número de viviendas en la década 2000-2010 fueron San Antonio la Isla que pasó de mil 800 viviendas a más de cinco mil triplicando las viviendas,</w:t>
      </w:r>
      <w:r>
        <w:rPr>
          <w:spacing w:val="23"/>
        </w:rPr>
        <w:t> </w:t>
      </w:r>
      <w:r>
        <w:rPr/>
        <w:t>San</w:t>
      </w:r>
      <w:r>
        <w:rPr>
          <w:spacing w:val="24"/>
        </w:rPr>
        <w:t> </w:t>
      </w:r>
      <w:r>
        <w:rPr/>
        <w:t>Mateo</w:t>
      </w:r>
      <w:r>
        <w:rPr>
          <w:spacing w:val="24"/>
        </w:rPr>
        <w:t> </w:t>
      </w:r>
      <w:r>
        <w:rPr/>
        <w:t>Atenco</w:t>
      </w:r>
      <w:r>
        <w:rPr>
          <w:spacing w:val="24"/>
        </w:rPr>
        <w:t> </w:t>
      </w:r>
      <w:r>
        <w:rPr/>
        <w:t>de</w:t>
      </w:r>
      <w:r>
        <w:rPr>
          <w:spacing w:val="24"/>
        </w:rPr>
        <w:t> </w:t>
      </w:r>
      <w:r>
        <w:rPr/>
        <w:t>11</w:t>
      </w:r>
      <w:r>
        <w:rPr>
          <w:spacing w:val="21"/>
        </w:rPr>
        <w:t> </w:t>
      </w:r>
      <w:r>
        <w:rPr>
          <w:spacing w:val="2"/>
        </w:rPr>
        <w:t>mil</w:t>
      </w:r>
      <w:r>
        <w:rPr>
          <w:spacing w:val="22"/>
        </w:rPr>
        <w:t> </w:t>
      </w:r>
      <w:r>
        <w:rPr/>
        <w:t>a</w:t>
      </w:r>
      <w:r>
        <w:rPr>
          <w:spacing w:val="24"/>
        </w:rPr>
        <w:t> </w:t>
      </w:r>
      <w:r>
        <w:rPr/>
        <w:t>más</w:t>
      </w:r>
      <w:r>
        <w:rPr>
          <w:spacing w:val="23"/>
        </w:rPr>
        <w:t> </w:t>
      </w:r>
      <w:r>
        <w:rPr/>
        <w:t>de</w:t>
      </w:r>
      <w:r>
        <w:rPr>
          <w:spacing w:val="24"/>
        </w:rPr>
        <w:t> </w:t>
      </w:r>
      <w:r>
        <w:rPr/>
        <w:t>16</w:t>
      </w:r>
      <w:r>
        <w:rPr>
          <w:spacing w:val="24"/>
        </w:rPr>
        <w:t> </w:t>
      </w:r>
      <w:r>
        <w:rPr/>
        <w:t>mil</w:t>
      </w:r>
      <w:r>
        <w:rPr>
          <w:spacing w:val="22"/>
        </w:rPr>
        <w:t> </w:t>
      </w:r>
      <w:r>
        <w:rPr/>
        <w:t>y</w:t>
      </w:r>
      <w:r>
        <w:rPr>
          <w:spacing w:val="20"/>
        </w:rPr>
        <w:t> </w:t>
      </w:r>
      <w:r>
        <w:rPr/>
        <w:t>Temoaya</w:t>
      </w:r>
      <w:r>
        <w:rPr>
          <w:spacing w:val="24"/>
        </w:rPr>
        <w:t> </w:t>
      </w:r>
      <w:r>
        <w:rPr/>
        <w:t>de</w:t>
      </w:r>
      <w:r>
        <w:rPr>
          <w:spacing w:val="24"/>
        </w:rPr>
        <w:t> </w:t>
      </w:r>
      <w:r>
        <w:rPr/>
        <w:t>12</w:t>
      </w:r>
      <w:r>
        <w:rPr>
          <w:spacing w:val="24"/>
        </w:rPr>
        <w:t> </w:t>
      </w:r>
      <w:r>
        <w:rPr/>
        <w:t>mil</w:t>
      </w:r>
      <w:r>
        <w:rPr>
          <w:spacing w:val="22"/>
        </w:rPr>
        <w:t> </w:t>
      </w:r>
      <w:r>
        <w:rPr/>
        <w:t>a</w:t>
      </w:r>
    </w:p>
    <w:p>
      <w:pPr>
        <w:spacing w:after="0" w:line="360" w:lineRule="auto"/>
        <w:jc w:val="both"/>
        <w:sectPr>
          <w:pgSz w:w="12240" w:h="15840"/>
          <w:pgMar w:header="0" w:footer="1003" w:top="1360" w:bottom="1200" w:left="1600" w:right="1580"/>
        </w:sectPr>
      </w:pPr>
    </w:p>
    <w:p>
      <w:pPr>
        <w:pStyle w:val="BodyText"/>
        <w:spacing w:line="360" w:lineRule="auto" w:before="54"/>
        <w:ind w:left="102" w:right="134"/>
        <w:jc w:val="both"/>
      </w:pPr>
      <w:r>
        <w:rPr/>
        <w:t>más de 17 mil estos tres últimos municipios con incrementó de más de cinco mil viviendas (ver cuadro 4).</w:t>
      </w:r>
    </w:p>
    <w:p>
      <w:pPr>
        <w:spacing w:before="203"/>
        <w:ind w:left="84" w:right="122" w:firstLine="0"/>
        <w:jc w:val="center"/>
        <w:rPr>
          <w:sz w:val="20"/>
        </w:rPr>
      </w:pPr>
      <w:r>
        <w:rPr>
          <w:sz w:val="20"/>
        </w:rPr>
        <w:t>Cuadro No. 4</w:t>
      </w:r>
    </w:p>
    <w:p>
      <w:pPr>
        <w:spacing w:before="0"/>
        <w:ind w:left="84" w:right="122" w:firstLine="0"/>
        <w:jc w:val="center"/>
        <w:rPr>
          <w:sz w:val="20"/>
        </w:rPr>
      </w:pPr>
      <w:r>
        <w:rPr/>
        <w:pict>
          <v:shape style="position:absolute;margin-left:86.519997pt;margin-top:11.866341pt;width:441.85pt;height:193.6pt;mso-position-horizontal-relative:page;mso-position-vertical-relative:paragraph;z-index:205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3"/>
                    <w:gridCol w:w="1532"/>
                    <w:gridCol w:w="1353"/>
                    <w:gridCol w:w="766"/>
                    <w:gridCol w:w="817"/>
                    <w:gridCol w:w="1353"/>
                    <w:gridCol w:w="766"/>
                    <w:gridCol w:w="881"/>
                  </w:tblGrid>
                  <w:tr>
                    <w:trPr>
                      <w:trHeight w:val="202" w:hRule="exact"/>
                    </w:trPr>
                    <w:tc>
                      <w:tcPr>
                        <w:tcW w:w="1353" w:type="dxa"/>
                        <w:vMerge w:val="restart"/>
                      </w:tcPr>
                      <w:p>
                        <w:pPr/>
                      </w:p>
                    </w:tc>
                    <w:tc>
                      <w:tcPr>
                        <w:tcW w:w="1532" w:type="dxa"/>
                      </w:tcPr>
                      <w:p>
                        <w:pPr/>
                      </w:p>
                    </w:tc>
                    <w:tc>
                      <w:tcPr>
                        <w:tcW w:w="1353" w:type="dxa"/>
                      </w:tcPr>
                      <w:p>
                        <w:pPr/>
                      </w:p>
                    </w:tc>
                    <w:tc>
                      <w:tcPr>
                        <w:tcW w:w="766" w:type="dxa"/>
                      </w:tcPr>
                      <w:p>
                        <w:pPr/>
                      </w:p>
                    </w:tc>
                    <w:tc>
                      <w:tcPr>
                        <w:tcW w:w="817" w:type="dxa"/>
                      </w:tcPr>
                      <w:p>
                        <w:pPr/>
                      </w:p>
                    </w:tc>
                    <w:tc>
                      <w:tcPr>
                        <w:tcW w:w="1353" w:type="dxa"/>
                      </w:tcPr>
                      <w:p>
                        <w:pPr/>
                      </w:p>
                    </w:tc>
                    <w:tc>
                      <w:tcPr>
                        <w:tcW w:w="766" w:type="dxa"/>
                      </w:tcPr>
                      <w:p>
                        <w:pPr/>
                      </w:p>
                    </w:tc>
                    <w:tc>
                      <w:tcPr>
                        <w:tcW w:w="881" w:type="dxa"/>
                        <w:vMerge w:val="restart"/>
                      </w:tcPr>
                      <w:p>
                        <w:pPr/>
                      </w:p>
                    </w:tc>
                  </w:tr>
                  <w:tr>
                    <w:trPr>
                      <w:trHeight w:val="211" w:hRule="exact"/>
                    </w:trPr>
                    <w:tc>
                      <w:tcPr>
                        <w:tcW w:w="1353" w:type="dxa"/>
                        <w:vMerge/>
                      </w:tcPr>
                      <w:p>
                        <w:pPr/>
                      </w:p>
                    </w:tc>
                    <w:tc>
                      <w:tcPr>
                        <w:tcW w:w="1532" w:type="dxa"/>
                      </w:tcPr>
                      <w:p>
                        <w:pPr/>
                      </w:p>
                    </w:tc>
                    <w:tc>
                      <w:tcPr>
                        <w:tcW w:w="1353" w:type="dxa"/>
                      </w:tcPr>
                      <w:p>
                        <w:pPr/>
                      </w:p>
                    </w:tc>
                    <w:tc>
                      <w:tcPr>
                        <w:tcW w:w="766" w:type="dxa"/>
                      </w:tcPr>
                      <w:p>
                        <w:pPr/>
                      </w:p>
                    </w:tc>
                    <w:tc>
                      <w:tcPr>
                        <w:tcW w:w="817" w:type="dxa"/>
                      </w:tcPr>
                      <w:p>
                        <w:pPr/>
                      </w:p>
                    </w:tc>
                    <w:tc>
                      <w:tcPr>
                        <w:tcW w:w="1353" w:type="dxa"/>
                      </w:tcPr>
                      <w:p>
                        <w:pPr/>
                      </w:p>
                    </w:tc>
                    <w:tc>
                      <w:tcPr>
                        <w:tcW w:w="766" w:type="dxa"/>
                      </w:tcPr>
                      <w:p>
                        <w:pPr/>
                      </w:p>
                    </w:tc>
                    <w:tc>
                      <w:tcPr>
                        <w:tcW w:w="881" w:type="dxa"/>
                        <w:vMerge/>
                      </w:tcPr>
                      <w:p>
                        <w:pPr/>
                      </w:p>
                    </w:tc>
                  </w:tr>
                  <w:tr>
                    <w:trPr>
                      <w:trHeight w:val="208" w:hRule="exact"/>
                    </w:trPr>
                    <w:tc>
                      <w:tcPr>
                        <w:tcW w:w="1353" w:type="dxa"/>
                      </w:tcPr>
                      <w:p>
                        <w:pPr>
                          <w:pStyle w:val="TableParagraph"/>
                          <w:spacing w:before="4"/>
                          <w:ind w:left="541" w:right="532"/>
                          <w:jc w:val="center"/>
                          <w:rPr>
                            <w:rFonts w:ascii="Times New Roman"/>
                            <w:sz w:val="16"/>
                          </w:rPr>
                        </w:pPr>
                        <w:r>
                          <w:rPr>
                            <w:rFonts w:ascii="Times New Roman"/>
                            <w:sz w:val="16"/>
                          </w:rPr>
                          <w:t>005</w:t>
                        </w:r>
                      </w:p>
                    </w:tc>
                    <w:tc>
                      <w:tcPr>
                        <w:tcW w:w="1532" w:type="dxa"/>
                      </w:tcPr>
                      <w:p>
                        <w:pPr>
                          <w:pStyle w:val="TableParagraph"/>
                          <w:spacing w:before="4"/>
                          <w:ind w:left="28"/>
                          <w:rPr>
                            <w:rFonts w:ascii="Times New Roman" w:hAnsi="Times New Roman"/>
                            <w:sz w:val="16"/>
                          </w:rPr>
                        </w:pPr>
                        <w:r>
                          <w:rPr>
                            <w:rFonts w:ascii="Times New Roman" w:hAnsi="Times New Roman"/>
                            <w:sz w:val="16"/>
                          </w:rPr>
                          <w:t>Almoloya de Juárez</w:t>
                        </w:r>
                      </w:p>
                    </w:tc>
                    <w:tc>
                      <w:tcPr>
                        <w:tcW w:w="1353" w:type="dxa"/>
                      </w:tcPr>
                      <w:p>
                        <w:pPr>
                          <w:pStyle w:val="TableParagraph"/>
                          <w:spacing w:before="23"/>
                          <w:ind w:right="23"/>
                          <w:jc w:val="right"/>
                          <w:rPr>
                            <w:rFonts w:ascii="Times New Roman"/>
                            <w:sz w:val="14"/>
                          </w:rPr>
                        </w:pPr>
                        <w:r>
                          <w:rPr>
                            <w:rFonts w:ascii="Times New Roman"/>
                            <w:w w:val="105"/>
                            <w:sz w:val="14"/>
                          </w:rPr>
                          <w:t>110,591</w:t>
                        </w:r>
                      </w:p>
                    </w:tc>
                    <w:tc>
                      <w:tcPr>
                        <w:tcW w:w="766" w:type="dxa"/>
                      </w:tcPr>
                      <w:p>
                        <w:pPr>
                          <w:pStyle w:val="TableParagraph"/>
                          <w:spacing w:before="23"/>
                          <w:ind w:right="23"/>
                          <w:jc w:val="right"/>
                          <w:rPr>
                            <w:rFonts w:ascii="Times New Roman"/>
                            <w:sz w:val="14"/>
                          </w:rPr>
                        </w:pPr>
                        <w:r>
                          <w:rPr>
                            <w:rFonts w:ascii="Times New Roman"/>
                            <w:w w:val="105"/>
                            <w:sz w:val="14"/>
                          </w:rPr>
                          <w:t>21,999</w:t>
                        </w:r>
                      </w:p>
                    </w:tc>
                    <w:tc>
                      <w:tcPr>
                        <w:tcW w:w="817" w:type="dxa"/>
                      </w:tcPr>
                      <w:p>
                        <w:pPr>
                          <w:pStyle w:val="TableParagraph"/>
                          <w:spacing w:before="20"/>
                          <w:ind w:right="22"/>
                          <w:jc w:val="right"/>
                          <w:rPr>
                            <w:sz w:val="14"/>
                          </w:rPr>
                        </w:pPr>
                        <w:r>
                          <w:rPr>
                            <w:sz w:val="14"/>
                          </w:rPr>
                          <w:t>6.8</w:t>
                        </w:r>
                      </w:p>
                    </w:tc>
                    <w:tc>
                      <w:tcPr>
                        <w:tcW w:w="1353" w:type="dxa"/>
                      </w:tcPr>
                      <w:p>
                        <w:pPr>
                          <w:pStyle w:val="TableParagraph"/>
                          <w:spacing w:before="16"/>
                          <w:ind w:right="20"/>
                          <w:jc w:val="right"/>
                          <w:rPr>
                            <w:rFonts w:ascii="Times New Roman"/>
                            <w:sz w:val="14"/>
                          </w:rPr>
                        </w:pPr>
                        <w:r>
                          <w:rPr>
                            <w:rFonts w:ascii="Times New Roman"/>
                            <w:w w:val="105"/>
                            <w:sz w:val="14"/>
                          </w:rPr>
                          <w:t>147,653</w:t>
                        </w:r>
                      </w:p>
                    </w:tc>
                    <w:tc>
                      <w:tcPr>
                        <w:tcW w:w="766" w:type="dxa"/>
                      </w:tcPr>
                      <w:p>
                        <w:pPr>
                          <w:pStyle w:val="TableParagraph"/>
                          <w:spacing w:before="16"/>
                          <w:ind w:right="20"/>
                          <w:jc w:val="right"/>
                          <w:rPr>
                            <w:rFonts w:ascii="Times New Roman"/>
                            <w:sz w:val="14"/>
                          </w:rPr>
                        </w:pPr>
                        <w:r>
                          <w:rPr>
                            <w:rFonts w:ascii="Times New Roman"/>
                            <w:w w:val="105"/>
                            <w:sz w:val="14"/>
                          </w:rPr>
                          <w:t>32,842</w:t>
                        </w:r>
                      </w:p>
                    </w:tc>
                    <w:tc>
                      <w:tcPr>
                        <w:tcW w:w="881" w:type="dxa"/>
                      </w:tcPr>
                      <w:p>
                        <w:pPr>
                          <w:pStyle w:val="TableParagraph"/>
                          <w:spacing w:before="20"/>
                          <w:ind w:right="22"/>
                          <w:jc w:val="right"/>
                          <w:rPr>
                            <w:sz w:val="14"/>
                          </w:rPr>
                        </w:pPr>
                        <w:r>
                          <w:rPr>
                            <w:w w:val="105"/>
                            <w:sz w:val="14"/>
                          </w:rPr>
                          <w:t>7.2</w:t>
                        </w:r>
                      </w:p>
                    </w:tc>
                  </w:tr>
                  <w:tr>
                    <w:trPr>
                      <w:trHeight w:val="201" w:hRule="exact"/>
                    </w:trPr>
                    <w:tc>
                      <w:tcPr>
                        <w:tcW w:w="1353" w:type="dxa"/>
                      </w:tcPr>
                      <w:p>
                        <w:pPr>
                          <w:pStyle w:val="TableParagraph"/>
                          <w:spacing w:line="181" w:lineRule="exact"/>
                          <w:ind w:left="541" w:right="532"/>
                          <w:jc w:val="center"/>
                          <w:rPr>
                            <w:rFonts w:ascii="Times New Roman"/>
                            <w:sz w:val="16"/>
                          </w:rPr>
                        </w:pPr>
                        <w:r>
                          <w:rPr>
                            <w:rFonts w:ascii="Times New Roman"/>
                            <w:sz w:val="16"/>
                          </w:rPr>
                          <w:t>018</w:t>
                        </w:r>
                      </w:p>
                    </w:tc>
                    <w:tc>
                      <w:tcPr>
                        <w:tcW w:w="1532" w:type="dxa"/>
                      </w:tcPr>
                      <w:p>
                        <w:pPr>
                          <w:pStyle w:val="TableParagraph"/>
                          <w:spacing w:line="181" w:lineRule="exact"/>
                          <w:ind w:left="28"/>
                          <w:rPr>
                            <w:rFonts w:ascii="Times New Roman"/>
                            <w:sz w:val="16"/>
                          </w:rPr>
                        </w:pPr>
                        <w:r>
                          <w:rPr>
                            <w:rFonts w:ascii="Times New Roman"/>
                            <w:sz w:val="16"/>
                          </w:rPr>
                          <w:t>Calimaya</w:t>
                        </w:r>
                      </w:p>
                    </w:tc>
                    <w:tc>
                      <w:tcPr>
                        <w:tcW w:w="1353" w:type="dxa"/>
                      </w:tcPr>
                      <w:p>
                        <w:pPr>
                          <w:pStyle w:val="TableParagraph"/>
                          <w:spacing w:before="16"/>
                          <w:ind w:right="23"/>
                          <w:jc w:val="right"/>
                          <w:rPr>
                            <w:rFonts w:ascii="Times New Roman"/>
                            <w:sz w:val="14"/>
                          </w:rPr>
                        </w:pPr>
                        <w:r>
                          <w:rPr>
                            <w:rFonts w:ascii="Times New Roman"/>
                            <w:w w:val="105"/>
                            <w:sz w:val="14"/>
                          </w:rPr>
                          <w:t>35,196</w:t>
                        </w:r>
                      </w:p>
                    </w:tc>
                    <w:tc>
                      <w:tcPr>
                        <w:tcW w:w="766" w:type="dxa"/>
                      </w:tcPr>
                      <w:p>
                        <w:pPr>
                          <w:pStyle w:val="TableParagraph"/>
                          <w:spacing w:before="16"/>
                          <w:ind w:right="23"/>
                          <w:jc w:val="right"/>
                          <w:rPr>
                            <w:rFonts w:ascii="Times New Roman"/>
                            <w:sz w:val="14"/>
                          </w:rPr>
                        </w:pPr>
                        <w:r>
                          <w:rPr>
                            <w:rFonts w:ascii="Times New Roman"/>
                            <w:w w:val="105"/>
                            <w:sz w:val="14"/>
                          </w:rPr>
                          <w:t>7,153</w:t>
                        </w:r>
                      </w:p>
                    </w:tc>
                    <w:tc>
                      <w:tcPr>
                        <w:tcW w:w="817" w:type="dxa"/>
                      </w:tcPr>
                      <w:p>
                        <w:pPr>
                          <w:pStyle w:val="TableParagraph"/>
                          <w:spacing w:before="13"/>
                          <w:ind w:right="22"/>
                          <w:jc w:val="right"/>
                          <w:rPr>
                            <w:sz w:val="14"/>
                          </w:rPr>
                        </w:pPr>
                        <w:r>
                          <w:rPr>
                            <w:sz w:val="14"/>
                          </w:rPr>
                          <w:t>2.2</w:t>
                        </w:r>
                      </w:p>
                    </w:tc>
                    <w:tc>
                      <w:tcPr>
                        <w:tcW w:w="1353" w:type="dxa"/>
                      </w:tcPr>
                      <w:p>
                        <w:pPr>
                          <w:pStyle w:val="TableParagraph"/>
                          <w:spacing w:before="9"/>
                          <w:ind w:right="20"/>
                          <w:jc w:val="right"/>
                          <w:rPr>
                            <w:rFonts w:ascii="Times New Roman"/>
                            <w:sz w:val="14"/>
                          </w:rPr>
                        </w:pPr>
                        <w:r>
                          <w:rPr>
                            <w:rFonts w:ascii="Times New Roman"/>
                            <w:w w:val="105"/>
                            <w:sz w:val="14"/>
                          </w:rPr>
                          <w:t>47,033</w:t>
                        </w:r>
                      </w:p>
                    </w:tc>
                    <w:tc>
                      <w:tcPr>
                        <w:tcW w:w="766" w:type="dxa"/>
                      </w:tcPr>
                      <w:p>
                        <w:pPr>
                          <w:pStyle w:val="TableParagraph"/>
                          <w:spacing w:before="9"/>
                          <w:ind w:right="20"/>
                          <w:jc w:val="right"/>
                          <w:rPr>
                            <w:rFonts w:ascii="Times New Roman"/>
                            <w:sz w:val="14"/>
                          </w:rPr>
                        </w:pPr>
                        <w:r>
                          <w:rPr>
                            <w:rFonts w:ascii="Times New Roman"/>
                            <w:w w:val="105"/>
                            <w:sz w:val="14"/>
                          </w:rPr>
                          <w:t>10,694</w:t>
                        </w:r>
                      </w:p>
                    </w:tc>
                    <w:tc>
                      <w:tcPr>
                        <w:tcW w:w="881" w:type="dxa"/>
                      </w:tcPr>
                      <w:p>
                        <w:pPr>
                          <w:pStyle w:val="TableParagraph"/>
                          <w:spacing w:before="13"/>
                          <w:ind w:right="22"/>
                          <w:jc w:val="right"/>
                          <w:rPr>
                            <w:sz w:val="14"/>
                          </w:rPr>
                        </w:pPr>
                        <w:r>
                          <w:rPr>
                            <w:sz w:val="14"/>
                          </w:rPr>
                          <w:t>2.4</w:t>
                        </w:r>
                      </w:p>
                    </w:tc>
                  </w:tr>
                  <w:tr>
                    <w:trPr>
                      <w:trHeight w:val="201" w:hRule="exact"/>
                    </w:trPr>
                    <w:tc>
                      <w:tcPr>
                        <w:tcW w:w="1353" w:type="dxa"/>
                      </w:tcPr>
                      <w:p>
                        <w:pPr>
                          <w:pStyle w:val="TableParagraph"/>
                          <w:spacing w:line="181" w:lineRule="exact"/>
                          <w:ind w:left="541" w:right="532"/>
                          <w:jc w:val="center"/>
                          <w:rPr>
                            <w:rFonts w:ascii="Times New Roman"/>
                            <w:sz w:val="16"/>
                          </w:rPr>
                        </w:pPr>
                        <w:r>
                          <w:rPr>
                            <w:rFonts w:ascii="Times New Roman"/>
                            <w:sz w:val="16"/>
                          </w:rPr>
                          <w:t>027</w:t>
                        </w:r>
                      </w:p>
                    </w:tc>
                    <w:tc>
                      <w:tcPr>
                        <w:tcW w:w="1532" w:type="dxa"/>
                      </w:tcPr>
                      <w:p>
                        <w:pPr>
                          <w:pStyle w:val="TableParagraph"/>
                          <w:spacing w:line="181" w:lineRule="exact"/>
                          <w:ind w:left="28"/>
                          <w:rPr>
                            <w:rFonts w:ascii="Times New Roman"/>
                            <w:sz w:val="16"/>
                          </w:rPr>
                        </w:pPr>
                        <w:r>
                          <w:rPr>
                            <w:rFonts w:ascii="Times New Roman"/>
                            <w:sz w:val="16"/>
                          </w:rPr>
                          <w:t>Chapultepec</w:t>
                        </w:r>
                      </w:p>
                    </w:tc>
                    <w:tc>
                      <w:tcPr>
                        <w:tcW w:w="1353" w:type="dxa"/>
                      </w:tcPr>
                      <w:p>
                        <w:pPr>
                          <w:pStyle w:val="TableParagraph"/>
                          <w:spacing w:before="16"/>
                          <w:ind w:right="23"/>
                          <w:jc w:val="right"/>
                          <w:rPr>
                            <w:rFonts w:ascii="Times New Roman"/>
                            <w:sz w:val="14"/>
                          </w:rPr>
                        </w:pPr>
                        <w:r>
                          <w:rPr>
                            <w:rFonts w:ascii="Times New Roman"/>
                            <w:w w:val="105"/>
                            <w:sz w:val="14"/>
                          </w:rPr>
                          <w:t>5,735</w:t>
                        </w:r>
                      </w:p>
                    </w:tc>
                    <w:tc>
                      <w:tcPr>
                        <w:tcW w:w="766" w:type="dxa"/>
                      </w:tcPr>
                      <w:p>
                        <w:pPr>
                          <w:pStyle w:val="TableParagraph"/>
                          <w:spacing w:before="16"/>
                          <w:ind w:right="23"/>
                          <w:jc w:val="right"/>
                          <w:rPr>
                            <w:rFonts w:ascii="Times New Roman"/>
                            <w:sz w:val="14"/>
                          </w:rPr>
                        </w:pPr>
                        <w:r>
                          <w:rPr>
                            <w:rFonts w:ascii="Times New Roman"/>
                            <w:w w:val="105"/>
                            <w:sz w:val="14"/>
                          </w:rPr>
                          <w:t>1,183</w:t>
                        </w:r>
                      </w:p>
                    </w:tc>
                    <w:tc>
                      <w:tcPr>
                        <w:tcW w:w="817" w:type="dxa"/>
                      </w:tcPr>
                      <w:p>
                        <w:pPr>
                          <w:pStyle w:val="TableParagraph"/>
                          <w:spacing w:before="13"/>
                          <w:ind w:right="22"/>
                          <w:jc w:val="right"/>
                          <w:rPr>
                            <w:sz w:val="14"/>
                          </w:rPr>
                        </w:pPr>
                        <w:r>
                          <w:rPr>
                            <w:sz w:val="14"/>
                          </w:rPr>
                          <w:t>0.4</w:t>
                        </w:r>
                      </w:p>
                    </w:tc>
                    <w:tc>
                      <w:tcPr>
                        <w:tcW w:w="1353" w:type="dxa"/>
                      </w:tcPr>
                      <w:p>
                        <w:pPr>
                          <w:pStyle w:val="TableParagraph"/>
                          <w:spacing w:before="9"/>
                          <w:ind w:right="20"/>
                          <w:jc w:val="right"/>
                          <w:rPr>
                            <w:rFonts w:ascii="Times New Roman"/>
                            <w:sz w:val="14"/>
                          </w:rPr>
                        </w:pPr>
                        <w:r>
                          <w:rPr>
                            <w:rFonts w:ascii="Times New Roman"/>
                            <w:w w:val="105"/>
                            <w:sz w:val="14"/>
                          </w:rPr>
                          <w:t>9,676</w:t>
                        </w:r>
                      </w:p>
                    </w:tc>
                    <w:tc>
                      <w:tcPr>
                        <w:tcW w:w="766" w:type="dxa"/>
                      </w:tcPr>
                      <w:p>
                        <w:pPr>
                          <w:pStyle w:val="TableParagraph"/>
                          <w:spacing w:before="9"/>
                          <w:ind w:right="20"/>
                          <w:jc w:val="right"/>
                          <w:rPr>
                            <w:rFonts w:ascii="Times New Roman"/>
                            <w:sz w:val="14"/>
                          </w:rPr>
                        </w:pPr>
                        <w:r>
                          <w:rPr>
                            <w:rFonts w:ascii="Times New Roman"/>
                            <w:w w:val="105"/>
                            <w:sz w:val="14"/>
                          </w:rPr>
                          <w:t>2,421</w:t>
                        </w:r>
                      </w:p>
                    </w:tc>
                    <w:tc>
                      <w:tcPr>
                        <w:tcW w:w="881" w:type="dxa"/>
                      </w:tcPr>
                      <w:p>
                        <w:pPr>
                          <w:pStyle w:val="TableParagraph"/>
                          <w:spacing w:before="13"/>
                          <w:ind w:right="22"/>
                          <w:jc w:val="right"/>
                          <w:rPr>
                            <w:sz w:val="14"/>
                          </w:rPr>
                        </w:pPr>
                        <w:r>
                          <w:rPr>
                            <w:sz w:val="14"/>
                          </w:rPr>
                          <w:t>0.5</w:t>
                        </w:r>
                      </w:p>
                    </w:tc>
                  </w:tr>
                  <w:tr>
                    <w:trPr>
                      <w:trHeight w:val="201" w:hRule="exact"/>
                    </w:trPr>
                    <w:tc>
                      <w:tcPr>
                        <w:tcW w:w="1353" w:type="dxa"/>
                      </w:tcPr>
                      <w:p>
                        <w:pPr>
                          <w:pStyle w:val="TableParagraph"/>
                          <w:spacing w:line="181" w:lineRule="exact"/>
                          <w:ind w:left="541" w:right="532"/>
                          <w:jc w:val="center"/>
                          <w:rPr>
                            <w:rFonts w:ascii="Times New Roman"/>
                            <w:sz w:val="16"/>
                          </w:rPr>
                        </w:pPr>
                        <w:r>
                          <w:rPr>
                            <w:rFonts w:ascii="Times New Roman"/>
                            <w:sz w:val="16"/>
                          </w:rPr>
                          <w:t>051</w:t>
                        </w:r>
                      </w:p>
                    </w:tc>
                    <w:tc>
                      <w:tcPr>
                        <w:tcW w:w="1532" w:type="dxa"/>
                      </w:tcPr>
                      <w:p>
                        <w:pPr>
                          <w:pStyle w:val="TableParagraph"/>
                          <w:spacing w:line="181" w:lineRule="exact"/>
                          <w:ind w:left="28"/>
                          <w:rPr>
                            <w:rFonts w:ascii="Times New Roman"/>
                            <w:sz w:val="16"/>
                          </w:rPr>
                        </w:pPr>
                        <w:r>
                          <w:rPr>
                            <w:rFonts w:ascii="Times New Roman"/>
                            <w:sz w:val="16"/>
                          </w:rPr>
                          <w:t>Lerma</w:t>
                        </w:r>
                      </w:p>
                    </w:tc>
                    <w:tc>
                      <w:tcPr>
                        <w:tcW w:w="1353" w:type="dxa"/>
                      </w:tcPr>
                      <w:p>
                        <w:pPr>
                          <w:pStyle w:val="TableParagraph"/>
                          <w:spacing w:before="16"/>
                          <w:ind w:right="23"/>
                          <w:jc w:val="right"/>
                          <w:rPr>
                            <w:rFonts w:ascii="Times New Roman"/>
                            <w:sz w:val="14"/>
                          </w:rPr>
                        </w:pPr>
                        <w:r>
                          <w:rPr>
                            <w:rFonts w:ascii="Times New Roman"/>
                            <w:w w:val="105"/>
                            <w:sz w:val="14"/>
                          </w:rPr>
                          <w:t>99,870</w:t>
                        </w:r>
                      </w:p>
                    </w:tc>
                    <w:tc>
                      <w:tcPr>
                        <w:tcW w:w="766" w:type="dxa"/>
                      </w:tcPr>
                      <w:p>
                        <w:pPr>
                          <w:pStyle w:val="TableParagraph"/>
                          <w:spacing w:before="16"/>
                          <w:ind w:right="23"/>
                          <w:jc w:val="right"/>
                          <w:rPr>
                            <w:rFonts w:ascii="Times New Roman"/>
                            <w:sz w:val="14"/>
                          </w:rPr>
                        </w:pPr>
                        <w:r>
                          <w:rPr>
                            <w:rFonts w:ascii="Times New Roman"/>
                            <w:w w:val="105"/>
                            <w:sz w:val="14"/>
                          </w:rPr>
                          <w:t>20,659</w:t>
                        </w:r>
                      </w:p>
                    </w:tc>
                    <w:tc>
                      <w:tcPr>
                        <w:tcW w:w="817" w:type="dxa"/>
                      </w:tcPr>
                      <w:p>
                        <w:pPr>
                          <w:pStyle w:val="TableParagraph"/>
                          <w:spacing w:before="13"/>
                          <w:ind w:right="22"/>
                          <w:jc w:val="right"/>
                          <w:rPr>
                            <w:sz w:val="14"/>
                          </w:rPr>
                        </w:pPr>
                        <w:r>
                          <w:rPr>
                            <w:sz w:val="14"/>
                          </w:rPr>
                          <w:t>6.4</w:t>
                        </w:r>
                      </w:p>
                    </w:tc>
                    <w:tc>
                      <w:tcPr>
                        <w:tcW w:w="1353" w:type="dxa"/>
                      </w:tcPr>
                      <w:p>
                        <w:pPr>
                          <w:pStyle w:val="TableParagraph"/>
                          <w:spacing w:before="9"/>
                          <w:ind w:right="20"/>
                          <w:jc w:val="right"/>
                          <w:rPr>
                            <w:rFonts w:ascii="Times New Roman"/>
                            <w:sz w:val="14"/>
                          </w:rPr>
                        </w:pPr>
                        <w:r>
                          <w:rPr>
                            <w:rFonts w:ascii="Times New Roman"/>
                            <w:w w:val="105"/>
                            <w:sz w:val="14"/>
                          </w:rPr>
                          <w:t>134,799</w:t>
                        </w:r>
                      </w:p>
                    </w:tc>
                    <w:tc>
                      <w:tcPr>
                        <w:tcW w:w="766" w:type="dxa"/>
                      </w:tcPr>
                      <w:p>
                        <w:pPr>
                          <w:pStyle w:val="TableParagraph"/>
                          <w:spacing w:before="9"/>
                          <w:ind w:right="20"/>
                          <w:jc w:val="right"/>
                          <w:rPr>
                            <w:rFonts w:ascii="Times New Roman"/>
                            <w:sz w:val="14"/>
                          </w:rPr>
                        </w:pPr>
                        <w:r>
                          <w:rPr>
                            <w:rFonts w:ascii="Times New Roman"/>
                            <w:w w:val="105"/>
                            <w:sz w:val="14"/>
                          </w:rPr>
                          <w:t>31,150</w:t>
                        </w:r>
                      </w:p>
                    </w:tc>
                    <w:tc>
                      <w:tcPr>
                        <w:tcW w:w="881" w:type="dxa"/>
                      </w:tcPr>
                      <w:p>
                        <w:pPr>
                          <w:pStyle w:val="TableParagraph"/>
                          <w:spacing w:before="13"/>
                          <w:ind w:right="22"/>
                          <w:jc w:val="right"/>
                          <w:rPr>
                            <w:sz w:val="14"/>
                          </w:rPr>
                        </w:pPr>
                        <w:r>
                          <w:rPr>
                            <w:w w:val="105"/>
                            <w:sz w:val="14"/>
                          </w:rPr>
                          <w:t>6.9</w:t>
                        </w:r>
                      </w:p>
                    </w:tc>
                  </w:tr>
                  <w:tr>
                    <w:trPr>
                      <w:trHeight w:val="201" w:hRule="exact"/>
                    </w:trPr>
                    <w:tc>
                      <w:tcPr>
                        <w:tcW w:w="1353" w:type="dxa"/>
                      </w:tcPr>
                      <w:p>
                        <w:pPr>
                          <w:pStyle w:val="TableParagraph"/>
                          <w:spacing w:line="181" w:lineRule="exact"/>
                          <w:ind w:left="541" w:right="532"/>
                          <w:jc w:val="center"/>
                          <w:rPr>
                            <w:rFonts w:ascii="Times New Roman"/>
                            <w:sz w:val="16"/>
                          </w:rPr>
                        </w:pPr>
                        <w:r>
                          <w:rPr>
                            <w:rFonts w:ascii="Times New Roman"/>
                            <w:sz w:val="16"/>
                          </w:rPr>
                          <w:t>054</w:t>
                        </w:r>
                      </w:p>
                    </w:tc>
                    <w:tc>
                      <w:tcPr>
                        <w:tcW w:w="1532" w:type="dxa"/>
                      </w:tcPr>
                      <w:p>
                        <w:pPr>
                          <w:pStyle w:val="TableParagraph"/>
                          <w:spacing w:line="181" w:lineRule="exact"/>
                          <w:ind w:left="28"/>
                          <w:rPr>
                            <w:rFonts w:ascii="Times New Roman"/>
                            <w:sz w:val="16"/>
                          </w:rPr>
                        </w:pPr>
                        <w:r>
                          <w:rPr>
                            <w:rFonts w:ascii="Times New Roman"/>
                            <w:sz w:val="16"/>
                          </w:rPr>
                          <w:t>Metepec</w:t>
                        </w:r>
                      </w:p>
                    </w:tc>
                    <w:tc>
                      <w:tcPr>
                        <w:tcW w:w="1353" w:type="dxa"/>
                      </w:tcPr>
                      <w:p>
                        <w:pPr>
                          <w:pStyle w:val="TableParagraph"/>
                          <w:spacing w:before="16"/>
                          <w:ind w:right="23"/>
                          <w:jc w:val="right"/>
                          <w:rPr>
                            <w:rFonts w:ascii="Times New Roman"/>
                            <w:sz w:val="14"/>
                          </w:rPr>
                        </w:pPr>
                        <w:r>
                          <w:rPr>
                            <w:rFonts w:ascii="Times New Roman"/>
                            <w:w w:val="105"/>
                            <w:sz w:val="14"/>
                          </w:rPr>
                          <w:t>194,463</w:t>
                        </w:r>
                      </w:p>
                    </w:tc>
                    <w:tc>
                      <w:tcPr>
                        <w:tcW w:w="766" w:type="dxa"/>
                      </w:tcPr>
                      <w:p>
                        <w:pPr>
                          <w:pStyle w:val="TableParagraph"/>
                          <w:spacing w:before="16"/>
                          <w:ind w:right="23"/>
                          <w:jc w:val="right"/>
                          <w:rPr>
                            <w:rFonts w:ascii="Times New Roman"/>
                            <w:sz w:val="14"/>
                          </w:rPr>
                        </w:pPr>
                        <w:r>
                          <w:rPr>
                            <w:rFonts w:ascii="Times New Roman"/>
                            <w:w w:val="105"/>
                            <w:sz w:val="14"/>
                          </w:rPr>
                          <w:t>43,852</w:t>
                        </w:r>
                      </w:p>
                    </w:tc>
                    <w:tc>
                      <w:tcPr>
                        <w:tcW w:w="817" w:type="dxa"/>
                      </w:tcPr>
                      <w:p>
                        <w:pPr>
                          <w:pStyle w:val="TableParagraph"/>
                          <w:spacing w:before="13"/>
                          <w:ind w:right="22"/>
                          <w:jc w:val="right"/>
                          <w:rPr>
                            <w:sz w:val="14"/>
                          </w:rPr>
                        </w:pPr>
                        <w:r>
                          <w:rPr>
                            <w:w w:val="105"/>
                            <w:sz w:val="14"/>
                          </w:rPr>
                          <w:t>13.6</w:t>
                        </w:r>
                      </w:p>
                    </w:tc>
                    <w:tc>
                      <w:tcPr>
                        <w:tcW w:w="1353" w:type="dxa"/>
                      </w:tcPr>
                      <w:p>
                        <w:pPr>
                          <w:pStyle w:val="TableParagraph"/>
                          <w:spacing w:before="9"/>
                          <w:ind w:right="20"/>
                          <w:jc w:val="right"/>
                          <w:rPr>
                            <w:rFonts w:ascii="Times New Roman"/>
                            <w:sz w:val="14"/>
                          </w:rPr>
                        </w:pPr>
                        <w:r>
                          <w:rPr>
                            <w:rFonts w:ascii="Times New Roman"/>
                            <w:w w:val="105"/>
                            <w:sz w:val="14"/>
                          </w:rPr>
                          <w:t>214,162</w:t>
                        </w:r>
                      </w:p>
                    </w:tc>
                    <w:tc>
                      <w:tcPr>
                        <w:tcW w:w="766" w:type="dxa"/>
                      </w:tcPr>
                      <w:p>
                        <w:pPr>
                          <w:pStyle w:val="TableParagraph"/>
                          <w:spacing w:before="9"/>
                          <w:ind w:right="20"/>
                          <w:jc w:val="right"/>
                          <w:rPr>
                            <w:rFonts w:ascii="Times New Roman"/>
                            <w:sz w:val="14"/>
                          </w:rPr>
                        </w:pPr>
                        <w:r>
                          <w:rPr>
                            <w:rFonts w:ascii="Times New Roman"/>
                            <w:w w:val="105"/>
                            <w:sz w:val="14"/>
                          </w:rPr>
                          <w:t>54,915</w:t>
                        </w:r>
                      </w:p>
                    </w:tc>
                    <w:tc>
                      <w:tcPr>
                        <w:tcW w:w="881" w:type="dxa"/>
                      </w:tcPr>
                      <w:p>
                        <w:pPr>
                          <w:pStyle w:val="TableParagraph"/>
                          <w:spacing w:before="13"/>
                          <w:ind w:right="22"/>
                          <w:jc w:val="right"/>
                          <w:rPr>
                            <w:sz w:val="14"/>
                          </w:rPr>
                        </w:pPr>
                        <w:r>
                          <w:rPr>
                            <w:w w:val="105"/>
                            <w:sz w:val="14"/>
                          </w:rPr>
                          <w:t>12.1</w:t>
                        </w:r>
                      </w:p>
                    </w:tc>
                  </w:tr>
                  <w:tr>
                    <w:trPr>
                      <w:trHeight w:val="201" w:hRule="exact"/>
                    </w:trPr>
                    <w:tc>
                      <w:tcPr>
                        <w:tcW w:w="1353" w:type="dxa"/>
                      </w:tcPr>
                      <w:p>
                        <w:pPr>
                          <w:pStyle w:val="TableParagraph"/>
                          <w:spacing w:line="181" w:lineRule="exact"/>
                          <w:ind w:left="541" w:right="532"/>
                          <w:jc w:val="center"/>
                          <w:rPr>
                            <w:rFonts w:ascii="Times New Roman"/>
                            <w:sz w:val="16"/>
                          </w:rPr>
                        </w:pPr>
                        <w:r>
                          <w:rPr>
                            <w:rFonts w:ascii="Times New Roman"/>
                            <w:sz w:val="16"/>
                          </w:rPr>
                          <w:t>055</w:t>
                        </w:r>
                      </w:p>
                    </w:tc>
                    <w:tc>
                      <w:tcPr>
                        <w:tcW w:w="1532" w:type="dxa"/>
                      </w:tcPr>
                      <w:p>
                        <w:pPr>
                          <w:pStyle w:val="TableParagraph"/>
                          <w:spacing w:line="181" w:lineRule="exact"/>
                          <w:ind w:left="28"/>
                          <w:rPr>
                            <w:rFonts w:ascii="Times New Roman"/>
                            <w:sz w:val="16"/>
                          </w:rPr>
                        </w:pPr>
                        <w:r>
                          <w:rPr>
                            <w:rFonts w:ascii="Times New Roman"/>
                            <w:sz w:val="16"/>
                          </w:rPr>
                          <w:t>Mexicaltzingo</w:t>
                        </w:r>
                      </w:p>
                    </w:tc>
                    <w:tc>
                      <w:tcPr>
                        <w:tcW w:w="1353" w:type="dxa"/>
                      </w:tcPr>
                      <w:p>
                        <w:pPr>
                          <w:pStyle w:val="TableParagraph"/>
                          <w:spacing w:before="16"/>
                          <w:ind w:right="23"/>
                          <w:jc w:val="right"/>
                          <w:rPr>
                            <w:rFonts w:ascii="Times New Roman"/>
                            <w:sz w:val="14"/>
                          </w:rPr>
                        </w:pPr>
                        <w:r>
                          <w:rPr>
                            <w:rFonts w:ascii="Times New Roman"/>
                            <w:w w:val="105"/>
                            <w:sz w:val="14"/>
                          </w:rPr>
                          <w:t>9,225</w:t>
                        </w:r>
                      </w:p>
                    </w:tc>
                    <w:tc>
                      <w:tcPr>
                        <w:tcW w:w="766" w:type="dxa"/>
                      </w:tcPr>
                      <w:p>
                        <w:pPr>
                          <w:pStyle w:val="TableParagraph"/>
                          <w:spacing w:before="16"/>
                          <w:ind w:right="23"/>
                          <w:jc w:val="right"/>
                          <w:rPr>
                            <w:rFonts w:ascii="Times New Roman"/>
                            <w:sz w:val="14"/>
                          </w:rPr>
                        </w:pPr>
                        <w:r>
                          <w:rPr>
                            <w:rFonts w:ascii="Times New Roman"/>
                            <w:w w:val="105"/>
                            <w:sz w:val="14"/>
                          </w:rPr>
                          <w:t>1,727</w:t>
                        </w:r>
                      </w:p>
                    </w:tc>
                    <w:tc>
                      <w:tcPr>
                        <w:tcW w:w="817" w:type="dxa"/>
                      </w:tcPr>
                      <w:p>
                        <w:pPr>
                          <w:pStyle w:val="TableParagraph"/>
                          <w:spacing w:before="13"/>
                          <w:ind w:right="22"/>
                          <w:jc w:val="right"/>
                          <w:rPr>
                            <w:sz w:val="14"/>
                          </w:rPr>
                        </w:pPr>
                        <w:r>
                          <w:rPr>
                            <w:sz w:val="14"/>
                          </w:rPr>
                          <w:t>0.5</w:t>
                        </w:r>
                      </w:p>
                    </w:tc>
                    <w:tc>
                      <w:tcPr>
                        <w:tcW w:w="1353" w:type="dxa"/>
                      </w:tcPr>
                      <w:p>
                        <w:pPr>
                          <w:pStyle w:val="TableParagraph"/>
                          <w:spacing w:before="9"/>
                          <w:ind w:right="20"/>
                          <w:jc w:val="right"/>
                          <w:rPr>
                            <w:rFonts w:ascii="Times New Roman"/>
                            <w:sz w:val="14"/>
                          </w:rPr>
                        </w:pPr>
                        <w:r>
                          <w:rPr>
                            <w:rFonts w:ascii="Times New Roman"/>
                            <w:w w:val="105"/>
                            <w:sz w:val="14"/>
                          </w:rPr>
                          <w:t>11,712</w:t>
                        </w:r>
                      </w:p>
                    </w:tc>
                    <w:tc>
                      <w:tcPr>
                        <w:tcW w:w="766" w:type="dxa"/>
                      </w:tcPr>
                      <w:p>
                        <w:pPr>
                          <w:pStyle w:val="TableParagraph"/>
                          <w:spacing w:before="9"/>
                          <w:ind w:right="20"/>
                          <w:jc w:val="right"/>
                          <w:rPr>
                            <w:rFonts w:ascii="Times New Roman"/>
                            <w:sz w:val="14"/>
                          </w:rPr>
                        </w:pPr>
                        <w:r>
                          <w:rPr>
                            <w:rFonts w:ascii="Times New Roman"/>
                            <w:w w:val="105"/>
                            <w:sz w:val="14"/>
                          </w:rPr>
                          <w:t>2,623</w:t>
                        </w:r>
                      </w:p>
                    </w:tc>
                    <w:tc>
                      <w:tcPr>
                        <w:tcW w:w="881" w:type="dxa"/>
                      </w:tcPr>
                      <w:p>
                        <w:pPr>
                          <w:pStyle w:val="TableParagraph"/>
                          <w:spacing w:before="13"/>
                          <w:ind w:right="22"/>
                          <w:jc w:val="right"/>
                          <w:rPr>
                            <w:sz w:val="14"/>
                          </w:rPr>
                        </w:pPr>
                        <w:r>
                          <w:rPr>
                            <w:sz w:val="14"/>
                          </w:rPr>
                          <w:t>0.6</w:t>
                        </w:r>
                      </w:p>
                    </w:tc>
                  </w:tr>
                  <w:tr>
                    <w:trPr>
                      <w:trHeight w:val="201" w:hRule="exact"/>
                    </w:trPr>
                    <w:tc>
                      <w:tcPr>
                        <w:tcW w:w="1353" w:type="dxa"/>
                      </w:tcPr>
                      <w:p>
                        <w:pPr>
                          <w:pStyle w:val="TableParagraph"/>
                          <w:spacing w:line="181" w:lineRule="exact"/>
                          <w:ind w:left="541" w:right="532"/>
                          <w:jc w:val="center"/>
                          <w:rPr>
                            <w:rFonts w:ascii="Times New Roman"/>
                            <w:sz w:val="16"/>
                          </w:rPr>
                        </w:pPr>
                        <w:r>
                          <w:rPr>
                            <w:rFonts w:ascii="Times New Roman"/>
                            <w:sz w:val="16"/>
                          </w:rPr>
                          <w:t>062</w:t>
                        </w:r>
                      </w:p>
                    </w:tc>
                    <w:tc>
                      <w:tcPr>
                        <w:tcW w:w="1532" w:type="dxa"/>
                      </w:tcPr>
                      <w:p>
                        <w:pPr>
                          <w:pStyle w:val="TableParagraph"/>
                          <w:spacing w:line="181" w:lineRule="exact"/>
                          <w:ind w:left="28"/>
                          <w:rPr>
                            <w:rFonts w:ascii="Times New Roman"/>
                            <w:sz w:val="16"/>
                          </w:rPr>
                        </w:pPr>
                        <w:r>
                          <w:rPr>
                            <w:rFonts w:ascii="Times New Roman"/>
                            <w:sz w:val="16"/>
                          </w:rPr>
                          <w:t>Ocoyoacac</w:t>
                        </w:r>
                      </w:p>
                    </w:tc>
                    <w:tc>
                      <w:tcPr>
                        <w:tcW w:w="1353" w:type="dxa"/>
                      </w:tcPr>
                      <w:p>
                        <w:pPr>
                          <w:pStyle w:val="TableParagraph"/>
                          <w:spacing w:before="16"/>
                          <w:ind w:right="23"/>
                          <w:jc w:val="right"/>
                          <w:rPr>
                            <w:rFonts w:ascii="Times New Roman"/>
                            <w:sz w:val="14"/>
                          </w:rPr>
                        </w:pPr>
                        <w:r>
                          <w:rPr>
                            <w:rFonts w:ascii="Times New Roman"/>
                            <w:w w:val="105"/>
                            <w:sz w:val="14"/>
                          </w:rPr>
                          <w:t>49,643</w:t>
                        </w:r>
                      </w:p>
                    </w:tc>
                    <w:tc>
                      <w:tcPr>
                        <w:tcW w:w="766" w:type="dxa"/>
                      </w:tcPr>
                      <w:p>
                        <w:pPr>
                          <w:pStyle w:val="TableParagraph"/>
                          <w:spacing w:before="16"/>
                          <w:ind w:right="23"/>
                          <w:jc w:val="right"/>
                          <w:rPr>
                            <w:rFonts w:ascii="Times New Roman"/>
                            <w:sz w:val="14"/>
                          </w:rPr>
                        </w:pPr>
                        <w:r>
                          <w:rPr>
                            <w:rFonts w:ascii="Times New Roman"/>
                            <w:w w:val="105"/>
                            <w:sz w:val="14"/>
                          </w:rPr>
                          <w:t>10,099</w:t>
                        </w:r>
                      </w:p>
                    </w:tc>
                    <w:tc>
                      <w:tcPr>
                        <w:tcW w:w="817" w:type="dxa"/>
                      </w:tcPr>
                      <w:p>
                        <w:pPr>
                          <w:pStyle w:val="TableParagraph"/>
                          <w:spacing w:before="13"/>
                          <w:ind w:right="22"/>
                          <w:jc w:val="right"/>
                          <w:rPr>
                            <w:sz w:val="14"/>
                          </w:rPr>
                        </w:pPr>
                        <w:r>
                          <w:rPr>
                            <w:sz w:val="14"/>
                          </w:rPr>
                          <w:t>3.1</w:t>
                        </w:r>
                      </w:p>
                    </w:tc>
                    <w:tc>
                      <w:tcPr>
                        <w:tcW w:w="1353" w:type="dxa"/>
                      </w:tcPr>
                      <w:p>
                        <w:pPr>
                          <w:pStyle w:val="TableParagraph"/>
                          <w:spacing w:before="9"/>
                          <w:ind w:right="20"/>
                          <w:jc w:val="right"/>
                          <w:rPr>
                            <w:rFonts w:ascii="Times New Roman"/>
                            <w:sz w:val="14"/>
                          </w:rPr>
                        </w:pPr>
                        <w:r>
                          <w:rPr>
                            <w:rFonts w:ascii="Times New Roman"/>
                            <w:w w:val="105"/>
                            <w:sz w:val="14"/>
                          </w:rPr>
                          <w:t>61,805</w:t>
                        </w:r>
                      </w:p>
                    </w:tc>
                    <w:tc>
                      <w:tcPr>
                        <w:tcW w:w="766" w:type="dxa"/>
                      </w:tcPr>
                      <w:p>
                        <w:pPr>
                          <w:pStyle w:val="TableParagraph"/>
                          <w:spacing w:before="9"/>
                          <w:ind w:right="20"/>
                          <w:jc w:val="right"/>
                          <w:rPr>
                            <w:rFonts w:ascii="Times New Roman"/>
                            <w:sz w:val="14"/>
                          </w:rPr>
                        </w:pPr>
                        <w:r>
                          <w:rPr>
                            <w:rFonts w:ascii="Times New Roman"/>
                            <w:w w:val="105"/>
                            <w:sz w:val="14"/>
                          </w:rPr>
                          <w:t>13,926</w:t>
                        </w:r>
                      </w:p>
                    </w:tc>
                    <w:tc>
                      <w:tcPr>
                        <w:tcW w:w="881" w:type="dxa"/>
                      </w:tcPr>
                      <w:p>
                        <w:pPr>
                          <w:pStyle w:val="TableParagraph"/>
                          <w:spacing w:before="13"/>
                          <w:ind w:right="22"/>
                          <w:jc w:val="right"/>
                          <w:rPr>
                            <w:sz w:val="14"/>
                          </w:rPr>
                        </w:pPr>
                        <w:r>
                          <w:rPr>
                            <w:w w:val="105"/>
                            <w:sz w:val="14"/>
                          </w:rPr>
                          <w:t>3.1</w:t>
                        </w:r>
                      </w:p>
                    </w:tc>
                  </w:tr>
                  <w:tr>
                    <w:trPr>
                      <w:trHeight w:val="201" w:hRule="exact"/>
                    </w:trPr>
                    <w:tc>
                      <w:tcPr>
                        <w:tcW w:w="1353" w:type="dxa"/>
                      </w:tcPr>
                      <w:p>
                        <w:pPr>
                          <w:pStyle w:val="TableParagraph"/>
                          <w:spacing w:line="181" w:lineRule="exact"/>
                          <w:ind w:left="541" w:right="532"/>
                          <w:jc w:val="center"/>
                          <w:rPr>
                            <w:rFonts w:ascii="Times New Roman"/>
                            <w:sz w:val="16"/>
                          </w:rPr>
                        </w:pPr>
                        <w:r>
                          <w:rPr>
                            <w:rFonts w:ascii="Times New Roman"/>
                            <w:sz w:val="16"/>
                          </w:rPr>
                          <w:t>067</w:t>
                        </w:r>
                      </w:p>
                    </w:tc>
                    <w:tc>
                      <w:tcPr>
                        <w:tcW w:w="1532" w:type="dxa"/>
                      </w:tcPr>
                      <w:p>
                        <w:pPr>
                          <w:pStyle w:val="TableParagraph"/>
                          <w:spacing w:line="181" w:lineRule="exact"/>
                          <w:ind w:left="28"/>
                          <w:rPr>
                            <w:rFonts w:ascii="Times New Roman"/>
                            <w:sz w:val="16"/>
                          </w:rPr>
                        </w:pPr>
                        <w:r>
                          <w:rPr>
                            <w:rFonts w:ascii="Times New Roman"/>
                            <w:sz w:val="16"/>
                          </w:rPr>
                          <w:t>Otzolotepec</w:t>
                        </w:r>
                      </w:p>
                    </w:tc>
                    <w:tc>
                      <w:tcPr>
                        <w:tcW w:w="1353" w:type="dxa"/>
                      </w:tcPr>
                      <w:p>
                        <w:pPr>
                          <w:pStyle w:val="TableParagraph"/>
                          <w:spacing w:before="16"/>
                          <w:ind w:right="23"/>
                          <w:jc w:val="right"/>
                          <w:rPr>
                            <w:rFonts w:ascii="Times New Roman"/>
                            <w:sz w:val="14"/>
                          </w:rPr>
                        </w:pPr>
                        <w:r>
                          <w:rPr>
                            <w:rFonts w:ascii="Times New Roman"/>
                            <w:w w:val="105"/>
                            <w:sz w:val="14"/>
                          </w:rPr>
                          <w:t>57,583</w:t>
                        </w:r>
                      </w:p>
                    </w:tc>
                    <w:tc>
                      <w:tcPr>
                        <w:tcW w:w="766" w:type="dxa"/>
                      </w:tcPr>
                      <w:p>
                        <w:pPr>
                          <w:pStyle w:val="TableParagraph"/>
                          <w:spacing w:before="16"/>
                          <w:ind w:right="23"/>
                          <w:jc w:val="right"/>
                          <w:rPr>
                            <w:rFonts w:ascii="Times New Roman"/>
                            <w:sz w:val="14"/>
                          </w:rPr>
                        </w:pPr>
                        <w:r>
                          <w:rPr>
                            <w:rFonts w:ascii="Times New Roman"/>
                            <w:w w:val="105"/>
                            <w:sz w:val="14"/>
                          </w:rPr>
                          <w:t>10,713</w:t>
                        </w:r>
                      </w:p>
                    </w:tc>
                    <w:tc>
                      <w:tcPr>
                        <w:tcW w:w="817" w:type="dxa"/>
                      </w:tcPr>
                      <w:p>
                        <w:pPr>
                          <w:pStyle w:val="TableParagraph"/>
                          <w:spacing w:before="13"/>
                          <w:ind w:right="22"/>
                          <w:jc w:val="right"/>
                          <w:rPr>
                            <w:sz w:val="14"/>
                          </w:rPr>
                        </w:pPr>
                        <w:r>
                          <w:rPr>
                            <w:sz w:val="14"/>
                          </w:rPr>
                          <w:t>3.3</w:t>
                        </w:r>
                      </w:p>
                    </w:tc>
                    <w:tc>
                      <w:tcPr>
                        <w:tcW w:w="1353" w:type="dxa"/>
                      </w:tcPr>
                      <w:p>
                        <w:pPr>
                          <w:pStyle w:val="TableParagraph"/>
                          <w:spacing w:before="9"/>
                          <w:ind w:right="20"/>
                          <w:jc w:val="right"/>
                          <w:rPr>
                            <w:rFonts w:ascii="Times New Roman"/>
                            <w:sz w:val="14"/>
                          </w:rPr>
                        </w:pPr>
                        <w:r>
                          <w:rPr>
                            <w:rFonts w:ascii="Times New Roman"/>
                            <w:w w:val="105"/>
                            <w:sz w:val="14"/>
                          </w:rPr>
                          <w:t>78,146</w:t>
                        </w:r>
                      </w:p>
                    </w:tc>
                    <w:tc>
                      <w:tcPr>
                        <w:tcW w:w="766" w:type="dxa"/>
                      </w:tcPr>
                      <w:p>
                        <w:pPr>
                          <w:pStyle w:val="TableParagraph"/>
                          <w:spacing w:before="9"/>
                          <w:ind w:right="20"/>
                          <w:jc w:val="right"/>
                          <w:rPr>
                            <w:rFonts w:ascii="Times New Roman"/>
                            <w:sz w:val="14"/>
                          </w:rPr>
                        </w:pPr>
                        <w:r>
                          <w:rPr>
                            <w:rFonts w:ascii="Times New Roman"/>
                            <w:w w:val="105"/>
                            <w:sz w:val="14"/>
                          </w:rPr>
                          <w:t>16,076</w:t>
                        </w:r>
                      </w:p>
                    </w:tc>
                    <w:tc>
                      <w:tcPr>
                        <w:tcW w:w="881" w:type="dxa"/>
                      </w:tcPr>
                      <w:p>
                        <w:pPr>
                          <w:pStyle w:val="TableParagraph"/>
                          <w:spacing w:before="13"/>
                          <w:ind w:right="22"/>
                          <w:jc w:val="right"/>
                          <w:rPr>
                            <w:sz w:val="14"/>
                          </w:rPr>
                        </w:pPr>
                        <w:r>
                          <w:rPr>
                            <w:sz w:val="14"/>
                          </w:rPr>
                          <w:t>3.5</w:t>
                        </w:r>
                      </w:p>
                    </w:tc>
                  </w:tr>
                  <w:tr>
                    <w:trPr>
                      <w:trHeight w:val="201" w:hRule="exact"/>
                    </w:trPr>
                    <w:tc>
                      <w:tcPr>
                        <w:tcW w:w="1353" w:type="dxa"/>
                      </w:tcPr>
                      <w:p>
                        <w:pPr>
                          <w:pStyle w:val="TableParagraph"/>
                          <w:spacing w:line="181" w:lineRule="exact"/>
                          <w:ind w:left="541" w:right="532"/>
                          <w:jc w:val="center"/>
                          <w:rPr>
                            <w:rFonts w:ascii="Times New Roman"/>
                            <w:sz w:val="16"/>
                          </w:rPr>
                        </w:pPr>
                        <w:r>
                          <w:rPr>
                            <w:rFonts w:ascii="Times New Roman"/>
                            <w:sz w:val="16"/>
                          </w:rPr>
                          <w:t>072</w:t>
                        </w:r>
                      </w:p>
                    </w:tc>
                    <w:tc>
                      <w:tcPr>
                        <w:tcW w:w="1532" w:type="dxa"/>
                      </w:tcPr>
                      <w:p>
                        <w:pPr>
                          <w:pStyle w:val="TableParagraph"/>
                          <w:spacing w:line="181" w:lineRule="exact"/>
                          <w:ind w:left="28"/>
                          <w:rPr>
                            <w:rFonts w:ascii="Times New Roman" w:hAnsi="Times New Roman"/>
                            <w:sz w:val="16"/>
                          </w:rPr>
                        </w:pPr>
                        <w:r>
                          <w:rPr>
                            <w:rFonts w:ascii="Times New Roman" w:hAnsi="Times New Roman"/>
                            <w:sz w:val="16"/>
                          </w:rPr>
                          <w:t>Rayón</w:t>
                        </w:r>
                      </w:p>
                    </w:tc>
                    <w:tc>
                      <w:tcPr>
                        <w:tcW w:w="1353" w:type="dxa"/>
                      </w:tcPr>
                      <w:p>
                        <w:pPr>
                          <w:pStyle w:val="TableParagraph"/>
                          <w:spacing w:before="16"/>
                          <w:ind w:right="23"/>
                          <w:jc w:val="right"/>
                          <w:rPr>
                            <w:rFonts w:ascii="Times New Roman"/>
                            <w:sz w:val="14"/>
                          </w:rPr>
                        </w:pPr>
                        <w:r>
                          <w:rPr>
                            <w:rFonts w:ascii="Times New Roman"/>
                            <w:w w:val="105"/>
                            <w:sz w:val="14"/>
                          </w:rPr>
                          <w:t>9,024</w:t>
                        </w:r>
                      </w:p>
                    </w:tc>
                    <w:tc>
                      <w:tcPr>
                        <w:tcW w:w="766" w:type="dxa"/>
                      </w:tcPr>
                      <w:p>
                        <w:pPr>
                          <w:pStyle w:val="TableParagraph"/>
                          <w:spacing w:before="16"/>
                          <w:ind w:right="23"/>
                          <w:jc w:val="right"/>
                          <w:rPr>
                            <w:rFonts w:ascii="Times New Roman"/>
                            <w:sz w:val="14"/>
                          </w:rPr>
                        </w:pPr>
                        <w:r>
                          <w:rPr>
                            <w:rFonts w:ascii="Times New Roman"/>
                            <w:w w:val="105"/>
                            <w:sz w:val="14"/>
                          </w:rPr>
                          <w:t>1,683</w:t>
                        </w:r>
                      </w:p>
                    </w:tc>
                    <w:tc>
                      <w:tcPr>
                        <w:tcW w:w="817" w:type="dxa"/>
                      </w:tcPr>
                      <w:p>
                        <w:pPr>
                          <w:pStyle w:val="TableParagraph"/>
                          <w:spacing w:before="13"/>
                          <w:ind w:right="22"/>
                          <w:jc w:val="right"/>
                          <w:rPr>
                            <w:sz w:val="14"/>
                          </w:rPr>
                        </w:pPr>
                        <w:r>
                          <w:rPr>
                            <w:sz w:val="14"/>
                          </w:rPr>
                          <w:t>0.5</w:t>
                        </w:r>
                      </w:p>
                    </w:tc>
                    <w:tc>
                      <w:tcPr>
                        <w:tcW w:w="1353" w:type="dxa"/>
                      </w:tcPr>
                      <w:p>
                        <w:pPr>
                          <w:pStyle w:val="TableParagraph"/>
                          <w:spacing w:before="9"/>
                          <w:ind w:right="20"/>
                          <w:jc w:val="right"/>
                          <w:rPr>
                            <w:rFonts w:ascii="Times New Roman"/>
                            <w:sz w:val="14"/>
                          </w:rPr>
                        </w:pPr>
                        <w:r>
                          <w:rPr>
                            <w:rFonts w:ascii="Times New Roman"/>
                            <w:w w:val="105"/>
                            <w:sz w:val="14"/>
                          </w:rPr>
                          <w:t>12,748</w:t>
                        </w:r>
                      </w:p>
                    </w:tc>
                    <w:tc>
                      <w:tcPr>
                        <w:tcW w:w="766" w:type="dxa"/>
                      </w:tcPr>
                      <w:p>
                        <w:pPr>
                          <w:pStyle w:val="TableParagraph"/>
                          <w:spacing w:before="9"/>
                          <w:ind w:right="20"/>
                          <w:jc w:val="right"/>
                          <w:rPr>
                            <w:rFonts w:ascii="Times New Roman"/>
                            <w:sz w:val="14"/>
                          </w:rPr>
                        </w:pPr>
                        <w:r>
                          <w:rPr>
                            <w:rFonts w:ascii="Times New Roman"/>
                            <w:w w:val="105"/>
                            <w:sz w:val="14"/>
                          </w:rPr>
                          <w:t>2,834</w:t>
                        </w:r>
                      </w:p>
                    </w:tc>
                    <w:tc>
                      <w:tcPr>
                        <w:tcW w:w="881" w:type="dxa"/>
                      </w:tcPr>
                      <w:p>
                        <w:pPr>
                          <w:pStyle w:val="TableParagraph"/>
                          <w:spacing w:before="13"/>
                          <w:ind w:right="22"/>
                          <w:jc w:val="right"/>
                          <w:rPr>
                            <w:sz w:val="14"/>
                          </w:rPr>
                        </w:pPr>
                        <w:r>
                          <w:rPr>
                            <w:sz w:val="14"/>
                          </w:rPr>
                          <w:t>0.6</w:t>
                        </w:r>
                      </w:p>
                    </w:tc>
                  </w:tr>
                  <w:tr>
                    <w:trPr>
                      <w:trHeight w:val="201" w:hRule="exact"/>
                    </w:trPr>
                    <w:tc>
                      <w:tcPr>
                        <w:tcW w:w="1353" w:type="dxa"/>
                      </w:tcPr>
                      <w:p>
                        <w:pPr>
                          <w:pStyle w:val="TableParagraph"/>
                          <w:spacing w:line="181" w:lineRule="exact"/>
                          <w:ind w:left="541" w:right="532"/>
                          <w:jc w:val="center"/>
                          <w:rPr>
                            <w:rFonts w:ascii="Times New Roman"/>
                            <w:sz w:val="16"/>
                          </w:rPr>
                        </w:pPr>
                        <w:r>
                          <w:rPr>
                            <w:rFonts w:ascii="Times New Roman"/>
                            <w:sz w:val="16"/>
                          </w:rPr>
                          <w:t>073</w:t>
                        </w:r>
                      </w:p>
                    </w:tc>
                    <w:tc>
                      <w:tcPr>
                        <w:tcW w:w="1532" w:type="dxa"/>
                      </w:tcPr>
                      <w:p>
                        <w:pPr>
                          <w:pStyle w:val="TableParagraph"/>
                          <w:spacing w:line="181" w:lineRule="exact"/>
                          <w:ind w:left="28"/>
                          <w:rPr>
                            <w:rFonts w:ascii="Times New Roman"/>
                            <w:sz w:val="16"/>
                          </w:rPr>
                        </w:pPr>
                        <w:r>
                          <w:rPr>
                            <w:rFonts w:ascii="Times New Roman"/>
                            <w:sz w:val="16"/>
                          </w:rPr>
                          <w:t>San Antonio la Isla</w:t>
                        </w:r>
                      </w:p>
                    </w:tc>
                    <w:tc>
                      <w:tcPr>
                        <w:tcW w:w="1353" w:type="dxa"/>
                      </w:tcPr>
                      <w:p>
                        <w:pPr>
                          <w:pStyle w:val="TableParagraph"/>
                          <w:spacing w:before="16"/>
                          <w:ind w:right="23"/>
                          <w:jc w:val="right"/>
                          <w:rPr>
                            <w:rFonts w:ascii="Times New Roman"/>
                            <w:sz w:val="14"/>
                          </w:rPr>
                        </w:pPr>
                        <w:r>
                          <w:rPr>
                            <w:rFonts w:ascii="Times New Roman"/>
                            <w:w w:val="105"/>
                            <w:sz w:val="14"/>
                          </w:rPr>
                          <w:t>10,321</w:t>
                        </w:r>
                      </w:p>
                    </w:tc>
                    <w:tc>
                      <w:tcPr>
                        <w:tcW w:w="766" w:type="dxa"/>
                      </w:tcPr>
                      <w:p>
                        <w:pPr>
                          <w:pStyle w:val="TableParagraph"/>
                          <w:spacing w:before="16"/>
                          <w:ind w:right="23"/>
                          <w:jc w:val="right"/>
                          <w:rPr>
                            <w:rFonts w:ascii="Times New Roman"/>
                            <w:sz w:val="14"/>
                          </w:rPr>
                        </w:pPr>
                        <w:r>
                          <w:rPr>
                            <w:rFonts w:ascii="Times New Roman"/>
                            <w:w w:val="105"/>
                            <w:sz w:val="14"/>
                          </w:rPr>
                          <w:t>1,806</w:t>
                        </w:r>
                      </w:p>
                    </w:tc>
                    <w:tc>
                      <w:tcPr>
                        <w:tcW w:w="817" w:type="dxa"/>
                      </w:tcPr>
                      <w:p>
                        <w:pPr>
                          <w:pStyle w:val="TableParagraph"/>
                          <w:spacing w:before="13"/>
                          <w:ind w:right="22"/>
                          <w:jc w:val="right"/>
                          <w:rPr>
                            <w:sz w:val="14"/>
                          </w:rPr>
                        </w:pPr>
                        <w:r>
                          <w:rPr>
                            <w:sz w:val="14"/>
                          </w:rPr>
                          <w:t>0.6</w:t>
                        </w:r>
                      </w:p>
                    </w:tc>
                    <w:tc>
                      <w:tcPr>
                        <w:tcW w:w="1353" w:type="dxa"/>
                      </w:tcPr>
                      <w:p>
                        <w:pPr>
                          <w:pStyle w:val="TableParagraph"/>
                          <w:spacing w:before="9"/>
                          <w:ind w:right="20"/>
                          <w:jc w:val="right"/>
                          <w:rPr>
                            <w:rFonts w:ascii="Times New Roman"/>
                            <w:sz w:val="14"/>
                          </w:rPr>
                        </w:pPr>
                        <w:r>
                          <w:rPr>
                            <w:rFonts w:ascii="Times New Roman"/>
                            <w:w w:val="105"/>
                            <w:sz w:val="14"/>
                          </w:rPr>
                          <w:t>22,152</w:t>
                        </w:r>
                      </w:p>
                    </w:tc>
                    <w:tc>
                      <w:tcPr>
                        <w:tcW w:w="766" w:type="dxa"/>
                      </w:tcPr>
                      <w:p>
                        <w:pPr>
                          <w:pStyle w:val="TableParagraph"/>
                          <w:spacing w:before="9"/>
                          <w:ind w:right="20"/>
                          <w:jc w:val="right"/>
                          <w:rPr>
                            <w:rFonts w:ascii="Times New Roman"/>
                            <w:sz w:val="14"/>
                          </w:rPr>
                        </w:pPr>
                        <w:r>
                          <w:rPr>
                            <w:rFonts w:ascii="Times New Roman"/>
                            <w:w w:val="105"/>
                            <w:sz w:val="14"/>
                          </w:rPr>
                          <w:t>5,551</w:t>
                        </w:r>
                      </w:p>
                    </w:tc>
                    <w:tc>
                      <w:tcPr>
                        <w:tcW w:w="881" w:type="dxa"/>
                      </w:tcPr>
                      <w:p>
                        <w:pPr>
                          <w:pStyle w:val="TableParagraph"/>
                          <w:spacing w:before="13"/>
                          <w:ind w:right="22"/>
                          <w:jc w:val="right"/>
                          <w:rPr>
                            <w:sz w:val="14"/>
                          </w:rPr>
                        </w:pPr>
                        <w:r>
                          <w:rPr>
                            <w:w w:val="105"/>
                            <w:sz w:val="14"/>
                          </w:rPr>
                          <w:t>1.2</w:t>
                        </w:r>
                      </w:p>
                    </w:tc>
                  </w:tr>
                  <w:tr>
                    <w:trPr>
                      <w:trHeight w:val="201" w:hRule="exact"/>
                    </w:trPr>
                    <w:tc>
                      <w:tcPr>
                        <w:tcW w:w="1353" w:type="dxa"/>
                      </w:tcPr>
                      <w:p>
                        <w:pPr>
                          <w:pStyle w:val="TableParagraph"/>
                          <w:spacing w:line="181" w:lineRule="exact"/>
                          <w:ind w:left="541" w:right="532"/>
                          <w:jc w:val="center"/>
                          <w:rPr>
                            <w:rFonts w:ascii="Times New Roman"/>
                            <w:sz w:val="16"/>
                          </w:rPr>
                        </w:pPr>
                        <w:r>
                          <w:rPr>
                            <w:rFonts w:ascii="Times New Roman"/>
                            <w:sz w:val="16"/>
                          </w:rPr>
                          <w:t>076</w:t>
                        </w:r>
                      </w:p>
                    </w:tc>
                    <w:tc>
                      <w:tcPr>
                        <w:tcW w:w="1532" w:type="dxa"/>
                      </w:tcPr>
                      <w:p>
                        <w:pPr>
                          <w:pStyle w:val="TableParagraph"/>
                          <w:spacing w:line="181" w:lineRule="exact"/>
                          <w:ind w:left="28"/>
                          <w:rPr>
                            <w:rFonts w:ascii="Times New Roman"/>
                            <w:sz w:val="16"/>
                          </w:rPr>
                        </w:pPr>
                        <w:r>
                          <w:rPr>
                            <w:rFonts w:ascii="Times New Roman"/>
                            <w:sz w:val="16"/>
                          </w:rPr>
                          <w:t>San Mateo Atenco</w:t>
                        </w:r>
                      </w:p>
                    </w:tc>
                    <w:tc>
                      <w:tcPr>
                        <w:tcW w:w="1353" w:type="dxa"/>
                      </w:tcPr>
                      <w:p>
                        <w:pPr>
                          <w:pStyle w:val="TableParagraph"/>
                          <w:spacing w:before="16"/>
                          <w:ind w:right="23"/>
                          <w:jc w:val="right"/>
                          <w:rPr>
                            <w:rFonts w:ascii="Times New Roman"/>
                            <w:sz w:val="14"/>
                          </w:rPr>
                        </w:pPr>
                        <w:r>
                          <w:rPr>
                            <w:rFonts w:ascii="Times New Roman"/>
                            <w:w w:val="105"/>
                            <w:sz w:val="14"/>
                          </w:rPr>
                          <w:t>59,647</w:t>
                        </w:r>
                      </w:p>
                    </w:tc>
                    <w:tc>
                      <w:tcPr>
                        <w:tcW w:w="766" w:type="dxa"/>
                      </w:tcPr>
                      <w:p>
                        <w:pPr>
                          <w:pStyle w:val="TableParagraph"/>
                          <w:spacing w:before="16"/>
                          <w:ind w:right="23"/>
                          <w:jc w:val="right"/>
                          <w:rPr>
                            <w:rFonts w:ascii="Times New Roman"/>
                            <w:sz w:val="14"/>
                          </w:rPr>
                        </w:pPr>
                        <w:r>
                          <w:rPr>
                            <w:rFonts w:ascii="Times New Roman"/>
                            <w:w w:val="105"/>
                            <w:sz w:val="14"/>
                          </w:rPr>
                          <w:t>11,983</w:t>
                        </w:r>
                      </w:p>
                    </w:tc>
                    <w:tc>
                      <w:tcPr>
                        <w:tcW w:w="817" w:type="dxa"/>
                      </w:tcPr>
                      <w:p>
                        <w:pPr>
                          <w:pStyle w:val="TableParagraph"/>
                          <w:spacing w:before="13"/>
                          <w:ind w:right="22"/>
                          <w:jc w:val="right"/>
                          <w:rPr>
                            <w:sz w:val="14"/>
                          </w:rPr>
                        </w:pPr>
                        <w:r>
                          <w:rPr>
                            <w:sz w:val="14"/>
                          </w:rPr>
                          <w:t>3.7</w:t>
                        </w:r>
                      </w:p>
                    </w:tc>
                    <w:tc>
                      <w:tcPr>
                        <w:tcW w:w="1353" w:type="dxa"/>
                      </w:tcPr>
                      <w:p>
                        <w:pPr>
                          <w:pStyle w:val="TableParagraph"/>
                          <w:spacing w:before="9"/>
                          <w:ind w:right="20"/>
                          <w:jc w:val="right"/>
                          <w:rPr>
                            <w:rFonts w:ascii="Times New Roman"/>
                            <w:sz w:val="14"/>
                          </w:rPr>
                        </w:pPr>
                        <w:r>
                          <w:rPr>
                            <w:rFonts w:ascii="Times New Roman"/>
                            <w:w w:val="105"/>
                            <w:sz w:val="14"/>
                          </w:rPr>
                          <w:t>72,579</w:t>
                        </w:r>
                      </w:p>
                    </w:tc>
                    <w:tc>
                      <w:tcPr>
                        <w:tcW w:w="766" w:type="dxa"/>
                      </w:tcPr>
                      <w:p>
                        <w:pPr>
                          <w:pStyle w:val="TableParagraph"/>
                          <w:spacing w:before="9"/>
                          <w:ind w:right="20"/>
                          <w:jc w:val="right"/>
                          <w:rPr>
                            <w:rFonts w:ascii="Times New Roman"/>
                            <w:sz w:val="14"/>
                          </w:rPr>
                        </w:pPr>
                        <w:r>
                          <w:rPr>
                            <w:rFonts w:ascii="Times New Roman"/>
                            <w:w w:val="105"/>
                            <w:sz w:val="14"/>
                          </w:rPr>
                          <w:t>16,119</w:t>
                        </w:r>
                      </w:p>
                    </w:tc>
                    <w:tc>
                      <w:tcPr>
                        <w:tcW w:w="881" w:type="dxa"/>
                      </w:tcPr>
                      <w:p>
                        <w:pPr>
                          <w:pStyle w:val="TableParagraph"/>
                          <w:spacing w:before="13"/>
                          <w:ind w:right="22"/>
                          <w:jc w:val="right"/>
                          <w:rPr>
                            <w:sz w:val="14"/>
                          </w:rPr>
                        </w:pPr>
                        <w:r>
                          <w:rPr>
                            <w:w w:val="105"/>
                            <w:sz w:val="14"/>
                          </w:rPr>
                          <w:t>3.5</w:t>
                        </w:r>
                      </w:p>
                    </w:tc>
                  </w:tr>
                  <w:tr>
                    <w:trPr>
                      <w:trHeight w:val="201" w:hRule="exact"/>
                    </w:trPr>
                    <w:tc>
                      <w:tcPr>
                        <w:tcW w:w="1353" w:type="dxa"/>
                      </w:tcPr>
                      <w:p>
                        <w:pPr>
                          <w:pStyle w:val="TableParagraph"/>
                          <w:spacing w:line="181" w:lineRule="exact"/>
                          <w:ind w:left="541" w:right="532"/>
                          <w:jc w:val="center"/>
                          <w:rPr>
                            <w:rFonts w:ascii="Times New Roman"/>
                            <w:sz w:val="16"/>
                          </w:rPr>
                        </w:pPr>
                        <w:r>
                          <w:rPr>
                            <w:rFonts w:ascii="Times New Roman"/>
                            <w:sz w:val="16"/>
                          </w:rPr>
                          <w:t>087</w:t>
                        </w:r>
                      </w:p>
                    </w:tc>
                    <w:tc>
                      <w:tcPr>
                        <w:tcW w:w="1532" w:type="dxa"/>
                      </w:tcPr>
                      <w:p>
                        <w:pPr>
                          <w:pStyle w:val="TableParagraph"/>
                          <w:spacing w:line="181" w:lineRule="exact"/>
                          <w:ind w:left="28"/>
                          <w:rPr>
                            <w:rFonts w:ascii="Times New Roman"/>
                            <w:sz w:val="16"/>
                          </w:rPr>
                        </w:pPr>
                        <w:r>
                          <w:rPr>
                            <w:rFonts w:ascii="Times New Roman"/>
                            <w:sz w:val="16"/>
                          </w:rPr>
                          <w:t>Temoaya</w:t>
                        </w:r>
                      </w:p>
                    </w:tc>
                    <w:tc>
                      <w:tcPr>
                        <w:tcW w:w="1353" w:type="dxa"/>
                      </w:tcPr>
                      <w:p>
                        <w:pPr>
                          <w:pStyle w:val="TableParagraph"/>
                          <w:spacing w:before="16"/>
                          <w:ind w:right="23"/>
                          <w:jc w:val="right"/>
                          <w:rPr>
                            <w:rFonts w:ascii="Times New Roman"/>
                            <w:sz w:val="14"/>
                          </w:rPr>
                        </w:pPr>
                        <w:r>
                          <w:rPr>
                            <w:rFonts w:ascii="Times New Roman"/>
                            <w:w w:val="105"/>
                            <w:sz w:val="14"/>
                          </w:rPr>
                          <w:t>69,306</w:t>
                        </w:r>
                      </w:p>
                    </w:tc>
                    <w:tc>
                      <w:tcPr>
                        <w:tcW w:w="766" w:type="dxa"/>
                      </w:tcPr>
                      <w:p>
                        <w:pPr>
                          <w:pStyle w:val="TableParagraph"/>
                          <w:spacing w:before="16"/>
                          <w:ind w:right="23"/>
                          <w:jc w:val="right"/>
                          <w:rPr>
                            <w:rFonts w:ascii="Times New Roman"/>
                            <w:sz w:val="14"/>
                          </w:rPr>
                        </w:pPr>
                        <w:r>
                          <w:rPr>
                            <w:rFonts w:ascii="Times New Roman"/>
                            <w:w w:val="105"/>
                            <w:sz w:val="14"/>
                          </w:rPr>
                          <w:t>12,384</w:t>
                        </w:r>
                      </w:p>
                    </w:tc>
                    <w:tc>
                      <w:tcPr>
                        <w:tcW w:w="817" w:type="dxa"/>
                      </w:tcPr>
                      <w:p>
                        <w:pPr>
                          <w:pStyle w:val="TableParagraph"/>
                          <w:spacing w:before="13"/>
                          <w:ind w:right="22"/>
                          <w:jc w:val="right"/>
                          <w:rPr>
                            <w:sz w:val="14"/>
                          </w:rPr>
                        </w:pPr>
                        <w:r>
                          <w:rPr>
                            <w:sz w:val="14"/>
                          </w:rPr>
                          <w:t>3.8</w:t>
                        </w:r>
                      </w:p>
                    </w:tc>
                    <w:tc>
                      <w:tcPr>
                        <w:tcW w:w="1353" w:type="dxa"/>
                      </w:tcPr>
                      <w:p>
                        <w:pPr>
                          <w:pStyle w:val="TableParagraph"/>
                          <w:spacing w:before="9"/>
                          <w:ind w:right="20"/>
                          <w:jc w:val="right"/>
                          <w:rPr>
                            <w:rFonts w:ascii="Times New Roman"/>
                            <w:sz w:val="14"/>
                          </w:rPr>
                        </w:pPr>
                        <w:r>
                          <w:rPr>
                            <w:rFonts w:ascii="Times New Roman"/>
                            <w:w w:val="105"/>
                            <w:sz w:val="14"/>
                          </w:rPr>
                          <w:t>90,010</w:t>
                        </w:r>
                      </w:p>
                    </w:tc>
                    <w:tc>
                      <w:tcPr>
                        <w:tcW w:w="766" w:type="dxa"/>
                      </w:tcPr>
                      <w:p>
                        <w:pPr>
                          <w:pStyle w:val="TableParagraph"/>
                          <w:spacing w:before="9"/>
                          <w:ind w:right="20"/>
                          <w:jc w:val="right"/>
                          <w:rPr>
                            <w:rFonts w:ascii="Times New Roman"/>
                            <w:sz w:val="14"/>
                          </w:rPr>
                        </w:pPr>
                        <w:r>
                          <w:rPr>
                            <w:rFonts w:ascii="Times New Roman"/>
                            <w:w w:val="105"/>
                            <w:sz w:val="14"/>
                          </w:rPr>
                          <w:t>17,982</w:t>
                        </w:r>
                      </w:p>
                    </w:tc>
                    <w:tc>
                      <w:tcPr>
                        <w:tcW w:w="881" w:type="dxa"/>
                      </w:tcPr>
                      <w:p>
                        <w:pPr>
                          <w:pStyle w:val="TableParagraph"/>
                          <w:spacing w:before="13"/>
                          <w:ind w:right="22"/>
                          <w:jc w:val="right"/>
                          <w:rPr>
                            <w:sz w:val="14"/>
                          </w:rPr>
                        </w:pPr>
                        <w:r>
                          <w:rPr>
                            <w:sz w:val="14"/>
                          </w:rPr>
                          <w:t>4.0</w:t>
                        </w:r>
                      </w:p>
                    </w:tc>
                  </w:tr>
                  <w:tr>
                    <w:trPr>
                      <w:trHeight w:val="202" w:hRule="exact"/>
                    </w:trPr>
                    <w:tc>
                      <w:tcPr>
                        <w:tcW w:w="1353" w:type="dxa"/>
                      </w:tcPr>
                      <w:p>
                        <w:pPr>
                          <w:pStyle w:val="TableParagraph"/>
                          <w:spacing w:line="181" w:lineRule="exact"/>
                          <w:ind w:left="541" w:right="532"/>
                          <w:jc w:val="center"/>
                          <w:rPr>
                            <w:rFonts w:ascii="Times New Roman"/>
                            <w:sz w:val="16"/>
                          </w:rPr>
                        </w:pPr>
                        <w:r>
                          <w:rPr>
                            <w:rFonts w:ascii="Times New Roman"/>
                            <w:sz w:val="16"/>
                          </w:rPr>
                          <w:t>106</w:t>
                        </w:r>
                      </w:p>
                    </w:tc>
                    <w:tc>
                      <w:tcPr>
                        <w:tcW w:w="1532" w:type="dxa"/>
                      </w:tcPr>
                      <w:p>
                        <w:pPr>
                          <w:pStyle w:val="TableParagraph"/>
                          <w:spacing w:line="181" w:lineRule="exact"/>
                          <w:ind w:left="28"/>
                          <w:rPr>
                            <w:rFonts w:ascii="Times New Roman"/>
                            <w:sz w:val="16"/>
                          </w:rPr>
                        </w:pPr>
                        <w:r>
                          <w:rPr>
                            <w:rFonts w:ascii="Times New Roman"/>
                            <w:sz w:val="16"/>
                          </w:rPr>
                          <w:t>Toluca</w:t>
                        </w:r>
                      </w:p>
                    </w:tc>
                    <w:tc>
                      <w:tcPr>
                        <w:tcW w:w="1353" w:type="dxa"/>
                      </w:tcPr>
                      <w:p>
                        <w:pPr>
                          <w:pStyle w:val="TableParagraph"/>
                          <w:spacing w:before="16"/>
                          <w:ind w:right="23"/>
                          <w:jc w:val="right"/>
                          <w:rPr>
                            <w:rFonts w:ascii="Times New Roman"/>
                            <w:sz w:val="14"/>
                          </w:rPr>
                        </w:pPr>
                        <w:r>
                          <w:rPr>
                            <w:rFonts w:ascii="Times New Roman"/>
                            <w:w w:val="105"/>
                            <w:sz w:val="14"/>
                          </w:rPr>
                          <w:t>666,596</w:t>
                        </w:r>
                      </w:p>
                    </w:tc>
                    <w:tc>
                      <w:tcPr>
                        <w:tcW w:w="766" w:type="dxa"/>
                      </w:tcPr>
                      <w:p>
                        <w:pPr>
                          <w:pStyle w:val="TableParagraph"/>
                          <w:spacing w:before="16"/>
                          <w:ind w:right="23"/>
                          <w:jc w:val="right"/>
                          <w:rPr>
                            <w:rFonts w:ascii="Times New Roman"/>
                            <w:sz w:val="14"/>
                          </w:rPr>
                        </w:pPr>
                        <w:r>
                          <w:rPr>
                            <w:rFonts w:ascii="Times New Roman"/>
                            <w:w w:val="105"/>
                            <w:sz w:val="14"/>
                          </w:rPr>
                          <w:t>145,649</w:t>
                        </w:r>
                      </w:p>
                    </w:tc>
                    <w:tc>
                      <w:tcPr>
                        <w:tcW w:w="817" w:type="dxa"/>
                      </w:tcPr>
                      <w:p>
                        <w:pPr>
                          <w:pStyle w:val="TableParagraph"/>
                          <w:spacing w:before="13"/>
                          <w:ind w:right="22"/>
                          <w:jc w:val="right"/>
                          <w:rPr>
                            <w:sz w:val="14"/>
                          </w:rPr>
                        </w:pPr>
                        <w:r>
                          <w:rPr>
                            <w:w w:val="105"/>
                            <w:sz w:val="14"/>
                          </w:rPr>
                          <w:t>45.1</w:t>
                        </w:r>
                      </w:p>
                    </w:tc>
                    <w:tc>
                      <w:tcPr>
                        <w:tcW w:w="1353" w:type="dxa"/>
                      </w:tcPr>
                      <w:p>
                        <w:pPr>
                          <w:pStyle w:val="TableParagraph"/>
                          <w:spacing w:before="9"/>
                          <w:ind w:right="20"/>
                          <w:jc w:val="right"/>
                          <w:rPr>
                            <w:rFonts w:ascii="Times New Roman"/>
                            <w:sz w:val="14"/>
                          </w:rPr>
                        </w:pPr>
                        <w:r>
                          <w:rPr>
                            <w:rFonts w:ascii="Times New Roman"/>
                            <w:w w:val="105"/>
                            <w:sz w:val="14"/>
                          </w:rPr>
                          <w:t>819,561</w:t>
                        </w:r>
                      </w:p>
                    </w:tc>
                    <w:tc>
                      <w:tcPr>
                        <w:tcW w:w="766" w:type="dxa"/>
                      </w:tcPr>
                      <w:p>
                        <w:pPr>
                          <w:pStyle w:val="TableParagraph"/>
                          <w:spacing w:before="9"/>
                          <w:ind w:right="20"/>
                          <w:jc w:val="right"/>
                          <w:rPr>
                            <w:rFonts w:ascii="Times New Roman"/>
                            <w:sz w:val="14"/>
                          </w:rPr>
                        </w:pPr>
                        <w:r>
                          <w:rPr>
                            <w:rFonts w:ascii="Times New Roman"/>
                            <w:w w:val="105"/>
                            <w:sz w:val="14"/>
                          </w:rPr>
                          <w:t>199,815</w:t>
                        </w:r>
                      </w:p>
                    </w:tc>
                    <w:tc>
                      <w:tcPr>
                        <w:tcW w:w="881" w:type="dxa"/>
                      </w:tcPr>
                      <w:p>
                        <w:pPr>
                          <w:pStyle w:val="TableParagraph"/>
                          <w:spacing w:before="13"/>
                          <w:ind w:right="22"/>
                          <w:jc w:val="right"/>
                          <w:rPr>
                            <w:sz w:val="14"/>
                          </w:rPr>
                        </w:pPr>
                        <w:r>
                          <w:rPr>
                            <w:w w:val="105"/>
                            <w:sz w:val="14"/>
                          </w:rPr>
                          <w:t>44.0</w:t>
                        </w:r>
                      </w:p>
                    </w:tc>
                  </w:tr>
                  <w:tr>
                    <w:trPr>
                      <w:trHeight w:val="201" w:hRule="exact"/>
                    </w:trPr>
                    <w:tc>
                      <w:tcPr>
                        <w:tcW w:w="1353" w:type="dxa"/>
                      </w:tcPr>
                      <w:p>
                        <w:pPr>
                          <w:pStyle w:val="TableParagraph"/>
                          <w:spacing w:line="181" w:lineRule="exact"/>
                          <w:ind w:left="541" w:right="532"/>
                          <w:jc w:val="center"/>
                          <w:rPr>
                            <w:rFonts w:ascii="Times New Roman"/>
                            <w:sz w:val="16"/>
                          </w:rPr>
                        </w:pPr>
                        <w:r>
                          <w:rPr>
                            <w:rFonts w:ascii="Times New Roman"/>
                            <w:sz w:val="16"/>
                          </w:rPr>
                          <w:t>115</w:t>
                        </w:r>
                      </w:p>
                    </w:tc>
                    <w:tc>
                      <w:tcPr>
                        <w:tcW w:w="1532" w:type="dxa"/>
                      </w:tcPr>
                      <w:p>
                        <w:pPr>
                          <w:pStyle w:val="TableParagraph"/>
                          <w:spacing w:line="181" w:lineRule="exact"/>
                          <w:ind w:left="28"/>
                          <w:rPr>
                            <w:rFonts w:ascii="Times New Roman" w:hAnsi="Times New Roman"/>
                            <w:sz w:val="16"/>
                          </w:rPr>
                        </w:pPr>
                        <w:r>
                          <w:rPr>
                            <w:rFonts w:ascii="Times New Roman" w:hAnsi="Times New Roman"/>
                            <w:sz w:val="16"/>
                          </w:rPr>
                          <w:t>Xonacatlán</w:t>
                        </w:r>
                      </w:p>
                    </w:tc>
                    <w:tc>
                      <w:tcPr>
                        <w:tcW w:w="1353" w:type="dxa"/>
                      </w:tcPr>
                      <w:p>
                        <w:pPr>
                          <w:pStyle w:val="TableParagraph"/>
                          <w:spacing w:before="16"/>
                          <w:ind w:right="23"/>
                          <w:jc w:val="right"/>
                          <w:rPr>
                            <w:rFonts w:ascii="Times New Roman"/>
                            <w:sz w:val="14"/>
                          </w:rPr>
                        </w:pPr>
                        <w:r>
                          <w:rPr>
                            <w:rFonts w:ascii="Times New Roman"/>
                            <w:w w:val="105"/>
                            <w:sz w:val="14"/>
                          </w:rPr>
                          <w:t>41,402</w:t>
                        </w:r>
                      </w:p>
                    </w:tc>
                    <w:tc>
                      <w:tcPr>
                        <w:tcW w:w="766" w:type="dxa"/>
                      </w:tcPr>
                      <w:p>
                        <w:pPr>
                          <w:pStyle w:val="TableParagraph"/>
                          <w:spacing w:before="16"/>
                          <w:ind w:right="23"/>
                          <w:jc w:val="right"/>
                          <w:rPr>
                            <w:rFonts w:ascii="Times New Roman"/>
                            <w:sz w:val="14"/>
                          </w:rPr>
                        </w:pPr>
                        <w:r>
                          <w:rPr>
                            <w:rFonts w:ascii="Times New Roman"/>
                            <w:w w:val="105"/>
                            <w:sz w:val="14"/>
                          </w:rPr>
                          <w:t>8,106</w:t>
                        </w:r>
                      </w:p>
                    </w:tc>
                    <w:tc>
                      <w:tcPr>
                        <w:tcW w:w="817" w:type="dxa"/>
                      </w:tcPr>
                      <w:p>
                        <w:pPr>
                          <w:pStyle w:val="TableParagraph"/>
                          <w:spacing w:before="13"/>
                          <w:ind w:right="22"/>
                          <w:jc w:val="right"/>
                          <w:rPr>
                            <w:sz w:val="14"/>
                          </w:rPr>
                        </w:pPr>
                        <w:r>
                          <w:rPr>
                            <w:sz w:val="14"/>
                          </w:rPr>
                          <w:t>2.5</w:t>
                        </w:r>
                      </w:p>
                    </w:tc>
                    <w:tc>
                      <w:tcPr>
                        <w:tcW w:w="1353" w:type="dxa"/>
                      </w:tcPr>
                      <w:p>
                        <w:pPr>
                          <w:pStyle w:val="TableParagraph"/>
                          <w:spacing w:before="9"/>
                          <w:ind w:right="20"/>
                          <w:jc w:val="right"/>
                          <w:rPr>
                            <w:rFonts w:ascii="Times New Roman"/>
                            <w:sz w:val="14"/>
                          </w:rPr>
                        </w:pPr>
                        <w:r>
                          <w:rPr>
                            <w:rFonts w:ascii="Times New Roman"/>
                            <w:w w:val="105"/>
                            <w:sz w:val="14"/>
                          </w:rPr>
                          <w:t>46,331</w:t>
                        </w:r>
                      </w:p>
                    </w:tc>
                    <w:tc>
                      <w:tcPr>
                        <w:tcW w:w="766" w:type="dxa"/>
                      </w:tcPr>
                      <w:p>
                        <w:pPr>
                          <w:pStyle w:val="TableParagraph"/>
                          <w:spacing w:before="9"/>
                          <w:ind w:right="20"/>
                          <w:jc w:val="right"/>
                          <w:rPr>
                            <w:rFonts w:ascii="Times New Roman"/>
                            <w:sz w:val="14"/>
                          </w:rPr>
                        </w:pPr>
                        <w:r>
                          <w:rPr>
                            <w:rFonts w:ascii="Times New Roman"/>
                            <w:w w:val="105"/>
                            <w:sz w:val="14"/>
                          </w:rPr>
                          <w:t>9,966</w:t>
                        </w:r>
                      </w:p>
                    </w:tc>
                    <w:tc>
                      <w:tcPr>
                        <w:tcW w:w="881" w:type="dxa"/>
                      </w:tcPr>
                      <w:p>
                        <w:pPr>
                          <w:pStyle w:val="TableParagraph"/>
                          <w:spacing w:before="13"/>
                          <w:ind w:right="22"/>
                          <w:jc w:val="right"/>
                          <w:rPr>
                            <w:sz w:val="14"/>
                          </w:rPr>
                        </w:pPr>
                        <w:r>
                          <w:rPr>
                            <w:sz w:val="14"/>
                          </w:rPr>
                          <w:t>2.2</w:t>
                        </w:r>
                      </w:p>
                    </w:tc>
                  </w:tr>
                  <w:tr>
                    <w:trPr>
                      <w:trHeight w:val="194" w:hRule="exact"/>
                    </w:trPr>
                    <w:tc>
                      <w:tcPr>
                        <w:tcW w:w="1353" w:type="dxa"/>
                        <w:tcBorders>
                          <w:bottom w:val="single" w:sz="5" w:space="0" w:color="000000"/>
                        </w:tcBorders>
                      </w:tcPr>
                      <w:p>
                        <w:pPr>
                          <w:pStyle w:val="TableParagraph"/>
                          <w:spacing w:line="181" w:lineRule="exact"/>
                          <w:ind w:left="541" w:right="532"/>
                          <w:jc w:val="center"/>
                          <w:rPr>
                            <w:rFonts w:ascii="Times New Roman"/>
                            <w:sz w:val="16"/>
                          </w:rPr>
                        </w:pPr>
                        <w:r>
                          <w:rPr>
                            <w:rFonts w:ascii="Times New Roman"/>
                            <w:sz w:val="16"/>
                          </w:rPr>
                          <w:t>118</w:t>
                        </w:r>
                      </w:p>
                    </w:tc>
                    <w:tc>
                      <w:tcPr>
                        <w:tcW w:w="1532" w:type="dxa"/>
                        <w:tcBorders>
                          <w:bottom w:val="single" w:sz="5" w:space="0" w:color="000000"/>
                        </w:tcBorders>
                      </w:tcPr>
                      <w:p>
                        <w:pPr>
                          <w:pStyle w:val="TableParagraph"/>
                          <w:spacing w:line="181" w:lineRule="exact"/>
                          <w:ind w:left="28"/>
                          <w:rPr>
                            <w:rFonts w:ascii="Times New Roman"/>
                            <w:sz w:val="16"/>
                          </w:rPr>
                        </w:pPr>
                        <w:r>
                          <w:rPr>
                            <w:rFonts w:ascii="Times New Roman"/>
                            <w:sz w:val="16"/>
                          </w:rPr>
                          <w:t>Zinacantepec</w:t>
                        </w:r>
                      </w:p>
                    </w:tc>
                    <w:tc>
                      <w:tcPr>
                        <w:tcW w:w="1353" w:type="dxa"/>
                        <w:tcBorders>
                          <w:bottom w:val="single" w:sz="5" w:space="0" w:color="000000"/>
                        </w:tcBorders>
                      </w:tcPr>
                      <w:p>
                        <w:pPr>
                          <w:pStyle w:val="TableParagraph"/>
                          <w:spacing w:before="16"/>
                          <w:ind w:right="23"/>
                          <w:jc w:val="right"/>
                          <w:rPr>
                            <w:rFonts w:ascii="Times New Roman"/>
                            <w:sz w:val="14"/>
                          </w:rPr>
                        </w:pPr>
                        <w:r>
                          <w:rPr>
                            <w:rFonts w:ascii="Times New Roman"/>
                            <w:w w:val="105"/>
                            <w:sz w:val="14"/>
                          </w:rPr>
                          <w:t>121,850</w:t>
                        </w:r>
                      </w:p>
                    </w:tc>
                    <w:tc>
                      <w:tcPr>
                        <w:tcW w:w="766" w:type="dxa"/>
                        <w:tcBorders>
                          <w:bottom w:val="single" w:sz="5" w:space="0" w:color="000000"/>
                        </w:tcBorders>
                      </w:tcPr>
                      <w:p>
                        <w:pPr>
                          <w:pStyle w:val="TableParagraph"/>
                          <w:spacing w:before="16"/>
                          <w:ind w:right="23"/>
                          <w:jc w:val="right"/>
                          <w:rPr>
                            <w:rFonts w:ascii="Times New Roman"/>
                            <w:sz w:val="14"/>
                          </w:rPr>
                        </w:pPr>
                        <w:r>
                          <w:rPr>
                            <w:rFonts w:ascii="Times New Roman"/>
                            <w:w w:val="105"/>
                            <w:sz w:val="14"/>
                          </w:rPr>
                          <w:t>23,639</w:t>
                        </w:r>
                      </w:p>
                    </w:tc>
                    <w:tc>
                      <w:tcPr>
                        <w:tcW w:w="817" w:type="dxa"/>
                        <w:tcBorders>
                          <w:bottom w:val="single" w:sz="5" w:space="0" w:color="000000"/>
                        </w:tcBorders>
                      </w:tcPr>
                      <w:p>
                        <w:pPr>
                          <w:pStyle w:val="TableParagraph"/>
                          <w:spacing w:before="13"/>
                          <w:ind w:right="22"/>
                          <w:jc w:val="right"/>
                          <w:rPr>
                            <w:sz w:val="14"/>
                          </w:rPr>
                        </w:pPr>
                        <w:r>
                          <w:rPr>
                            <w:sz w:val="14"/>
                          </w:rPr>
                          <w:t>7.3</w:t>
                        </w:r>
                      </w:p>
                    </w:tc>
                    <w:tc>
                      <w:tcPr>
                        <w:tcW w:w="1353" w:type="dxa"/>
                        <w:tcBorders>
                          <w:bottom w:val="single" w:sz="5" w:space="0" w:color="000000"/>
                        </w:tcBorders>
                      </w:tcPr>
                      <w:p>
                        <w:pPr>
                          <w:pStyle w:val="TableParagraph"/>
                          <w:spacing w:before="9"/>
                          <w:ind w:right="20"/>
                          <w:jc w:val="right"/>
                          <w:rPr>
                            <w:rFonts w:ascii="Times New Roman"/>
                            <w:sz w:val="14"/>
                          </w:rPr>
                        </w:pPr>
                        <w:r>
                          <w:rPr>
                            <w:rFonts w:ascii="Times New Roman"/>
                            <w:w w:val="105"/>
                            <w:sz w:val="14"/>
                          </w:rPr>
                          <w:t>167,759</w:t>
                        </w:r>
                      </w:p>
                    </w:tc>
                    <w:tc>
                      <w:tcPr>
                        <w:tcW w:w="766" w:type="dxa"/>
                        <w:tcBorders>
                          <w:bottom w:val="single" w:sz="5" w:space="0" w:color="000000"/>
                        </w:tcBorders>
                      </w:tcPr>
                      <w:p>
                        <w:pPr>
                          <w:pStyle w:val="TableParagraph"/>
                          <w:spacing w:before="9"/>
                          <w:ind w:right="20"/>
                          <w:jc w:val="right"/>
                          <w:rPr>
                            <w:rFonts w:ascii="Times New Roman"/>
                            <w:sz w:val="14"/>
                          </w:rPr>
                        </w:pPr>
                        <w:r>
                          <w:rPr>
                            <w:rFonts w:ascii="Times New Roman"/>
                            <w:w w:val="105"/>
                            <w:sz w:val="14"/>
                          </w:rPr>
                          <w:t>37,665</w:t>
                        </w:r>
                      </w:p>
                    </w:tc>
                    <w:tc>
                      <w:tcPr>
                        <w:tcW w:w="881" w:type="dxa"/>
                        <w:tcBorders>
                          <w:bottom w:val="single" w:sz="5" w:space="0" w:color="000000"/>
                        </w:tcBorders>
                      </w:tcPr>
                      <w:p>
                        <w:pPr>
                          <w:pStyle w:val="TableParagraph"/>
                          <w:spacing w:before="13"/>
                          <w:ind w:right="22"/>
                          <w:jc w:val="right"/>
                          <w:rPr>
                            <w:sz w:val="14"/>
                          </w:rPr>
                        </w:pPr>
                        <w:r>
                          <w:rPr>
                            <w:sz w:val="14"/>
                          </w:rPr>
                          <w:t>8.3</w:t>
                        </w:r>
                      </w:p>
                    </w:tc>
                  </w:tr>
                  <w:tr>
                    <w:trPr>
                      <w:trHeight w:val="211" w:hRule="exact"/>
                    </w:trPr>
                    <w:tc>
                      <w:tcPr>
                        <w:tcW w:w="1353" w:type="dxa"/>
                        <w:tcBorders>
                          <w:top w:val="single" w:sz="5" w:space="0" w:color="000000"/>
                          <w:left w:val="single" w:sz="5" w:space="0" w:color="000000"/>
                          <w:bottom w:val="single" w:sz="10" w:space="0" w:color="000000"/>
                          <w:right w:val="single" w:sz="5" w:space="0" w:color="000000"/>
                        </w:tcBorders>
                        <w:shd w:val="clear" w:color="auto" w:fill="F1F1F1"/>
                      </w:tcPr>
                      <w:p>
                        <w:pPr>
                          <w:pStyle w:val="TableParagraph"/>
                          <w:spacing w:before="7"/>
                          <w:ind w:left="109" w:right="108"/>
                          <w:jc w:val="center"/>
                          <w:rPr>
                            <w:rFonts w:ascii="Times New Roman" w:hAnsi="Times New Roman"/>
                            <w:b/>
                            <w:sz w:val="16"/>
                          </w:rPr>
                        </w:pPr>
                        <w:r>
                          <w:rPr>
                            <w:rFonts w:ascii="Times New Roman" w:hAnsi="Times New Roman"/>
                            <w:b/>
                            <w:sz w:val="16"/>
                          </w:rPr>
                          <w:t>Población Total</w:t>
                        </w:r>
                      </w:p>
                    </w:tc>
                    <w:tc>
                      <w:tcPr>
                        <w:tcW w:w="1532" w:type="dxa"/>
                        <w:tcBorders>
                          <w:top w:val="single" w:sz="5" w:space="0" w:color="000000"/>
                          <w:left w:val="single" w:sz="5" w:space="0" w:color="000000"/>
                          <w:bottom w:val="single" w:sz="10" w:space="0" w:color="000000"/>
                          <w:right w:val="single" w:sz="5" w:space="0" w:color="000000"/>
                        </w:tcBorders>
                      </w:tcPr>
                      <w:p>
                        <w:pPr/>
                      </w:p>
                    </w:tc>
                    <w:tc>
                      <w:tcPr>
                        <w:tcW w:w="1353" w:type="dxa"/>
                        <w:tcBorders>
                          <w:top w:val="single" w:sz="5" w:space="0" w:color="000000"/>
                          <w:left w:val="single" w:sz="5" w:space="0" w:color="000000"/>
                          <w:bottom w:val="single" w:sz="10" w:space="0" w:color="000000"/>
                          <w:right w:val="single" w:sz="5" w:space="0" w:color="000000"/>
                        </w:tcBorders>
                        <w:shd w:val="clear" w:color="auto" w:fill="F1F1F1"/>
                      </w:tcPr>
                      <w:p>
                        <w:pPr>
                          <w:pStyle w:val="TableParagraph"/>
                          <w:spacing w:line="160" w:lineRule="exact"/>
                          <w:ind w:right="17"/>
                          <w:jc w:val="right"/>
                          <w:rPr>
                            <w:rFonts w:ascii="Times New Roman"/>
                            <w:b/>
                            <w:sz w:val="16"/>
                          </w:rPr>
                        </w:pPr>
                        <w:r>
                          <w:rPr>
                            <w:rFonts w:ascii="Times New Roman"/>
                            <w:b/>
                            <w:sz w:val="16"/>
                          </w:rPr>
                          <w:t>1,540,452</w:t>
                        </w:r>
                      </w:p>
                    </w:tc>
                    <w:tc>
                      <w:tcPr>
                        <w:tcW w:w="766" w:type="dxa"/>
                        <w:tcBorders>
                          <w:top w:val="single" w:sz="5" w:space="0" w:color="000000"/>
                          <w:left w:val="single" w:sz="5" w:space="0" w:color="000000"/>
                          <w:bottom w:val="single" w:sz="10" w:space="0" w:color="000000"/>
                          <w:right w:val="single" w:sz="5" w:space="0" w:color="000000"/>
                        </w:tcBorders>
                      </w:tcPr>
                      <w:p>
                        <w:pPr/>
                      </w:p>
                    </w:tc>
                    <w:tc>
                      <w:tcPr>
                        <w:tcW w:w="817" w:type="dxa"/>
                        <w:tcBorders>
                          <w:top w:val="single" w:sz="5" w:space="0" w:color="000000"/>
                          <w:left w:val="single" w:sz="5" w:space="0" w:color="000000"/>
                          <w:bottom w:val="single" w:sz="10" w:space="0" w:color="000000"/>
                          <w:right w:val="single" w:sz="5" w:space="0" w:color="000000"/>
                        </w:tcBorders>
                        <w:shd w:val="clear" w:color="auto" w:fill="F1F1F1"/>
                      </w:tcPr>
                      <w:p>
                        <w:pPr>
                          <w:pStyle w:val="TableParagraph"/>
                          <w:spacing w:before="10"/>
                          <w:ind w:right="17"/>
                          <w:jc w:val="right"/>
                          <w:rPr>
                            <w:b/>
                            <w:sz w:val="14"/>
                          </w:rPr>
                        </w:pPr>
                        <w:r>
                          <w:rPr>
                            <w:b/>
                            <w:w w:val="105"/>
                            <w:sz w:val="14"/>
                          </w:rPr>
                          <w:t>100</w:t>
                        </w:r>
                      </w:p>
                    </w:tc>
                    <w:tc>
                      <w:tcPr>
                        <w:tcW w:w="1353" w:type="dxa"/>
                        <w:tcBorders>
                          <w:top w:val="single" w:sz="5" w:space="0" w:color="000000"/>
                          <w:left w:val="single" w:sz="5" w:space="0" w:color="000000"/>
                          <w:bottom w:val="single" w:sz="10" w:space="0" w:color="000000"/>
                          <w:right w:val="single" w:sz="5" w:space="0" w:color="000000"/>
                        </w:tcBorders>
                        <w:shd w:val="clear" w:color="auto" w:fill="F1F1F1"/>
                      </w:tcPr>
                      <w:p>
                        <w:pPr>
                          <w:pStyle w:val="TableParagraph"/>
                          <w:spacing w:line="160" w:lineRule="exact"/>
                          <w:ind w:right="17"/>
                          <w:jc w:val="right"/>
                          <w:rPr>
                            <w:rFonts w:ascii="Times New Roman"/>
                            <w:b/>
                            <w:sz w:val="16"/>
                          </w:rPr>
                        </w:pPr>
                        <w:r>
                          <w:rPr>
                            <w:rFonts w:ascii="Times New Roman"/>
                            <w:b/>
                            <w:sz w:val="16"/>
                          </w:rPr>
                          <w:t>1,936,126</w:t>
                        </w:r>
                      </w:p>
                    </w:tc>
                    <w:tc>
                      <w:tcPr>
                        <w:tcW w:w="766" w:type="dxa"/>
                        <w:tcBorders>
                          <w:top w:val="single" w:sz="5" w:space="0" w:color="000000"/>
                          <w:left w:val="single" w:sz="5" w:space="0" w:color="000000"/>
                          <w:bottom w:val="single" w:sz="10" w:space="0" w:color="000000"/>
                          <w:right w:val="single" w:sz="5" w:space="0" w:color="000000"/>
                        </w:tcBorders>
                      </w:tcPr>
                      <w:p>
                        <w:pPr/>
                      </w:p>
                    </w:tc>
                    <w:tc>
                      <w:tcPr>
                        <w:tcW w:w="881" w:type="dxa"/>
                        <w:tcBorders>
                          <w:top w:val="single" w:sz="5" w:space="0" w:color="000000"/>
                          <w:left w:val="single" w:sz="5" w:space="0" w:color="000000"/>
                          <w:bottom w:val="single" w:sz="10" w:space="0" w:color="000000"/>
                          <w:right w:val="single" w:sz="5" w:space="0" w:color="000000"/>
                        </w:tcBorders>
                        <w:shd w:val="clear" w:color="auto" w:fill="F1F1F1"/>
                      </w:tcPr>
                      <w:p>
                        <w:pPr>
                          <w:pStyle w:val="TableParagraph"/>
                          <w:spacing w:before="10"/>
                          <w:ind w:right="17"/>
                          <w:jc w:val="right"/>
                          <w:rPr>
                            <w:b/>
                            <w:sz w:val="14"/>
                          </w:rPr>
                        </w:pPr>
                        <w:r>
                          <w:rPr>
                            <w:b/>
                            <w:w w:val="105"/>
                            <w:sz w:val="14"/>
                          </w:rPr>
                          <w:t>100</w:t>
                        </w:r>
                      </w:p>
                    </w:tc>
                  </w:tr>
                  <w:tr>
                    <w:trPr>
                      <w:trHeight w:val="208" w:hRule="exact"/>
                    </w:trPr>
                    <w:tc>
                      <w:tcPr>
                        <w:tcW w:w="1353" w:type="dxa"/>
                        <w:tcBorders>
                          <w:top w:val="single" w:sz="10" w:space="0" w:color="000000"/>
                          <w:left w:val="single" w:sz="5" w:space="0" w:color="000000"/>
                          <w:bottom w:val="single" w:sz="8" w:space="0" w:color="000000"/>
                          <w:right w:val="single" w:sz="5" w:space="0" w:color="000000"/>
                        </w:tcBorders>
                        <w:shd w:val="clear" w:color="auto" w:fill="F1F1F1"/>
                      </w:tcPr>
                      <w:p>
                        <w:pPr>
                          <w:pStyle w:val="TableParagraph"/>
                          <w:ind w:left="110" w:right="107"/>
                          <w:jc w:val="center"/>
                          <w:rPr>
                            <w:rFonts w:ascii="Times New Roman"/>
                            <w:b/>
                            <w:sz w:val="16"/>
                          </w:rPr>
                        </w:pPr>
                        <w:r>
                          <w:rPr>
                            <w:rFonts w:ascii="Times New Roman"/>
                            <w:b/>
                            <w:sz w:val="16"/>
                          </w:rPr>
                          <w:t>Total Viviendas</w:t>
                        </w:r>
                      </w:p>
                    </w:tc>
                    <w:tc>
                      <w:tcPr>
                        <w:tcW w:w="2885" w:type="dxa"/>
                        <w:gridSpan w:val="2"/>
                        <w:tcBorders>
                          <w:top w:val="single" w:sz="10" w:space="0" w:color="000000"/>
                          <w:left w:val="single" w:sz="5" w:space="0" w:color="000000"/>
                          <w:bottom w:val="single" w:sz="8" w:space="0" w:color="000000"/>
                          <w:right w:val="single" w:sz="5" w:space="0" w:color="000000"/>
                        </w:tcBorders>
                      </w:tcPr>
                      <w:p>
                        <w:pPr/>
                      </w:p>
                    </w:tc>
                    <w:tc>
                      <w:tcPr>
                        <w:tcW w:w="766" w:type="dxa"/>
                        <w:tcBorders>
                          <w:top w:val="single" w:sz="10" w:space="0" w:color="000000"/>
                          <w:left w:val="single" w:sz="5" w:space="0" w:color="000000"/>
                          <w:bottom w:val="single" w:sz="8" w:space="0" w:color="000000"/>
                          <w:right w:val="single" w:sz="10" w:space="0" w:color="000000"/>
                        </w:tcBorders>
                        <w:shd w:val="clear" w:color="auto" w:fill="F1F1F1"/>
                      </w:tcPr>
                      <w:p>
                        <w:pPr>
                          <w:pStyle w:val="TableParagraph"/>
                          <w:spacing w:line="172" w:lineRule="exact"/>
                          <w:ind w:right="14"/>
                          <w:jc w:val="right"/>
                          <w:rPr>
                            <w:rFonts w:ascii="Times New Roman"/>
                            <w:b/>
                            <w:sz w:val="16"/>
                          </w:rPr>
                        </w:pPr>
                        <w:r>
                          <w:rPr>
                            <w:rFonts w:ascii="Times New Roman"/>
                            <w:b/>
                            <w:w w:val="95"/>
                            <w:sz w:val="16"/>
                          </w:rPr>
                          <w:t>322,635</w:t>
                        </w:r>
                      </w:p>
                    </w:tc>
                    <w:tc>
                      <w:tcPr>
                        <w:tcW w:w="817" w:type="dxa"/>
                        <w:tcBorders>
                          <w:top w:val="single" w:sz="10" w:space="0" w:color="000000"/>
                          <w:left w:val="single" w:sz="10" w:space="0" w:color="000000"/>
                          <w:bottom w:val="single" w:sz="8" w:space="0" w:color="000000"/>
                          <w:right w:val="single" w:sz="10" w:space="0" w:color="000000"/>
                        </w:tcBorders>
                      </w:tcPr>
                      <w:p>
                        <w:pPr/>
                      </w:p>
                    </w:tc>
                    <w:tc>
                      <w:tcPr>
                        <w:tcW w:w="1353" w:type="dxa"/>
                        <w:tcBorders>
                          <w:top w:val="single" w:sz="10" w:space="0" w:color="000000"/>
                          <w:left w:val="single" w:sz="10" w:space="0" w:color="000000"/>
                          <w:bottom w:val="single" w:sz="8" w:space="0" w:color="000000"/>
                          <w:right w:val="single" w:sz="5" w:space="0" w:color="000000"/>
                        </w:tcBorders>
                      </w:tcPr>
                      <w:p>
                        <w:pPr/>
                      </w:p>
                    </w:tc>
                    <w:tc>
                      <w:tcPr>
                        <w:tcW w:w="766" w:type="dxa"/>
                        <w:tcBorders>
                          <w:top w:val="single" w:sz="10" w:space="0" w:color="000000"/>
                          <w:left w:val="single" w:sz="5" w:space="0" w:color="000000"/>
                          <w:bottom w:val="single" w:sz="8" w:space="0" w:color="000000"/>
                          <w:right w:val="single" w:sz="10" w:space="0" w:color="000000"/>
                        </w:tcBorders>
                        <w:shd w:val="clear" w:color="auto" w:fill="F1F1F1"/>
                      </w:tcPr>
                      <w:p>
                        <w:pPr>
                          <w:pStyle w:val="TableParagraph"/>
                          <w:spacing w:line="172" w:lineRule="exact"/>
                          <w:ind w:right="14"/>
                          <w:jc w:val="right"/>
                          <w:rPr>
                            <w:rFonts w:ascii="Times New Roman"/>
                            <w:b/>
                            <w:sz w:val="16"/>
                          </w:rPr>
                        </w:pPr>
                        <w:r>
                          <w:rPr>
                            <w:rFonts w:ascii="Times New Roman"/>
                            <w:b/>
                            <w:w w:val="95"/>
                            <w:sz w:val="16"/>
                          </w:rPr>
                          <w:t>454,579</w:t>
                        </w:r>
                      </w:p>
                    </w:tc>
                    <w:tc>
                      <w:tcPr>
                        <w:tcW w:w="881" w:type="dxa"/>
                        <w:tcBorders>
                          <w:top w:val="single" w:sz="10" w:space="0" w:color="000000"/>
                          <w:left w:val="single" w:sz="10" w:space="0" w:color="000000"/>
                          <w:bottom w:val="single" w:sz="8" w:space="0" w:color="000000"/>
                          <w:right w:val="single" w:sz="8" w:space="0" w:color="000000"/>
                        </w:tcBorders>
                      </w:tcPr>
                      <w:p>
                        <w:pPr/>
                      </w:p>
                    </w:tc>
                  </w:tr>
                </w:tbl>
                <w:p>
                  <w:pPr>
                    <w:pStyle w:val="BodyText"/>
                  </w:pPr>
                </w:p>
              </w:txbxContent>
            </v:textbox>
            <w10:wrap type="none"/>
          </v:shape>
        </w:pict>
      </w:r>
      <w:r>
        <w:rPr>
          <w:sz w:val="20"/>
        </w:rPr>
        <w:t>Población total y total de viviendas por municipio de la ZMT, 2000-2010</w:t>
      </w:r>
    </w:p>
    <w:tbl>
      <w:tblPr>
        <w:tblW w:w="0" w:type="auto"/>
        <w:jc w:val="left"/>
        <w:tblInd w:w="13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353"/>
        <w:gridCol w:w="1532"/>
        <w:gridCol w:w="1353"/>
        <w:gridCol w:w="766"/>
        <w:gridCol w:w="817"/>
        <w:gridCol w:w="1353"/>
        <w:gridCol w:w="766"/>
        <w:gridCol w:w="881"/>
      </w:tblGrid>
      <w:tr>
        <w:trPr>
          <w:trHeight w:val="202" w:hRule="exact"/>
        </w:trPr>
        <w:tc>
          <w:tcPr>
            <w:tcW w:w="1353" w:type="dxa"/>
            <w:vMerge w:val="restart"/>
            <w:shd w:val="clear" w:color="auto" w:fill="F1F1F1"/>
          </w:tcPr>
          <w:p>
            <w:pPr>
              <w:pStyle w:val="TableParagraph"/>
              <w:spacing w:before="103"/>
              <w:ind w:left="252"/>
              <w:rPr>
                <w:rFonts w:ascii="Times New Roman"/>
                <w:b/>
                <w:sz w:val="16"/>
              </w:rPr>
            </w:pPr>
            <w:r>
              <w:rPr>
                <w:rFonts w:ascii="Times New Roman"/>
                <w:b/>
                <w:sz w:val="16"/>
              </w:rPr>
              <w:t>Clave Mpio.</w:t>
            </w:r>
          </w:p>
        </w:tc>
        <w:tc>
          <w:tcPr>
            <w:tcW w:w="1532" w:type="dxa"/>
            <w:vMerge w:val="restart"/>
            <w:shd w:val="clear" w:color="auto" w:fill="F1F1F1"/>
          </w:tcPr>
          <w:p>
            <w:pPr>
              <w:pStyle w:val="TableParagraph"/>
              <w:spacing w:before="103"/>
              <w:ind w:left="408"/>
              <w:rPr>
                <w:rFonts w:ascii="Times New Roman"/>
                <w:b/>
                <w:sz w:val="16"/>
              </w:rPr>
            </w:pPr>
            <w:r>
              <w:rPr>
                <w:rFonts w:ascii="Times New Roman"/>
                <w:b/>
                <w:sz w:val="16"/>
              </w:rPr>
              <w:t>Municipio</w:t>
            </w:r>
          </w:p>
        </w:tc>
        <w:tc>
          <w:tcPr>
            <w:tcW w:w="2936" w:type="dxa"/>
            <w:gridSpan w:val="3"/>
            <w:shd w:val="clear" w:color="auto" w:fill="F1F1F1"/>
          </w:tcPr>
          <w:p>
            <w:pPr>
              <w:pStyle w:val="TableParagraph"/>
              <w:spacing w:line="182" w:lineRule="exact"/>
              <w:ind w:left="1281" w:right="1281"/>
              <w:jc w:val="center"/>
              <w:rPr>
                <w:rFonts w:ascii="Times New Roman"/>
                <w:b/>
                <w:sz w:val="16"/>
              </w:rPr>
            </w:pPr>
            <w:r>
              <w:rPr>
                <w:rFonts w:ascii="Times New Roman"/>
                <w:b/>
                <w:sz w:val="16"/>
              </w:rPr>
              <w:t>2000</w:t>
            </w:r>
          </w:p>
        </w:tc>
        <w:tc>
          <w:tcPr>
            <w:tcW w:w="3000" w:type="dxa"/>
            <w:gridSpan w:val="3"/>
            <w:shd w:val="clear" w:color="auto" w:fill="F1F1F1"/>
          </w:tcPr>
          <w:p>
            <w:pPr>
              <w:pStyle w:val="TableParagraph"/>
              <w:spacing w:line="182" w:lineRule="exact"/>
              <w:ind w:left="1313" w:right="1313"/>
              <w:jc w:val="center"/>
              <w:rPr>
                <w:rFonts w:ascii="Times New Roman"/>
                <w:b/>
                <w:sz w:val="16"/>
              </w:rPr>
            </w:pPr>
            <w:r>
              <w:rPr>
                <w:rFonts w:ascii="Times New Roman"/>
                <w:b/>
                <w:sz w:val="16"/>
              </w:rPr>
              <w:t>2010</w:t>
            </w:r>
          </w:p>
        </w:tc>
      </w:tr>
      <w:tr>
        <w:trPr>
          <w:trHeight w:val="211" w:hRule="exact"/>
        </w:trPr>
        <w:tc>
          <w:tcPr>
            <w:tcW w:w="1353" w:type="dxa"/>
            <w:vMerge/>
            <w:tcBorders>
              <w:bottom w:val="single" w:sz="10" w:space="0" w:color="000000"/>
            </w:tcBorders>
            <w:shd w:val="clear" w:color="auto" w:fill="F1F1F1"/>
          </w:tcPr>
          <w:p>
            <w:pPr/>
          </w:p>
        </w:tc>
        <w:tc>
          <w:tcPr>
            <w:tcW w:w="1532" w:type="dxa"/>
            <w:vMerge/>
            <w:tcBorders>
              <w:bottom w:val="single" w:sz="10" w:space="0" w:color="000000"/>
            </w:tcBorders>
            <w:shd w:val="clear" w:color="auto" w:fill="F1F1F1"/>
          </w:tcPr>
          <w:p>
            <w:pPr/>
          </w:p>
        </w:tc>
        <w:tc>
          <w:tcPr>
            <w:tcW w:w="1353" w:type="dxa"/>
            <w:tcBorders>
              <w:bottom w:val="single" w:sz="10" w:space="0" w:color="000000"/>
            </w:tcBorders>
            <w:shd w:val="clear" w:color="auto" w:fill="F1F1F1"/>
          </w:tcPr>
          <w:p>
            <w:pPr>
              <w:pStyle w:val="TableParagraph"/>
              <w:spacing w:line="178" w:lineRule="exact"/>
              <w:ind w:left="22"/>
              <w:rPr>
                <w:rFonts w:ascii="Times New Roman" w:hAnsi="Times New Roman"/>
                <w:b/>
                <w:sz w:val="16"/>
              </w:rPr>
            </w:pPr>
            <w:r>
              <w:rPr>
                <w:rFonts w:ascii="Times New Roman" w:hAnsi="Times New Roman"/>
                <w:b/>
                <w:sz w:val="16"/>
              </w:rPr>
              <w:t>Población Total</w:t>
            </w:r>
          </w:p>
        </w:tc>
        <w:tc>
          <w:tcPr>
            <w:tcW w:w="766" w:type="dxa"/>
            <w:tcBorders>
              <w:bottom w:val="single" w:sz="10" w:space="0" w:color="000000"/>
            </w:tcBorders>
            <w:shd w:val="clear" w:color="auto" w:fill="F1F1F1"/>
          </w:tcPr>
          <w:p>
            <w:pPr>
              <w:pStyle w:val="TableParagraph"/>
              <w:spacing w:line="178" w:lineRule="exact"/>
              <w:ind w:left="22"/>
              <w:rPr>
                <w:rFonts w:ascii="Times New Roman"/>
                <w:b/>
                <w:sz w:val="16"/>
              </w:rPr>
            </w:pPr>
            <w:r>
              <w:rPr>
                <w:rFonts w:ascii="Times New Roman"/>
                <w:b/>
                <w:sz w:val="16"/>
              </w:rPr>
              <w:t>Viviendas</w:t>
            </w:r>
          </w:p>
        </w:tc>
        <w:tc>
          <w:tcPr>
            <w:tcW w:w="817" w:type="dxa"/>
            <w:tcBorders>
              <w:bottom w:val="single" w:sz="10" w:space="0" w:color="000000"/>
            </w:tcBorders>
            <w:shd w:val="clear" w:color="auto" w:fill="F1F1F1"/>
          </w:tcPr>
          <w:p>
            <w:pPr>
              <w:pStyle w:val="TableParagraph"/>
              <w:spacing w:before="13"/>
              <w:ind w:left="19"/>
              <w:rPr>
                <w:rFonts w:ascii="Times New Roman"/>
                <w:b/>
                <w:sz w:val="14"/>
              </w:rPr>
            </w:pPr>
            <w:r>
              <w:rPr>
                <w:rFonts w:ascii="Times New Roman"/>
                <w:b/>
                <w:w w:val="105"/>
                <w:sz w:val="14"/>
              </w:rPr>
              <w:t>Porcentaje</w:t>
            </w:r>
          </w:p>
        </w:tc>
        <w:tc>
          <w:tcPr>
            <w:tcW w:w="1353" w:type="dxa"/>
            <w:tcBorders>
              <w:bottom w:val="single" w:sz="10" w:space="0" w:color="000000"/>
            </w:tcBorders>
            <w:shd w:val="clear" w:color="auto" w:fill="F1F1F1"/>
          </w:tcPr>
          <w:p>
            <w:pPr>
              <w:pStyle w:val="TableParagraph"/>
              <w:spacing w:line="178" w:lineRule="exact"/>
              <w:ind w:left="22"/>
              <w:rPr>
                <w:rFonts w:ascii="Times New Roman" w:hAnsi="Times New Roman"/>
                <w:b/>
                <w:sz w:val="16"/>
              </w:rPr>
            </w:pPr>
            <w:r>
              <w:rPr>
                <w:rFonts w:ascii="Times New Roman" w:hAnsi="Times New Roman"/>
                <w:b/>
                <w:sz w:val="16"/>
              </w:rPr>
              <w:t>Población Total</w:t>
            </w:r>
          </w:p>
        </w:tc>
        <w:tc>
          <w:tcPr>
            <w:tcW w:w="766" w:type="dxa"/>
            <w:tcBorders>
              <w:bottom w:val="single" w:sz="10" w:space="0" w:color="000000"/>
            </w:tcBorders>
            <w:shd w:val="clear" w:color="auto" w:fill="F1F1F1"/>
          </w:tcPr>
          <w:p>
            <w:pPr>
              <w:pStyle w:val="TableParagraph"/>
              <w:spacing w:line="178" w:lineRule="exact"/>
              <w:ind w:left="22"/>
              <w:rPr>
                <w:rFonts w:ascii="Times New Roman"/>
                <w:b/>
                <w:sz w:val="16"/>
              </w:rPr>
            </w:pPr>
            <w:r>
              <w:rPr>
                <w:rFonts w:ascii="Times New Roman"/>
                <w:b/>
                <w:sz w:val="16"/>
              </w:rPr>
              <w:t>Viviendas</w:t>
            </w:r>
          </w:p>
        </w:tc>
        <w:tc>
          <w:tcPr>
            <w:tcW w:w="881" w:type="dxa"/>
            <w:tcBorders>
              <w:bottom w:val="single" w:sz="10" w:space="0" w:color="000000"/>
            </w:tcBorders>
            <w:shd w:val="clear" w:color="auto" w:fill="F1F1F1"/>
          </w:tcPr>
          <w:p>
            <w:pPr>
              <w:pStyle w:val="TableParagraph"/>
              <w:spacing w:before="13"/>
              <w:ind w:left="19"/>
              <w:rPr>
                <w:rFonts w:ascii="Times New Roman"/>
                <w:b/>
                <w:sz w:val="14"/>
              </w:rPr>
            </w:pPr>
            <w:r>
              <w:rPr>
                <w:rFonts w:ascii="Times New Roman"/>
                <w:b/>
                <w:w w:val="105"/>
                <w:sz w:val="14"/>
              </w:rPr>
              <w:t>Porcentaje</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spacing w:before="0"/>
        <w:ind w:left="82" w:right="122" w:firstLine="0"/>
        <w:jc w:val="center"/>
        <w:rPr>
          <w:sz w:val="20"/>
        </w:rPr>
      </w:pPr>
      <w:r>
        <w:rPr>
          <w:sz w:val="20"/>
        </w:rPr>
        <w:t>Fuente: elaboración propia con base en los censos de población y vivienda, INEGI, 2000-2010.</w:t>
      </w:r>
    </w:p>
    <w:p>
      <w:pPr>
        <w:pStyle w:val="BodyText"/>
        <w:rPr>
          <w:sz w:val="20"/>
        </w:rPr>
      </w:pPr>
    </w:p>
    <w:p>
      <w:pPr>
        <w:pStyle w:val="BodyText"/>
        <w:rPr>
          <w:sz w:val="16"/>
        </w:rPr>
      </w:pPr>
    </w:p>
    <w:p>
      <w:pPr>
        <w:pStyle w:val="BodyText"/>
        <w:spacing w:line="360" w:lineRule="auto"/>
        <w:ind w:left="102" w:right="138"/>
        <w:jc w:val="both"/>
      </w:pPr>
      <w:r>
        <w:rPr/>
        <w:t>Analizando el grado de urbanización en los municipios de la </w:t>
      </w:r>
      <w:r>
        <w:rPr>
          <w:sz w:val="19"/>
        </w:rPr>
        <w:t>ZMT</w:t>
      </w:r>
      <w:r>
        <w:rPr/>
        <w:t>, nos referimos a la cantidad de personas que viven en localidades de más de 15 mil habitantes (</w:t>
      </w:r>
      <w:r>
        <w:rPr>
          <w:sz w:val="19"/>
        </w:rPr>
        <w:t>INEGI</w:t>
      </w:r>
      <w:r>
        <w:rPr/>
        <w:t>, 2010), respecto a la población total de cada municipio, y de acuerdo a la fecha que se realizaron los censos de población de vivienda del año 2000 (14 de febrero) y 2010 (12 de</w:t>
      </w:r>
      <w:r>
        <w:rPr>
          <w:spacing w:val="-8"/>
        </w:rPr>
        <w:t> </w:t>
      </w:r>
      <w:r>
        <w:rPr/>
        <w:t>junio).</w:t>
      </w:r>
    </w:p>
    <w:p>
      <w:pPr>
        <w:pStyle w:val="BodyText"/>
      </w:pPr>
    </w:p>
    <w:p>
      <w:pPr>
        <w:pStyle w:val="BodyText"/>
        <w:spacing w:line="360" w:lineRule="auto" w:before="142"/>
        <w:ind w:left="102" w:right="139"/>
        <w:jc w:val="both"/>
      </w:pPr>
      <w:r>
        <w:rPr/>
        <w:t>En el año 2000, en la </w:t>
      </w:r>
      <w:r>
        <w:rPr>
          <w:sz w:val="19"/>
        </w:rPr>
        <w:t>ZMT </w:t>
      </w:r>
      <w:r>
        <w:rPr/>
        <w:t>de 15 municipios que integran la zona, encontramos que solo ocho municipios presentan grado de urbanización, el municipio con mayor grado de urbanización era San Mateo Atenco con más del 96 por ciento, esto significa que la mayoría de su población radica en localidades mayores de 15 mil habitantes (zonas urbanas), seguido del municipio de Metepec con más del 81 por ciento, Toluca, con más del 74 por ciento. De estos tres municipios mencionados la mayoría de su población radica en zonas</w:t>
      </w:r>
      <w:r>
        <w:rPr>
          <w:spacing w:val="-11"/>
        </w:rPr>
        <w:t> </w:t>
      </w:r>
      <w:r>
        <w:rPr/>
        <w:t>urbanas.</w:t>
      </w:r>
    </w:p>
    <w:p>
      <w:pPr>
        <w:pStyle w:val="BodyText"/>
      </w:pPr>
    </w:p>
    <w:p>
      <w:pPr>
        <w:pStyle w:val="BodyText"/>
        <w:spacing w:line="360" w:lineRule="auto" w:before="142"/>
        <w:ind w:left="102" w:right="137"/>
        <w:jc w:val="both"/>
      </w:pPr>
      <w:r>
        <w:rPr/>
        <w:t>Mientras que tres municipios contaban con menos de la mitad de población radicando en zonas urbanas son; Ocoyoacac con un grado de urbanización del 44 por ciento, Xonacatlán con el 42 por ciento, Zinacantepec con el 32 por ciento.  Un</w:t>
      </w:r>
    </w:p>
    <w:p>
      <w:pPr>
        <w:spacing w:after="0" w:line="360" w:lineRule="auto"/>
        <w:jc w:val="both"/>
        <w:sectPr>
          <w:pgSz w:w="12240" w:h="15840"/>
          <w:pgMar w:header="0" w:footer="1003" w:top="1360" w:bottom="1200" w:left="1600" w:right="1560"/>
        </w:sectPr>
      </w:pPr>
    </w:p>
    <w:p>
      <w:pPr>
        <w:pStyle w:val="BodyText"/>
        <w:spacing w:line="357" w:lineRule="auto" w:before="54"/>
        <w:ind w:left="122" w:right="141"/>
        <w:jc w:val="both"/>
      </w:pPr>
      <w:r>
        <w:rPr/>
        <w:t>dato curioso es el grado de urbanización del municipio de Otzolotepec ya que registraba en más del 28 por ciento</w:t>
      </w:r>
      <w:r>
        <w:rPr>
          <w:position w:val="8"/>
          <w:sz w:val="16"/>
        </w:rPr>
        <w:t>8</w:t>
      </w:r>
      <w:r>
        <w:rPr/>
        <w:t>, mientras que para el año 2010 registra cero grado de urbanización.</w:t>
      </w:r>
    </w:p>
    <w:p>
      <w:pPr>
        <w:pStyle w:val="BodyText"/>
      </w:pPr>
    </w:p>
    <w:p>
      <w:pPr>
        <w:pStyle w:val="BodyText"/>
        <w:spacing w:line="360" w:lineRule="auto" w:before="144"/>
        <w:ind w:left="122" w:right="140"/>
        <w:jc w:val="both"/>
      </w:pPr>
      <w:r>
        <w:rPr/>
        <w:t>Finalmente el municipio de Lerma presenta un grado de urbanización del 16 por ciento. Los siete municipios que integran la </w:t>
      </w:r>
      <w:r>
        <w:rPr>
          <w:sz w:val="19"/>
        </w:rPr>
        <w:t>ZMT </w:t>
      </w:r>
      <w:r>
        <w:rPr/>
        <w:t>y que no presentan grado de urbanización para el año 2000 son; Almoloya de Juárez, Calimaya, Chapultepec, Mexicaltzingo, Rayón, San Antonio la Isla y Temoaya.</w:t>
      </w:r>
    </w:p>
    <w:p>
      <w:pPr>
        <w:pStyle w:val="BodyText"/>
      </w:pPr>
    </w:p>
    <w:p>
      <w:pPr>
        <w:spacing w:before="141"/>
        <w:ind w:left="38" w:right="56" w:firstLine="0"/>
        <w:jc w:val="center"/>
        <w:rPr>
          <w:sz w:val="20"/>
        </w:rPr>
      </w:pPr>
      <w:r>
        <w:rPr>
          <w:sz w:val="20"/>
        </w:rPr>
        <w:t>Cuadro No. 5</w:t>
      </w:r>
    </w:p>
    <w:p>
      <w:pPr>
        <w:spacing w:before="0"/>
        <w:ind w:left="38" w:right="59" w:firstLine="0"/>
        <w:jc w:val="center"/>
        <w:rPr>
          <w:sz w:val="20"/>
        </w:rPr>
      </w:pPr>
      <w:r>
        <w:rPr/>
        <w:pict>
          <v:shape style="position:absolute;margin-left:86.519997pt;margin-top:11.898366pt;width:441.85pt;height:215.1pt;mso-position-horizontal-relative:page;mso-position-vertical-relative:paragraph;z-index:2104" type="#_x0000_t202" filled="false" stroked="false">
            <v:textbox inset="0,0,0,0">
              <w:txbxContent>
                <w:tbl>
                  <w:tblPr>
                    <w:tblW w:w="0" w:type="auto"/>
                    <w:jc w:val="left"/>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2233"/>
                    <w:gridCol w:w="2179"/>
                    <w:gridCol w:w="2196"/>
                    <w:gridCol w:w="2204"/>
                  </w:tblGrid>
                  <w:tr>
                    <w:trPr>
                      <w:trHeight w:val="513" w:hRule="exact"/>
                    </w:trPr>
                    <w:tc>
                      <w:tcPr>
                        <w:tcW w:w="2233" w:type="dxa"/>
                        <w:tcBorders>
                          <w:left w:val="single" w:sz="10" w:space="0" w:color="000000"/>
                          <w:bottom w:val="single" w:sz="13" w:space="0" w:color="000000"/>
                        </w:tcBorders>
                        <w:shd w:val="clear" w:color="auto" w:fill="F1F1F1"/>
                      </w:tcPr>
                      <w:p>
                        <w:pPr>
                          <w:pStyle w:val="TableParagraph"/>
                          <w:spacing w:before="141"/>
                          <w:ind w:left="586" w:right="594"/>
                          <w:jc w:val="center"/>
                          <w:rPr>
                            <w:rFonts w:ascii="Arial"/>
                            <w:b/>
                            <w:sz w:val="17"/>
                          </w:rPr>
                        </w:pPr>
                        <w:r>
                          <w:rPr>
                            <w:rFonts w:ascii="Arial"/>
                            <w:b/>
                            <w:w w:val="105"/>
                            <w:sz w:val="17"/>
                          </w:rPr>
                          <w:t>Clave Mpio.</w:t>
                        </w:r>
                      </w:p>
                    </w:tc>
                    <w:tc>
                      <w:tcPr>
                        <w:tcW w:w="2179" w:type="dxa"/>
                        <w:tcBorders>
                          <w:bottom w:val="single" w:sz="13" w:space="0" w:color="000000"/>
                        </w:tcBorders>
                        <w:shd w:val="clear" w:color="auto" w:fill="F1F1F1"/>
                      </w:tcPr>
                      <w:p>
                        <w:pPr>
                          <w:pStyle w:val="TableParagraph"/>
                          <w:spacing w:before="141"/>
                          <w:ind w:left="667"/>
                          <w:rPr>
                            <w:rFonts w:ascii="Arial"/>
                            <w:b/>
                            <w:sz w:val="17"/>
                          </w:rPr>
                        </w:pPr>
                        <w:r>
                          <w:rPr>
                            <w:rFonts w:ascii="Arial"/>
                            <w:b/>
                            <w:w w:val="105"/>
                            <w:sz w:val="17"/>
                          </w:rPr>
                          <w:t>Municipio</w:t>
                        </w:r>
                      </w:p>
                    </w:tc>
                    <w:tc>
                      <w:tcPr>
                        <w:tcW w:w="2196" w:type="dxa"/>
                        <w:tcBorders>
                          <w:bottom w:val="single" w:sz="13" w:space="0" w:color="000000"/>
                        </w:tcBorders>
                        <w:shd w:val="clear" w:color="auto" w:fill="F1F1F1"/>
                      </w:tcPr>
                      <w:p>
                        <w:pPr>
                          <w:pStyle w:val="TableParagraph"/>
                          <w:spacing w:line="276" w:lineRule="auto" w:before="58"/>
                          <w:ind w:left="901" w:hanging="773"/>
                          <w:rPr>
                            <w:rFonts w:ascii="Arial" w:hAnsi="Arial"/>
                            <w:b/>
                            <w:sz w:val="17"/>
                          </w:rPr>
                        </w:pPr>
                        <w:r>
                          <w:rPr>
                            <w:rFonts w:ascii="Arial" w:hAnsi="Arial"/>
                            <w:b/>
                            <w:w w:val="105"/>
                            <w:sz w:val="17"/>
                          </w:rPr>
                          <w:t>Grado de Urbanización 2000</w:t>
                        </w:r>
                      </w:p>
                    </w:tc>
                    <w:tc>
                      <w:tcPr>
                        <w:tcW w:w="2204" w:type="dxa"/>
                        <w:tcBorders>
                          <w:bottom w:val="single" w:sz="13" w:space="0" w:color="000000"/>
                          <w:right w:val="single" w:sz="10" w:space="0" w:color="000000"/>
                        </w:tcBorders>
                        <w:shd w:val="clear" w:color="auto" w:fill="F1F1F1"/>
                      </w:tcPr>
                      <w:p>
                        <w:pPr>
                          <w:pStyle w:val="TableParagraph"/>
                          <w:spacing w:line="276" w:lineRule="auto" w:before="58"/>
                          <w:ind w:left="905" w:hanging="773"/>
                          <w:rPr>
                            <w:rFonts w:ascii="Arial" w:hAnsi="Arial"/>
                            <w:b/>
                            <w:sz w:val="17"/>
                          </w:rPr>
                        </w:pPr>
                        <w:r>
                          <w:rPr>
                            <w:rFonts w:ascii="Arial" w:hAnsi="Arial"/>
                            <w:b/>
                            <w:w w:val="105"/>
                            <w:sz w:val="17"/>
                          </w:rPr>
                          <w:t>Grado de Urbanización 2010</w:t>
                        </w:r>
                      </w:p>
                    </w:tc>
                  </w:tr>
                  <w:tr>
                    <w:trPr>
                      <w:trHeight w:val="259" w:hRule="exact"/>
                    </w:trPr>
                    <w:tc>
                      <w:tcPr>
                        <w:tcW w:w="2233" w:type="dxa"/>
                        <w:tcBorders>
                          <w:top w:val="single" w:sz="13" w:space="0" w:color="000000"/>
                          <w:left w:val="nil"/>
                          <w:bottom w:val="nil"/>
                          <w:right w:val="nil"/>
                        </w:tcBorders>
                      </w:tcPr>
                      <w:p>
                        <w:pPr>
                          <w:pStyle w:val="TableParagraph"/>
                          <w:spacing w:before="12"/>
                          <w:ind w:left="951" w:right="944"/>
                          <w:jc w:val="center"/>
                          <w:rPr>
                            <w:rFonts w:ascii="Arial"/>
                            <w:sz w:val="17"/>
                          </w:rPr>
                        </w:pPr>
                        <w:r>
                          <w:rPr>
                            <w:rFonts w:ascii="Arial"/>
                            <w:w w:val="105"/>
                            <w:sz w:val="17"/>
                          </w:rPr>
                          <w:t>005</w:t>
                        </w:r>
                      </w:p>
                    </w:tc>
                    <w:tc>
                      <w:tcPr>
                        <w:tcW w:w="2179" w:type="dxa"/>
                        <w:tcBorders>
                          <w:top w:val="single" w:sz="13" w:space="0" w:color="000000"/>
                          <w:left w:val="nil"/>
                          <w:bottom w:val="nil"/>
                          <w:right w:val="nil"/>
                        </w:tcBorders>
                      </w:tcPr>
                      <w:p>
                        <w:pPr>
                          <w:pStyle w:val="TableParagraph"/>
                          <w:spacing w:before="12"/>
                          <w:ind w:left="33"/>
                          <w:rPr>
                            <w:rFonts w:ascii="Arial" w:hAnsi="Arial"/>
                            <w:sz w:val="17"/>
                          </w:rPr>
                        </w:pPr>
                        <w:r>
                          <w:rPr>
                            <w:rFonts w:ascii="Arial" w:hAnsi="Arial"/>
                            <w:w w:val="105"/>
                            <w:sz w:val="17"/>
                          </w:rPr>
                          <w:t>Almoloya de Juárez</w:t>
                        </w:r>
                      </w:p>
                    </w:tc>
                    <w:tc>
                      <w:tcPr>
                        <w:tcW w:w="2196" w:type="dxa"/>
                        <w:tcBorders>
                          <w:top w:val="single" w:sz="13" w:space="0" w:color="000000"/>
                          <w:left w:val="nil"/>
                          <w:bottom w:val="nil"/>
                          <w:right w:val="nil"/>
                        </w:tcBorders>
                      </w:tcPr>
                      <w:p>
                        <w:pPr>
                          <w:pStyle w:val="TableParagraph"/>
                          <w:spacing w:before="12"/>
                          <w:ind w:left="910" w:right="893"/>
                          <w:jc w:val="center"/>
                          <w:rPr>
                            <w:rFonts w:ascii="Arial"/>
                            <w:sz w:val="17"/>
                          </w:rPr>
                        </w:pPr>
                        <w:r>
                          <w:rPr>
                            <w:rFonts w:ascii="Arial"/>
                            <w:w w:val="105"/>
                            <w:sz w:val="17"/>
                          </w:rPr>
                          <w:t>0.0</w:t>
                        </w:r>
                      </w:p>
                    </w:tc>
                    <w:tc>
                      <w:tcPr>
                        <w:tcW w:w="2204" w:type="dxa"/>
                        <w:tcBorders>
                          <w:top w:val="single" w:sz="13" w:space="0" w:color="000000"/>
                          <w:left w:val="nil"/>
                          <w:bottom w:val="nil"/>
                          <w:right w:val="nil"/>
                        </w:tcBorders>
                      </w:tcPr>
                      <w:p>
                        <w:pPr>
                          <w:pStyle w:val="TableParagraph"/>
                          <w:spacing w:before="12"/>
                          <w:ind w:left="919" w:right="897"/>
                          <w:jc w:val="center"/>
                          <w:rPr>
                            <w:rFonts w:ascii="Arial"/>
                            <w:sz w:val="17"/>
                          </w:rPr>
                        </w:pPr>
                        <w:r>
                          <w:rPr>
                            <w:rFonts w:ascii="Arial"/>
                            <w:w w:val="105"/>
                            <w:sz w:val="17"/>
                          </w:rPr>
                          <w:t>11.2</w:t>
                        </w:r>
                      </w:p>
                    </w:tc>
                  </w:tr>
                  <w:tr>
                    <w:trPr>
                      <w:trHeight w:val="250" w:hRule="exact"/>
                    </w:trPr>
                    <w:tc>
                      <w:tcPr>
                        <w:tcW w:w="2233" w:type="dxa"/>
                        <w:tcBorders>
                          <w:top w:val="nil"/>
                          <w:left w:val="nil"/>
                          <w:bottom w:val="nil"/>
                          <w:right w:val="nil"/>
                        </w:tcBorders>
                      </w:tcPr>
                      <w:p>
                        <w:pPr>
                          <w:pStyle w:val="TableParagraph"/>
                          <w:spacing w:before="20"/>
                          <w:ind w:left="951" w:right="944"/>
                          <w:jc w:val="center"/>
                          <w:rPr>
                            <w:rFonts w:ascii="Arial"/>
                            <w:sz w:val="17"/>
                          </w:rPr>
                        </w:pPr>
                        <w:r>
                          <w:rPr>
                            <w:rFonts w:ascii="Arial"/>
                            <w:w w:val="105"/>
                            <w:sz w:val="17"/>
                          </w:rPr>
                          <w:t>018</w:t>
                        </w:r>
                      </w:p>
                    </w:tc>
                    <w:tc>
                      <w:tcPr>
                        <w:tcW w:w="2179" w:type="dxa"/>
                        <w:tcBorders>
                          <w:top w:val="nil"/>
                          <w:left w:val="nil"/>
                          <w:bottom w:val="nil"/>
                          <w:right w:val="nil"/>
                        </w:tcBorders>
                      </w:tcPr>
                      <w:p>
                        <w:pPr>
                          <w:pStyle w:val="TableParagraph"/>
                          <w:spacing w:before="20"/>
                          <w:ind w:left="33"/>
                          <w:rPr>
                            <w:rFonts w:ascii="Arial"/>
                            <w:sz w:val="17"/>
                          </w:rPr>
                        </w:pPr>
                        <w:r>
                          <w:rPr>
                            <w:rFonts w:ascii="Arial"/>
                            <w:w w:val="105"/>
                            <w:sz w:val="17"/>
                          </w:rPr>
                          <w:t>Calimaya</w:t>
                        </w:r>
                      </w:p>
                    </w:tc>
                    <w:tc>
                      <w:tcPr>
                        <w:tcW w:w="2196" w:type="dxa"/>
                        <w:tcBorders>
                          <w:top w:val="nil"/>
                          <w:left w:val="nil"/>
                          <w:bottom w:val="nil"/>
                          <w:right w:val="nil"/>
                        </w:tcBorders>
                      </w:tcPr>
                      <w:p>
                        <w:pPr>
                          <w:pStyle w:val="TableParagraph"/>
                          <w:spacing w:before="20"/>
                          <w:ind w:left="910" w:right="893"/>
                          <w:jc w:val="center"/>
                          <w:rPr>
                            <w:rFonts w:ascii="Arial"/>
                            <w:sz w:val="17"/>
                          </w:rPr>
                        </w:pPr>
                        <w:r>
                          <w:rPr>
                            <w:rFonts w:ascii="Arial"/>
                            <w:w w:val="105"/>
                            <w:sz w:val="17"/>
                          </w:rPr>
                          <w:t>0.0</w:t>
                        </w:r>
                      </w:p>
                    </w:tc>
                    <w:tc>
                      <w:tcPr>
                        <w:tcW w:w="2204" w:type="dxa"/>
                        <w:tcBorders>
                          <w:top w:val="nil"/>
                          <w:left w:val="nil"/>
                          <w:bottom w:val="nil"/>
                          <w:right w:val="nil"/>
                        </w:tcBorders>
                      </w:tcPr>
                      <w:p>
                        <w:pPr>
                          <w:pStyle w:val="TableParagraph"/>
                          <w:spacing w:before="20"/>
                          <w:ind w:left="915" w:right="897"/>
                          <w:jc w:val="center"/>
                          <w:rPr>
                            <w:rFonts w:ascii="Arial"/>
                            <w:sz w:val="17"/>
                          </w:rPr>
                        </w:pPr>
                        <w:r>
                          <w:rPr>
                            <w:rFonts w:ascii="Arial"/>
                            <w:w w:val="105"/>
                            <w:sz w:val="17"/>
                          </w:rPr>
                          <w:t>0.0</w:t>
                        </w:r>
                      </w:p>
                    </w:tc>
                  </w:tr>
                  <w:tr>
                    <w:trPr>
                      <w:trHeight w:val="251" w:hRule="exact"/>
                    </w:trPr>
                    <w:tc>
                      <w:tcPr>
                        <w:tcW w:w="2233" w:type="dxa"/>
                        <w:tcBorders>
                          <w:top w:val="nil"/>
                          <w:left w:val="nil"/>
                          <w:bottom w:val="nil"/>
                          <w:right w:val="nil"/>
                        </w:tcBorders>
                      </w:tcPr>
                      <w:p>
                        <w:pPr>
                          <w:pStyle w:val="TableParagraph"/>
                          <w:spacing w:before="20"/>
                          <w:ind w:left="951" w:right="944"/>
                          <w:jc w:val="center"/>
                          <w:rPr>
                            <w:rFonts w:ascii="Arial"/>
                            <w:sz w:val="17"/>
                          </w:rPr>
                        </w:pPr>
                        <w:r>
                          <w:rPr>
                            <w:rFonts w:ascii="Arial"/>
                            <w:w w:val="105"/>
                            <w:sz w:val="17"/>
                          </w:rPr>
                          <w:t>027</w:t>
                        </w:r>
                      </w:p>
                    </w:tc>
                    <w:tc>
                      <w:tcPr>
                        <w:tcW w:w="2179" w:type="dxa"/>
                        <w:tcBorders>
                          <w:top w:val="nil"/>
                          <w:left w:val="nil"/>
                          <w:bottom w:val="nil"/>
                          <w:right w:val="nil"/>
                        </w:tcBorders>
                      </w:tcPr>
                      <w:p>
                        <w:pPr>
                          <w:pStyle w:val="TableParagraph"/>
                          <w:spacing w:before="20"/>
                          <w:ind w:left="33"/>
                          <w:rPr>
                            <w:rFonts w:ascii="Arial"/>
                            <w:sz w:val="17"/>
                          </w:rPr>
                        </w:pPr>
                        <w:r>
                          <w:rPr>
                            <w:rFonts w:ascii="Arial"/>
                            <w:w w:val="105"/>
                            <w:sz w:val="17"/>
                          </w:rPr>
                          <w:t>Chapultepec</w:t>
                        </w:r>
                      </w:p>
                    </w:tc>
                    <w:tc>
                      <w:tcPr>
                        <w:tcW w:w="2196" w:type="dxa"/>
                        <w:tcBorders>
                          <w:top w:val="nil"/>
                          <w:left w:val="nil"/>
                          <w:bottom w:val="nil"/>
                          <w:right w:val="nil"/>
                        </w:tcBorders>
                      </w:tcPr>
                      <w:p>
                        <w:pPr>
                          <w:pStyle w:val="TableParagraph"/>
                          <w:spacing w:before="20"/>
                          <w:ind w:left="910" w:right="893"/>
                          <w:jc w:val="center"/>
                          <w:rPr>
                            <w:rFonts w:ascii="Arial"/>
                            <w:sz w:val="17"/>
                          </w:rPr>
                        </w:pPr>
                        <w:r>
                          <w:rPr>
                            <w:rFonts w:ascii="Arial"/>
                            <w:w w:val="105"/>
                            <w:sz w:val="17"/>
                          </w:rPr>
                          <w:t>0.0</w:t>
                        </w:r>
                      </w:p>
                    </w:tc>
                    <w:tc>
                      <w:tcPr>
                        <w:tcW w:w="2204" w:type="dxa"/>
                        <w:tcBorders>
                          <w:top w:val="nil"/>
                          <w:left w:val="nil"/>
                          <w:bottom w:val="nil"/>
                          <w:right w:val="nil"/>
                        </w:tcBorders>
                      </w:tcPr>
                      <w:p>
                        <w:pPr>
                          <w:pStyle w:val="TableParagraph"/>
                          <w:spacing w:before="20"/>
                          <w:ind w:left="915" w:right="897"/>
                          <w:jc w:val="center"/>
                          <w:rPr>
                            <w:rFonts w:ascii="Arial"/>
                            <w:sz w:val="17"/>
                          </w:rPr>
                        </w:pPr>
                        <w:r>
                          <w:rPr>
                            <w:rFonts w:ascii="Arial"/>
                            <w:w w:val="105"/>
                            <w:sz w:val="17"/>
                          </w:rPr>
                          <w:t>0.0</w:t>
                        </w:r>
                      </w:p>
                    </w:tc>
                  </w:tr>
                  <w:tr>
                    <w:trPr>
                      <w:trHeight w:val="251" w:hRule="exact"/>
                    </w:trPr>
                    <w:tc>
                      <w:tcPr>
                        <w:tcW w:w="2233" w:type="dxa"/>
                        <w:tcBorders>
                          <w:top w:val="nil"/>
                          <w:left w:val="nil"/>
                          <w:bottom w:val="nil"/>
                          <w:right w:val="nil"/>
                        </w:tcBorders>
                      </w:tcPr>
                      <w:p>
                        <w:pPr>
                          <w:pStyle w:val="TableParagraph"/>
                          <w:spacing w:before="20"/>
                          <w:ind w:left="951" w:right="944"/>
                          <w:jc w:val="center"/>
                          <w:rPr>
                            <w:rFonts w:ascii="Arial"/>
                            <w:sz w:val="17"/>
                          </w:rPr>
                        </w:pPr>
                        <w:r>
                          <w:rPr>
                            <w:rFonts w:ascii="Arial"/>
                            <w:w w:val="105"/>
                            <w:sz w:val="17"/>
                          </w:rPr>
                          <w:t>051</w:t>
                        </w:r>
                      </w:p>
                    </w:tc>
                    <w:tc>
                      <w:tcPr>
                        <w:tcW w:w="2179" w:type="dxa"/>
                        <w:tcBorders>
                          <w:top w:val="nil"/>
                          <w:left w:val="nil"/>
                          <w:bottom w:val="nil"/>
                          <w:right w:val="nil"/>
                        </w:tcBorders>
                      </w:tcPr>
                      <w:p>
                        <w:pPr>
                          <w:pStyle w:val="TableParagraph"/>
                          <w:spacing w:before="20"/>
                          <w:ind w:left="33"/>
                          <w:rPr>
                            <w:rFonts w:ascii="Arial"/>
                            <w:sz w:val="17"/>
                          </w:rPr>
                        </w:pPr>
                        <w:r>
                          <w:rPr>
                            <w:rFonts w:ascii="Arial"/>
                            <w:w w:val="105"/>
                            <w:sz w:val="17"/>
                          </w:rPr>
                          <w:t>Lerma</w:t>
                        </w:r>
                      </w:p>
                    </w:tc>
                    <w:tc>
                      <w:tcPr>
                        <w:tcW w:w="2196" w:type="dxa"/>
                        <w:tcBorders>
                          <w:top w:val="nil"/>
                          <w:left w:val="nil"/>
                          <w:bottom w:val="nil"/>
                          <w:right w:val="nil"/>
                        </w:tcBorders>
                      </w:tcPr>
                      <w:p>
                        <w:pPr>
                          <w:pStyle w:val="TableParagraph"/>
                          <w:spacing w:before="20"/>
                          <w:ind w:left="910" w:right="897"/>
                          <w:jc w:val="center"/>
                          <w:rPr>
                            <w:rFonts w:ascii="Arial"/>
                            <w:sz w:val="17"/>
                          </w:rPr>
                        </w:pPr>
                        <w:r>
                          <w:rPr>
                            <w:rFonts w:ascii="Arial"/>
                            <w:w w:val="105"/>
                            <w:sz w:val="17"/>
                          </w:rPr>
                          <w:t>16.3</w:t>
                        </w:r>
                      </w:p>
                    </w:tc>
                    <w:tc>
                      <w:tcPr>
                        <w:tcW w:w="2204" w:type="dxa"/>
                        <w:tcBorders>
                          <w:top w:val="nil"/>
                          <w:left w:val="nil"/>
                          <w:bottom w:val="nil"/>
                          <w:right w:val="nil"/>
                        </w:tcBorders>
                      </w:tcPr>
                      <w:p>
                        <w:pPr>
                          <w:pStyle w:val="TableParagraph"/>
                          <w:spacing w:before="20"/>
                          <w:ind w:left="919" w:right="897"/>
                          <w:jc w:val="center"/>
                          <w:rPr>
                            <w:rFonts w:ascii="Arial"/>
                            <w:sz w:val="17"/>
                          </w:rPr>
                        </w:pPr>
                        <w:r>
                          <w:rPr>
                            <w:rFonts w:ascii="Arial"/>
                            <w:w w:val="105"/>
                            <w:sz w:val="17"/>
                          </w:rPr>
                          <w:t>16.8</w:t>
                        </w:r>
                      </w:p>
                    </w:tc>
                  </w:tr>
                  <w:tr>
                    <w:trPr>
                      <w:trHeight w:val="250" w:hRule="exact"/>
                    </w:trPr>
                    <w:tc>
                      <w:tcPr>
                        <w:tcW w:w="2233" w:type="dxa"/>
                        <w:tcBorders>
                          <w:top w:val="nil"/>
                          <w:left w:val="nil"/>
                          <w:bottom w:val="nil"/>
                          <w:right w:val="nil"/>
                        </w:tcBorders>
                      </w:tcPr>
                      <w:p>
                        <w:pPr>
                          <w:pStyle w:val="TableParagraph"/>
                          <w:spacing w:before="20"/>
                          <w:ind w:left="951" w:right="944"/>
                          <w:jc w:val="center"/>
                          <w:rPr>
                            <w:rFonts w:ascii="Arial"/>
                            <w:sz w:val="17"/>
                          </w:rPr>
                        </w:pPr>
                        <w:r>
                          <w:rPr>
                            <w:rFonts w:ascii="Arial"/>
                            <w:w w:val="105"/>
                            <w:sz w:val="17"/>
                          </w:rPr>
                          <w:t>054</w:t>
                        </w:r>
                      </w:p>
                    </w:tc>
                    <w:tc>
                      <w:tcPr>
                        <w:tcW w:w="2179" w:type="dxa"/>
                        <w:tcBorders>
                          <w:top w:val="nil"/>
                          <w:left w:val="nil"/>
                          <w:bottom w:val="nil"/>
                          <w:right w:val="nil"/>
                        </w:tcBorders>
                      </w:tcPr>
                      <w:p>
                        <w:pPr>
                          <w:pStyle w:val="TableParagraph"/>
                          <w:spacing w:before="20"/>
                          <w:ind w:left="33"/>
                          <w:rPr>
                            <w:rFonts w:ascii="Arial"/>
                            <w:sz w:val="17"/>
                          </w:rPr>
                        </w:pPr>
                        <w:r>
                          <w:rPr>
                            <w:rFonts w:ascii="Arial"/>
                            <w:w w:val="105"/>
                            <w:sz w:val="17"/>
                          </w:rPr>
                          <w:t>Metepec</w:t>
                        </w:r>
                      </w:p>
                    </w:tc>
                    <w:tc>
                      <w:tcPr>
                        <w:tcW w:w="2196" w:type="dxa"/>
                        <w:tcBorders>
                          <w:top w:val="nil"/>
                          <w:left w:val="nil"/>
                          <w:bottom w:val="nil"/>
                          <w:right w:val="nil"/>
                        </w:tcBorders>
                      </w:tcPr>
                      <w:p>
                        <w:pPr>
                          <w:pStyle w:val="TableParagraph"/>
                          <w:spacing w:before="20"/>
                          <w:ind w:left="910" w:right="897"/>
                          <w:jc w:val="center"/>
                          <w:rPr>
                            <w:rFonts w:ascii="Arial"/>
                            <w:sz w:val="17"/>
                          </w:rPr>
                        </w:pPr>
                        <w:r>
                          <w:rPr>
                            <w:rFonts w:ascii="Arial"/>
                            <w:w w:val="105"/>
                            <w:sz w:val="17"/>
                          </w:rPr>
                          <w:t>81.6</w:t>
                        </w:r>
                      </w:p>
                    </w:tc>
                    <w:tc>
                      <w:tcPr>
                        <w:tcW w:w="2204" w:type="dxa"/>
                        <w:tcBorders>
                          <w:top w:val="nil"/>
                          <w:left w:val="nil"/>
                          <w:bottom w:val="nil"/>
                          <w:right w:val="nil"/>
                        </w:tcBorders>
                      </w:tcPr>
                      <w:p>
                        <w:pPr>
                          <w:pStyle w:val="TableParagraph"/>
                          <w:spacing w:before="20"/>
                          <w:ind w:left="919" w:right="897"/>
                          <w:jc w:val="center"/>
                          <w:rPr>
                            <w:rFonts w:ascii="Arial"/>
                            <w:sz w:val="17"/>
                          </w:rPr>
                        </w:pPr>
                        <w:r>
                          <w:rPr>
                            <w:rFonts w:ascii="Arial"/>
                            <w:w w:val="105"/>
                            <w:sz w:val="17"/>
                          </w:rPr>
                          <w:t>76.5</w:t>
                        </w:r>
                      </w:p>
                    </w:tc>
                  </w:tr>
                  <w:tr>
                    <w:trPr>
                      <w:trHeight w:val="250" w:hRule="exact"/>
                    </w:trPr>
                    <w:tc>
                      <w:tcPr>
                        <w:tcW w:w="2233" w:type="dxa"/>
                        <w:tcBorders>
                          <w:top w:val="nil"/>
                          <w:left w:val="nil"/>
                          <w:bottom w:val="nil"/>
                          <w:right w:val="nil"/>
                        </w:tcBorders>
                      </w:tcPr>
                      <w:p>
                        <w:pPr>
                          <w:pStyle w:val="TableParagraph"/>
                          <w:spacing w:before="20"/>
                          <w:ind w:left="951" w:right="944"/>
                          <w:jc w:val="center"/>
                          <w:rPr>
                            <w:rFonts w:ascii="Arial"/>
                            <w:sz w:val="17"/>
                          </w:rPr>
                        </w:pPr>
                        <w:r>
                          <w:rPr>
                            <w:rFonts w:ascii="Arial"/>
                            <w:w w:val="105"/>
                            <w:sz w:val="17"/>
                          </w:rPr>
                          <w:t>055</w:t>
                        </w:r>
                      </w:p>
                    </w:tc>
                    <w:tc>
                      <w:tcPr>
                        <w:tcW w:w="2179" w:type="dxa"/>
                        <w:tcBorders>
                          <w:top w:val="nil"/>
                          <w:left w:val="nil"/>
                          <w:bottom w:val="nil"/>
                          <w:right w:val="nil"/>
                        </w:tcBorders>
                      </w:tcPr>
                      <w:p>
                        <w:pPr>
                          <w:pStyle w:val="TableParagraph"/>
                          <w:spacing w:before="20"/>
                          <w:ind w:left="33"/>
                          <w:rPr>
                            <w:rFonts w:ascii="Arial"/>
                            <w:sz w:val="17"/>
                          </w:rPr>
                        </w:pPr>
                        <w:r>
                          <w:rPr>
                            <w:rFonts w:ascii="Arial"/>
                            <w:w w:val="105"/>
                            <w:sz w:val="17"/>
                          </w:rPr>
                          <w:t>Mexicaltzingo</w:t>
                        </w:r>
                      </w:p>
                    </w:tc>
                    <w:tc>
                      <w:tcPr>
                        <w:tcW w:w="2196" w:type="dxa"/>
                        <w:tcBorders>
                          <w:top w:val="nil"/>
                          <w:left w:val="nil"/>
                          <w:bottom w:val="nil"/>
                          <w:right w:val="nil"/>
                        </w:tcBorders>
                      </w:tcPr>
                      <w:p>
                        <w:pPr>
                          <w:pStyle w:val="TableParagraph"/>
                          <w:spacing w:before="20"/>
                          <w:ind w:left="910" w:right="893"/>
                          <w:jc w:val="center"/>
                          <w:rPr>
                            <w:rFonts w:ascii="Arial"/>
                            <w:sz w:val="17"/>
                          </w:rPr>
                        </w:pPr>
                        <w:r>
                          <w:rPr>
                            <w:rFonts w:ascii="Arial"/>
                            <w:w w:val="105"/>
                            <w:sz w:val="17"/>
                          </w:rPr>
                          <w:t>0.0</w:t>
                        </w:r>
                      </w:p>
                    </w:tc>
                    <w:tc>
                      <w:tcPr>
                        <w:tcW w:w="2204" w:type="dxa"/>
                        <w:tcBorders>
                          <w:top w:val="nil"/>
                          <w:left w:val="nil"/>
                          <w:bottom w:val="nil"/>
                          <w:right w:val="nil"/>
                        </w:tcBorders>
                      </w:tcPr>
                      <w:p>
                        <w:pPr>
                          <w:pStyle w:val="TableParagraph"/>
                          <w:spacing w:before="20"/>
                          <w:ind w:left="915" w:right="897"/>
                          <w:jc w:val="center"/>
                          <w:rPr>
                            <w:rFonts w:ascii="Arial"/>
                            <w:sz w:val="17"/>
                          </w:rPr>
                        </w:pPr>
                        <w:r>
                          <w:rPr>
                            <w:rFonts w:ascii="Arial"/>
                            <w:w w:val="105"/>
                            <w:sz w:val="17"/>
                          </w:rPr>
                          <w:t>0.0</w:t>
                        </w:r>
                      </w:p>
                    </w:tc>
                  </w:tr>
                  <w:tr>
                    <w:trPr>
                      <w:trHeight w:val="250" w:hRule="exact"/>
                    </w:trPr>
                    <w:tc>
                      <w:tcPr>
                        <w:tcW w:w="2233" w:type="dxa"/>
                        <w:tcBorders>
                          <w:top w:val="nil"/>
                          <w:left w:val="nil"/>
                          <w:bottom w:val="nil"/>
                          <w:right w:val="nil"/>
                        </w:tcBorders>
                      </w:tcPr>
                      <w:p>
                        <w:pPr>
                          <w:pStyle w:val="TableParagraph"/>
                          <w:spacing w:before="20"/>
                          <w:ind w:left="951" w:right="944"/>
                          <w:jc w:val="center"/>
                          <w:rPr>
                            <w:rFonts w:ascii="Arial"/>
                            <w:sz w:val="17"/>
                          </w:rPr>
                        </w:pPr>
                        <w:r>
                          <w:rPr>
                            <w:rFonts w:ascii="Arial"/>
                            <w:w w:val="105"/>
                            <w:sz w:val="17"/>
                          </w:rPr>
                          <w:t>062</w:t>
                        </w:r>
                      </w:p>
                    </w:tc>
                    <w:tc>
                      <w:tcPr>
                        <w:tcW w:w="2179" w:type="dxa"/>
                        <w:tcBorders>
                          <w:top w:val="nil"/>
                          <w:left w:val="nil"/>
                          <w:bottom w:val="nil"/>
                          <w:right w:val="nil"/>
                        </w:tcBorders>
                      </w:tcPr>
                      <w:p>
                        <w:pPr>
                          <w:pStyle w:val="TableParagraph"/>
                          <w:spacing w:before="20"/>
                          <w:ind w:left="33"/>
                          <w:rPr>
                            <w:rFonts w:ascii="Arial"/>
                            <w:sz w:val="17"/>
                          </w:rPr>
                        </w:pPr>
                        <w:r>
                          <w:rPr>
                            <w:rFonts w:ascii="Arial"/>
                            <w:w w:val="105"/>
                            <w:sz w:val="17"/>
                          </w:rPr>
                          <w:t>Ocoyoacac</w:t>
                        </w:r>
                      </w:p>
                    </w:tc>
                    <w:tc>
                      <w:tcPr>
                        <w:tcW w:w="2196" w:type="dxa"/>
                        <w:tcBorders>
                          <w:top w:val="nil"/>
                          <w:left w:val="nil"/>
                          <w:bottom w:val="nil"/>
                          <w:right w:val="nil"/>
                        </w:tcBorders>
                      </w:tcPr>
                      <w:p>
                        <w:pPr>
                          <w:pStyle w:val="TableParagraph"/>
                          <w:spacing w:before="20"/>
                          <w:ind w:left="910" w:right="897"/>
                          <w:jc w:val="center"/>
                          <w:rPr>
                            <w:rFonts w:ascii="Arial"/>
                            <w:sz w:val="17"/>
                          </w:rPr>
                        </w:pPr>
                        <w:r>
                          <w:rPr>
                            <w:rFonts w:ascii="Arial"/>
                            <w:w w:val="105"/>
                            <w:sz w:val="17"/>
                          </w:rPr>
                          <w:t>44.6</w:t>
                        </w:r>
                      </w:p>
                    </w:tc>
                    <w:tc>
                      <w:tcPr>
                        <w:tcW w:w="2204" w:type="dxa"/>
                        <w:tcBorders>
                          <w:top w:val="nil"/>
                          <w:left w:val="nil"/>
                          <w:bottom w:val="nil"/>
                          <w:right w:val="nil"/>
                        </w:tcBorders>
                      </w:tcPr>
                      <w:p>
                        <w:pPr>
                          <w:pStyle w:val="TableParagraph"/>
                          <w:spacing w:before="20"/>
                          <w:ind w:left="919" w:right="897"/>
                          <w:jc w:val="center"/>
                          <w:rPr>
                            <w:rFonts w:ascii="Arial"/>
                            <w:sz w:val="17"/>
                          </w:rPr>
                        </w:pPr>
                        <w:r>
                          <w:rPr>
                            <w:rFonts w:ascii="Arial"/>
                            <w:w w:val="105"/>
                            <w:sz w:val="17"/>
                          </w:rPr>
                          <w:t>42.1</w:t>
                        </w:r>
                      </w:p>
                    </w:tc>
                  </w:tr>
                  <w:tr>
                    <w:trPr>
                      <w:trHeight w:val="251" w:hRule="exact"/>
                    </w:trPr>
                    <w:tc>
                      <w:tcPr>
                        <w:tcW w:w="2233" w:type="dxa"/>
                        <w:tcBorders>
                          <w:top w:val="nil"/>
                          <w:left w:val="nil"/>
                          <w:bottom w:val="nil"/>
                          <w:right w:val="nil"/>
                        </w:tcBorders>
                      </w:tcPr>
                      <w:p>
                        <w:pPr>
                          <w:pStyle w:val="TableParagraph"/>
                          <w:spacing w:before="20"/>
                          <w:ind w:left="951" w:right="944"/>
                          <w:jc w:val="center"/>
                          <w:rPr>
                            <w:rFonts w:ascii="Arial"/>
                            <w:sz w:val="17"/>
                          </w:rPr>
                        </w:pPr>
                        <w:r>
                          <w:rPr>
                            <w:rFonts w:ascii="Arial"/>
                            <w:w w:val="105"/>
                            <w:sz w:val="17"/>
                          </w:rPr>
                          <w:t>067</w:t>
                        </w:r>
                      </w:p>
                    </w:tc>
                    <w:tc>
                      <w:tcPr>
                        <w:tcW w:w="2179" w:type="dxa"/>
                        <w:tcBorders>
                          <w:top w:val="nil"/>
                          <w:left w:val="nil"/>
                          <w:bottom w:val="nil"/>
                          <w:right w:val="nil"/>
                        </w:tcBorders>
                      </w:tcPr>
                      <w:p>
                        <w:pPr>
                          <w:pStyle w:val="TableParagraph"/>
                          <w:spacing w:before="20"/>
                          <w:ind w:left="33"/>
                          <w:rPr>
                            <w:rFonts w:ascii="Arial"/>
                            <w:sz w:val="17"/>
                          </w:rPr>
                        </w:pPr>
                        <w:r>
                          <w:rPr>
                            <w:rFonts w:ascii="Arial"/>
                            <w:w w:val="105"/>
                            <w:sz w:val="17"/>
                          </w:rPr>
                          <w:t>Otzolotepec</w:t>
                        </w:r>
                      </w:p>
                    </w:tc>
                    <w:tc>
                      <w:tcPr>
                        <w:tcW w:w="2196" w:type="dxa"/>
                        <w:tcBorders>
                          <w:top w:val="nil"/>
                          <w:left w:val="nil"/>
                          <w:bottom w:val="nil"/>
                          <w:right w:val="nil"/>
                        </w:tcBorders>
                      </w:tcPr>
                      <w:p>
                        <w:pPr>
                          <w:pStyle w:val="TableParagraph"/>
                          <w:spacing w:before="20"/>
                          <w:ind w:left="910" w:right="897"/>
                          <w:jc w:val="center"/>
                          <w:rPr>
                            <w:rFonts w:ascii="Arial"/>
                            <w:sz w:val="17"/>
                          </w:rPr>
                        </w:pPr>
                        <w:r>
                          <w:rPr>
                            <w:rFonts w:ascii="Arial"/>
                            <w:w w:val="105"/>
                            <w:sz w:val="17"/>
                          </w:rPr>
                          <w:t>28.6</w:t>
                        </w:r>
                      </w:p>
                    </w:tc>
                    <w:tc>
                      <w:tcPr>
                        <w:tcW w:w="2204" w:type="dxa"/>
                        <w:tcBorders>
                          <w:top w:val="nil"/>
                          <w:left w:val="nil"/>
                          <w:bottom w:val="nil"/>
                          <w:right w:val="nil"/>
                        </w:tcBorders>
                      </w:tcPr>
                      <w:p>
                        <w:pPr>
                          <w:pStyle w:val="TableParagraph"/>
                          <w:spacing w:before="20"/>
                          <w:ind w:left="915" w:right="897"/>
                          <w:jc w:val="center"/>
                          <w:rPr>
                            <w:rFonts w:ascii="Arial"/>
                            <w:sz w:val="17"/>
                          </w:rPr>
                        </w:pPr>
                        <w:r>
                          <w:rPr>
                            <w:rFonts w:ascii="Arial"/>
                            <w:w w:val="105"/>
                            <w:sz w:val="17"/>
                          </w:rPr>
                          <w:t>0.0</w:t>
                        </w:r>
                      </w:p>
                    </w:tc>
                  </w:tr>
                  <w:tr>
                    <w:trPr>
                      <w:trHeight w:val="251" w:hRule="exact"/>
                    </w:trPr>
                    <w:tc>
                      <w:tcPr>
                        <w:tcW w:w="2233" w:type="dxa"/>
                        <w:tcBorders>
                          <w:top w:val="nil"/>
                          <w:left w:val="nil"/>
                          <w:bottom w:val="nil"/>
                          <w:right w:val="nil"/>
                        </w:tcBorders>
                      </w:tcPr>
                      <w:p>
                        <w:pPr>
                          <w:pStyle w:val="TableParagraph"/>
                          <w:spacing w:before="20"/>
                          <w:ind w:left="951" w:right="944"/>
                          <w:jc w:val="center"/>
                          <w:rPr>
                            <w:rFonts w:ascii="Arial"/>
                            <w:sz w:val="17"/>
                          </w:rPr>
                        </w:pPr>
                        <w:r>
                          <w:rPr>
                            <w:rFonts w:ascii="Arial"/>
                            <w:w w:val="105"/>
                            <w:sz w:val="17"/>
                          </w:rPr>
                          <w:t>072</w:t>
                        </w:r>
                      </w:p>
                    </w:tc>
                    <w:tc>
                      <w:tcPr>
                        <w:tcW w:w="2179" w:type="dxa"/>
                        <w:tcBorders>
                          <w:top w:val="nil"/>
                          <w:left w:val="nil"/>
                          <w:bottom w:val="nil"/>
                          <w:right w:val="nil"/>
                        </w:tcBorders>
                      </w:tcPr>
                      <w:p>
                        <w:pPr>
                          <w:pStyle w:val="TableParagraph"/>
                          <w:spacing w:before="20"/>
                          <w:ind w:left="33"/>
                          <w:rPr>
                            <w:rFonts w:ascii="Arial" w:hAnsi="Arial"/>
                            <w:sz w:val="17"/>
                          </w:rPr>
                        </w:pPr>
                        <w:r>
                          <w:rPr>
                            <w:rFonts w:ascii="Arial" w:hAnsi="Arial"/>
                            <w:w w:val="105"/>
                            <w:sz w:val="17"/>
                          </w:rPr>
                          <w:t>Rayón</w:t>
                        </w:r>
                      </w:p>
                    </w:tc>
                    <w:tc>
                      <w:tcPr>
                        <w:tcW w:w="2196" w:type="dxa"/>
                        <w:tcBorders>
                          <w:top w:val="nil"/>
                          <w:left w:val="nil"/>
                          <w:bottom w:val="nil"/>
                          <w:right w:val="nil"/>
                        </w:tcBorders>
                      </w:tcPr>
                      <w:p>
                        <w:pPr>
                          <w:pStyle w:val="TableParagraph"/>
                          <w:spacing w:before="20"/>
                          <w:ind w:left="910" w:right="893"/>
                          <w:jc w:val="center"/>
                          <w:rPr>
                            <w:rFonts w:ascii="Arial"/>
                            <w:sz w:val="17"/>
                          </w:rPr>
                        </w:pPr>
                        <w:r>
                          <w:rPr>
                            <w:rFonts w:ascii="Arial"/>
                            <w:w w:val="105"/>
                            <w:sz w:val="17"/>
                          </w:rPr>
                          <w:t>0.0</w:t>
                        </w:r>
                      </w:p>
                    </w:tc>
                    <w:tc>
                      <w:tcPr>
                        <w:tcW w:w="2204" w:type="dxa"/>
                        <w:tcBorders>
                          <w:top w:val="nil"/>
                          <w:left w:val="nil"/>
                          <w:bottom w:val="nil"/>
                          <w:right w:val="nil"/>
                        </w:tcBorders>
                      </w:tcPr>
                      <w:p>
                        <w:pPr>
                          <w:pStyle w:val="TableParagraph"/>
                          <w:spacing w:before="20"/>
                          <w:ind w:left="915" w:right="897"/>
                          <w:jc w:val="center"/>
                          <w:rPr>
                            <w:rFonts w:ascii="Arial"/>
                            <w:sz w:val="17"/>
                          </w:rPr>
                        </w:pPr>
                        <w:r>
                          <w:rPr>
                            <w:rFonts w:ascii="Arial"/>
                            <w:w w:val="105"/>
                            <w:sz w:val="17"/>
                          </w:rPr>
                          <w:t>0.0</w:t>
                        </w:r>
                      </w:p>
                    </w:tc>
                  </w:tr>
                  <w:tr>
                    <w:trPr>
                      <w:trHeight w:val="251" w:hRule="exact"/>
                    </w:trPr>
                    <w:tc>
                      <w:tcPr>
                        <w:tcW w:w="2233" w:type="dxa"/>
                        <w:tcBorders>
                          <w:top w:val="nil"/>
                          <w:left w:val="nil"/>
                          <w:bottom w:val="nil"/>
                          <w:right w:val="nil"/>
                        </w:tcBorders>
                      </w:tcPr>
                      <w:p>
                        <w:pPr>
                          <w:pStyle w:val="TableParagraph"/>
                          <w:spacing w:before="20"/>
                          <w:ind w:left="951" w:right="944"/>
                          <w:jc w:val="center"/>
                          <w:rPr>
                            <w:rFonts w:ascii="Arial"/>
                            <w:sz w:val="17"/>
                          </w:rPr>
                        </w:pPr>
                        <w:r>
                          <w:rPr>
                            <w:rFonts w:ascii="Arial"/>
                            <w:w w:val="105"/>
                            <w:sz w:val="17"/>
                          </w:rPr>
                          <w:t>073</w:t>
                        </w:r>
                      </w:p>
                    </w:tc>
                    <w:tc>
                      <w:tcPr>
                        <w:tcW w:w="2179" w:type="dxa"/>
                        <w:tcBorders>
                          <w:top w:val="nil"/>
                          <w:left w:val="nil"/>
                          <w:bottom w:val="nil"/>
                          <w:right w:val="nil"/>
                        </w:tcBorders>
                      </w:tcPr>
                      <w:p>
                        <w:pPr>
                          <w:pStyle w:val="TableParagraph"/>
                          <w:spacing w:before="20"/>
                          <w:ind w:left="33"/>
                          <w:rPr>
                            <w:rFonts w:ascii="Arial"/>
                            <w:sz w:val="17"/>
                          </w:rPr>
                        </w:pPr>
                        <w:r>
                          <w:rPr>
                            <w:rFonts w:ascii="Arial"/>
                            <w:w w:val="105"/>
                            <w:sz w:val="17"/>
                          </w:rPr>
                          <w:t>San Antonio la Isla</w:t>
                        </w:r>
                      </w:p>
                    </w:tc>
                    <w:tc>
                      <w:tcPr>
                        <w:tcW w:w="2196" w:type="dxa"/>
                        <w:tcBorders>
                          <w:top w:val="nil"/>
                          <w:left w:val="nil"/>
                          <w:bottom w:val="nil"/>
                          <w:right w:val="nil"/>
                        </w:tcBorders>
                      </w:tcPr>
                      <w:p>
                        <w:pPr>
                          <w:pStyle w:val="TableParagraph"/>
                          <w:spacing w:before="20"/>
                          <w:ind w:left="910" w:right="893"/>
                          <w:jc w:val="center"/>
                          <w:rPr>
                            <w:rFonts w:ascii="Arial"/>
                            <w:sz w:val="17"/>
                          </w:rPr>
                        </w:pPr>
                        <w:r>
                          <w:rPr>
                            <w:rFonts w:ascii="Arial"/>
                            <w:w w:val="105"/>
                            <w:sz w:val="17"/>
                          </w:rPr>
                          <w:t>0.0</w:t>
                        </w:r>
                      </w:p>
                    </w:tc>
                    <w:tc>
                      <w:tcPr>
                        <w:tcW w:w="2204" w:type="dxa"/>
                        <w:tcBorders>
                          <w:top w:val="nil"/>
                          <w:left w:val="nil"/>
                          <w:bottom w:val="nil"/>
                          <w:right w:val="nil"/>
                        </w:tcBorders>
                      </w:tcPr>
                      <w:p>
                        <w:pPr>
                          <w:pStyle w:val="TableParagraph"/>
                          <w:spacing w:before="20"/>
                          <w:ind w:left="915" w:right="897"/>
                          <w:jc w:val="center"/>
                          <w:rPr>
                            <w:rFonts w:ascii="Arial"/>
                            <w:sz w:val="17"/>
                          </w:rPr>
                        </w:pPr>
                        <w:r>
                          <w:rPr>
                            <w:rFonts w:ascii="Arial"/>
                            <w:w w:val="105"/>
                            <w:sz w:val="17"/>
                          </w:rPr>
                          <w:t>0.0</w:t>
                        </w:r>
                      </w:p>
                    </w:tc>
                  </w:tr>
                  <w:tr>
                    <w:trPr>
                      <w:trHeight w:val="251" w:hRule="exact"/>
                    </w:trPr>
                    <w:tc>
                      <w:tcPr>
                        <w:tcW w:w="2233" w:type="dxa"/>
                        <w:tcBorders>
                          <w:top w:val="nil"/>
                          <w:left w:val="nil"/>
                          <w:bottom w:val="nil"/>
                          <w:right w:val="nil"/>
                        </w:tcBorders>
                      </w:tcPr>
                      <w:p>
                        <w:pPr>
                          <w:pStyle w:val="TableParagraph"/>
                          <w:spacing w:before="20"/>
                          <w:ind w:left="951" w:right="944"/>
                          <w:jc w:val="center"/>
                          <w:rPr>
                            <w:rFonts w:ascii="Arial"/>
                            <w:sz w:val="17"/>
                          </w:rPr>
                        </w:pPr>
                        <w:r>
                          <w:rPr>
                            <w:rFonts w:ascii="Arial"/>
                            <w:w w:val="105"/>
                            <w:sz w:val="17"/>
                          </w:rPr>
                          <w:t>076</w:t>
                        </w:r>
                      </w:p>
                    </w:tc>
                    <w:tc>
                      <w:tcPr>
                        <w:tcW w:w="2179" w:type="dxa"/>
                        <w:tcBorders>
                          <w:top w:val="nil"/>
                          <w:left w:val="nil"/>
                          <w:bottom w:val="nil"/>
                          <w:right w:val="nil"/>
                        </w:tcBorders>
                      </w:tcPr>
                      <w:p>
                        <w:pPr>
                          <w:pStyle w:val="TableParagraph"/>
                          <w:spacing w:before="20"/>
                          <w:ind w:left="33"/>
                          <w:rPr>
                            <w:rFonts w:ascii="Arial"/>
                            <w:sz w:val="17"/>
                          </w:rPr>
                        </w:pPr>
                        <w:r>
                          <w:rPr>
                            <w:rFonts w:ascii="Arial"/>
                            <w:w w:val="105"/>
                            <w:sz w:val="17"/>
                          </w:rPr>
                          <w:t>San Mateo Atenco</w:t>
                        </w:r>
                      </w:p>
                    </w:tc>
                    <w:tc>
                      <w:tcPr>
                        <w:tcW w:w="2196" w:type="dxa"/>
                        <w:tcBorders>
                          <w:top w:val="nil"/>
                          <w:left w:val="nil"/>
                          <w:bottom w:val="nil"/>
                          <w:right w:val="nil"/>
                        </w:tcBorders>
                      </w:tcPr>
                      <w:p>
                        <w:pPr>
                          <w:pStyle w:val="TableParagraph"/>
                          <w:spacing w:before="20"/>
                          <w:ind w:left="910" w:right="897"/>
                          <w:jc w:val="center"/>
                          <w:rPr>
                            <w:rFonts w:ascii="Arial"/>
                            <w:sz w:val="17"/>
                          </w:rPr>
                        </w:pPr>
                        <w:r>
                          <w:rPr>
                            <w:rFonts w:ascii="Arial"/>
                            <w:w w:val="105"/>
                            <w:sz w:val="17"/>
                          </w:rPr>
                          <w:t>96.3</w:t>
                        </w:r>
                      </w:p>
                    </w:tc>
                    <w:tc>
                      <w:tcPr>
                        <w:tcW w:w="2204" w:type="dxa"/>
                        <w:tcBorders>
                          <w:top w:val="nil"/>
                          <w:left w:val="nil"/>
                          <w:bottom w:val="nil"/>
                          <w:right w:val="nil"/>
                        </w:tcBorders>
                      </w:tcPr>
                      <w:p>
                        <w:pPr>
                          <w:pStyle w:val="TableParagraph"/>
                          <w:spacing w:before="20"/>
                          <w:ind w:left="919" w:right="897"/>
                          <w:jc w:val="center"/>
                          <w:rPr>
                            <w:rFonts w:ascii="Arial"/>
                            <w:sz w:val="17"/>
                          </w:rPr>
                        </w:pPr>
                        <w:r>
                          <w:rPr>
                            <w:rFonts w:ascii="Arial"/>
                            <w:w w:val="105"/>
                            <w:sz w:val="17"/>
                          </w:rPr>
                          <w:t>93.5</w:t>
                        </w:r>
                      </w:p>
                    </w:tc>
                  </w:tr>
                  <w:tr>
                    <w:trPr>
                      <w:trHeight w:val="251" w:hRule="exact"/>
                    </w:trPr>
                    <w:tc>
                      <w:tcPr>
                        <w:tcW w:w="2233" w:type="dxa"/>
                        <w:tcBorders>
                          <w:top w:val="nil"/>
                          <w:left w:val="nil"/>
                          <w:bottom w:val="nil"/>
                          <w:right w:val="nil"/>
                        </w:tcBorders>
                      </w:tcPr>
                      <w:p>
                        <w:pPr>
                          <w:pStyle w:val="TableParagraph"/>
                          <w:spacing w:before="20"/>
                          <w:ind w:left="951" w:right="944"/>
                          <w:jc w:val="center"/>
                          <w:rPr>
                            <w:rFonts w:ascii="Arial"/>
                            <w:sz w:val="17"/>
                          </w:rPr>
                        </w:pPr>
                        <w:r>
                          <w:rPr>
                            <w:rFonts w:ascii="Arial"/>
                            <w:w w:val="105"/>
                            <w:sz w:val="17"/>
                          </w:rPr>
                          <w:t>087</w:t>
                        </w:r>
                      </w:p>
                    </w:tc>
                    <w:tc>
                      <w:tcPr>
                        <w:tcW w:w="2179" w:type="dxa"/>
                        <w:tcBorders>
                          <w:top w:val="nil"/>
                          <w:left w:val="nil"/>
                          <w:bottom w:val="nil"/>
                          <w:right w:val="nil"/>
                        </w:tcBorders>
                      </w:tcPr>
                      <w:p>
                        <w:pPr>
                          <w:pStyle w:val="TableParagraph"/>
                          <w:spacing w:before="20"/>
                          <w:ind w:left="33"/>
                          <w:rPr>
                            <w:rFonts w:ascii="Arial"/>
                            <w:sz w:val="17"/>
                          </w:rPr>
                        </w:pPr>
                        <w:r>
                          <w:rPr>
                            <w:rFonts w:ascii="Arial"/>
                            <w:w w:val="105"/>
                            <w:sz w:val="17"/>
                          </w:rPr>
                          <w:t>Temoaya</w:t>
                        </w:r>
                      </w:p>
                    </w:tc>
                    <w:tc>
                      <w:tcPr>
                        <w:tcW w:w="2196" w:type="dxa"/>
                        <w:tcBorders>
                          <w:top w:val="nil"/>
                          <w:left w:val="nil"/>
                          <w:bottom w:val="nil"/>
                          <w:right w:val="nil"/>
                        </w:tcBorders>
                      </w:tcPr>
                      <w:p>
                        <w:pPr>
                          <w:pStyle w:val="TableParagraph"/>
                          <w:spacing w:before="20"/>
                          <w:ind w:left="910" w:right="893"/>
                          <w:jc w:val="center"/>
                          <w:rPr>
                            <w:rFonts w:ascii="Arial"/>
                            <w:sz w:val="17"/>
                          </w:rPr>
                        </w:pPr>
                        <w:r>
                          <w:rPr>
                            <w:rFonts w:ascii="Arial"/>
                            <w:w w:val="105"/>
                            <w:sz w:val="17"/>
                          </w:rPr>
                          <w:t>0.0</w:t>
                        </w:r>
                      </w:p>
                    </w:tc>
                    <w:tc>
                      <w:tcPr>
                        <w:tcW w:w="2204" w:type="dxa"/>
                        <w:tcBorders>
                          <w:top w:val="nil"/>
                          <w:left w:val="nil"/>
                          <w:bottom w:val="nil"/>
                          <w:right w:val="nil"/>
                        </w:tcBorders>
                      </w:tcPr>
                      <w:p>
                        <w:pPr>
                          <w:pStyle w:val="TableParagraph"/>
                          <w:spacing w:before="20"/>
                          <w:ind w:left="915" w:right="897"/>
                          <w:jc w:val="center"/>
                          <w:rPr>
                            <w:rFonts w:ascii="Arial"/>
                            <w:sz w:val="17"/>
                          </w:rPr>
                        </w:pPr>
                        <w:r>
                          <w:rPr>
                            <w:rFonts w:ascii="Arial"/>
                            <w:w w:val="105"/>
                            <w:sz w:val="17"/>
                          </w:rPr>
                          <w:t>0.0</w:t>
                        </w:r>
                      </w:p>
                    </w:tc>
                  </w:tr>
                  <w:tr>
                    <w:trPr>
                      <w:trHeight w:val="251" w:hRule="exact"/>
                    </w:trPr>
                    <w:tc>
                      <w:tcPr>
                        <w:tcW w:w="2233" w:type="dxa"/>
                        <w:tcBorders>
                          <w:top w:val="nil"/>
                          <w:left w:val="nil"/>
                          <w:bottom w:val="nil"/>
                          <w:right w:val="nil"/>
                        </w:tcBorders>
                      </w:tcPr>
                      <w:p>
                        <w:pPr>
                          <w:pStyle w:val="TableParagraph"/>
                          <w:spacing w:before="20"/>
                          <w:ind w:left="951" w:right="944"/>
                          <w:jc w:val="center"/>
                          <w:rPr>
                            <w:rFonts w:ascii="Arial"/>
                            <w:sz w:val="17"/>
                          </w:rPr>
                        </w:pPr>
                        <w:r>
                          <w:rPr>
                            <w:rFonts w:ascii="Arial"/>
                            <w:w w:val="105"/>
                            <w:sz w:val="17"/>
                          </w:rPr>
                          <w:t>106</w:t>
                        </w:r>
                      </w:p>
                    </w:tc>
                    <w:tc>
                      <w:tcPr>
                        <w:tcW w:w="2179" w:type="dxa"/>
                        <w:tcBorders>
                          <w:top w:val="nil"/>
                          <w:left w:val="nil"/>
                          <w:bottom w:val="nil"/>
                          <w:right w:val="nil"/>
                        </w:tcBorders>
                      </w:tcPr>
                      <w:p>
                        <w:pPr>
                          <w:pStyle w:val="TableParagraph"/>
                          <w:spacing w:before="20"/>
                          <w:ind w:left="33"/>
                          <w:rPr>
                            <w:rFonts w:ascii="Arial"/>
                            <w:sz w:val="17"/>
                          </w:rPr>
                        </w:pPr>
                        <w:r>
                          <w:rPr>
                            <w:rFonts w:ascii="Arial"/>
                            <w:w w:val="105"/>
                            <w:sz w:val="17"/>
                          </w:rPr>
                          <w:t>Toluca</w:t>
                        </w:r>
                      </w:p>
                    </w:tc>
                    <w:tc>
                      <w:tcPr>
                        <w:tcW w:w="2196" w:type="dxa"/>
                        <w:tcBorders>
                          <w:top w:val="nil"/>
                          <w:left w:val="nil"/>
                          <w:bottom w:val="nil"/>
                          <w:right w:val="nil"/>
                        </w:tcBorders>
                      </w:tcPr>
                      <w:p>
                        <w:pPr>
                          <w:pStyle w:val="TableParagraph"/>
                          <w:spacing w:before="20"/>
                          <w:ind w:left="910" w:right="897"/>
                          <w:jc w:val="center"/>
                          <w:rPr>
                            <w:rFonts w:ascii="Arial"/>
                            <w:sz w:val="17"/>
                          </w:rPr>
                        </w:pPr>
                        <w:r>
                          <w:rPr>
                            <w:rFonts w:ascii="Arial"/>
                            <w:w w:val="105"/>
                            <w:sz w:val="17"/>
                          </w:rPr>
                          <w:t>74.4</w:t>
                        </w:r>
                      </w:p>
                    </w:tc>
                    <w:tc>
                      <w:tcPr>
                        <w:tcW w:w="2204" w:type="dxa"/>
                        <w:tcBorders>
                          <w:top w:val="nil"/>
                          <w:left w:val="nil"/>
                          <w:bottom w:val="nil"/>
                          <w:right w:val="nil"/>
                        </w:tcBorders>
                      </w:tcPr>
                      <w:p>
                        <w:pPr>
                          <w:pStyle w:val="TableParagraph"/>
                          <w:spacing w:before="20"/>
                          <w:ind w:left="919" w:right="897"/>
                          <w:jc w:val="center"/>
                          <w:rPr>
                            <w:rFonts w:ascii="Arial"/>
                            <w:sz w:val="17"/>
                          </w:rPr>
                        </w:pPr>
                        <w:r>
                          <w:rPr>
                            <w:rFonts w:ascii="Arial"/>
                            <w:w w:val="105"/>
                            <w:sz w:val="17"/>
                          </w:rPr>
                          <w:t>77.3</w:t>
                        </w:r>
                      </w:p>
                    </w:tc>
                  </w:tr>
                  <w:tr>
                    <w:trPr>
                      <w:trHeight w:val="248" w:hRule="exact"/>
                    </w:trPr>
                    <w:tc>
                      <w:tcPr>
                        <w:tcW w:w="2233" w:type="dxa"/>
                        <w:tcBorders>
                          <w:top w:val="nil"/>
                          <w:left w:val="nil"/>
                          <w:bottom w:val="nil"/>
                          <w:right w:val="nil"/>
                        </w:tcBorders>
                      </w:tcPr>
                      <w:p>
                        <w:pPr>
                          <w:pStyle w:val="TableParagraph"/>
                          <w:spacing w:before="20"/>
                          <w:ind w:left="951" w:right="944"/>
                          <w:jc w:val="center"/>
                          <w:rPr>
                            <w:rFonts w:ascii="Arial"/>
                            <w:sz w:val="17"/>
                          </w:rPr>
                        </w:pPr>
                        <w:r>
                          <w:rPr>
                            <w:rFonts w:ascii="Arial"/>
                            <w:w w:val="105"/>
                            <w:sz w:val="17"/>
                          </w:rPr>
                          <w:t>115</w:t>
                        </w:r>
                      </w:p>
                    </w:tc>
                    <w:tc>
                      <w:tcPr>
                        <w:tcW w:w="2179" w:type="dxa"/>
                        <w:tcBorders>
                          <w:top w:val="nil"/>
                          <w:left w:val="nil"/>
                          <w:bottom w:val="nil"/>
                          <w:right w:val="nil"/>
                        </w:tcBorders>
                      </w:tcPr>
                      <w:p>
                        <w:pPr>
                          <w:pStyle w:val="TableParagraph"/>
                          <w:spacing w:before="20"/>
                          <w:ind w:left="33"/>
                          <w:rPr>
                            <w:rFonts w:ascii="Arial" w:hAnsi="Arial"/>
                            <w:sz w:val="17"/>
                          </w:rPr>
                        </w:pPr>
                        <w:r>
                          <w:rPr>
                            <w:rFonts w:ascii="Arial" w:hAnsi="Arial"/>
                            <w:w w:val="105"/>
                            <w:sz w:val="17"/>
                          </w:rPr>
                          <w:t>Xonacatlán</w:t>
                        </w:r>
                      </w:p>
                    </w:tc>
                    <w:tc>
                      <w:tcPr>
                        <w:tcW w:w="2196" w:type="dxa"/>
                        <w:tcBorders>
                          <w:top w:val="nil"/>
                          <w:left w:val="nil"/>
                          <w:bottom w:val="nil"/>
                          <w:right w:val="nil"/>
                        </w:tcBorders>
                      </w:tcPr>
                      <w:p>
                        <w:pPr>
                          <w:pStyle w:val="TableParagraph"/>
                          <w:spacing w:before="20"/>
                          <w:ind w:left="910" w:right="897"/>
                          <w:jc w:val="center"/>
                          <w:rPr>
                            <w:rFonts w:ascii="Arial"/>
                            <w:sz w:val="17"/>
                          </w:rPr>
                        </w:pPr>
                        <w:r>
                          <w:rPr>
                            <w:rFonts w:ascii="Arial"/>
                            <w:w w:val="105"/>
                            <w:sz w:val="17"/>
                          </w:rPr>
                          <w:t>42.7</w:t>
                        </w:r>
                      </w:p>
                    </w:tc>
                    <w:tc>
                      <w:tcPr>
                        <w:tcW w:w="2204" w:type="dxa"/>
                        <w:tcBorders>
                          <w:top w:val="nil"/>
                          <w:left w:val="nil"/>
                          <w:bottom w:val="nil"/>
                          <w:right w:val="nil"/>
                        </w:tcBorders>
                      </w:tcPr>
                      <w:p>
                        <w:pPr>
                          <w:pStyle w:val="TableParagraph"/>
                          <w:spacing w:before="20"/>
                          <w:ind w:left="919" w:right="897"/>
                          <w:jc w:val="center"/>
                          <w:rPr>
                            <w:rFonts w:ascii="Arial"/>
                            <w:sz w:val="17"/>
                          </w:rPr>
                        </w:pPr>
                        <w:r>
                          <w:rPr>
                            <w:rFonts w:ascii="Arial"/>
                            <w:w w:val="105"/>
                            <w:sz w:val="17"/>
                          </w:rPr>
                          <w:t>44.6</w:t>
                        </w:r>
                      </w:p>
                    </w:tc>
                  </w:tr>
                  <w:tr>
                    <w:trPr>
                      <w:trHeight w:val="257" w:hRule="exact"/>
                    </w:trPr>
                    <w:tc>
                      <w:tcPr>
                        <w:tcW w:w="2233" w:type="dxa"/>
                        <w:tcBorders>
                          <w:top w:val="nil"/>
                          <w:left w:val="nil"/>
                          <w:right w:val="nil"/>
                        </w:tcBorders>
                      </w:tcPr>
                      <w:p>
                        <w:pPr>
                          <w:pStyle w:val="TableParagraph"/>
                          <w:spacing w:before="18"/>
                          <w:ind w:left="951" w:right="944"/>
                          <w:jc w:val="center"/>
                          <w:rPr>
                            <w:rFonts w:ascii="Arial"/>
                            <w:sz w:val="17"/>
                          </w:rPr>
                        </w:pPr>
                        <w:r>
                          <w:rPr>
                            <w:rFonts w:ascii="Arial"/>
                            <w:w w:val="105"/>
                            <w:sz w:val="17"/>
                          </w:rPr>
                          <w:t>118</w:t>
                        </w:r>
                      </w:p>
                    </w:tc>
                    <w:tc>
                      <w:tcPr>
                        <w:tcW w:w="2179" w:type="dxa"/>
                        <w:tcBorders>
                          <w:top w:val="nil"/>
                          <w:left w:val="nil"/>
                          <w:right w:val="nil"/>
                        </w:tcBorders>
                      </w:tcPr>
                      <w:p>
                        <w:pPr>
                          <w:pStyle w:val="TableParagraph"/>
                          <w:spacing w:before="18"/>
                          <w:ind w:left="33"/>
                          <w:rPr>
                            <w:rFonts w:ascii="Arial"/>
                            <w:sz w:val="17"/>
                          </w:rPr>
                        </w:pPr>
                        <w:r>
                          <w:rPr>
                            <w:rFonts w:ascii="Arial"/>
                            <w:w w:val="105"/>
                            <w:sz w:val="17"/>
                          </w:rPr>
                          <w:t>Zinacantepec</w:t>
                        </w:r>
                      </w:p>
                    </w:tc>
                    <w:tc>
                      <w:tcPr>
                        <w:tcW w:w="2196" w:type="dxa"/>
                        <w:tcBorders>
                          <w:top w:val="nil"/>
                          <w:left w:val="nil"/>
                          <w:right w:val="nil"/>
                        </w:tcBorders>
                      </w:tcPr>
                      <w:p>
                        <w:pPr>
                          <w:pStyle w:val="TableParagraph"/>
                          <w:spacing w:before="18"/>
                          <w:ind w:left="910" w:right="897"/>
                          <w:jc w:val="center"/>
                          <w:rPr>
                            <w:rFonts w:ascii="Arial"/>
                            <w:sz w:val="17"/>
                          </w:rPr>
                        </w:pPr>
                        <w:r>
                          <w:rPr>
                            <w:rFonts w:ascii="Arial"/>
                            <w:w w:val="105"/>
                            <w:sz w:val="17"/>
                          </w:rPr>
                          <w:t>35.0</w:t>
                        </w:r>
                      </w:p>
                    </w:tc>
                    <w:tc>
                      <w:tcPr>
                        <w:tcW w:w="2204" w:type="dxa"/>
                        <w:tcBorders>
                          <w:top w:val="nil"/>
                          <w:left w:val="nil"/>
                          <w:right w:val="nil"/>
                        </w:tcBorders>
                      </w:tcPr>
                      <w:p>
                        <w:pPr>
                          <w:pStyle w:val="TableParagraph"/>
                          <w:spacing w:before="18"/>
                          <w:ind w:left="919" w:right="897"/>
                          <w:jc w:val="center"/>
                          <w:rPr>
                            <w:rFonts w:ascii="Arial"/>
                            <w:sz w:val="17"/>
                          </w:rPr>
                        </w:pPr>
                        <w:r>
                          <w:rPr>
                            <w:rFonts w:ascii="Arial"/>
                            <w:w w:val="105"/>
                            <w:sz w:val="17"/>
                          </w:rPr>
                          <w:t>41.9</w:t>
                        </w:r>
                      </w:p>
                    </w:tc>
                  </w:tr>
                </w:tbl>
                <w:p>
                  <w:pPr>
                    <w:pStyle w:val="BodyText"/>
                  </w:pPr>
                </w:p>
              </w:txbxContent>
            </v:textbox>
            <w10:wrap type="none"/>
          </v:shape>
        </w:pict>
      </w:r>
      <w:r>
        <w:rPr>
          <w:sz w:val="20"/>
        </w:rPr>
        <w:t>Grado de urbanización por municipio de la ZMT, 2000-2010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59"/>
        <w:ind w:left="38" w:right="58" w:firstLine="0"/>
        <w:jc w:val="center"/>
        <w:rPr>
          <w:sz w:val="20"/>
        </w:rPr>
      </w:pPr>
      <w:r>
        <w:rPr>
          <w:sz w:val="20"/>
        </w:rPr>
        <w:t>Fuente: elaboración con base en los censos de población y vivienda, INEGI, 2000-2010.</w:t>
      </w:r>
    </w:p>
    <w:p>
      <w:pPr>
        <w:pStyle w:val="BodyText"/>
        <w:rPr>
          <w:sz w:val="20"/>
        </w:rPr>
      </w:pPr>
    </w:p>
    <w:p>
      <w:pPr>
        <w:pStyle w:val="BodyText"/>
        <w:rPr>
          <w:sz w:val="16"/>
        </w:rPr>
      </w:pPr>
    </w:p>
    <w:p>
      <w:pPr>
        <w:pStyle w:val="BodyText"/>
        <w:spacing w:line="360" w:lineRule="auto"/>
        <w:ind w:left="122" w:right="135"/>
        <w:jc w:val="both"/>
      </w:pPr>
      <w:r>
        <w:rPr/>
        <w:t>Para el año 2010, son ocho municipios que presenta grado de urbanización, siendo el municipio de San Mateo Atenco quien presenta más del 93 por ciento, seguido, Toluca y Metepec con el 77 y 76 por ciento respectivamente, estos tres municipios cuentan con la mayoría de la población viviendo en localidades de más de 15 habitantes (zonas urbanas) como vimos anteriormente desde el año</w:t>
      </w:r>
      <w:r>
        <w:rPr>
          <w:spacing w:val="-31"/>
        </w:rPr>
        <w:t> </w:t>
      </w:r>
      <w:r>
        <w:rPr/>
        <w:t>2000.</w:t>
      </w:r>
    </w:p>
    <w:p>
      <w:pPr>
        <w:pStyle w:val="BodyText"/>
        <w:rPr>
          <w:sz w:val="20"/>
        </w:rPr>
      </w:pPr>
    </w:p>
    <w:p>
      <w:pPr>
        <w:pStyle w:val="BodyText"/>
        <w:rPr>
          <w:sz w:val="20"/>
        </w:rPr>
      </w:pPr>
    </w:p>
    <w:p>
      <w:pPr>
        <w:pStyle w:val="BodyText"/>
        <w:rPr>
          <w:sz w:val="20"/>
        </w:rPr>
      </w:pPr>
    </w:p>
    <w:p>
      <w:pPr>
        <w:pStyle w:val="BodyText"/>
        <w:spacing w:before="7"/>
        <w:rPr>
          <w:sz w:val="19"/>
        </w:rPr>
      </w:pPr>
      <w:r>
        <w:rPr/>
        <w:pict>
          <v:line style="position:absolute;mso-position-horizontal-relative:page;mso-position-vertical-relative:paragraph;z-index:2080;mso-wrap-distance-left:0;mso-wrap-distance-right:0" from="85.103996pt,13.676825pt" to="229.123996pt,13.676825pt" stroked="true" strokeweight=".84003pt" strokecolor="#000000">
            <w10:wrap type="topAndBottom"/>
          </v:line>
        </w:pict>
      </w:r>
    </w:p>
    <w:p>
      <w:pPr>
        <w:spacing w:before="74"/>
        <w:ind w:left="122" w:right="148" w:firstLine="0"/>
        <w:jc w:val="both"/>
        <w:rPr>
          <w:rFonts w:ascii="Calibri" w:hAnsi="Calibri"/>
          <w:sz w:val="20"/>
        </w:rPr>
      </w:pPr>
      <w:r>
        <w:rPr>
          <w:rFonts w:ascii="Calibri" w:hAnsi="Calibri"/>
          <w:position w:val="7"/>
          <w:sz w:val="13"/>
        </w:rPr>
        <w:t>8 </w:t>
      </w:r>
      <w:r>
        <w:rPr>
          <w:rFonts w:ascii="Calibri" w:hAnsi="Calibri"/>
          <w:sz w:val="20"/>
        </w:rPr>
        <w:t>El municipio de Otzolotepec en el año 2000 registraba la cabecera municipal más de 16 mil habitantes, y en el año 2010 registra 11 mil habitantes en la cabecera municipal, lo que significa un importante movimiento de población ya sea por migración o desplazamiento.</w:t>
      </w:r>
    </w:p>
    <w:p>
      <w:pPr>
        <w:spacing w:after="0"/>
        <w:jc w:val="both"/>
        <w:rPr>
          <w:rFonts w:ascii="Calibri" w:hAnsi="Calibri"/>
          <w:sz w:val="20"/>
        </w:rPr>
        <w:sectPr>
          <w:pgSz w:w="12240" w:h="15840"/>
          <w:pgMar w:header="0" w:footer="1003" w:top="1360" w:bottom="1200" w:left="1580" w:right="1560"/>
        </w:sectPr>
      </w:pPr>
    </w:p>
    <w:p>
      <w:pPr>
        <w:pStyle w:val="BodyText"/>
        <w:spacing w:line="360" w:lineRule="auto" w:before="54"/>
        <w:ind w:left="102" w:right="118"/>
        <w:jc w:val="both"/>
      </w:pPr>
      <w:r>
        <w:rPr/>
        <w:t>Los municipios con menos de la mitad de su población que radica en zonas urbanas y que presentan grado de urbanización son: Xonacatlán con el 44 por ciento, Ocoyoacac con el 42 por ciento, Zinacantepec el 41 por ciento, Lerma el 16 por ciento y se integra Almoloya de Juárez con el 11 por ciento.</w:t>
      </w:r>
    </w:p>
    <w:p>
      <w:pPr>
        <w:pStyle w:val="BodyText"/>
      </w:pPr>
    </w:p>
    <w:p>
      <w:pPr>
        <w:pStyle w:val="BodyText"/>
        <w:spacing w:line="360" w:lineRule="auto" w:before="142"/>
        <w:ind w:left="102" w:right="114"/>
        <w:jc w:val="both"/>
      </w:pPr>
      <w:r>
        <w:rPr/>
        <w:t>Los municipios que para el año 2010 no cuentan con grado de urbanización son Calimaya, Chapultepec, Mexicaltzingo, Otzolotepec, Rayón, San Antonio la Isla y Temoaya. Esto en parte se explica porque municipios como Chapultepec, Mexicaltzingo y Rayón su población no cuentan con más de 15 mil habitantes (ver cuadro 3).</w:t>
      </w:r>
    </w:p>
    <w:p>
      <w:pPr>
        <w:pStyle w:val="BodyText"/>
        <w:spacing w:before="3"/>
        <w:rPr>
          <w:sz w:val="30"/>
        </w:rPr>
      </w:pPr>
    </w:p>
    <w:p>
      <w:pPr>
        <w:pStyle w:val="BodyText"/>
        <w:spacing w:line="360" w:lineRule="auto"/>
        <w:ind w:left="102" w:right="117"/>
        <w:jc w:val="both"/>
      </w:pPr>
      <w:r>
        <w:rPr/>
        <w:t>La ubicación de la Zona Metropolitana de Toluca que según el </w:t>
      </w:r>
      <w:r>
        <w:rPr>
          <w:sz w:val="19"/>
        </w:rPr>
        <w:t>CONAPO</w:t>
      </w:r>
      <w:r>
        <w:rPr/>
        <w:t>, 2012 menciona que está integrada por 15 municipios los cuales son los siguientes: Almoloya de Juárez, Calimaya, Chapultepec, Lerma, Metepec, Mexicaltzingo, Ocoyoacac, Otzolotepec, Rayón, San Antonio la Isla, San Mateo Atenco, Temoaya, Toluca, Xonacatlán y Zinacantepec (ver mapa</w:t>
      </w:r>
      <w:r>
        <w:rPr>
          <w:spacing w:val="-25"/>
        </w:rPr>
        <w:t> </w:t>
      </w:r>
      <w:r>
        <w:rPr/>
        <w:t>1).</w:t>
      </w:r>
    </w:p>
    <w:p>
      <w:pPr>
        <w:spacing w:after="0" w:line="360" w:lineRule="auto"/>
        <w:jc w:val="both"/>
        <w:sectPr>
          <w:pgSz w:w="12240" w:h="15840"/>
          <w:pgMar w:header="0" w:footer="1003" w:top="1360" w:bottom="1200" w:left="1600" w:right="1580"/>
        </w:sectPr>
      </w:pPr>
    </w:p>
    <w:p>
      <w:pPr>
        <w:spacing w:before="56"/>
        <w:ind w:left="198" w:right="216" w:firstLine="0"/>
        <w:jc w:val="center"/>
        <w:rPr>
          <w:sz w:val="20"/>
        </w:rPr>
      </w:pPr>
      <w:r>
        <w:rPr>
          <w:sz w:val="20"/>
        </w:rPr>
        <w:t>Mapa 1</w:t>
      </w:r>
    </w:p>
    <w:p>
      <w:pPr>
        <w:spacing w:before="36"/>
        <w:ind w:left="2481" w:right="0" w:firstLine="0"/>
        <w:jc w:val="left"/>
        <w:rPr>
          <w:sz w:val="20"/>
        </w:rPr>
      </w:pPr>
      <w:r>
        <w:rPr/>
        <w:drawing>
          <wp:anchor distT="0" distB="0" distL="0" distR="0" allowOverlap="1" layoutInCell="1" locked="0" behindDoc="0" simplePos="0" relativeHeight="2128">
            <wp:simplePos x="0" y="0"/>
            <wp:positionH relativeFrom="page">
              <wp:posOffset>1080516</wp:posOffset>
            </wp:positionH>
            <wp:positionV relativeFrom="paragraph">
              <wp:posOffset>190498</wp:posOffset>
            </wp:positionV>
            <wp:extent cx="5583685" cy="7231379"/>
            <wp:effectExtent l="0" t="0" r="0" b="0"/>
            <wp:wrapTopAndBottom/>
            <wp:docPr id="11" name="image20.jpeg" descr=""/>
            <wp:cNvGraphicFramePr>
              <a:graphicFrameLocks noChangeAspect="1"/>
            </wp:cNvGraphicFramePr>
            <a:graphic>
              <a:graphicData uri="http://schemas.openxmlformats.org/drawingml/2006/picture">
                <pic:pic>
                  <pic:nvPicPr>
                    <pic:cNvPr id="12" name="image20.jpeg"/>
                    <pic:cNvPicPr/>
                  </pic:nvPicPr>
                  <pic:blipFill>
                    <a:blip r:embed="rId41" cstate="print"/>
                    <a:stretch>
                      <a:fillRect/>
                    </a:stretch>
                  </pic:blipFill>
                  <pic:spPr>
                    <a:xfrm>
                      <a:off x="0" y="0"/>
                      <a:ext cx="5583685" cy="7231379"/>
                    </a:xfrm>
                    <a:prstGeom prst="rect">
                      <a:avLst/>
                    </a:prstGeom>
                  </pic:spPr>
                </pic:pic>
              </a:graphicData>
            </a:graphic>
          </wp:anchor>
        </w:drawing>
      </w:r>
      <w:r>
        <w:rPr>
          <w:sz w:val="20"/>
        </w:rPr>
        <w:t>Ubicación de la Zona Metropolitana de Toluca</w:t>
      </w:r>
    </w:p>
    <w:p>
      <w:pPr>
        <w:spacing w:before="85"/>
        <w:ind w:left="193" w:right="216" w:firstLine="0"/>
        <w:jc w:val="center"/>
        <w:rPr>
          <w:sz w:val="20"/>
        </w:rPr>
      </w:pPr>
      <w:r>
        <w:rPr>
          <w:sz w:val="20"/>
        </w:rPr>
        <w:t>Fuente: Elaboración propia, con base en el INEGI, 2010.</w:t>
      </w:r>
    </w:p>
    <w:p>
      <w:pPr>
        <w:spacing w:after="0"/>
        <w:jc w:val="center"/>
        <w:rPr>
          <w:sz w:val="20"/>
        </w:rPr>
        <w:sectPr>
          <w:pgSz w:w="12240" w:h="15840"/>
          <w:pgMar w:header="0" w:footer="1003" w:top="1360" w:bottom="1200" w:left="1600" w:right="1580"/>
        </w:sectPr>
      </w:pPr>
    </w:p>
    <w:p>
      <w:pPr>
        <w:pStyle w:val="Heading3"/>
        <w:numPr>
          <w:ilvl w:val="1"/>
          <w:numId w:val="13"/>
        </w:numPr>
        <w:tabs>
          <w:tab w:pos="527" w:val="left" w:leader="none"/>
        </w:tabs>
        <w:spacing w:line="240" w:lineRule="auto" w:before="36" w:after="0"/>
        <w:ind w:left="526" w:right="0" w:hanging="424"/>
        <w:jc w:val="both"/>
      </w:pPr>
      <w:bookmarkStart w:name="_TOC_250019" w:id="15"/>
      <w:r>
        <w:rPr>
          <w:color w:val="4F81BC"/>
        </w:rPr>
        <w:t>Diseño de la</w:t>
      </w:r>
      <w:r>
        <w:rPr>
          <w:color w:val="4F81BC"/>
          <w:spacing w:val="-12"/>
        </w:rPr>
        <w:t> </w:t>
      </w:r>
      <w:bookmarkEnd w:id="15"/>
      <w:r>
        <w:rPr>
          <w:color w:val="4F81BC"/>
        </w:rPr>
        <w:t>investigación</w:t>
      </w:r>
    </w:p>
    <w:p>
      <w:pPr>
        <w:pStyle w:val="BodyText"/>
        <w:rPr>
          <w:rFonts w:ascii="Cambria"/>
          <w:b/>
          <w:sz w:val="26"/>
        </w:rPr>
      </w:pPr>
    </w:p>
    <w:p>
      <w:pPr>
        <w:pStyle w:val="BodyText"/>
        <w:spacing w:before="10"/>
        <w:rPr>
          <w:rFonts w:ascii="Cambria"/>
          <w:b/>
          <w:sz w:val="29"/>
        </w:rPr>
      </w:pPr>
    </w:p>
    <w:p>
      <w:pPr>
        <w:pStyle w:val="BodyText"/>
        <w:spacing w:line="360" w:lineRule="auto"/>
        <w:ind w:left="102" w:right="115"/>
        <w:jc w:val="both"/>
      </w:pPr>
      <w:r>
        <w:rPr/>
        <w:t>La investigación de la </w:t>
      </w:r>
      <w:r>
        <w:rPr>
          <w:i/>
        </w:rPr>
        <w:t>habitabilidad </w:t>
      </w:r>
      <w:r>
        <w:rPr/>
        <w:t>de las viviendas en la zona metropolitana de Toluca, se realiza en cuatro etapas; la primera es realizar un marco teórico conceptual de cómo se concibe la </w:t>
      </w:r>
      <w:r>
        <w:rPr>
          <w:i/>
        </w:rPr>
        <w:t>habitabilidad </w:t>
      </w:r>
      <w:r>
        <w:rPr/>
        <w:t>de las viviendas a nivel mundial, la segunda etapa consiste en la recopilación de información estadística con base en los datos de los censos de población y vivienda realizados por el </w:t>
      </w:r>
      <w:r>
        <w:rPr>
          <w:sz w:val="19"/>
        </w:rPr>
        <w:t>INEGI </w:t>
      </w:r>
      <w:r>
        <w:rPr/>
        <w:t>en los años 1990, 2000 y 2010. Además de las variables del entorno urbano de las viviendas (educación, salud, empleo, abasto, áreas verdes y recreación) del Directorio Estadístico Nacional de Unidades Económicas (</w:t>
      </w:r>
      <w:r>
        <w:rPr>
          <w:sz w:val="19"/>
        </w:rPr>
        <w:t>DENUE</w:t>
      </w:r>
      <w:r>
        <w:rPr/>
        <w:t>, 2014).</w:t>
      </w:r>
    </w:p>
    <w:p>
      <w:pPr>
        <w:pStyle w:val="BodyText"/>
        <w:spacing w:line="360" w:lineRule="auto" w:before="204"/>
        <w:ind w:left="102" w:right="114"/>
        <w:jc w:val="both"/>
      </w:pPr>
      <w:r>
        <w:rPr/>
        <w:t>En la tercera etapa se realiza la evaluación de la habitabilidad de las viviendas en la zona metropolitana de Toluca por medio del análisis jerárquico de Saaty y el índice de habitabilidad, con base en los datos oficiales de los censos de población y vivienda, y del directorio estadístico nacional de unidades económicas. Finalmente en la cuarta etapa se realiza el análisis de la habitabilidad en la zona metropolitana en estudio, realizando aportaciones como recomendaciones y propuestas para la mejora de la habitabilidad en la zona de estudio.</w:t>
      </w:r>
    </w:p>
    <w:p>
      <w:pPr>
        <w:pStyle w:val="BodyText"/>
      </w:pPr>
    </w:p>
    <w:p>
      <w:pPr>
        <w:pStyle w:val="BodyText"/>
      </w:pPr>
    </w:p>
    <w:p>
      <w:pPr>
        <w:pStyle w:val="Heading3"/>
        <w:numPr>
          <w:ilvl w:val="1"/>
          <w:numId w:val="13"/>
        </w:numPr>
        <w:tabs>
          <w:tab w:pos="527" w:val="left" w:leader="none"/>
        </w:tabs>
        <w:spacing w:line="240" w:lineRule="auto" w:before="204" w:after="0"/>
        <w:ind w:left="526" w:right="0" w:hanging="424"/>
        <w:jc w:val="both"/>
      </w:pPr>
      <w:bookmarkStart w:name="_TOC_250018" w:id="16"/>
      <w:r>
        <w:rPr>
          <w:color w:val="4F81BC"/>
        </w:rPr>
        <w:t>Investigación</w:t>
      </w:r>
      <w:r>
        <w:rPr>
          <w:color w:val="4F81BC"/>
          <w:spacing w:val="-16"/>
        </w:rPr>
        <w:t> </w:t>
      </w:r>
      <w:bookmarkEnd w:id="16"/>
      <w:r>
        <w:rPr>
          <w:color w:val="4F81BC"/>
        </w:rPr>
        <w:t>cuantitativa</w:t>
      </w:r>
    </w:p>
    <w:p>
      <w:pPr>
        <w:pStyle w:val="BodyText"/>
        <w:rPr>
          <w:rFonts w:ascii="Cambria"/>
          <w:b/>
          <w:sz w:val="26"/>
        </w:rPr>
      </w:pPr>
    </w:p>
    <w:p>
      <w:pPr>
        <w:pStyle w:val="BodyText"/>
        <w:spacing w:before="6"/>
        <w:rPr>
          <w:rFonts w:ascii="Cambria"/>
          <w:b/>
          <w:sz w:val="23"/>
        </w:rPr>
      </w:pPr>
    </w:p>
    <w:p>
      <w:pPr>
        <w:pStyle w:val="BodyText"/>
        <w:spacing w:line="360" w:lineRule="auto"/>
        <w:ind w:left="102" w:right="115"/>
        <w:jc w:val="both"/>
      </w:pPr>
      <w:r>
        <w:rPr/>
        <w:t>Esta investigación es de tipo cuantitativa ya que para su realización se usan bases de datos censales y del directorio estadístico nacional de unidades económicas,  ya que estás son tratadas como herramientas en el campo de la estadística. Para que exista la metodología cuantitativa se requirió que entre los elementos del problema de investigación exista una relación cuya naturaleza sea representable por algún, modelo cuantitativo (análisis jerárquico de Saaty) este método  de trabajo optimiza la toma de decisiones complejas cuando existen múltiples criterios o atributos, mediante la descomposición del problema en una estructura  jerárquica.</w:t>
      </w:r>
    </w:p>
    <w:p>
      <w:pPr>
        <w:spacing w:after="0" w:line="360" w:lineRule="auto"/>
        <w:jc w:val="both"/>
        <w:sectPr>
          <w:pgSz w:w="12240" w:h="15840"/>
          <w:pgMar w:header="0" w:footer="1003" w:top="1380" w:bottom="1200" w:left="1600" w:right="1580"/>
        </w:sectPr>
      </w:pPr>
    </w:p>
    <w:p>
      <w:pPr>
        <w:pStyle w:val="BodyText"/>
        <w:spacing w:line="360" w:lineRule="auto" w:before="54"/>
        <w:ind w:left="122" w:right="121"/>
        <w:jc w:val="both"/>
      </w:pPr>
      <w:r>
        <w:rPr/>
        <w:t>Es decir, hay claridad entre los elementos de la investigación que conforman la habitabilidad de las viviendas en la zona metropolitana de Toluca, ya es posible definirlo, limitarlo y se sabe dónde se inició el problema y que dirección  va, además del tipo de incidencia existente entre sus elementos.</w:t>
      </w:r>
    </w:p>
    <w:p>
      <w:pPr>
        <w:pStyle w:val="BodyText"/>
        <w:spacing w:line="360" w:lineRule="auto" w:before="204"/>
        <w:ind w:left="122" w:right="124"/>
        <w:jc w:val="both"/>
      </w:pPr>
      <w:r>
        <w:rPr/>
        <w:t>Además del indicador de accesibilidad, para poder estimar el índice de accesibilidad con los que cuentan los habitantes, respecto a la ubicación de sus viviendas en la zona metropolitana en estudio.</w:t>
      </w:r>
    </w:p>
    <w:p>
      <w:pPr>
        <w:pStyle w:val="BodyText"/>
        <w:spacing w:line="360" w:lineRule="auto" w:before="202"/>
        <w:ind w:left="122" w:right="114"/>
        <w:jc w:val="both"/>
      </w:pPr>
      <w:r>
        <w:rPr/>
        <w:t>La naturaleza de la investigación cuantitativa es frecuente de manera descriptiva, aunque para fines de este trabajo va más allá con propuestas y recomendaciones, ya que permite “predecir o proyectar” el comportamiento del problema, ya que el método está con base en los datos oficiales. Finalmente los datos son descriptivos y pueden ser analizados.</w:t>
      </w:r>
    </w:p>
    <w:p>
      <w:pPr>
        <w:pStyle w:val="Heading3"/>
        <w:numPr>
          <w:ilvl w:val="1"/>
          <w:numId w:val="13"/>
        </w:numPr>
        <w:tabs>
          <w:tab w:pos="547" w:val="left" w:leader="none"/>
        </w:tabs>
        <w:spacing w:line="240" w:lineRule="auto" w:before="206" w:after="0"/>
        <w:ind w:left="546" w:right="0" w:hanging="424"/>
        <w:jc w:val="both"/>
      </w:pPr>
      <w:bookmarkStart w:name="_TOC_250017" w:id="17"/>
      <w:r>
        <w:rPr>
          <w:color w:val="4F81BC"/>
        </w:rPr>
        <w:t>Construcción de la base de</w:t>
      </w:r>
      <w:r>
        <w:rPr>
          <w:color w:val="4F81BC"/>
          <w:spacing w:val="-22"/>
        </w:rPr>
        <w:t> </w:t>
      </w:r>
      <w:bookmarkEnd w:id="17"/>
      <w:r>
        <w:rPr>
          <w:color w:val="4F81BC"/>
        </w:rPr>
        <w:t>datos</w:t>
      </w:r>
    </w:p>
    <w:p>
      <w:pPr>
        <w:pStyle w:val="BodyText"/>
        <w:rPr>
          <w:rFonts w:ascii="Cambria"/>
          <w:b/>
          <w:sz w:val="26"/>
        </w:rPr>
      </w:pPr>
    </w:p>
    <w:p>
      <w:pPr>
        <w:pStyle w:val="BodyText"/>
        <w:spacing w:before="6"/>
        <w:rPr>
          <w:rFonts w:ascii="Cambria"/>
          <w:b/>
          <w:sz w:val="23"/>
        </w:rPr>
      </w:pPr>
    </w:p>
    <w:p>
      <w:pPr>
        <w:pStyle w:val="BodyText"/>
        <w:spacing w:line="360" w:lineRule="auto"/>
        <w:ind w:left="122" w:right="115"/>
        <w:jc w:val="both"/>
      </w:pPr>
      <w:r>
        <w:rPr/>
        <w:t>Para realizar la construcción de bases de datos de la investigación, se recurrió a las fuentes o proyectos realizados por el Instituto Nacional de Estadística y Geografía (</w:t>
      </w:r>
      <w:r>
        <w:rPr>
          <w:sz w:val="19"/>
        </w:rPr>
        <w:t>INEGI</w:t>
      </w:r>
      <w:r>
        <w:rPr/>
        <w:t>),  específicamente a los Censos de Población y Vivienda.</w:t>
      </w:r>
    </w:p>
    <w:p>
      <w:pPr>
        <w:pStyle w:val="BodyText"/>
        <w:spacing w:before="204"/>
        <w:ind w:left="122"/>
        <w:jc w:val="both"/>
      </w:pPr>
      <w:r>
        <w:rPr/>
        <w:t>Conformación de base de datos</w:t>
      </w:r>
    </w:p>
    <w:p>
      <w:pPr>
        <w:pStyle w:val="BodyText"/>
        <w:spacing w:before="4"/>
        <w:rPr>
          <w:sz w:val="29"/>
        </w:rPr>
      </w:pPr>
    </w:p>
    <w:p>
      <w:pPr>
        <w:pStyle w:val="BodyText"/>
        <w:spacing w:line="360" w:lineRule="auto" w:before="1"/>
        <w:ind w:left="122" w:right="127"/>
        <w:jc w:val="both"/>
      </w:pPr>
      <w:r>
        <w:rPr/>
        <w:t>La base de datos está integrada con los siguientes indicadores, mismos que se generaron de acuerdo con los siguientes niveles de desagregación:</w:t>
      </w:r>
    </w:p>
    <w:p>
      <w:pPr>
        <w:spacing w:line="535" w:lineRule="auto" w:before="199"/>
        <w:ind w:left="122" w:right="5865" w:firstLine="0"/>
        <w:jc w:val="left"/>
        <w:rPr>
          <w:sz w:val="24"/>
        </w:rPr>
      </w:pPr>
      <w:r>
        <w:rPr>
          <w:sz w:val="24"/>
        </w:rPr>
        <w:t>Entidad (</w:t>
      </w:r>
      <w:r>
        <w:rPr>
          <w:sz w:val="19"/>
        </w:rPr>
        <w:t>ITER</w:t>
      </w:r>
      <w:r>
        <w:rPr>
          <w:sz w:val="24"/>
        </w:rPr>
        <w:t>_</w:t>
      </w:r>
      <w:r>
        <w:rPr>
          <w:sz w:val="19"/>
        </w:rPr>
        <w:t>ENT</w:t>
      </w:r>
      <w:r>
        <w:rPr>
          <w:sz w:val="24"/>
        </w:rPr>
        <w:t>_</w:t>
      </w:r>
      <w:r>
        <w:rPr>
          <w:sz w:val="19"/>
        </w:rPr>
        <w:t>EE</w:t>
      </w:r>
      <w:r>
        <w:rPr>
          <w:sz w:val="24"/>
        </w:rPr>
        <w:t>.</w:t>
      </w:r>
      <w:r>
        <w:rPr>
          <w:sz w:val="19"/>
        </w:rPr>
        <w:t>DBF</w:t>
      </w:r>
      <w:r>
        <w:rPr>
          <w:sz w:val="24"/>
        </w:rPr>
        <w:t>)</w:t>
      </w:r>
      <w:r>
        <w:rPr>
          <w:position w:val="8"/>
          <w:sz w:val="16"/>
        </w:rPr>
        <w:t>9 </w:t>
      </w:r>
      <w:r>
        <w:rPr>
          <w:sz w:val="24"/>
        </w:rPr>
        <w:t>Municipio (</w:t>
      </w:r>
      <w:r>
        <w:rPr>
          <w:sz w:val="19"/>
        </w:rPr>
        <w:t>ITER</w:t>
      </w:r>
      <w:r>
        <w:rPr>
          <w:sz w:val="24"/>
        </w:rPr>
        <w:t>_</w:t>
      </w:r>
      <w:r>
        <w:rPr>
          <w:sz w:val="19"/>
        </w:rPr>
        <w:t>MUN</w:t>
      </w:r>
      <w:r>
        <w:rPr>
          <w:sz w:val="24"/>
        </w:rPr>
        <w:t>_</w:t>
      </w:r>
      <w:r>
        <w:rPr>
          <w:sz w:val="19"/>
        </w:rPr>
        <w:t>EE</w:t>
      </w:r>
      <w:r>
        <w:rPr>
          <w:sz w:val="24"/>
        </w:rPr>
        <w:t>.</w:t>
      </w:r>
      <w:r>
        <w:rPr>
          <w:sz w:val="19"/>
        </w:rPr>
        <w:t>DBF</w:t>
      </w:r>
      <w:r>
        <w:rPr>
          <w:sz w:val="24"/>
        </w:rPr>
        <w:t>)</w:t>
      </w:r>
    </w:p>
    <w:p>
      <w:pPr>
        <w:spacing w:before="8"/>
        <w:ind w:left="122" w:right="0" w:firstLine="0"/>
        <w:jc w:val="both"/>
        <w:rPr>
          <w:sz w:val="24"/>
        </w:rPr>
      </w:pPr>
      <w:r>
        <w:rPr>
          <w:sz w:val="24"/>
        </w:rPr>
        <w:t>Ageb (</w:t>
      </w:r>
      <w:r>
        <w:rPr>
          <w:sz w:val="19"/>
        </w:rPr>
        <w:t>ITER</w:t>
      </w:r>
      <w:r>
        <w:rPr>
          <w:sz w:val="24"/>
        </w:rPr>
        <w:t>_</w:t>
      </w:r>
      <w:r>
        <w:rPr>
          <w:sz w:val="19"/>
        </w:rPr>
        <w:t>AGEB</w:t>
      </w:r>
      <w:r>
        <w:rPr>
          <w:sz w:val="24"/>
        </w:rPr>
        <w:t>_</w:t>
      </w:r>
      <w:r>
        <w:rPr>
          <w:sz w:val="19"/>
        </w:rPr>
        <w:t>EE</w:t>
      </w:r>
      <w:r>
        <w:rPr>
          <w:sz w:val="24"/>
        </w:rPr>
        <w:t>.</w:t>
      </w:r>
      <w:r>
        <w:rPr>
          <w:sz w:val="19"/>
        </w:rPr>
        <w:t>DBF</w:t>
      </w:r>
      <w:r>
        <w:rPr>
          <w:sz w:val="24"/>
        </w:rPr>
        <w:t>) incluye sólo ageb urbanas.</w:t>
      </w:r>
    </w:p>
    <w:p>
      <w:pPr>
        <w:pStyle w:val="BodyText"/>
        <w:spacing w:before="2"/>
        <w:rPr>
          <w:sz w:val="29"/>
        </w:rPr>
      </w:pPr>
    </w:p>
    <w:p>
      <w:pPr>
        <w:pStyle w:val="BodyText"/>
        <w:spacing w:line="360" w:lineRule="auto"/>
        <w:ind w:left="122" w:right="124"/>
        <w:jc w:val="both"/>
      </w:pPr>
      <w:r>
        <w:rPr/>
        <w:t>Con base a la Ley del Sistema Nacional de Información Estadística y Geográfica se aplicó el siguiente nivel de</w:t>
      </w:r>
      <w:r>
        <w:rPr>
          <w:spacing w:val="-12"/>
        </w:rPr>
        <w:t> </w:t>
      </w:r>
      <w:r>
        <w:rPr/>
        <w:t>desagregación:</w:t>
      </w:r>
    </w:p>
    <w:p>
      <w:pPr>
        <w:pStyle w:val="BodyText"/>
        <w:rPr>
          <w:sz w:val="20"/>
        </w:rPr>
      </w:pPr>
    </w:p>
    <w:p>
      <w:pPr>
        <w:pStyle w:val="BodyText"/>
        <w:spacing w:before="4"/>
        <w:rPr>
          <w:sz w:val="14"/>
        </w:rPr>
      </w:pPr>
      <w:r>
        <w:rPr/>
        <w:pict>
          <v:line style="position:absolute;mso-position-horizontal-relative:page;mso-position-vertical-relative:paragraph;z-index:2152;mso-wrap-distance-left:0;mso-wrap-distance-right:0" from="85.103996pt,10.630867pt" to="229.123996pt,10.630867pt" stroked="true" strokeweight=".84003pt" strokecolor="#000000">
            <w10:wrap type="topAndBottom"/>
          </v:line>
        </w:pict>
      </w:r>
    </w:p>
    <w:p>
      <w:pPr>
        <w:spacing w:before="74"/>
        <w:ind w:left="122" w:right="214" w:firstLine="0"/>
        <w:jc w:val="left"/>
        <w:rPr>
          <w:rFonts w:ascii="Calibri"/>
          <w:sz w:val="20"/>
        </w:rPr>
      </w:pPr>
      <w:r>
        <w:rPr>
          <w:rFonts w:ascii="Calibri"/>
          <w:position w:val="7"/>
          <w:sz w:val="13"/>
        </w:rPr>
        <w:t>9 </w:t>
      </w:r>
      <w:r>
        <w:rPr>
          <w:rFonts w:ascii="Calibri"/>
          <w:sz w:val="20"/>
        </w:rPr>
        <w:t>Donde EE corresponde a la clave de la entidad federativa</w:t>
      </w:r>
    </w:p>
    <w:p>
      <w:pPr>
        <w:spacing w:after="0"/>
        <w:jc w:val="left"/>
        <w:rPr>
          <w:rFonts w:ascii="Calibri"/>
          <w:sz w:val="20"/>
        </w:rPr>
        <w:sectPr>
          <w:footerReference w:type="default" r:id="rId42"/>
          <w:pgSz w:w="12240" w:h="15840"/>
          <w:pgMar w:footer="1003" w:header="0" w:top="1360" w:bottom="1200" w:left="1580" w:right="1580"/>
        </w:sectPr>
      </w:pPr>
    </w:p>
    <w:p>
      <w:pPr>
        <w:pStyle w:val="BodyText"/>
        <w:spacing w:line="360" w:lineRule="auto" w:before="54"/>
        <w:ind w:left="102" w:right="136"/>
        <w:jc w:val="both"/>
      </w:pPr>
      <w:r>
        <w:rPr/>
        <w:t>Ageb: Es un indicador con tres o menos unidades, es identificable porque aparece con un asterisco a excepción de las variables población total (</w:t>
      </w:r>
      <w:r>
        <w:rPr>
          <w:sz w:val="19"/>
        </w:rPr>
        <w:t>POBTOT</w:t>
      </w:r>
      <w:r>
        <w:rPr/>
        <w:t>), viviendas totales (</w:t>
      </w:r>
      <w:r>
        <w:rPr>
          <w:sz w:val="19"/>
        </w:rPr>
        <w:t>VIVTOT</w:t>
      </w:r>
      <w:r>
        <w:rPr/>
        <w:t>) y total de viviendas habitadas (</w:t>
      </w:r>
      <w:r>
        <w:rPr>
          <w:sz w:val="19"/>
        </w:rPr>
        <w:t>TVIVTOT</w:t>
      </w:r>
      <w:r>
        <w:rPr/>
        <w:t>).</w:t>
      </w:r>
    </w:p>
    <w:p>
      <w:pPr>
        <w:pStyle w:val="BodyText"/>
        <w:spacing w:line="360" w:lineRule="auto" w:before="204"/>
        <w:ind w:left="102" w:right="136"/>
        <w:jc w:val="both"/>
      </w:pPr>
      <w:r>
        <w:rPr/>
        <w:t>En lo que respecta a las viviendas: material de pisos, material del techo, material de paredes, número de cuartos, servicios públicos o básicos de que disponen (energía eléctrica, agua entubada, sanitario, drenaje) bienes en la vivienda (radio, televisor, video, refrigerador, lavadora, boiler, automóvil, teléfono, celular, computadora, internet) y la legalidad de las viviendas (propias, rentadas).</w:t>
      </w:r>
    </w:p>
    <w:p>
      <w:pPr>
        <w:pStyle w:val="BodyText"/>
        <w:spacing w:before="205"/>
        <w:ind w:left="102"/>
        <w:jc w:val="both"/>
      </w:pPr>
      <w:r>
        <w:rPr/>
        <w:t>Descripción de la base de datos</w:t>
      </w:r>
    </w:p>
    <w:p>
      <w:pPr>
        <w:pStyle w:val="BodyText"/>
        <w:spacing w:before="4"/>
        <w:rPr>
          <w:sz w:val="29"/>
        </w:rPr>
      </w:pPr>
    </w:p>
    <w:p>
      <w:pPr>
        <w:spacing w:before="0"/>
        <w:ind w:left="3441" w:right="3483" w:firstLine="4"/>
        <w:jc w:val="center"/>
        <w:rPr>
          <w:sz w:val="20"/>
        </w:rPr>
      </w:pPr>
      <w:r>
        <w:rPr>
          <w:sz w:val="20"/>
        </w:rPr>
        <w:t>Cuadro No. 6 Identificación</w:t>
      </w:r>
      <w:r>
        <w:rPr>
          <w:spacing w:val="-7"/>
          <w:sz w:val="20"/>
        </w:rPr>
        <w:t> </w:t>
      </w:r>
      <w:r>
        <w:rPr>
          <w:sz w:val="20"/>
        </w:rPr>
        <w:t>geográfica</w:t>
      </w:r>
    </w:p>
    <w:tbl>
      <w:tblPr>
        <w:tblW w:w="0" w:type="auto"/>
        <w:jc w:val="left"/>
        <w:tblInd w:w="130"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073"/>
        <w:gridCol w:w="2843"/>
        <w:gridCol w:w="3834"/>
        <w:gridCol w:w="1073"/>
      </w:tblGrid>
      <w:tr>
        <w:trPr>
          <w:trHeight w:val="257" w:hRule="exact"/>
        </w:trPr>
        <w:tc>
          <w:tcPr>
            <w:tcW w:w="8822" w:type="dxa"/>
            <w:gridSpan w:val="4"/>
            <w:tcBorders>
              <w:left w:val="nil"/>
              <w:bottom w:val="single" w:sz="13" w:space="0" w:color="000000"/>
              <w:right w:val="nil"/>
            </w:tcBorders>
            <w:shd w:val="clear" w:color="auto" w:fill="BEBEBE"/>
          </w:tcPr>
          <w:p>
            <w:pPr>
              <w:pStyle w:val="TableParagraph"/>
              <w:spacing w:before="8"/>
              <w:ind w:left="3452" w:right="3454"/>
              <w:jc w:val="center"/>
              <w:rPr>
                <w:b/>
                <w:sz w:val="18"/>
              </w:rPr>
            </w:pPr>
            <w:r>
              <w:rPr>
                <w:b/>
                <w:sz w:val="18"/>
              </w:rPr>
              <w:t>Identificación  geográfica</w:t>
            </w:r>
          </w:p>
        </w:tc>
      </w:tr>
      <w:tr>
        <w:trPr>
          <w:trHeight w:val="245" w:hRule="exact"/>
        </w:trPr>
        <w:tc>
          <w:tcPr>
            <w:tcW w:w="1073" w:type="dxa"/>
            <w:tcBorders>
              <w:top w:val="single" w:sz="13" w:space="0" w:color="000000"/>
              <w:left w:val="nil"/>
              <w:right w:val="nil"/>
            </w:tcBorders>
            <w:shd w:val="clear" w:color="auto" w:fill="BEBEBE"/>
          </w:tcPr>
          <w:p>
            <w:pPr>
              <w:pStyle w:val="TableParagraph"/>
              <w:spacing w:line="216" w:lineRule="exact"/>
              <w:ind w:left="32"/>
              <w:rPr>
                <w:b/>
                <w:sz w:val="18"/>
              </w:rPr>
            </w:pPr>
            <w:r>
              <w:rPr>
                <w:b/>
                <w:w w:val="105"/>
                <w:sz w:val="18"/>
              </w:rPr>
              <w:t>No.</w:t>
            </w:r>
          </w:p>
        </w:tc>
        <w:tc>
          <w:tcPr>
            <w:tcW w:w="2843" w:type="dxa"/>
            <w:tcBorders>
              <w:top w:val="single" w:sz="13" w:space="0" w:color="000000"/>
              <w:left w:val="nil"/>
              <w:right w:val="nil"/>
            </w:tcBorders>
            <w:shd w:val="clear" w:color="auto" w:fill="BEBEBE"/>
          </w:tcPr>
          <w:p>
            <w:pPr>
              <w:pStyle w:val="TableParagraph"/>
              <w:spacing w:line="216" w:lineRule="exact"/>
              <w:ind w:left="567" w:right="557"/>
              <w:jc w:val="center"/>
              <w:rPr>
                <w:b/>
                <w:sz w:val="18"/>
              </w:rPr>
            </w:pPr>
            <w:r>
              <w:rPr>
                <w:b/>
                <w:w w:val="105"/>
                <w:sz w:val="18"/>
              </w:rPr>
              <w:t>Categoria o indicador</w:t>
            </w:r>
          </w:p>
        </w:tc>
        <w:tc>
          <w:tcPr>
            <w:tcW w:w="3834" w:type="dxa"/>
            <w:tcBorders>
              <w:top w:val="single" w:sz="13" w:space="0" w:color="000000"/>
              <w:left w:val="nil"/>
              <w:right w:val="nil"/>
            </w:tcBorders>
            <w:shd w:val="clear" w:color="auto" w:fill="BEBEBE"/>
          </w:tcPr>
          <w:p>
            <w:pPr>
              <w:pStyle w:val="TableParagraph"/>
              <w:spacing w:line="216" w:lineRule="exact"/>
              <w:ind w:left="32"/>
              <w:rPr>
                <w:b/>
                <w:sz w:val="18"/>
              </w:rPr>
            </w:pPr>
            <w:r>
              <w:rPr>
                <w:b/>
                <w:w w:val="105"/>
                <w:sz w:val="18"/>
              </w:rPr>
              <w:t>Descripción</w:t>
            </w:r>
          </w:p>
        </w:tc>
        <w:tc>
          <w:tcPr>
            <w:tcW w:w="1073" w:type="dxa"/>
            <w:tcBorders>
              <w:top w:val="single" w:sz="13" w:space="0" w:color="000000"/>
              <w:left w:val="nil"/>
              <w:right w:val="nil"/>
            </w:tcBorders>
            <w:shd w:val="clear" w:color="auto" w:fill="BEBEBE"/>
          </w:tcPr>
          <w:p>
            <w:pPr>
              <w:pStyle w:val="TableParagraph"/>
              <w:spacing w:line="216" w:lineRule="exact"/>
              <w:ind w:left="32"/>
              <w:rPr>
                <w:b/>
                <w:sz w:val="18"/>
              </w:rPr>
            </w:pPr>
            <w:r>
              <w:rPr>
                <w:b/>
                <w:w w:val="105"/>
                <w:sz w:val="18"/>
              </w:rPr>
              <w:t>Mnemónico</w:t>
            </w:r>
          </w:p>
        </w:tc>
      </w:tr>
      <w:tr>
        <w:trPr>
          <w:trHeight w:val="245" w:hRule="exact"/>
        </w:trPr>
        <w:tc>
          <w:tcPr>
            <w:tcW w:w="1073" w:type="dxa"/>
          </w:tcPr>
          <w:p>
            <w:pPr>
              <w:pStyle w:val="TableParagraph"/>
              <w:spacing w:before="4"/>
              <w:ind w:right="21"/>
              <w:jc w:val="right"/>
              <w:rPr>
                <w:sz w:val="18"/>
              </w:rPr>
            </w:pPr>
            <w:r>
              <w:rPr>
                <w:w w:val="104"/>
                <w:sz w:val="18"/>
              </w:rPr>
              <w:t>1</w:t>
            </w:r>
          </w:p>
        </w:tc>
        <w:tc>
          <w:tcPr>
            <w:tcW w:w="2843" w:type="dxa"/>
          </w:tcPr>
          <w:p>
            <w:pPr>
              <w:pStyle w:val="TableParagraph"/>
              <w:spacing w:before="8"/>
              <w:ind w:left="152" w:right="150"/>
              <w:jc w:val="center"/>
              <w:rPr>
                <w:sz w:val="18"/>
              </w:rPr>
            </w:pPr>
            <w:r>
              <w:rPr>
                <w:w w:val="105"/>
                <w:sz w:val="18"/>
              </w:rPr>
              <w:t>Clave de la entidad federativa</w:t>
            </w:r>
          </w:p>
        </w:tc>
        <w:tc>
          <w:tcPr>
            <w:tcW w:w="3834" w:type="dxa"/>
          </w:tcPr>
          <w:p>
            <w:pPr>
              <w:pStyle w:val="TableParagraph"/>
              <w:spacing w:before="4"/>
              <w:ind w:left="24" w:right="62"/>
              <w:rPr>
                <w:sz w:val="18"/>
              </w:rPr>
            </w:pPr>
            <w:r>
              <w:rPr>
                <w:w w:val="105"/>
                <w:sz w:val="18"/>
              </w:rPr>
              <w:t>Código que identifica a la entidad federativa</w:t>
            </w:r>
          </w:p>
        </w:tc>
        <w:tc>
          <w:tcPr>
            <w:tcW w:w="1073" w:type="dxa"/>
          </w:tcPr>
          <w:p>
            <w:pPr>
              <w:pStyle w:val="TableParagraph"/>
              <w:spacing w:before="4"/>
              <w:ind w:left="24" w:right="-4"/>
              <w:rPr>
                <w:sz w:val="18"/>
              </w:rPr>
            </w:pPr>
            <w:r>
              <w:rPr>
                <w:w w:val="105"/>
                <w:sz w:val="18"/>
              </w:rPr>
              <w:t>ENTIDAD</w:t>
            </w:r>
          </w:p>
        </w:tc>
      </w:tr>
      <w:tr>
        <w:trPr>
          <w:trHeight w:val="245" w:hRule="exact"/>
        </w:trPr>
        <w:tc>
          <w:tcPr>
            <w:tcW w:w="1073" w:type="dxa"/>
          </w:tcPr>
          <w:p>
            <w:pPr>
              <w:pStyle w:val="TableParagraph"/>
              <w:spacing w:before="4"/>
              <w:ind w:right="21"/>
              <w:jc w:val="right"/>
              <w:rPr>
                <w:sz w:val="18"/>
              </w:rPr>
            </w:pPr>
            <w:r>
              <w:rPr>
                <w:w w:val="104"/>
                <w:sz w:val="18"/>
              </w:rPr>
              <w:t>2</w:t>
            </w:r>
          </w:p>
        </w:tc>
        <w:tc>
          <w:tcPr>
            <w:tcW w:w="2843" w:type="dxa"/>
          </w:tcPr>
          <w:p>
            <w:pPr>
              <w:pStyle w:val="TableParagraph"/>
              <w:spacing w:before="8"/>
              <w:ind w:left="152" w:right="152"/>
              <w:jc w:val="center"/>
              <w:rPr>
                <w:sz w:val="18"/>
              </w:rPr>
            </w:pPr>
            <w:r>
              <w:rPr>
                <w:w w:val="105"/>
                <w:sz w:val="18"/>
              </w:rPr>
              <w:t>Entidad federativa</w:t>
            </w:r>
          </w:p>
        </w:tc>
        <w:tc>
          <w:tcPr>
            <w:tcW w:w="3834" w:type="dxa"/>
          </w:tcPr>
          <w:p>
            <w:pPr>
              <w:pStyle w:val="TableParagraph"/>
              <w:spacing w:before="4"/>
              <w:ind w:left="24" w:right="62"/>
              <w:rPr>
                <w:sz w:val="18"/>
              </w:rPr>
            </w:pPr>
            <w:r>
              <w:rPr>
                <w:w w:val="105"/>
                <w:sz w:val="18"/>
              </w:rPr>
              <w:t>Nombre oficial de la entidad federativa</w:t>
            </w:r>
          </w:p>
        </w:tc>
        <w:tc>
          <w:tcPr>
            <w:tcW w:w="1073" w:type="dxa"/>
          </w:tcPr>
          <w:p>
            <w:pPr>
              <w:pStyle w:val="TableParagraph"/>
              <w:spacing w:before="4"/>
              <w:ind w:left="24" w:right="-4"/>
              <w:rPr>
                <w:sz w:val="18"/>
              </w:rPr>
            </w:pPr>
            <w:r>
              <w:rPr>
                <w:w w:val="105"/>
                <w:sz w:val="18"/>
              </w:rPr>
              <w:t>NOM_ENT</w:t>
            </w:r>
          </w:p>
        </w:tc>
      </w:tr>
      <w:tr>
        <w:trPr>
          <w:trHeight w:val="734" w:hRule="exact"/>
        </w:trPr>
        <w:tc>
          <w:tcPr>
            <w:tcW w:w="1073" w:type="dxa"/>
          </w:tcPr>
          <w:p>
            <w:pPr>
              <w:pStyle w:val="TableParagraph"/>
              <w:rPr>
                <w:rFonts w:ascii="Arial"/>
                <w:sz w:val="18"/>
              </w:rPr>
            </w:pPr>
          </w:p>
          <w:p>
            <w:pPr>
              <w:pStyle w:val="TableParagraph"/>
              <w:spacing w:before="10"/>
              <w:rPr>
                <w:rFonts w:ascii="Arial"/>
                <w:sz w:val="24"/>
              </w:rPr>
            </w:pPr>
          </w:p>
          <w:p>
            <w:pPr>
              <w:pStyle w:val="TableParagraph"/>
              <w:ind w:right="21"/>
              <w:jc w:val="right"/>
              <w:rPr>
                <w:sz w:val="18"/>
              </w:rPr>
            </w:pPr>
            <w:r>
              <w:rPr>
                <w:w w:val="104"/>
                <w:sz w:val="18"/>
              </w:rPr>
              <w:t>3</w:t>
            </w:r>
          </w:p>
        </w:tc>
        <w:tc>
          <w:tcPr>
            <w:tcW w:w="2843" w:type="dxa"/>
          </w:tcPr>
          <w:p>
            <w:pPr>
              <w:pStyle w:val="TableParagraph"/>
              <w:spacing w:before="3"/>
              <w:rPr>
                <w:rFonts w:ascii="Arial"/>
                <w:sz w:val="21"/>
              </w:rPr>
            </w:pPr>
          </w:p>
          <w:p>
            <w:pPr>
              <w:pStyle w:val="TableParagraph"/>
              <w:ind w:left="152" w:right="139"/>
              <w:jc w:val="center"/>
              <w:rPr>
                <w:sz w:val="18"/>
              </w:rPr>
            </w:pPr>
            <w:r>
              <w:rPr>
                <w:w w:val="105"/>
                <w:sz w:val="18"/>
              </w:rPr>
              <w:t>Clave de municipio o delegación</w:t>
            </w:r>
          </w:p>
        </w:tc>
        <w:tc>
          <w:tcPr>
            <w:tcW w:w="3834" w:type="dxa"/>
          </w:tcPr>
          <w:p>
            <w:pPr>
              <w:pStyle w:val="TableParagraph"/>
              <w:spacing w:line="266" w:lineRule="auto" w:before="8"/>
              <w:ind w:left="24" w:right="62"/>
              <w:rPr>
                <w:sz w:val="18"/>
              </w:rPr>
            </w:pPr>
            <w:r>
              <w:rPr>
                <w:w w:val="105"/>
                <w:sz w:val="18"/>
              </w:rPr>
              <w:t>Código que identifica al municipio al interior de una entidad federativa, conforme al Marco Geoestadístico Nacional</w:t>
            </w:r>
          </w:p>
        </w:tc>
        <w:tc>
          <w:tcPr>
            <w:tcW w:w="1073" w:type="dxa"/>
          </w:tcPr>
          <w:p>
            <w:pPr>
              <w:pStyle w:val="TableParagraph"/>
              <w:rPr>
                <w:rFonts w:ascii="Arial"/>
                <w:sz w:val="18"/>
              </w:rPr>
            </w:pPr>
          </w:p>
          <w:p>
            <w:pPr>
              <w:pStyle w:val="TableParagraph"/>
              <w:spacing w:before="10"/>
              <w:rPr>
                <w:rFonts w:ascii="Arial"/>
                <w:sz w:val="24"/>
              </w:rPr>
            </w:pPr>
          </w:p>
          <w:p>
            <w:pPr>
              <w:pStyle w:val="TableParagraph"/>
              <w:ind w:left="24" w:right="-4"/>
              <w:rPr>
                <w:sz w:val="18"/>
              </w:rPr>
            </w:pPr>
            <w:r>
              <w:rPr>
                <w:w w:val="105"/>
                <w:sz w:val="18"/>
              </w:rPr>
              <w:t>MUN</w:t>
            </w:r>
          </w:p>
        </w:tc>
      </w:tr>
      <w:tr>
        <w:trPr>
          <w:trHeight w:val="526" w:hRule="exact"/>
        </w:trPr>
        <w:tc>
          <w:tcPr>
            <w:tcW w:w="1073" w:type="dxa"/>
          </w:tcPr>
          <w:p>
            <w:pPr>
              <w:pStyle w:val="TableParagraph"/>
              <w:spacing w:before="9"/>
              <w:rPr>
                <w:rFonts w:ascii="Arial"/>
                <w:sz w:val="24"/>
              </w:rPr>
            </w:pPr>
          </w:p>
          <w:p>
            <w:pPr>
              <w:pStyle w:val="TableParagraph"/>
              <w:ind w:right="21"/>
              <w:jc w:val="right"/>
              <w:rPr>
                <w:sz w:val="18"/>
              </w:rPr>
            </w:pPr>
            <w:r>
              <w:rPr>
                <w:w w:val="104"/>
                <w:sz w:val="18"/>
              </w:rPr>
              <w:t>4</w:t>
            </w:r>
          </w:p>
        </w:tc>
        <w:tc>
          <w:tcPr>
            <w:tcW w:w="2843" w:type="dxa"/>
          </w:tcPr>
          <w:p>
            <w:pPr>
              <w:pStyle w:val="TableParagraph"/>
              <w:spacing w:before="138"/>
              <w:ind w:left="152" w:right="141"/>
              <w:jc w:val="center"/>
              <w:rPr>
                <w:sz w:val="18"/>
              </w:rPr>
            </w:pPr>
            <w:r>
              <w:rPr>
                <w:w w:val="105"/>
                <w:sz w:val="18"/>
              </w:rPr>
              <w:t>Municipio o delegación</w:t>
            </w:r>
          </w:p>
        </w:tc>
        <w:tc>
          <w:tcPr>
            <w:tcW w:w="3834" w:type="dxa"/>
          </w:tcPr>
          <w:p>
            <w:pPr>
              <w:pStyle w:val="TableParagraph"/>
              <w:spacing w:line="266" w:lineRule="auto" w:before="8"/>
              <w:ind w:left="24" w:right="62"/>
              <w:rPr>
                <w:sz w:val="18"/>
              </w:rPr>
            </w:pPr>
            <w:r>
              <w:rPr>
                <w:w w:val="105"/>
                <w:sz w:val="18"/>
              </w:rPr>
              <w:t>Nombre oficial del municipio o delegación política en el caso del Distrito Federal</w:t>
            </w:r>
          </w:p>
        </w:tc>
        <w:tc>
          <w:tcPr>
            <w:tcW w:w="1073" w:type="dxa"/>
          </w:tcPr>
          <w:p>
            <w:pPr>
              <w:pStyle w:val="TableParagraph"/>
              <w:spacing w:before="9"/>
              <w:rPr>
                <w:rFonts w:ascii="Arial"/>
                <w:sz w:val="24"/>
              </w:rPr>
            </w:pPr>
          </w:p>
          <w:p>
            <w:pPr>
              <w:pStyle w:val="TableParagraph"/>
              <w:ind w:left="24" w:right="-4"/>
              <w:rPr>
                <w:sz w:val="18"/>
              </w:rPr>
            </w:pPr>
            <w:r>
              <w:rPr>
                <w:w w:val="105"/>
                <w:sz w:val="18"/>
              </w:rPr>
              <w:t>NOM_MUN</w:t>
            </w:r>
          </w:p>
        </w:tc>
      </w:tr>
      <w:tr>
        <w:trPr>
          <w:trHeight w:val="245" w:hRule="exact"/>
        </w:trPr>
        <w:tc>
          <w:tcPr>
            <w:tcW w:w="1073" w:type="dxa"/>
          </w:tcPr>
          <w:p>
            <w:pPr>
              <w:pStyle w:val="TableParagraph"/>
              <w:spacing w:before="4"/>
              <w:ind w:right="21"/>
              <w:jc w:val="right"/>
              <w:rPr>
                <w:sz w:val="18"/>
              </w:rPr>
            </w:pPr>
            <w:r>
              <w:rPr>
                <w:w w:val="104"/>
                <w:sz w:val="18"/>
              </w:rPr>
              <w:t>5</w:t>
            </w:r>
          </w:p>
        </w:tc>
        <w:tc>
          <w:tcPr>
            <w:tcW w:w="2843" w:type="dxa"/>
          </w:tcPr>
          <w:p>
            <w:pPr>
              <w:pStyle w:val="TableParagraph"/>
              <w:spacing w:line="220" w:lineRule="exact"/>
              <w:ind w:left="152" w:right="141"/>
              <w:jc w:val="center"/>
              <w:rPr>
                <w:sz w:val="18"/>
              </w:rPr>
            </w:pPr>
            <w:r>
              <w:rPr>
                <w:w w:val="105"/>
                <w:sz w:val="18"/>
              </w:rPr>
              <w:t>Clave de ageb</w:t>
            </w:r>
          </w:p>
        </w:tc>
        <w:tc>
          <w:tcPr>
            <w:tcW w:w="3834" w:type="dxa"/>
          </w:tcPr>
          <w:p>
            <w:pPr>
              <w:pStyle w:val="TableParagraph"/>
              <w:spacing w:before="4"/>
              <w:ind w:left="24" w:right="62"/>
              <w:rPr>
                <w:sz w:val="18"/>
              </w:rPr>
            </w:pPr>
            <w:r>
              <w:rPr>
                <w:w w:val="105"/>
                <w:sz w:val="18"/>
              </w:rPr>
              <w:t>Clave de ageb.</w:t>
            </w:r>
          </w:p>
        </w:tc>
        <w:tc>
          <w:tcPr>
            <w:tcW w:w="1073" w:type="dxa"/>
          </w:tcPr>
          <w:p>
            <w:pPr>
              <w:pStyle w:val="TableParagraph"/>
              <w:spacing w:before="4"/>
              <w:ind w:left="24" w:right="-4"/>
              <w:rPr>
                <w:sz w:val="18"/>
              </w:rPr>
            </w:pPr>
            <w:r>
              <w:rPr>
                <w:w w:val="105"/>
                <w:sz w:val="18"/>
              </w:rPr>
              <w:t>AGEB</w:t>
            </w:r>
          </w:p>
        </w:tc>
      </w:tr>
      <w:tr>
        <w:trPr>
          <w:trHeight w:val="465" w:hRule="exact"/>
        </w:trPr>
        <w:tc>
          <w:tcPr>
            <w:tcW w:w="1073" w:type="dxa"/>
          </w:tcPr>
          <w:p>
            <w:pPr>
              <w:pStyle w:val="TableParagraph"/>
              <w:spacing w:before="5"/>
              <w:rPr>
                <w:rFonts w:ascii="Arial"/>
                <w:sz w:val="19"/>
              </w:rPr>
            </w:pPr>
          </w:p>
          <w:p>
            <w:pPr>
              <w:pStyle w:val="TableParagraph"/>
              <w:ind w:right="21"/>
              <w:jc w:val="right"/>
              <w:rPr>
                <w:sz w:val="18"/>
              </w:rPr>
            </w:pPr>
            <w:r>
              <w:rPr>
                <w:w w:val="104"/>
                <w:sz w:val="18"/>
              </w:rPr>
              <w:t>6</w:t>
            </w:r>
          </w:p>
        </w:tc>
        <w:tc>
          <w:tcPr>
            <w:tcW w:w="2843" w:type="dxa"/>
          </w:tcPr>
          <w:p>
            <w:pPr>
              <w:pStyle w:val="TableParagraph"/>
              <w:spacing w:before="110"/>
              <w:ind w:left="152" w:right="137"/>
              <w:jc w:val="center"/>
              <w:rPr>
                <w:sz w:val="18"/>
              </w:rPr>
            </w:pPr>
            <w:r>
              <w:rPr>
                <w:w w:val="105"/>
                <w:sz w:val="18"/>
              </w:rPr>
              <w:t>Tipo de ageb</w:t>
            </w:r>
          </w:p>
        </w:tc>
        <w:tc>
          <w:tcPr>
            <w:tcW w:w="3834" w:type="dxa"/>
          </w:tcPr>
          <w:p>
            <w:pPr>
              <w:pStyle w:val="TableParagraph"/>
              <w:spacing w:line="266" w:lineRule="auto" w:before="8"/>
              <w:ind w:left="24" w:right="378"/>
              <w:rPr>
                <w:sz w:val="18"/>
              </w:rPr>
            </w:pPr>
            <w:r>
              <w:rPr>
                <w:w w:val="105"/>
                <w:sz w:val="18"/>
              </w:rPr>
              <w:t>Identifica si él área que pertenece a un ageb urbano (U) o rural (R)</w:t>
            </w:r>
          </w:p>
        </w:tc>
        <w:tc>
          <w:tcPr>
            <w:tcW w:w="1073" w:type="dxa"/>
          </w:tcPr>
          <w:p>
            <w:pPr>
              <w:pStyle w:val="TableParagraph"/>
              <w:spacing w:before="5"/>
              <w:rPr>
                <w:rFonts w:ascii="Arial"/>
                <w:sz w:val="19"/>
              </w:rPr>
            </w:pPr>
          </w:p>
          <w:p>
            <w:pPr>
              <w:pStyle w:val="TableParagraph"/>
              <w:ind w:left="24" w:right="-4"/>
              <w:rPr>
                <w:sz w:val="18"/>
              </w:rPr>
            </w:pPr>
            <w:r>
              <w:rPr>
                <w:w w:val="105"/>
                <w:sz w:val="18"/>
              </w:rPr>
              <w:t>TIPO</w:t>
            </w:r>
          </w:p>
        </w:tc>
      </w:tr>
      <w:tr>
        <w:trPr>
          <w:trHeight w:val="1738" w:hRule="exact"/>
        </w:trPr>
        <w:tc>
          <w:tcPr>
            <w:tcW w:w="1073" w:type="dxa"/>
          </w:tcPr>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spacing w:before="2"/>
              <w:rPr>
                <w:rFonts w:ascii="Arial"/>
                <w:sz w:val="22"/>
              </w:rPr>
            </w:pPr>
          </w:p>
          <w:p>
            <w:pPr>
              <w:pStyle w:val="TableParagraph"/>
              <w:ind w:right="21"/>
              <w:jc w:val="right"/>
              <w:rPr>
                <w:sz w:val="18"/>
              </w:rPr>
            </w:pPr>
            <w:r>
              <w:rPr>
                <w:w w:val="104"/>
                <w:sz w:val="18"/>
              </w:rPr>
              <w:t>7</w:t>
            </w:r>
          </w:p>
        </w:tc>
        <w:tc>
          <w:tcPr>
            <w:tcW w:w="2843" w:type="dxa"/>
          </w:tcPr>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spacing w:before="125"/>
              <w:ind w:left="152" w:right="152"/>
              <w:jc w:val="center"/>
              <w:rPr>
                <w:sz w:val="18"/>
              </w:rPr>
            </w:pPr>
            <w:r>
              <w:rPr>
                <w:w w:val="105"/>
                <w:sz w:val="18"/>
              </w:rPr>
              <w:t>Longitud</w:t>
            </w:r>
          </w:p>
        </w:tc>
        <w:tc>
          <w:tcPr>
            <w:tcW w:w="3834" w:type="dxa"/>
          </w:tcPr>
          <w:p>
            <w:pPr>
              <w:pStyle w:val="TableParagraph"/>
              <w:spacing w:line="266" w:lineRule="auto" w:before="143"/>
              <w:ind w:left="24" w:right="62"/>
              <w:rPr>
                <w:sz w:val="18"/>
              </w:rPr>
            </w:pPr>
            <w:r>
              <w:rPr>
                <w:w w:val="105"/>
                <w:sz w:val="18"/>
              </w:rPr>
              <w:t>Ubicación de la localidad al Oeste del Meridiano de Greenwich, expresada en grados, minutos y segundos. Las primeras dos o tres posiciones corresponden a los grados; las siguientes dos posiciones indican los minutos y las últimas dos posiciones a los segundos.</w:t>
            </w:r>
          </w:p>
        </w:tc>
        <w:tc>
          <w:tcPr>
            <w:tcW w:w="1073" w:type="dxa"/>
          </w:tcPr>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spacing w:before="133"/>
              <w:ind w:left="24" w:right="-4"/>
              <w:rPr>
                <w:sz w:val="18"/>
              </w:rPr>
            </w:pPr>
            <w:r>
              <w:rPr>
                <w:w w:val="105"/>
                <w:sz w:val="18"/>
              </w:rPr>
              <w:t>LONGITUD</w:t>
            </w:r>
          </w:p>
        </w:tc>
      </w:tr>
      <w:tr>
        <w:trPr>
          <w:trHeight w:val="1529" w:hRule="exact"/>
        </w:trPr>
        <w:tc>
          <w:tcPr>
            <w:tcW w:w="1073" w:type="dxa"/>
          </w:tcPr>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22"/>
              </w:rPr>
            </w:pPr>
          </w:p>
          <w:p>
            <w:pPr>
              <w:pStyle w:val="TableParagraph"/>
              <w:ind w:right="21"/>
              <w:jc w:val="right"/>
              <w:rPr>
                <w:sz w:val="18"/>
              </w:rPr>
            </w:pPr>
            <w:r>
              <w:rPr>
                <w:w w:val="104"/>
                <w:sz w:val="18"/>
              </w:rPr>
              <w:t>8</w:t>
            </w:r>
          </w:p>
        </w:tc>
        <w:tc>
          <w:tcPr>
            <w:tcW w:w="2843" w:type="dxa"/>
          </w:tcPr>
          <w:p>
            <w:pPr>
              <w:pStyle w:val="TableParagraph"/>
              <w:rPr>
                <w:rFonts w:ascii="Arial"/>
                <w:sz w:val="18"/>
              </w:rPr>
            </w:pPr>
          </w:p>
          <w:p>
            <w:pPr>
              <w:pStyle w:val="TableParagraph"/>
              <w:rPr>
                <w:rFonts w:ascii="Arial"/>
                <w:sz w:val="18"/>
              </w:rPr>
            </w:pPr>
          </w:p>
          <w:p>
            <w:pPr>
              <w:pStyle w:val="TableParagraph"/>
              <w:spacing w:before="7"/>
              <w:rPr>
                <w:rFonts w:ascii="Arial"/>
                <w:sz w:val="19"/>
              </w:rPr>
            </w:pPr>
          </w:p>
          <w:p>
            <w:pPr>
              <w:pStyle w:val="TableParagraph"/>
              <w:ind w:left="152" w:right="148"/>
              <w:jc w:val="center"/>
              <w:rPr>
                <w:sz w:val="18"/>
              </w:rPr>
            </w:pPr>
            <w:r>
              <w:rPr>
                <w:w w:val="105"/>
                <w:sz w:val="18"/>
              </w:rPr>
              <w:t>Latitud</w:t>
            </w:r>
          </w:p>
        </w:tc>
        <w:tc>
          <w:tcPr>
            <w:tcW w:w="3834" w:type="dxa"/>
          </w:tcPr>
          <w:p>
            <w:pPr>
              <w:pStyle w:val="TableParagraph"/>
              <w:spacing w:before="6"/>
              <w:rPr>
                <w:rFonts w:ascii="Arial"/>
                <w:sz w:val="26"/>
              </w:rPr>
            </w:pPr>
          </w:p>
          <w:p>
            <w:pPr>
              <w:pStyle w:val="TableParagraph"/>
              <w:spacing w:line="266" w:lineRule="auto"/>
              <w:ind w:left="24" w:right="62"/>
              <w:rPr>
                <w:sz w:val="18"/>
              </w:rPr>
            </w:pPr>
            <w:r>
              <w:rPr>
                <w:w w:val="105"/>
                <w:sz w:val="18"/>
              </w:rPr>
              <w:t>Ubicación de la localidad al Norte del Ecuador, expresada en grados, minutos y segundos. Las primeras dos posiciones corresponden a los grados; las siguientes dos a los minutos y las últimas dos posiciones a los segundos.</w:t>
            </w:r>
          </w:p>
        </w:tc>
        <w:tc>
          <w:tcPr>
            <w:tcW w:w="1073" w:type="dxa"/>
          </w:tcPr>
          <w:p>
            <w:pPr>
              <w:pStyle w:val="TableParagraph"/>
              <w:rPr>
                <w:rFonts w:ascii="Arial"/>
                <w:sz w:val="18"/>
              </w:rPr>
            </w:pPr>
          </w:p>
          <w:p>
            <w:pPr>
              <w:pStyle w:val="TableParagraph"/>
              <w:rPr>
                <w:rFonts w:ascii="Arial"/>
                <w:sz w:val="18"/>
              </w:rPr>
            </w:pPr>
          </w:p>
          <w:p>
            <w:pPr>
              <w:pStyle w:val="TableParagraph"/>
              <w:spacing w:before="4"/>
              <w:rPr>
                <w:rFonts w:ascii="Arial"/>
                <w:sz w:val="20"/>
              </w:rPr>
            </w:pPr>
          </w:p>
          <w:p>
            <w:pPr>
              <w:pStyle w:val="TableParagraph"/>
              <w:ind w:left="24" w:right="-4"/>
              <w:rPr>
                <w:sz w:val="18"/>
              </w:rPr>
            </w:pPr>
            <w:r>
              <w:rPr>
                <w:w w:val="105"/>
                <w:sz w:val="18"/>
              </w:rPr>
              <w:t>LATITUD</w:t>
            </w:r>
          </w:p>
        </w:tc>
      </w:tr>
      <w:tr>
        <w:trPr>
          <w:trHeight w:val="795" w:hRule="exact"/>
        </w:trPr>
        <w:tc>
          <w:tcPr>
            <w:tcW w:w="1073" w:type="dxa"/>
          </w:tcPr>
          <w:p>
            <w:pPr>
              <w:pStyle w:val="TableParagraph"/>
              <w:rPr>
                <w:rFonts w:ascii="Arial"/>
                <w:sz w:val="18"/>
              </w:rPr>
            </w:pPr>
          </w:p>
          <w:p>
            <w:pPr>
              <w:pStyle w:val="TableParagraph"/>
              <w:rPr>
                <w:rFonts w:ascii="Arial"/>
                <w:sz w:val="18"/>
              </w:rPr>
            </w:pPr>
          </w:p>
          <w:p>
            <w:pPr>
              <w:pStyle w:val="TableParagraph"/>
              <w:spacing w:before="140"/>
              <w:ind w:right="21"/>
              <w:jc w:val="right"/>
              <w:rPr>
                <w:sz w:val="18"/>
              </w:rPr>
            </w:pPr>
            <w:r>
              <w:rPr>
                <w:w w:val="104"/>
                <w:sz w:val="18"/>
              </w:rPr>
              <w:t>9</w:t>
            </w:r>
          </w:p>
        </w:tc>
        <w:tc>
          <w:tcPr>
            <w:tcW w:w="2843" w:type="dxa"/>
          </w:tcPr>
          <w:p>
            <w:pPr>
              <w:pStyle w:val="TableParagraph"/>
              <w:spacing w:before="8"/>
              <w:rPr>
                <w:rFonts w:ascii="Arial"/>
                <w:sz w:val="23"/>
              </w:rPr>
            </w:pPr>
          </w:p>
          <w:p>
            <w:pPr>
              <w:pStyle w:val="TableParagraph"/>
              <w:ind w:left="152" w:right="152"/>
              <w:jc w:val="center"/>
              <w:rPr>
                <w:sz w:val="18"/>
              </w:rPr>
            </w:pPr>
            <w:r>
              <w:rPr>
                <w:w w:val="105"/>
                <w:sz w:val="18"/>
              </w:rPr>
              <w:t>Altitud</w:t>
            </w:r>
          </w:p>
        </w:tc>
        <w:tc>
          <w:tcPr>
            <w:tcW w:w="3834" w:type="dxa"/>
          </w:tcPr>
          <w:p>
            <w:pPr>
              <w:pStyle w:val="TableParagraph"/>
              <w:spacing w:line="266" w:lineRule="auto" w:before="61"/>
              <w:ind w:left="24" w:right="62"/>
              <w:rPr>
                <w:sz w:val="18"/>
              </w:rPr>
            </w:pPr>
            <w:r>
              <w:rPr>
                <w:w w:val="105"/>
                <w:sz w:val="18"/>
              </w:rPr>
              <w:t>Altura a la que se encuentra una localidad, respecto al nivel medio del mar, expresada en metros.</w:t>
            </w:r>
          </w:p>
        </w:tc>
        <w:tc>
          <w:tcPr>
            <w:tcW w:w="1073" w:type="dxa"/>
          </w:tcPr>
          <w:p>
            <w:pPr>
              <w:pStyle w:val="TableParagraph"/>
              <w:spacing w:before="5"/>
              <w:rPr>
                <w:rFonts w:ascii="Arial"/>
                <w:sz w:val="24"/>
              </w:rPr>
            </w:pPr>
          </w:p>
          <w:p>
            <w:pPr>
              <w:pStyle w:val="TableParagraph"/>
              <w:ind w:left="24" w:right="-4"/>
              <w:rPr>
                <w:sz w:val="18"/>
              </w:rPr>
            </w:pPr>
            <w:r>
              <w:rPr>
                <w:w w:val="105"/>
                <w:sz w:val="18"/>
              </w:rPr>
              <w:t>ALTITUD</w:t>
            </w:r>
          </w:p>
        </w:tc>
      </w:tr>
    </w:tbl>
    <w:p>
      <w:pPr>
        <w:spacing w:before="37"/>
        <w:ind w:left="82" w:right="122" w:firstLine="0"/>
        <w:jc w:val="center"/>
        <w:rPr>
          <w:sz w:val="20"/>
        </w:rPr>
      </w:pPr>
      <w:r>
        <w:rPr>
          <w:sz w:val="20"/>
        </w:rPr>
        <w:t>Fuente: Elaboración propia con base en los datos del </w:t>
      </w:r>
      <w:r>
        <w:rPr>
          <w:sz w:val="19"/>
        </w:rPr>
        <w:t>INEGI</w:t>
      </w:r>
      <w:r>
        <w:rPr>
          <w:sz w:val="20"/>
        </w:rPr>
        <w:t>.</w:t>
      </w:r>
    </w:p>
    <w:p>
      <w:pPr>
        <w:spacing w:after="0"/>
        <w:jc w:val="center"/>
        <w:rPr>
          <w:sz w:val="20"/>
        </w:rPr>
        <w:sectPr>
          <w:footerReference w:type="default" r:id="rId43"/>
          <w:pgSz w:w="12240" w:h="15840"/>
          <w:pgMar w:footer="1003" w:header="0" w:top="1360" w:bottom="1200" w:left="1600" w:right="1560"/>
          <w:pgNumType w:start="91"/>
        </w:sectPr>
      </w:pPr>
    </w:p>
    <w:p>
      <w:pPr>
        <w:spacing w:before="53" w:after="2"/>
        <w:ind w:left="3377" w:right="3436" w:firstLine="0"/>
        <w:jc w:val="center"/>
        <w:rPr>
          <w:sz w:val="20"/>
        </w:rPr>
      </w:pPr>
      <w:r>
        <w:rPr>
          <w:sz w:val="20"/>
        </w:rPr>
        <w:t>Cuadro No. 7 Indicadores de</w:t>
      </w:r>
      <w:r>
        <w:rPr>
          <w:spacing w:val="-7"/>
          <w:sz w:val="20"/>
        </w:rPr>
        <w:t> </w:t>
      </w:r>
      <w:r>
        <w:rPr>
          <w:sz w:val="20"/>
        </w:rPr>
        <w:t>Población</w:t>
      </w:r>
    </w:p>
    <w:tbl>
      <w:tblPr>
        <w:tblW w:w="0" w:type="auto"/>
        <w:jc w:val="left"/>
        <w:tblInd w:w="11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073"/>
        <w:gridCol w:w="2843"/>
        <w:gridCol w:w="3834"/>
        <w:gridCol w:w="1073"/>
      </w:tblGrid>
      <w:tr>
        <w:trPr>
          <w:trHeight w:val="257" w:hRule="exact"/>
        </w:trPr>
        <w:tc>
          <w:tcPr>
            <w:tcW w:w="8822" w:type="dxa"/>
            <w:gridSpan w:val="4"/>
            <w:tcBorders>
              <w:left w:val="nil"/>
              <w:bottom w:val="single" w:sz="13" w:space="0" w:color="000000"/>
              <w:right w:val="nil"/>
            </w:tcBorders>
            <w:shd w:val="clear" w:color="auto" w:fill="BEBEBE"/>
          </w:tcPr>
          <w:p>
            <w:pPr>
              <w:pStyle w:val="TableParagraph"/>
              <w:spacing w:before="8"/>
              <w:ind w:left="3452" w:right="3451"/>
              <w:jc w:val="center"/>
              <w:rPr>
                <w:b/>
                <w:sz w:val="18"/>
              </w:rPr>
            </w:pPr>
            <w:r>
              <w:rPr>
                <w:b/>
                <w:w w:val="105"/>
                <w:sz w:val="18"/>
              </w:rPr>
              <w:t>Población</w:t>
            </w:r>
          </w:p>
        </w:tc>
      </w:tr>
      <w:tr>
        <w:trPr>
          <w:trHeight w:val="244" w:hRule="exact"/>
        </w:trPr>
        <w:tc>
          <w:tcPr>
            <w:tcW w:w="1073" w:type="dxa"/>
            <w:tcBorders>
              <w:top w:val="single" w:sz="13" w:space="0" w:color="000000"/>
              <w:left w:val="nil"/>
              <w:bottom w:val="single" w:sz="7" w:space="0" w:color="000000"/>
              <w:right w:val="nil"/>
            </w:tcBorders>
            <w:shd w:val="clear" w:color="auto" w:fill="BEBEBE"/>
          </w:tcPr>
          <w:p>
            <w:pPr>
              <w:pStyle w:val="TableParagraph"/>
              <w:spacing w:line="215" w:lineRule="exact"/>
              <w:ind w:left="32"/>
              <w:rPr>
                <w:b/>
                <w:sz w:val="18"/>
              </w:rPr>
            </w:pPr>
            <w:r>
              <w:rPr>
                <w:b/>
                <w:w w:val="105"/>
                <w:sz w:val="18"/>
              </w:rPr>
              <w:t>No.</w:t>
            </w:r>
          </w:p>
        </w:tc>
        <w:tc>
          <w:tcPr>
            <w:tcW w:w="2843" w:type="dxa"/>
            <w:tcBorders>
              <w:top w:val="single" w:sz="13" w:space="0" w:color="000000"/>
              <w:left w:val="nil"/>
              <w:bottom w:val="single" w:sz="7" w:space="0" w:color="000000"/>
              <w:right w:val="nil"/>
            </w:tcBorders>
            <w:shd w:val="clear" w:color="auto" w:fill="BEBEBE"/>
          </w:tcPr>
          <w:p>
            <w:pPr>
              <w:pStyle w:val="TableParagraph"/>
              <w:spacing w:line="215" w:lineRule="exact"/>
              <w:ind w:left="567" w:right="557"/>
              <w:jc w:val="center"/>
              <w:rPr>
                <w:b/>
                <w:sz w:val="18"/>
              </w:rPr>
            </w:pPr>
            <w:r>
              <w:rPr>
                <w:b/>
                <w:w w:val="105"/>
                <w:sz w:val="18"/>
              </w:rPr>
              <w:t>Categoria o indicador</w:t>
            </w:r>
          </w:p>
        </w:tc>
        <w:tc>
          <w:tcPr>
            <w:tcW w:w="3834" w:type="dxa"/>
            <w:tcBorders>
              <w:top w:val="single" w:sz="13" w:space="0" w:color="000000"/>
              <w:left w:val="nil"/>
              <w:bottom w:val="single" w:sz="7" w:space="0" w:color="000000"/>
              <w:right w:val="nil"/>
            </w:tcBorders>
            <w:shd w:val="clear" w:color="auto" w:fill="BEBEBE"/>
          </w:tcPr>
          <w:p>
            <w:pPr>
              <w:pStyle w:val="TableParagraph"/>
              <w:spacing w:line="215" w:lineRule="exact"/>
              <w:ind w:left="32"/>
              <w:rPr>
                <w:b/>
                <w:sz w:val="18"/>
              </w:rPr>
            </w:pPr>
            <w:r>
              <w:rPr>
                <w:b/>
                <w:w w:val="105"/>
                <w:sz w:val="18"/>
              </w:rPr>
              <w:t>Descripción</w:t>
            </w:r>
          </w:p>
        </w:tc>
        <w:tc>
          <w:tcPr>
            <w:tcW w:w="1073" w:type="dxa"/>
            <w:tcBorders>
              <w:top w:val="single" w:sz="13" w:space="0" w:color="000000"/>
              <w:left w:val="nil"/>
              <w:bottom w:val="single" w:sz="7" w:space="0" w:color="000000"/>
              <w:right w:val="nil"/>
            </w:tcBorders>
            <w:shd w:val="clear" w:color="auto" w:fill="BEBEBE"/>
          </w:tcPr>
          <w:p>
            <w:pPr>
              <w:pStyle w:val="TableParagraph"/>
              <w:spacing w:line="215" w:lineRule="exact"/>
              <w:ind w:left="32"/>
              <w:rPr>
                <w:b/>
                <w:sz w:val="18"/>
              </w:rPr>
            </w:pPr>
            <w:r>
              <w:rPr>
                <w:b/>
                <w:w w:val="105"/>
                <w:sz w:val="18"/>
              </w:rPr>
              <w:t>Mnemónico</w:t>
            </w:r>
          </w:p>
        </w:tc>
      </w:tr>
      <w:tr>
        <w:trPr>
          <w:trHeight w:val="1552" w:hRule="exact"/>
        </w:trPr>
        <w:tc>
          <w:tcPr>
            <w:tcW w:w="1073" w:type="dxa"/>
            <w:tcBorders>
              <w:top w:val="single" w:sz="7" w:space="0" w:color="000000"/>
              <w:left w:val="single" w:sz="7" w:space="0" w:color="000000"/>
              <w:bottom w:val="single" w:sz="7" w:space="0" w:color="000000"/>
              <w:right w:val="single" w:sz="7" w:space="0" w:color="000000"/>
            </w:tcBorders>
          </w:tcPr>
          <w:p>
            <w:pPr>
              <w:pStyle w:val="TableParagraph"/>
              <w:rPr>
                <w:rFonts w:ascii="Arial"/>
                <w:sz w:val="18"/>
              </w:rPr>
            </w:pPr>
          </w:p>
          <w:p>
            <w:pPr>
              <w:pStyle w:val="TableParagraph"/>
              <w:rPr>
                <w:rFonts w:ascii="Arial"/>
                <w:sz w:val="18"/>
              </w:rPr>
            </w:pPr>
          </w:p>
          <w:p>
            <w:pPr>
              <w:pStyle w:val="TableParagraph"/>
              <w:spacing w:before="4"/>
              <w:rPr>
                <w:rFonts w:ascii="Arial"/>
                <w:sz w:val="21"/>
              </w:rPr>
            </w:pPr>
          </w:p>
          <w:p>
            <w:pPr>
              <w:pStyle w:val="TableParagraph"/>
              <w:ind w:right="18"/>
              <w:jc w:val="right"/>
              <w:rPr>
                <w:sz w:val="18"/>
              </w:rPr>
            </w:pPr>
            <w:r>
              <w:rPr>
                <w:w w:val="105"/>
                <w:sz w:val="18"/>
              </w:rPr>
              <w:t>10</w:t>
            </w:r>
          </w:p>
        </w:tc>
        <w:tc>
          <w:tcPr>
            <w:tcW w:w="2843" w:type="dxa"/>
            <w:tcBorders>
              <w:top w:val="single" w:sz="7" w:space="0" w:color="000000"/>
              <w:left w:val="single" w:sz="7" w:space="0" w:color="000000"/>
              <w:bottom w:val="single" w:sz="7" w:space="0" w:color="000000"/>
              <w:right w:val="single" w:sz="7" w:space="0" w:color="000000"/>
            </w:tcBorders>
          </w:tcPr>
          <w:p>
            <w:pPr>
              <w:pStyle w:val="TableParagraph"/>
              <w:rPr>
                <w:rFonts w:ascii="Arial"/>
                <w:sz w:val="18"/>
              </w:rPr>
            </w:pPr>
          </w:p>
          <w:p>
            <w:pPr>
              <w:pStyle w:val="TableParagraph"/>
              <w:rPr>
                <w:rFonts w:ascii="Arial"/>
                <w:sz w:val="18"/>
              </w:rPr>
            </w:pPr>
          </w:p>
          <w:p>
            <w:pPr>
              <w:pStyle w:val="TableParagraph"/>
              <w:spacing w:before="7"/>
              <w:rPr>
                <w:rFonts w:ascii="Arial"/>
                <w:sz w:val="20"/>
              </w:rPr>
            </w:pPr>
          </w:p>
          <w:p>
            <w:pPr>
              <w:pStyle w:val="TableParagraph"/>
              <w:ind w:left="152" w:right="151"/>
              <w:jc w:val="center"/>
              <w:rPr>
                <w:sz w:val="18"/>
              </w:rPr>
            </w:pPr>
            <w:r>
              <w:rPr>
                <w:w w:val="105"/>
                <w:sz w:val="18"/>
              </w:rPr>
              <w:t>Población total</w:t>
            </w:r>
          </w:p>
        </w:tc>
        <w:tc>
          <w:tcPr>
            <w:tcW w:w="3834" w:type="dxa"/>
            <w:tcBorders>
              <w:top w:val="single" w:sz="7" w:space="0" w:color="000000"/>
              <w:left w:val="single" w:sz="7" w:space="0" w:color="000000"/>
              <w:bottom w:val="single" w:sz="7" w:space="0" w:color="000000"/>
              <w:right w:val="single" w:sz="7" w:space="0" w:color="000000"/>
            </w:tcBorders>
          </w:tcPr>
          <w:p>
            <w:pPr>
              <w:pStyle w:val="TableParagraph"/>
              <w:spacing w:line="266" w:lineRule="auto" w:before="48"/>
              <w:ind w:left="24" w:right="9"/>
              <w:rPr>
                <w:sz w:val="18"/>
              </w:rPr>
            </w:pPr>
            <w:r>
              <w:rPr>
                <w:w w:val="105"/>
                <w:sz w:val="18"/>
              </w:rPr>
              <w:t>Total de personas que residen habitualmente en el país, entidad federativa, municipio o localidad. Incluye la estimación del número de personas en viviendas particulares sin información de ocupantes. Incluye a la población que no específico su edad.</w:t>
            </w:r>
          </w:p>
        </w:tc>
        <w:tc>
          <w:tcPr>
            <w:tcW w:w="1073" w:type="dxa"/>
            <w:tcBorders>
              <w:top w:val="single" w:sz="7" w:space="0" w:color="000000"/>
              <w:left w:val="single" w:sz="7" w:space="0" w:color="000000"/>
              <w:bottom w:val="single" w:sz="7" w:space="0" w:color="000000"/>
              <w:right w:val="single" w:sz="7" w:space="0" w:color="000000"/>
            </w:tcBorders>
          </w:tcPr>
          <w:p>
            <w:pPr>
              <w:pStyle w:val="TableParagraph"/>
              <w:rPr>
                <w:rFonts w:ascii="Arial"/>
                <w:sz w:val="18"/>
              </w:rPr>
            </w:pPr>
          </w:p>
          <w:p>
            <w:pPr>
              <w:pStyle w:val="TableParagraph"/>
              <w:rPr>
                <w:rFonts w:ascii="Arial"/>
                <w:sz w:val="18"/>
              </w:rPr>
            </w:pPr>
          </w:p>
          <w:p>
            <w:pPr>
              <w:pStyle w:val="TableParagraph"/>
              <w:spacing w:before="4"/>
              <w:rPr>
                <w:rFonts w:ascii="Arial"/>
                <w:sz w:val="21"/>
              </w:rPr>
            </w:pPr>
          </w:p>
          <w:p>
            <w:pPr>
              <w:pStyle w:val="TableParagraph"/>
              <w:ind w:left="216" w:right="-4"/>
              <w:rPr>
                <w:sz w:val="18"/>
              </w:rPr>
            </w:pPr>
            <w:r>
              <w:rPr>
                <w:w w:val="105"/>
                <w:sz w:val="18"/>
              </w:rPr>
              <w:t>POBTOT</w:t>
            </w:r>
          </w:p>
        </w:tc>
      </w:tr>
      <w:tr>
        <w:trPr>
          <w:trHeight w:val="1527" w:hRule="exact"/>
        </w:trPr>
        <w:tc>
          <w:tcPr>
            <w:tcW w:w="1073" w:type="dxa"/>
            <w:tcBorders>
              <w:top w:val="single" w:sz="7" w:space="0" w:color="000000"/>
              <w:left w:val="single" w:sz="7" w:space="0" w:color="000000"/>
              <w:bottom w:val="single" w:sz="7" w:space="0" w:color="000000"/>
              <w:right w:val="single" w:sz="7" w:space="0" w:color="000000"/>
            </w:tcBorders>
          </w:tcPr>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spacing w:before="10"/>
              <w:rPr>
                <w:rFonts w:ascii="Arial"/>
                <w:sz w:val="21"/>
              </w:rPr>
            </w:pPr>
          </w:p>
          <w:p>
            <w:pPr>
              <w:pStyle w:val="TableParagraph"/>
              <w:ind w:right="22"/>
              <w:jc w:val="right"/>
              <w:rPr>
                <w:sz w:val="18"/>
              </w:rPr>
            </w:pPr>
            <w:r>
              <w:rPr>
                <w:w w:val="105"/>
                <w:sz w:val="18"/>
              </w:rPr>
              <w:t>11</w:t>
            </w:r>
          </w:p>
        </w:tc>
        <w:tc>
          <w:tcPr>
            <w:tcW w:w="2843" w:type="dxa"/>
            <w:tcBorders>
              <w:top w:val="single" w:sz="7" w:space="0" w:color="000000"/>
              <w:left w:val="single" w:sz="7" w:space="0" w:color="000000"/>
              <w:bottom w:val="single" w:sz="7" w:space="0" w:color="000000"/>
              <w:right w:val="single" w:sz="7" w:space="0" w:color="000000"/>
            </w:tcBorders>
          </w:tcPr>
          <w:p>
            <w:pPr>
              <w:pStyle w:val="TableParagraph"/>
              <w:rPr>
                <w:rFonts w:ascii="Arial"/>
                <w:sz w:val="18"/>
              </w:rPr>
            </w:pPr>
          </w:p>
          <w:p>
            <w:pPr>
              <w:pStyle w:val="TableParagraph"/>
              <w:rPr>
                <w:rFonts w:ascii="Arial"/>
                <w:sz w:val="18"/>
              </w:rPr>
            </w:pPr>
          </w:p>
          <w:p>
            <w:pPr>
              <w:pStyle w:val="TableParagraph"/>
              <w:spacing w:before="6"/>
              <w:rPr>
                <w:rFonts w:ascii="Arial"/>
                <w:sz w:val="19"/>
              </w:rPr>
            </w:pPr>
          </w:p>
          <w:p>
            <w:pPr>
              <w:pStyle w:val="TableParagraph"/>
              <w:spacing w:before="1"/>
              <w:ind w:left="151" w:right="152"/>
              <w:jc w:val="center"/>
              <w:rPr>
                <w:sz w:val="18"/>
              </w:rPr>
            </w:pPr>
            <w:r>
              <w:rPr>
                <w:w w:val="105"/>
                <w:sz w:val="18"/>
              </w:rPr>
              <w:t>Población masculina</w:t>
            </w:r>
          </w:p>
        </w:tc>
        <w:tc>
          <w:tcPr>
            <w:tcW w:w="3834" w:type="dxa"/>
            <w:tcBorders>
              <w:top w:val="single" w:sz="7" w:space="0" w:color="000000"/>
              <w:left w:val="single" w:sz="7" w:space="0" w:color="000000"/>
              <w:bottom w:val="single" w:sz="7" w:space="0" w:color="000000"/>
              <w:right w:val="single" w:sz="7" w:space="0" w:color="000000"/>
            </w:tcBorders>
          </w:tcPr>
          <w:p>
            <w:pPr>
              <w:pStyle w:val="TableParagraph"/>
              <w:spacing w:line="266" w:lineRule="auto" w:before="60"/>
              <w:ind w:left="24" w:right="9"/>
              <w:rPr>
                <w:sz w:val="18"/>
              </w:rPr>
            </w:pPr>
            <w:r>
              <w:rPr>
                <w:w w:val="105"/>
                <w:sz w:val="18"/>
              </w:rPr>
              <w:t>Total de hombres que residen habitualmente en el país, entidad federativa, municipio o localidad. Incluye la estimación del número de personas en viviendas particulares sin información de ocupantes. Incluye a la población que no específico su edad.</w:t>
            </w:r>
          </w:p>
        </w:tc>
        <w:tc>
          <w:tcPr>
            <w:tcW w:w="1073" w:type="dxa"/>
            <w:tcBorders>
              <w:top w:val="single" w:sz="7" w:space="0" w:color="000000"/>
              <w:left w:val="single" w:sz="7" w:space="0" w:color="000000"/>
              <w:bottom w:val="single" w:sz="7" w:space="0" w:color="000000"/>
              <w:right w:val="single" w:sz="7" w:space="0" w:color="000000"/>
            </w:tcBorders>
          </w:tcPr>
          <w:p>
            <w:pPr>
              <w:pStyle w:val="TableParagraph"/>
              <w:rPr>
                <w:rFonts w:ascii="Arial"/>
                <w:sz w:val="18"/>
              </w:rPr>
            </w:pPr>
          </w:p>
          <w:p>
            <w:pPr>
              <w:pStyle w:val="TableParagraph"/>
              <w:rPr>
                <w:rFonts w:ascii="Arial"/>
                <w:sz w:val="18"/>
              </w:rPr>
            </w:pPr>
          </w:p>
          <w:p>
            <w:pPr>
              <w:pStyle w:val="TableParagraph"/>
              <w:spacing w:before="3"/>
              <w:rPr>
                <w:rFonts w:ascii="Arial"/>
                <w:sz w:val="20"/>
              </w:rPr>
            </w:pPr>
          </w:p>
          <w:p>
            <w:pPr>
              <w:pStyle w:val="TableParagraph"/>
              <w:ind w:left="24" w:right="-4"/>
              <w:rPr>
                <w:sz w:val="18"/>
              </w:rPr>
            </w:pPr>
            <w:r>
              <w:rPr>
                <w:w w:val="105"/>
                <w:sz w:val="18"/>
              </w:rPr>
              <w:t>POBMAS</w:t>
            </w:r>
          </w:p>
        </w:tc>
      </w:tr>
      <w:tr>
        <w:trPr>
          <w:trHeight w:val="1466" w:hRule="exact"/>
        </w:trPr>
        <w:tc>
          <w:tcPr>
            <w:tcW w:w="1073" w:type="dxa"/>
            <w:tcBorders>
              <w:top w:val="single" w:sz="7" w:space="0" w:color="000000"/>
              <w:left w:val="single" w:sz="7" w:space="0" w:color="000000"/>
              <w:bottom w:val="single" w:sz="7" w:space="0" w:color="000000"/>
              <w:right w:val="single" w:sz="7" w:space="0" w:color="000000"/>
            </w:tcBorders>
          </w:tcPr>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spacing w:before="6"/>
              <w:rPr>
                <w:rFonts w:ascii="Arial"/>
                <w:sz w:val="16"/>
              </w:rPr>
            </w:pPr>
          </w:p>
          <w:p>
            <w:pPr>
              <w:pStyle w:val="TableParagraph"/>
              <w:ind w:right="22"/>
              <w:jc w:val="right"/>
              <w:rPr>
                <w:sz w:val="18"/>
              </w:rPr>
            </w:pPr>
            <w:r>
              <w:rPr>
                <w:w w:val="105"/>
                <w:sz w:val="18"/>
              </w:rPr>
              <w:t>12</w:t>
            </w:r>
          </w:p>
        </w:tc>
        <w:tc>
          <w:tcPr>
            <w:tcW w:w="2843" w:type="dxa"/>
            <w:tcBorders>
              <w:top w:val="single" w:sz="7" w:space="0" w:color="000000"/>
              <w:left w:val="single" w:sz="7" w:space="0" w:color="000000"/>
              <w:bottom w:val="single" w:sz="7" w:space="0" w:color="000000"/>
              <w:right w:val="single" w:sz="7" w:space="0" w:color="000000"/>
            </w:tcBorders>
          </w:tcPr>
          <w:p>
            <w:pPr>
              <w:pStyle w:val="TableParagraph"/>
              <w:rPr>
                <w:rFonts w:ascii="Arial"/>
                <w:sz w:val="18"/>
              </w:rPr>
            </w:pPr>
          </w:p>
          <w:p>
            <w:pPr>
              <w:pStyle w:val="TableParagraph"/>
              <w:rPr>
                <w:rFonts w:ascii="Arial"/>
                <w:sz w:val="18"/>
              </w:rPr>
            </w:pPr>
          </w:p>
          <w:p>
            <w:pPr>
              <w:pStyle w:val="TableParagraph"/>
              <w:rPr>
                <w:rFonts w:ascii="Arial"/>
                <w:sz w:val="17"/>
              </w:rPr>
            </w:pPr>
          </w:p>
          <w:p>
            <w:pPr>
              <w:pStyle w:val="TableParagraph"/>
              <w:spacing w:before="1"/>
              <w:ind w:left="151" w:right="152"/>
              <w:jc w:val="center"/>
              <w:rPr>
                <w:sz w:val="18"/>
              </w:rPr>
            </w:pPr>
            <w:r>
              <w:rPr>
                <w:w w:val="105"/>
                <w:sz w:val="18"/>
              </w:rPr>
              <w:t>Población femenina</w:t>
            </w:r>
          </w:p>
        </w:tc>
        <w:tc>
          <w:tcPr>
            <w:tcW w:w="3834" w:type="dxa"/>
            <w:tcBorders>
              <w:top w:val="single" w:sz="7" w:space="0" w:color="000000"/>
              <w:left w:val="single" w:sz="7" w:space="0" w:color="000000"/>
              <w:bottom w:val="single" w:sz="7" w:space="0" w:color="000000"/>
              <w:right w:val="single" w:sz="7" w:space="0" w:color="000000"/>
            </w:tcBorders>
          </w:tcPr>
          <w:p>
            <w:pPr>
              <w:pStyle w:val="TableParagraph"/>
              <w:spacing w:line="266" w:lineRule="auto"/>
              <w:ind w:left="24" w:right="9"/>
              <w:rPr>
                <w:sz w:val="18"/>
              </w:rPr>
            </w:pPr>
            <w:r>
              <w:rPr>
                <w:w w:val="105"/>
                <w:sz w:val="18"/>
              </w:rPr>
              <w:t>Total de mujeres que residen habitualmente en el país, entidad federativa, municipio o localidad. Incluye la estimación del número de personas en viviendas particulares sin información de ocupantes. Incluye a la población que no específico su edad.</w:t>
            </w:r>
          </w:p>
        </w:tc>
        <w:tc>
          <w:tcPr>
            <w:tcW w:w="1073" w:type="dxa"/>
            <w:tcBorders>
              <w:top w:val="single" w:sz="7" w:space="0" w:color="000000"/>
              <w:left w:val="single" w:sz="7" w:space="0" w:color="000000"/>
              <w:bottom w:val="single" w:sz="7" w:space="0" w:color="000000"/>
              <w:right w:val="single" w:sz="7" w:space="0" w:color="000000"/>
            </w:tcBorders>
          </w:tcPr>
          <w:p>
            <w:pPr>
              <w:pStyle w:val="TableParagraph"/>
              <w:rPr>
                <w:rFonts w:ascii="Arial"/>
                <w:sz w:val="18"/>
              </w:rPr>
            </w:pPr>
          </w:p>
          <w:p>
            <w:pPr>
              <w:pStyle w:val="TableParagraph"/>
              <w:rPr>
                <w:rFonts w:ascii="Arial"/>
                <w:sz w:val="18"/>
              </w:rPr>
            </w:pPr>
          </w:p>
          <w:p>
            <w:pPr>
              <w:pStyle w:val="TableParagraph"/>
              <w:spacing w:before="9"/>
              <w:rPr>
                <w:rFonts w:ascii="Arial"/>
                <w:sz w:val="17"/>
              </w:rPr>
            </w:pPr>
          </w:p>
          <w:p>
            <w:pPr>
              <w:pStyle w:val="TableParagraph"/>
              <w:ind w:left="24" w:right="-4"/>
              <w:rPr>
                <w:sz w:val="18"/>
              </w:rPr>
            </w:pPr>
            <w:r>
              <w:rPr>
                <w:w w:val="105"/>
                <w:sz w:val="18"/>
              </w:rPr>
              <w:t>POBFEM</w:t>
            </w:r>
          </w:p>
        </w:tc>
      </w:tr>
    </w:tbl>
    <w:p>
      <w:pPr>
        <w:spacing w:before="80"/>
        <w:ind w:left="156" w:right="216" w:firstLine="0"/>
        <w:jc w:val="center"/>
        <w:rPr>
          <w:sz w:val="20"/>
        </w:rPr>
      </w:pPr>
      <w:r>
        <w:rPr>
          <w:sz w:val="20"/>
        </w:rPr>
        <w:t>Fuente: Elaboración propia con base en los datos del </w:t>
      </w:r>
      <w:r>
        <w:rPr>
          <w:sz w:val="19"/>
        </w:rPr>
        <w:t>INEGI</w:t>
      </w:r>
      <w:r>
        <w:rPr>
          <w:sz w:val="20"/>
        </w:rPr>
        <w:t>.</w:t>
      </w:r>
    </w:p>
    <w:p>
      <w:pPr>
        <w:spacing w:after="0"/>
        <w:jc w:val="center"/>
        <w:rPr>
          <w:sz w:val="20"/>
        </w:rPr>
        <w:sectPr>
          <w:pgSz w:w="12240" w:h="15840"/>
          <w:pgMar w:header="0" w:footer="1003" w:top="1360" w:bottom="1200" w:left="1620" w:right="1560"/>
        </w:sectPr>
      </w:pPr>
    </w:p>
    <w:p>
      <w:pPr>
        <w:spacing w:before="53"/>
        <w:ind w:left="2110" w:right="2187" w:firstLine="0"/>
        <w:jc w:val="center"/>
        <w:rPr>
          <w:sz w:val="20"/>
        </w:rPr>
      </w:pPr>
      <w:r>
        <w:rPr>
          <w:sz w:val="20"/>
        </w:rPr>
        <w:t>Cuadro No. 8</w:t>
      </w:r>
    </w:p>
    <w:p>
      <w:pPr>
        <w:spacing w:before="0"/>
        <w:ind w:left="2110" w:right="2188" w:firstLine="0"/>
        <w:jc w:val="center"/>
        <w:rPr>
          <w:sz w:val="20"/>
        </w:rPr>
      </w:pPr>
      <w:r>
        <w:rPr>
          <w:sz w:val="20"/>
        </w:rPr>
        <w:t>Indicadores Materiales de construcción de la Vivienda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0"/>
        </w:rPr>
      </w:pPr>
    </w:p>
    <w:p>
      <w:pPr>
        <w:spacing w:before="0"/>
        <w:ind w:left="0" w:right="101" w:firstLine="0"/>
        <w:jc w:val="right"/>
        <w:rPr>
          <w:rFonts w:ascii="Calibri"/>
          <w:sz w:val="18"/>
        </w:rPr>
      </w:pPr>
      <w:r>
        <w:rPr/>
        <w:pict>
          <v:shape style="position:absolute;margin-left:86.519997pt;margin-top:-264.883179pt;width:442.35pt;height:350.85pt;mso-position-horizontal-relative:page;mso-position-vertical-relative:paragraph;z-index:2176" type="#_x0000_t202" filled="false" stroked="false">
            <v:textbox inset="0,0,0,0">
              <w:txbxContent>
                <w:tbl>
                  <w:tblPr>
                    <w:tblW w:w="0" w:type="auto"/>
                    <w:jc w:val="left"/>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073"/>
                    <w:gridCol w:w="2843"/>
                    <w:gridCol w:w="3834"/>
                    <w:gridCol w:w="1073"/>
                  </w:tblGrid>
                  <w:tr>
                    <w:trPr>
                      <w:trHeight w:val="256" w:hRule="exact"/>
                    </w:trPr>
                    <w:tc>
                      <w:tcPr>
                        <w:tcW w:w="8822" w:type="dxa"/>
                        <w:gridSpan w:val="4"/>
                        <w:tcBorders>
                          <w:left w:val="nil"/>
                          <w:bottom w:val="single" w:sz="13" w:space="0" w:color="000000"/>
                          <w:right w:val="nil"/>
                        </w:tcBorders>
                        <w:shd w:val="clear" w:color="auto" w:fill="BEBEBE"/>
                      </w:tcPr>
                      <w:p>
                        <w:pPr>
                          <w:pStyle w:val="TableParagraph"/>
                          <w:spacing w:before="7"/>
                          <w:ind w:left="3452" w:right="3452"/>
                          <w:jc w:val="center"/>
                          <w:rPr>
                            <w:b/>
                            <w:sz w:val="18"/>
                          </w:rPr>
                        </w:pPr>
                        <w:r>
                          <w:rPr>
                            <w:b/>
                            <w:w w:val="105"/>
                            <w:sz w:val="18"/>
                          </w:rPr>
                          <w:t>Viviendas</w:t>
                        </w:r>
                      </w:p>
                    </w:tc>
                  </w:tr>
                  <w:tr>
                    <w:trPr>
                      <w:trHeight w:val="245" w:hRule="exact"/>
                    </w:trPr>
                    <w:tc>
                      <w:tcPr>
                        <w:tcW w:w="1073" w:type="dxa"/>
                        <w:tcBorders>
                          <w:top w:val="single" w:sz="13" w:space="0" w:color="000000"/>
                          <w:left w:val="nil"/>
                          <w:right w:val="nil"/>
                        </w:tcBorders>
                        <w:shd w:val="clear" w:color="auto" w:fill="BEBEBE"/>
                      </w:tcPr>
                      <w:p>
                        <w:pPr>
                          <w:pStyle w:val="TableParagraph"/>
                          <w:spacing w:line="216" w:lineRule="exact"/>
                          <w:ind w:left="32"/>
                          <w:rPr>
                            <w:b/>
                            <w:sz w:val="18"/>
                          </w:rPr>
                        </w:pPr>
                        <w:r>
                          <w:rPr>
                            <w:b/>
                            <w:w w:val="105"/>
                            <w:sz w:val="18"/>
                          </w:rPr>
                          <w:t>No.</w:t>
                        </w:r>
                      </w:p>
                    </w:tc>
                    <w:tc>
                      <w:tcPr>
                        <w:tcW w:w="2843" w:type="dxa"/>
                        <w:tcBorders>
                          <w:top w:val="single" w:sz="13" w:space="0" w:color="000000"/>
                          <w:left w:val="nil"/>
                          <w:right w:val="nil"/>
                        </w:tcBorders>
                        <w:shd w:val="clear" w:color="auto" w:fill="BEBEBE"/>
                      </w:tcPr>
                      <w:p>
                        <w:pPr>
                          <w:pStyle w:val="TableParagraph"/>
                          <w:spacing w:line="216" w:lineRule="exact"/>
                          <w:ind w:left="567" w:right="557"/>
                          <w:jc w:val="center"/>
                          <w:rPr>
                            <w:b/>
                            <w:sz w:val="18"/>
                          </w:rPr>
                        </w:pPr>
                        <w:r>
                          <w:rPr>
                            <w:b/>
                            <w:w w:val="105"/>
                            <w:sz w:val="18"/>
                          </w:rPr>
                          <w:t>Categoria o indicador</w:t>
                        </w:r>
                      </w:p>
                    </w:tc>
                    <w:tc>
                      <w:tcPr>
                        <w:tcW w:w="3834" w:type="dxa"/>
                        <w:tcBorders>
                          <w:top w:val="single" w:sz="13" w:space="0" w:color="000000"/>
                          <w:left w:val="nil"/>
                          <w:right w:val="nil"/>
                        </w:tcBorders>
                        <w:shd w:val="clear" w:color="auto" w:fill="BEBEBE"/>
                      </w:tcPr>
                      <w:p>
                        <w:pPr>
                          <w:pStyle w:val="TableParagraph"/>
                          <w:spacing w:line="216" w:lineRule="exact"/>
                          <w:ind w:left="32"/>
                          <w:rPr>
                            <w:b/>
                            <w:sz w:val="18"/>
                          </w:rPr>
                        </w:pPr>
                        <w:r>
                          <w:rPr>
                            <w:b/>
                            <w:w w:val="105"/>
                            <w:sz w:val="18"/>
                          </w:rPr>
                          <w:t>Descripción</w:t>
                        </w:r>
                      </w:p>
                    </w:tc>
                    <w:tc>
                      <w:tcPr>
                        <w:tcW w:w="1073" w:type="dxa"/>
                        <w:tcBorders>
                          <w:top w:val="single" w:sz="13" w:space="0" w:color="000000"/>
                          <w:left w:val="nil"/>
                          <w:right w:val="nil"/>
                        </w:tcBorders>
                        <w:shd w:val="clear" w:color="auto" w:fill="BEBEBE"/>
                      </w:tcPr>
                      <w:p>
                        <w:pPr>
                          <w:pStyle w:val="TableParagraph"/>
                          <w:spacing w:line="216" w:lineRule="exact"/>
                          <w:ind w:left="32"/>
                          <w:rPr>
                            <w:b/>
                            <w:sz w:val="18"/>
                          </w:rPr>
                        </w:pPr>
                        <w:r>
                          <w:rPr>
                            <w:b/>
                            <w:w w:val="105"/>
                            <w:sz w:val="18"/>
                          </w:rPr>
                          <w:t>Mnemónico</w:t>
                        </w:r>
                      </w:p>
                    </w:tc>
                  </w:tr>
                  <w:tr>
                    <w:trPr>
                      <w:trHeight w:val="440" w:hRule="exact"/>
                    </w:trPr>
                    <w:tc>
                      <w:tcPr>
                        <w:tcW w:w="1073" w:type="dxa"/>
                      </w:tcPr>
                      <w:p>
                        <w:pPr>
                          <w:pStyle w:val="TableParagraph"/>
                          <w:spacing w:before="3"/>
                          <w:rPr>
                            <w:rFonts w:ascii="Arial"/>
                            <w:sz w:val="17"/>
                          </w:rPr>
                        </w:pPr>
                      </w:p>
                      <w:p>
                        <w:pPr>
                          <w:pStyle w:val="TableParagraph"/>
                          <w:ind w:right="22"/>
                          <w:jc w:val="right"/>
                          <w:rPr>
                            <w:sz w:val="18"/>
                          </w:rPr>
                        </w:pPr>
                        <w:r>
                          <w:rPr>
                            <w:w w:val="105"/>
                            <w:sz w:val="18"/>
                          </w:rPr>
                          <w:t>40</w:t>
                        </w:r>
                      </w:p>
                    </w:tc>
                    <w:tc>
                      <w:tcPr>
                        <w:tcW w:w="2843" w:type="dxa"/>
                      </w:tcPr>
                      <w:p>
                        <w:pPr>
                          <w:pStyle w:val="TableParagraph"/>
                          <w:spacing w:before="97"/>
                          <w:ind w:left="152" w:right="150"/>
                          <w:jc w:val="center"/>
                          <w:rPr>
                            <w:sz w:val="18"/>
                          </w:rPr>
                        </w:pPr>
                        <w:r>
                          <w:rPr>
                            <w:w w:val="105"/>
                            <w:sz w:val="18"/>
                          </w:rPr>
                          <w:t>Total de viviendas</w:t>
                        </w:r>
                      </w:p>
                    </w:tc>
                    <w:tc>
                      <w:tcPr>
                        <w:tcW w:w="3834" w:type="dxa"/>
                      </w:tcPr>
                      <w:p>
                        <w:pPr>
                          <w:pStyle w:val="TableParagraph"/>
                          <w:spacing w:line="170" w:lineRule="exact"/>
                          <w:ind w:left="24" w:right="62"/>
                          <w:rPr>
                            <w:sz w:val="18"/>
                          </w:rPr>
                        </w:pPr>
                        <w:r>
                          <w:rPr>
                            <w:w w:val="105"/>
                            <w:sz w:val="18"/>
                          </w:rPr>
                          <w:t>Viviendas particulares habitadas, deshabitadas</w:t>
                        </w:r>
                      </w:p>
                      <w:p>
                        <w:pPr>
                          <w:pStyle w:val="TableParagraph"/>
                          <w:spacing w:before="24"/>
                          <w:ind w:left="24" w:right="62"/>
                          <w:rPr>
                            <w:sz w:val="18"/>
                          </w:rPr>
                        </w:pPr>
                        <w:r>
                          <w:rPr>
                            <w:w w:val="105"/>
                            <w:sz w:val="18"/>
                          </w:rPr>
                          <w:t>de uso temporal y colectivas</w:t>
                        </w:r>
                      </w:p>
                    </w:tc>
                    <w:tc>
                      <w:tcPr>
                        <w:tcW w:w="1073" w:type="dxa"/>
                      </w:tcPr>
                      <w:p>
                        <w:pPr>
                          <w:pStyle w:val="TableParagraph"/>
                          <w:spacing w:before="3"/>
                          <w:rPr>
                            <w:rFonts w:ascii="Arial"/>
                            <w:sz w:val="17"/>
                          </w:rPr>
                        </w:pPr>
                      </w:p>
                      <w:p>
                        <w:pPr>
                          <w:pStyle w:val="TableParagraph"/>
                          <w:ind w:left="24" w:right="-4"/>
                          <w:rPr>
                            <w:sz w:val="18"/>
                          </w:rPr>
                        </w:pPr>
                        <w:r>
                          <w:rPr>
                            <w:w w:val="105"/>
                            <w:sz w:val="18"/>
                          </w:rPr>
                          <w:t>VIVTOT</w:t>
                        </w:r>
                      </w:p>
                    </w:tc>
                  </w:tr>
                  <w:tr>
                    <w:trPr>
                      <w:trHeight w:val="281" w:hRule="exact"/>
                    </w:trPr>
                    <w:tc>
                      <w:tcPr>
                        <w:tcW w:w="1073" w:type="dxa"/>
                      </w:tcPr>
                      <w:p>
                        <w:pPr>
                          <w:pStyle w:val="TableParagraph"/>
                          <w:spacing w:before="40"/>
                          <w:ind w:right="22"/>
                          <w:jc w:val="right"/>
                          <w:rPr>
                            <w:sz w:val="18"/>
                          </w:rPr>
                        </w:pPr>
                        <w:r>
                          <w:rPr>
                            <w:w w:val="105"/>
                            <w:sz w:val="18"/>
                          </w:rPr>
                          <w:t>41</w:t>
                        </w:r>
                      </w:p>
                    </w:tc>
                    <w:tc>
                      <w:tcPr>
                        <w:tcW w:w="2843" w:type="dxa"/>
                      </w:tcPr>
                      <w:p>
                        <w:pPr>
                          <w:pStyle w:val="TableParagraph"/>
                          <w:spacing w:before="40"/>
                          <w:ind w:left="152" w:right="150"/>
                          <w:jc w:val="center"/>
                          <w:rPr>
                            <w:sz w:val="18"/>
                          </w:rPr>
                        </w:pPr>
                        <w:r>
                          <w:rPr>
                            <w:w w:val="105"/>
                            <w:sz w:val="18"/>
                          </w:rPr>
                          <w:t>Total de viviendas habitadas</w:t>
                        </w:r>
                      </w:p>
                    </w:tc>
                    <w:tc>
                      <w:tcPr>
                        <w:tcW w:w="3834" w:type="dxa"/>
                      </w:tcPr>
                      <w:p>
                        <w:pPr>
                          <w:pStyle w:val="TableParagraph"/>
                          <w:spacing w:before="36"/>
                          <w:ind w:left="24" w:right="62"/>
                          <w:rPr>
                            <w:sz w:val="18"/>
                          </w:rPr>
                        </w:pPr>
                        <w:r>
                          <w:rPr>
                            <w:w w:val="105"/>
                            <w:sz w:val="18"/>
                          </w:rPr>
                          <w:t>Viviendas particulares y colectivas habitadas</w:t>
                        </w:r>
                      </w:p>
                    </w:tc>
                    <w:tc>
                      <w:tcPr>
                        <w:tcW w:w="1073" w:type="dxa"/>
                      </w:tcPr>
                      <w:p>
                        <w:pPr>
                          <w:pStyle w:val="TableParagraph"/>
                          <w:spacing w:before="40"/>
                          <w:ind w:left="24" w:right="-4"/>
                          <w:rPr>
                            <w:sz w:val="18"/>
                          </w:rPr>
                        </w:pPr>
                        <w:r>
                          <w:rPr>
                            <w:w w:val="105"/>
                            <w:sz w:val="18"/>
                          </w:rPr>
                          <w:t>TVIVHAB</w:t>
                        </w:r>
                      </w:p>
                    </w:tc>
                  </w:tr>
                  <w:tr>
                    <w:trPr>
                      <w:trHeight w:val="476" w:hRule="exact"/>
                    </w:trPr>
                    <w:tc>
                      <w:tcPr>
                        <w:tcW w:w="1073" w:type="dxa"/>
                      </w:tcPr>
                      <w:p>
                        <w:pPr>
                          <w:pStyle w:val="TableParagraph"/>
                          <w:spacing w:before="5"/>
                          <w:rPr>
                            <w:rFonts w:ascii="Arial"/>
                            <w:sz w:val="20"/>
                          </w:rPr>
                        </w:pPr>
                      </w:p>
                      <w:p>
                        <w:pPr>
                          <w:pStyle w:val="TableParagraph"/>
                          <w:ind w:right="22"/>
                          <w:jc w:val="right"/>
                          <w:rPr>
                            <w:sz w:val="18"/>
                          </w:rPr>
                        </w:pPr>
                        <w:r>
                          <w:rPr>
                            <w:w w:val="105"/>
                            <w:sz w:val="18"/>
                          </w:rPr>
                          <w:t>42</w:t>
                        </w:r>
                      </w:p>
                    </w:tc>
                    <w:tc>
                      <w:tcPr>
                        <w:tcW w:w="2843" w:type="dxa"/>
                      </w:tcPr>
                      <w:p>
                        <w:pPr>
                          <w:pStyle w:val="TableParagraph"/>
                          <w:spacing w:before="113"/>
                          <w:ind w:left="152" w:right="152"/>
                          <w:jc w:val="center"/>
                          <w:rPr>
                            <w:sz w:val="18"/>
                          </w:rPr>
                        </w:pPr>
                        <w:r>
                          <w:rPr>
                            <w:w w:val="105"/>
                            <w:sz w:val="18"/>
                          </w:rPr>
                          <w:t>Viviendas particulares habitadas</w:t>
                        </w:r>
                      </w:p>
                    </w:tc>
                    <w:tc>
                      <w:tcPr>
                        <w:tcW w:w="3834" w:type="dxa"/>
                      </w:tcPr>
                      <w:p>
                        <w:pPr>
                          <w:pStyle w:val="TableParagraph"/>
                          <w:spacing w:line="207" w:lineRule="exact"/>
                          <w:ind w:left="24" w:right="62"/>
                          <w:rPr>
                            <w:sz w:val="18"/>
                          </w:rPr>
                        </w:pPr>
                        <w:r>
                          <w:rPr>
                            <w:w w:val="105"/>
                            <w:sz w:val="18"/>
                          </w:rPr>
                          <w:t>Viviendas particulares habitadas de cualquier</w:t>
                        </w:r>
                      </w:p>
                      <w:p>
                        <w:pPr>
                          <w:pStyle w:val="TableParagraph"/>
                          <w:spacing w:before="24"/>
                          <w:ind w:left="24" w:right="62"/>
                          <w:rPr>
                            <w:sz w:val="18"/>
                          </w:rPr>
                        </w:pPr>
                        <w:r>
                          <w:rPr>
                            <w:w w:val="105"/>
                            <w:sz w:val="18"/>
                          </w:rPr>
                          <w:t>clase</w:t>
                        </w:r>
                      </w:p>
                    </w:tc>
                    <w:tc>
                      <w:tcPr>
                        <w:tcW w:w="1073" w:type="dxa"/>
                      </w:tcPr>
                      <w:p>
                        <w:pPr>
                          <w:pStyle w:val="TableParagraph"/>
                          <w:spacing w:before="5"/>
                          <w:rPr>
                            <w:rFonts w:ascii="Arial"/>
                            <w:sz w:val="20"/>
                          </w:rPr>
                        </w:pPr>
                      </w:p>
                      <w:p>
                        <w:pPr>
                          <w:pStyle w:val="TableParagraph"/>
                          <w:ind w:left="24" w:right="-4"/>
                          <w:rPr>
                            <w:sz w:val="18"/>
                          </w:rPr>
                        </w:pPr>
                        <w:r>
                          <w:rPr>
                            <w:w w:val="105"/>
                            <w:sz w:val="18"/>
                          </w:rPr>
                          <w:t>VIVPAR_HAB</w:t>
                        </w:r>
                      </w:p>
                    </w:tc>
                  </w:tr>
                  <w:tr>
                    <w:trPr>
                      <w:trHeight w:val="464" w:hRule="exact"/>
                    </w:trPr>
                    <w:tc>
                      <w:tcPr>
                        <w:tcW w:w="1073" w:type="dxa"/>
                      </w:tcPr>
                      <w:p>
                        <w:pPr>
                          <w:pStyle w:val="TableParagraph"/>
                          <w:spacing w:before="5"/>
                          <w:rPr>
                            <w:rFonts w:ascii="Arial"/>
                            <w:sz w:val="19"/>
                          </w:rPr>
                        </w:pPr>
                      </w:p>
                      <w:p>
                        <w:pPr>
                          <w:pStyle w:val="TableParagraph"/>
                          <w:ind w:right="22"/>
                          <w:jc w:val="right"/>
                          <w:rPr>
                            <w:sz w:val="18"/>
                          </w:rPr>
                        </w:pPr>
                        <w:r>
                          <w:rPr>
                            <w:w w:val="105"/>
                            <w:sz w:val="18"/>
                          </w:rPr>
                          <w:t>43</w:t>
                        </w:r>
                      </w:p>
                    </w:tc>
                    <w:tc>
                      <w:tcPr>
                        <w:tcW w:w="2843" w:type="dxa"/>
                      </w:tcPr>
                      <w:p>
                        <w:pPr>
                          <w:pStyle w:val="TableParagraph"/>
                          <w:spacing w:line="266" w:lineRule="auto" w:before="8"/>
                          <w:ind w:left="1044" w:right="-8" w:hanging="1000"/>
                          <w:rPr>
                            <w:sz w:val="18"/>
                          </w:rPr>
                        </w:pPr>
                        <w:r>
                          <w:rPr>
                            <w:w w:val="105"/>
                            <w:sz w:val="18"/>
                          </w:rPr>
                          <w:t>Ocupantes en viviendas particulares habitadas</w:t>
                        </w:r>
                      </w:p>
                    </w:tc>
                    <w:tc>
                      <w:tcPr>
                        <w:tcW w:w="3834" w:type="dxa"/>
                      </w:tcPr>
                      <w:p>
                        <w:pPr>
                          <w:pStyle w:val="TableParagraph"/>
                          <w:spacing w:line="195" w:lineRule="exact"/>
                          <w:ind w:left="24" w:right="62"/>
                          <w:rPr>
                            <w:sz w:val="18"/>
                          </w:rPr>
                        </w:pPr>
                        <w:r>
                          <w:rPr>
                            <w:w w:val="105"/>
                            <w:sz w:val="18"/>
                          </w:rPr>
                          <w:t>Personas que residen en viviendas particulares</w:t>
                        </w:r>
                      </w:p>
                      <w:p>
                        <w:pPr>
                          <w:pStyle w:val="TableParagraph"/>
                          <w:spacing w:before="24"/>
                          <w:ind w:left="24" w:right="62"/>
                          <w:rPr>
                            <w:sz w:val="18"/>
                          </w:rPr>
                        </w:pPr>
                        <w:r>
                          <w:rPr>
                            <w:w w:val="105"/>
                            <w:sz w:val="18"/>
                          </w:rPr>
                          <w:t>de cualquier clase</w:t>
                        </w:r>
                      </w:p>
                    </w:tc>
                    <w:tc>
                      <w:tcPr>
                        <w:tcW w:w="1073" w:type="dxa"/>
                      </w:tcPr>
                      <w:p>
                        <w:pPr>
                          <w:pStyle w:val="TableParagraph"/>
                          <w:spacing w:before="5"/>
                          <w:rPr>
                            <w:rFonts w:ascii="Arial"/>
                            <w:sz w:val="19"/>
                          </w:rPr>
                        </w:pPr>
                      </w:p>
                      <w:p>
                        <w:pPr>
                          <w:pStyle w:val="TableParagraph"/>
                          <w:ind w:left="24" w:right="-4"/>
                          <w:rPr>
                            <w:sz w:val="18"/>
                          </w:rPr>
                        </w:pPr>
                        <w:r>
                          <w:rPr>
                            <w:w w:val="105"/>
                            <w:sz w:val="18"/>
                          </w:rPr>
                          <w:t>OCUPVIVPAR</w:t>
                        </w:r>
                      </w:p>
                    </w:tc>
                  </w:tr>
                  <w:tr>
                    <w:trPr>
                      <w:trHeight w:val="709" w:hRule="exact"/>
                    </w:trPr>
                    <w:tc>
                      <w:tcPr>
                        <w:tcW w:w="1073" w:type="dxa"/>
                      </w:tcPr>
                      <w:p>
                        <w:pPr>
                          <w:pStyle w:val="TableParagraph"/>
                          <w:rPr>
                            <w:rFonts w:ascii="Arial"/>
                            <w:sz w:val="18"/>
                          </w:rPr>
                        </w:pPr>
                      </w:p>
                      <w:p>
                        <w:pPr>
                          <w:pStyle w:val="TableParagraph"/>
                          <w:spacing w:before="8"/>
                          <w:rPr>
                            <w:rFonts w:ascii="Arial"/>
                            <w:sz w:val="22"/>
                          </w:rPr>
                        </w:pPr>
                      </w:p>
                      <w:p>
                        <w:pPr>
                          <w:pStyle w:val="TableParagraph"/>
                          <w:ind w:right="22"/>
                          <w:jc w:val="right"/>
                          <w:rPr>
                            <w:sz w:val="18"/>
                          </w:rPr>
                        </w:pPr>
                        <w:r>
                          <w:rPr>
                            <w:w w:val="105"/>
                            <w:sz w:val="18"/>
                          </w:rPr>
                          <w:t>44</w:t>
                        </w:r>
                      </w:p>
                    </w:tc>
                    <w:tc>
                      <w:tcPr>
                        <w:tcW w:w="2843" w:type="dxa"/>
                      </w:tcPr>
                      <w:p>
                        <w:pPr>
                          <w:pStyle w:val="TableParagraph"/>
                          <w:spacing w:line="266" w:lineRule="auto" w:before="109"/>
                          <w:ind w:left="195" w:right="-8" w:firstLine="200"/>
                          <w:rPr>
                            <w:sz w:val="18"/>
                          </w:rPr>
                        </w:pPr>
                        <w:r>
                          <w:rPr>
                            <w:w w:val="105"/>
                            <w:sz w:val="18"/>
                          </w:rPr>
                          <w:t>Promedio de ocupantes en viviendas particulares habitadas</w:t>
                        </w:r>
                      </w:p>
                    </w:tc>
                    <w:tc>
                      <w:tcPr>
                        <w:tcW w:w="3834" w:type="dxa"/>
                      </w:tcPr>
                      <w:p>
                        <w:pPr>
                          <w:pStyle w:val="TableParagraph"/>
                          <w:spacing w:line="195" w:lineRule="exact"/>
                          <w:ind w:left="24" w:right="62"/>
                          <w:rPr>
                            <w:sz w:val="18"/>
                          </w:rPr>
                        </w:pPr>
                        <w:r>
                          <w:rPr>
                            <w:w w:val="105"/>
                            <w:sz w:val="18"/>
                          </w:rPr>
                          <w:t>Resultado de dividir el número de personas que</w:t>
                        </w:r>
                      </w:p>
                      <w:p>
                        <w:pPr>
                          <w:pStyle w:val="TableParagraph"/>
                          <w:spacing w:line="266" w:lineRule="auto" w:before="24"/>
                          <w:ind w:left="24" w:right="5"/>
                          <w:rPr>
                            <w:sz w:val="18"/>
                          </w:rPr>
                        </w:pPr>
                        <w:r>
                          <w:rPr>
                            <w:w w:val="105"/>
                            <w:sz w:val="18"/>
                          </w:rPr>
                          <w:t>residen en viviendas particulares habitadas entre el número de esas viviendas</w:t>
                        </w:r>
                      </w:p>
                    </w:tc>
                    <w:tc>
                      <w:tcPr>
                        <w:tcW w:w="1073" w:type="dxa"/>
                      </w:tcPr>
                      <w:p>
                        <w:pPr>
                          <w:pStyle w:val="TableParagraph"/>
                          <w:rPr>
                            <w:rFonts w:ascii="Arial"/>
                            <w:sz w:val="18"/>
                          </w:rPr>
                        </w:pPr>
                      </w:p>
                      <w:p>
                        <w:pPr>
                          <w:pStyle w:val="TableParagraph"/>
                          <w:spacing w:before="8"/>
                          <w:rPr>
                            <w:rFonts w:ascii="Arial"/>
                            <w:sz w:val="22"/>
                          </w:rPr>
                        </w:pPr>
                      </w:p>
                      <w:p>
                        <w:pPr>
                          <w:pStyle w:val="TableParagraph"/>
                          <w:ind w:left="24" w:right="-14"/>
                          <w:rPr>
                            <w:sz w:val="18"/>
                          </w:rPr>
                        </w:pPr>
                        <w:r>
                          <w:rPr>
                            <w:w w:val="105"/>
                            <w:sz w:val="18"/>
                          </w:rPr>
                          <w:t>PROM_OCUP</w:t>
                        </w:r>
                      </w:p>
                    </w:tc>
                  </w:tr>
                  <w:tr>
                    <w:trPr>
                      <w:trHeight w:val="904" w:hRule="exact"/>
                    </w:trPr>
                    <w:tc>
                      <w:tcPr>
                        <w:tcW w:w="1073" w:type="dxa"/>
                      </w:tcPr>
                      <w:p>
                        <w:pPr>
                          <w:pStyle w:val="TableParagraph"/>
                          <w:rPr>
                            <w:rFonts w:ascii="Arial"/>
                            <w:sz w:val="18"/>
                          </w:rPr>
                        </w:pPr>
                      </w:p>
                      <w:p>
                        <w:pPr>
                          <w:pStyle w:val="TableParagraph"/>
                          <w:rPr>
                            <w:rFonts w:ascii="Arial"/>
                            <w:sz w:val="18"/>
                          </w:rPr>
                        </w:pPr>
                      </w:p>
                      <w:p>
                        <w:pPr>
                          <w:pStyle w:val="TableParagraph"/>
                          <w:spacing w:before="8"/>
                          <w:rPr>
                            <w:rFonts w:ascii="Arial"/>
                            <w:sz w:val="21"/>
                          </w:rPr>
                        </w:pPr>
                      </w:p>
                      <w:p>
                        <w:pPr>
                          <w:pStyle w:val="TableParagraph"/>
                          <w:ind w:right="22"/>
                          <w:jc w:val="right"/>
                          <w:rPr>
                            <w:sz w:val="18"/>
                          </w:rPr>
                        </w:pPr>
                        <w:r>
                          <w:rPr>
                            <w:w w:val="105"/>
                            <w:sz w:val="18"/>
                          </w:rPr>
                          <w:t>45</w:t>
                        </w:r>
                      </w:p>
                    </w:tc>
                    <w:tc>
                      <w:tcPr>
                        <w:tcW w:w="2843" w:type="dxa"/>
                      </w:tcPr>
                      <w:p>
                        <w:pPr>
                          <w:pStyle w:val="TableParagraph"/>
                          <w:rPr>
                            <w:rFonts w:ascii="Arial"/>
                            <w:sz w:val="18"/>
                          </w:rPr>
                        </w:pPr>
                      </w:p>
                      <w:p>
                        <w:pPr>
                          <w:pStyle w:val="TableParagraph"/>
                          <w:spacing w:line="266" w:lineRule="auto"/>
                          <w:ind w:left="77" w:right="-8" w:firstLine="16"/>
                          <w:rPr>
                            <w:sz w:val="18"/>
                          </w:rPr>
                        </w:pPr>
                        <w:r>
                          <w:rPr>
                            <w:w w:val="105"/>
                            <w:sz w:val="18"/>
                          </w:rPr>
                          <w:t>Promedio de ocupantes por cuarto en viviendas particulares habitadas</w:t>
                        </w:r>
                      </w:p>
                    </w:tc>
                    <w:tc>
                      <w:tcPr>
                        <w:tcW w:w="3834" w:type="dxa"/>
                      </w:tcPr>
                      <w:p>
                        <w:pPr>
                          <w:pStyle w:val="TableParagraph"/>
                          <w:spacing w:before="9"/>
                          <w:rPr>
                            <w:rFonts w:ascii="Arial"/>
                            <w:sz w:val="14"/>
                          </w:rPr>
                        </w:pPr>
                      </w:p>
                      <w:p>
                        <w:pPr>
                          <w:pStyle w:val="TableParagraph"/>
                          <w:spacing w:line="266" w:lineRule="auto"/>
                          <w:ind w:left="24" w:right="5"/>
                          <w:rPr>
                            <w:sz w:val="18"/>
                          </w:rPr>
                        </w:pPr>
                        <w:r>
                          <w:rPr>
                            <w:w w:val="105"/>
                            <w:sz w:val="18"/>
                          </w:rPr>
                          <w:t>Resultado de dividir el número de personas que residen en viviendas particulares habitadas entre el número de cuartos de esas viviendas</w:t>
                        </w:r>
                      </w:p>
                    </w:tc>
                    <w:tc>
                      <w:tcPr>
                        <w:tcW w:w="1073" w:type="dxa"/>
                        <w:tcBorders>
                          <w:right w:val="nil"/>
                        </w:tcBorders>
                      </w:tcPr>
                      <w:p>
                        <w:pPr>
                          <w:pStyle w:val="TableParagraph"/>
                          <w:rPr>
                            <w:rFonts w:ascii="Arial"/>
                            <w:sz w:val="18"/>
                          </w:rPr>
                        </w:pPr>
                      </w:p>
                      <w:p>
                        <w:pPr>
                          <w:pStyle w:val="TableParagraph"/>
                          <w:rPr>
                            <w:rFonts w:ascii="Arial"/>
                            <w:sz w:val="18"/>
                          </w:rPr>
                        </w:pPr>
                      </w:p>
                      <w:p>
                        <w:pPr>
                          <w:pStyle w:val="TableParagraph"/>
                          <w:spacing w:before="8"/>
                          <w:rPr>
                            <w:rFonts w:ascii="Arial"/>
                            <w:sz w:val="21"/>
                          </w:rPr>
                        </w:pPr>
                      </w:p>
                      <w:p>
                        <w:pPr>
                          <w:pStyle w:val="TableParagraph"/>
                          <w:ind w:left="24" w:right="-8"/>
                          <w:rPr>
                            <w:sz w:val="18"/>
                          </w:rPr>
                        </w:pPr>
                        <w:r>
                          <w:rPr>
                            <w:sz w:val="18"/>
                          </w:rPr>
                          <w:t>PRO_OCUP_C</w:t>
                        </w:r>
                      </w:p>
                    </w:tc>
                  </w:tr>
                  <w:tr>
                    <w:trPr>
                      <w:trHeight w:val="452" w:hRule="exact"/>
                    </w:trPr>
                    <w:tc>
                      <w:tcPr>
                        <w:tcW w:w="1073" w:type="dxa"/>
                      </w:tcPr>
                      <w:p>
                        <w:pPr>
                          <w:pStyle w:val="TableParagraph"/>
                          <w:spacing w:before="4"/>
                          <w:rPr>
                            <w:rFonts w:ascii="Arial"/>
                            <w:sz w:val="18"/>
                          </w:rPr>
                        </w:pPr>
                      </w:p>
                      <w:p>
                        <w:pPr>
                          <w:pStyle w:val="TableParagraph"/>
                          <w:ind w:right="22"/>
                          <w:jc w:val="right"/>
                          <w:rPr>
                            <w:sz w:val="18"/>
                          </w:rPr>
                        </w:pPr>
                        <w:r>
                          <w:rPr>
                            <w:w w:val="105"/>
                            <w:sz w:val="18"/>
                          </w:rPr>
                          <w:t>46</w:t>
                        </w:r>
                      </w:p>
                    </w:tc>
                    <w:tc>
                      <w:tcPr>
                        <w:tcW w:w="2843" w:type="dxa"/>
                      </w:tcPr>
                      <w:p>
                        <w:pPr>
                          <w:pStyle w:val="TableParagraph"/>
                          <w:spacing w:line="266" w:lineRule="auto" w:before="7"/>
                          <w:ind w:left="913" w:right="15" w:hanging="886"/>
                          <w:rPr>
                            <w:sz w:val="18"/>
                          </w:rPr>
                        </w:pPr>
                        <w:r>
                          <w:rPr>
                            <w:w w:val="105"/>
                            <w:sz w:val="18"/>
                          </w:rPr>
                          <w:t>Viviendas</w:t>
                        </w:r>
                        <w:r>
                          <w:rPr>
                            <w:spacing w:val="-13"/>
                            <w:w w:val="105"/>
                            <w:sz w:val="18"/>
                          </w:rPr>
                          <w:t> </w:t>
                        </w:r>
                        <w:r>
                          <w:rPr>
                            <w:w w:val="105"/>
                            <w:sz w:val="18"/>
                          </w:rPr>
                          <w:t>particulares</w:t>
                        </w:r>
                        <w:r>
                          <w:rPr>
                            <w:spacing w:val="-13"/>
                            <w:w w:val="105"/>
                            <w:sz w:val="18"/>
                          </w:rPr>
                          <w:t> </w:t>
                        </w:r>
                        <w:r>
                          <w:rPr>
                            <w:w w:val="105"/>
                            <w:sz w:val="18"/>
                          </w:rPr>
                          <w:t>habitadas</w:t>
                        </w:r>
                        <w:r>
                          <w:rPr>
                            <w:spacing w:val="-13"/>
                            <w:w w:val="105"/>
                            <w:sz w:val="18"/>
                          </w:rPr>
                          <w:t> </w:t>
                        </w:r>
                        <w:r>
                          <w:rPr>
                            <w:w w:val="105"/>
                            <w:sz w:val="18"/>
                          </w:rPr>
                          <w:t>con piso de</w:t>
                        </w:r>
                        <w:r>
                          <w:rPr>
                            <w:spacing w:val="-16"/>
                            <w:w w:val="105"/>
                            <w:sz w:val="18"/>
                          </w:rPr>
                          <w:t> </w:t>
                        </w:r>
                        <w:r>
                          <w:rPr>
                            <w:w w:val="105"/>
                            <w:sz w:val="18"/>
                          </w:rPr>
                          <w:t>tierra</w:t>
                        </w:r>
                      </w:p>
                    </w:tc>
                    <w:tc>
                      <w:tcPr>
                        <w:tcW w:w="3834" w:type="dxa"/>
                      </w:tcPr>
                      <w:p>
                        <w:pPr>
                          <w:pStyle w:val="TableParagraph"/>
                          <w:spacing w:line="266" w:lineRule="auto" w:before="7"/>
                          <w:ind w:left="1700" w:right="62" w:hanging="1473"/>
                          <w:rPr>
                            <w:sz w:val="18"/>
                          </w:rPr>
                        </w:pPr>
                        <w:r>
                          <w:rPr>
                            <w:w w:val="105"/>
                            <w:sz w:val="18"/>
                          </w:rPr>
                          <w:t>Viviendas particulares habitadas con piso de tierra</w:t>
                        </w:r>
                      </w:p>
                    </w:tc>
                    <w:tc>
                      <w:tcPr>
                        <w:tcW w:w="1073" w:type="dxa"/>
                      </w:tcPr>
                      <w:p>
                        <w:pPr>
                          <w:pStyle w:val="TableParagraph"/>
                          <w:spacing w:before="4"/>
                          <w:rPr>
                            <w:rFonts w:ascii="Arial"/>
                            <w:sz w:val="18"/>
                          </w:rPr>
                        </w:pPr>
                      </w:p>
                      <w:p>
                        <w:pPr>
                          <w:pStyle w:val="TableParagraph"/>
                          <w:ind w:left="24" w:right="-4"/>
                          <w:rPr>
                            <w:sz w:val="18"/>
                          </w:rPr>
                        </w:pPr>
                        <w:r>
                          <w:rPr>
                            <w:w w:val="105"/>
                            <w:sz w:val="18"/>
                          </w:rPr>
                          <w:t>VPH_PISOTI</w:t>
                        </w:r>
                      </w:p>
                    </w:tc>
                  </w:tr>
                  <w:tr>
                    <w:trPr>
                      <w:trHeight w:val="537" w:hRule="exact"/>
                    </w:trPr>
                    <w:tc>
                      <w:tcPr>
                        <w:tcW w:w="1073" w:type="dxa"/>
                      </w:tcPr>
                      <w:p>
                        <w:pPr>
                          <w:pStyle w:val="TableParagraph"/>
                          <w:spacing w:before="9"/>
                          <w:rPr>
                            <w:rFonts w:ascii="Arial"/>
                            <w:sz w:val="25"/>
                          </w:rPr>
                        </w:pPr>
                      </w:p>
                      <w:p>
                        <w:pPr>
                          <w:pStyle w:val="TableParagraph"/>
                          <w:ind w:right="22"/>
                          <w:jc w:val="right"/>
                          <w:rPr>
                            <w:sz w:val="18"/>
                          </w:rPr>
                        </w:pPr>
                        <w:r>
                          <w:rPr>
                            <w:w w:val="105"/>
                            <w:sz w:val="18"/>
                          </w:rPr>
                          <w:t>47</w:t>
                        </w:r>
                      </w:p>
                    </w:tc>
                    <w:tc>
                      <w:tcPr>
                        <w:tcW w:w="2843" w:type="dxa"/>
                      </w:tcPr>
                      <w:p>
                        <w:pPr>
                          <w:pStyle w:val="TableParagraph"/>
                          <w:spacing w:line="266" w:lineRule="auto" w:before="24"/>
                          <w:ind w:left="310" w:right="-8" w:hanging="127"/>
                          <w:rPr>
                            <w:sz w:val="18"/>
                          </w:rPr>
                        </w:pPr>
                        <w:r>
                          <w:rPr>
                            <w:w w:val="105"/>
                            <w:sz w:val="18"/>
                          </w:rPr>
                          <w:t>Viviendas particulares habitadas que disponen de luz eléctrica</w:t>
                        </w:r>
                      </w:p>
                    </w:tc>
                    <w:tc>
                      <w:tcPr>
                        <w:tcW w:w="3834" w:type="dxa"/>
                      </w:tcPr>
                      <w:p>
                        <w:pPr>
                          <w:pStyle w:val="TableParagraph"/>
                          <w:spacing w:line="266" w:lineRule="auto" w:before="48"/>
                          <w:ind w:left="24" w:right="62"/>
                          <w:rPr>
                            <w:sz w:val="18"/>
                          </w:rPr>
                        </w:pPr>
                        <w:r>
                          <w:rPr>
                            <w:w w:val="105"/>
                            <w:sz w:val="18"/>
                          </w:rPr>
                          <w:t>Viviendas particulares habitadas que tienen luz eléctrica</w:t>
                        </w:r>
                      </w:p>
                    </w:tc>
                    <w:tc>
                      <w:tcPr>
                        <w:tcW w:w="1073" w:type="dxa"/>
                      </w:tcPr>
                      <w:p>
                        <w:pPr>
                          <w:pStyle w:val="TableParagraph"/>
                          <w:spacing w:before="9"/>
                          <w:rPr>
                            <w:rFonts w:ascii="Arial"/>
                            <w:sz w:val="25"/>
                          </w:rPr>
                        </w:pPr>
                      </w:p>
                      <w:p>
                        <w:pPr>
                          <w:pStyle w:val="TableParagraph"/>
                          <w:ind w:left="24" w:right="-4"/>
                          <w:rPr>
                            <w:sz w:val="18"/>
                          </w:rPr>
                        </w:pPr>
                        <w:r>
                          <w:rPr>
                            <w:w w:val="105"/>
                            <w:sz w:val="18"/>
                          </w:rPr>
                          <w:t>VPH_C_ELEC</w:t>
                        </w:r>
                      </w:p>
                    </w:tc>
                  </w:tr>
                  <w:tr>
                    <w:trPr>
                      <w:trHeight w:val="757" w:hRule="exact"/>
                    </w:trPr>
                    <w:tc>
                      <w:tcPr>
                        <w:tcW w:w="1073" w:type="dxa"/>
                      </w:tcPr>
                      <w:p>
                        <w:pPr>
                          <w:pStyle w:val="TableParagraph"/>
                          <w:rPr>
                            <w:rFonts w:ascii="Arial"/>
                            <w:sz w:val="18"/>
                          </w:rPr>
                        </w:pPr>
                      </w:p>
                      <w:p>
                        <w:pPr>
                          <w:pStyle w:val="TableParagraph"/>
                          <w:spacing w:before="10"/>
                          <w:rPr>
                            <w:rFonts w:ascii="Arial"/>
                            <w:sz w:val="26"/>
                          </w:rPr>
                        </w:pPr>
                      </w:p>
                      <w:p>
                        <w:pPr>
                          <w:pStyle w:val="TableParagraph"/>
                          <w:spacing w:before="1"/>
                          <w:ind w:right="22"/>
                          <w:jc w:val="right"/>
                          <w:rPr>
                            <w:sz w:val="18"/>
                          </w:rPr>
                        </w:pPr>
                        <w:r>
                          <w:rPr>
                            <w:w w:val="105"/>
                            <w:sz w:val="18"/>
                          </w:rPr>
                          <w:t>48</w:t>
                        </w:r>
                      </w:p>
                    </w:tc>
                    <w:tc>
                      <w:tcPr>
                        <w:tcW w:w="2843" w:type="dxa"/>
                      </w:tcPr>
                      <w:p>
                        <w:pPr>
                          <w:pStyle w:val="TableParagraph"/>
                          <w:spacing w:line="266" w:lineRule="auto" w:before="28"/>
                          <w:ind w:left="77" w:right="76" w:hanging="2"/>
                          <w:jc w:val="center"/>
                          <w:rPr>
                            <w:sz w:val="18"/>
                          </w:rPr>
                        </w:pPr>
                        <w:r>
                          <w:rPr>
                            <w:w w:val="105"/>
                            <w:sz w:val="18"/>
                          </w:rPr>
                          <w:t>Viviendas particulares habitadas que</w:t>
                        </w:r>
                        <w:r>
                          <w:rPr>
                            <w:spacing w:val="-9"/>
                            <w:w w:val="105"/>
                            <w:sz w:val="18"/>
                          </w:rPr>
                          <w:t> </w:t>
                        </w:r>
                        <w:r>
                          <w:rPr>
                            <w:w w:val="105"/>
                            <w:sz w:val="18"/>
                          </w:rPr>
                          <w:t>disponen</w:t>
                        </w:r>
                        <w:r>
                          <w:rPr>
                            <w:spacing w:val="-10"/>
                            <w:w w:val="105"/>
                            <w:sz w:val="18"/>
                          </w:rPr>
                          <w:t> </w:t>
                        </w:r>
                        <w:r>
                          <w:rPr>
                            <w:w w:val="105"/>
                            <w:sz w:val="18"/>
                          </w:rPr>
                          <w:t>de</w:t>
                        </w:r>
                        <w:r>
                          <w:rPr>
                            <w:spacing w:val="-9"/>
                            <w:w w:val="105"/>
                            <w:sz w:val="18"/>
                          </w:rPr>
                          <w:t> </w:t>
                        </w:r>
                        <w:r>
                          <w:rPr>
                            <w:w w:val="105"/>
                            <w:sz w:val="18"/>
                          </w:rPr>
                          <w:t>agua</w:t>
                        </w:r>
                        <w:r>
                          <w:rPr>
                            <w:spacing w:val="-9"/>
                            <w:w w:val="105"/>
                            <w:sz w:val="18"/>
                          </w:rPr>
                          <w:t> </w:t>
                        </w:r>
                        <w:r>
                          <w:rPr>
                            <w:w w:val="105"/>
                            <w:sz w:val="18"/>
                          </w:rPr>
                          <w:t>entubada</w:t>
                        </w:r>
                        <w:r>
                          <w:rPr>
                            <w:spacing w:val="-9"/>
                            <w:w w:val="105"/>
                            <w:sz w:val="18"/>
                          </w:rPr>
                          <w:t> </w:t>
                        </w:r>
                        <w:r>
                          <w:rPr>
                            <w:w w:val="105"/>
                            <w:sz w:val="18"/>
                          </w:rPr>
                          <w:t>en el ámbito de la</w:t>
                        </w:r>
                        <w:r>
                          <w:rPr>
                            <w:spacing w:val="-23"/>
                            <w:w w:val="105"/>
                            <w:sz w:val="18"/>
                          </w:rPr>
                          <w:t> </w:t>
                        </w:r>
                        <w:r>
                          <w:rPr>
                            <w:w w:val="105"/>
                            <w:sz w:val="18"/>
                          </w:rPr>
                          <w:t>vivienda</w:t>
                        </w:r>
                      </w:p>
                    </w:tc>
                    <w:tc>
                      <w:tcPr>
                        <w:tcW w:w="3834" w:type="dxa"/>
                      </w:tcPr>
                      <w:p>
                        <w:pPr>
                          <w:pStyle w:val="TableParagraph"/>
                          <w:spacing w:line="266" w:lineRule="auto" w:before="20"/>
                          <w:ind w:left="187" w:right="187" w:firstLine="1"/>
                          <w:jc w:val="center"/>
                          <w:rPr>
                            <w:sz w:val="18"/>
                          </w:rPr>
                        </w:pPr>
                        <w:r>
                          <w:rPr>
                            <w:w w:val="105"/>
                            <w:sz w:val="18"/>
                          </w:rPr>
                          <w:t>Viviendas particulares habitadas que tienen disponibilidad</w:t>
                        </w:r>
                        <w:r>
                          <w:rPr>
                            <w:spacing w:val="-10"/>
                            <w:w w:val="105"/>
                            <w:sz w:val="18"/>
                          </w:rPr>
                          <w:t> </w:t>
                        </w:r>
                        <w:r>
                          <w:rPr>
                            <w:w w:val="105"/>
                            <w:sz w:val="18"/>
                          </w:rPr>
                          <w:t>de</w:t>
                        </w:r>
                        <w:r>
                          <w:rPr>
                            <w:spacing w:val="-9"/>
                            <w:w w:val="105"/>
                            <w:sz w:val="18"/>
                          </w:rPr>
                          <w:t> </w:t>
                        </w:r>
                        <w:r>
                          <w:rPr>
                            <w:w w:val="105"/>
                            <w:sz w:val="18"/>
                          </w:rPr>
                          <w:t>agua</w:t>
                        </w:r>
                        <w:r>
                          <w:rPr>
                            <w:spacing w:val="-9"/>
                            <w:w w:val="105"/>
                            <w:sz w:val="18"/>
                          </w:rPr>
                          <w:t> </w:t>
                        </w:r>
                        <w:r>
                          <w:rPr>
                            <w:w w:val="105"/>
                            <w:sz w:val="18"/>
                          </w:rPr>
                          <w:t>entubada</w:t>
                        </w:r>
                        <w:r>
                          <w:rPr>
                            <w:spacing w:val="-9"/>
                            <w:w w:val="105"/>
                            <w:sz w:val="18"/>
                          </w:rPr>
                          <w:t> </w:t>
                        </w:r>
                        <w:r>
                          <w:rPr>
                            <w:w w:val="105"/>
                            <w:sz w:val="18"/>
                          </w:rPr>
                          <w:t>dentro</w:t>
                        </w:r>
                        <w:r>
                          <w:rPr>
                            <w:spacing w:val="-11"/>
                            <w:w w:val="105"/>
                            <w:sz w:val="18"/>
                          </w:rPr>
                          <w:t> </w:t>
                        </w:r>
                        <w:r>
                          <w:rPr>
                            <w:w w:val="105"/>
                            <w:sz w:val="18"/>
                          </w:rPr>
                          <w:t>de</w:t>
                        </w:r>
                        <w:r>
                          <w:rPr>
                            <w:spacing w:val="-9"/>
                            <w:w w:val="105"/>
                            <w:sz w:val="18"/>
                          </w:rPr>
                          <w:t> </w:t>
                        </w:r>
                        <w:r>
                          <w:rPr>
                            <w:w w:val="105"/>
                            <w:sz w:val="18"/>
                          </w:rPr>
                          <w:t>la vivienda</w:t>
                        </w:r>
                      </w:p>
                    </w:tc>
                    <w:tc>
                      <w:tcPr>
                        <w:tcW w:w="1073" w:type="dxa"/>
                        <w:tcBorders>
                          <w:right w:val="nil"/>
                        </w:tcBorders>
                      </w:tcPr>
                      <w:p>
                        <w:pPr>
                          <w:pStyle w:val="TableParagraph"/>
                          <w:rPr>
                            <w:rFonts w:ascii="Arial"/>
                            <w:sz w:val="18"/>
                          </w:rPr>
                        </w:pPr>
                      </w:p>
                      <w:p>
                        <w:pPr>
                          <w:pStyle w:val="TableParagraph"/>
                          <w:spacing w:before="10"/>
                          <w:rPr>
                            <w:rFonts w:ascii="Arial"/>
                            <w:sz w:val="26"/>
                          </w:rPr>
                        </w:pPr>
                      </w:p>
                      <w:p>
                        <w:pPr>
                          <w:pStyle w:val="TableParagraph"/>
                          <w:spacing w:before="1"/>
                          <w:ind w:left="24" w:right="-8"/>
                          <w:rPr>
                            <w:sz w:val="18"/>
                          </w:rPr>
                        </w:pPr>
                        <w:r>
                          <w:rPr>
                            <w:w w:val="105"/>
                            <w:sz w:val="18"/>
                          </w:rPr>
                          <w:t>VPH_AGUAD</w:t>
                        </w:r>
                      </w:p>
                    </w:tc>
                  </w:tr>
                  <w:tr>
                    <w:trPr>
                      <w:trHeight w:val="782" w:hRule="exact"/>
                    </w:trPr>
                    <w:tc>
                      <w:tcPr>
                        <w:tcW w:w="1073" w:type="dxa"/>
                      </w:tcPr>
                      <w:p>
                        <w:pPr>
                          <w:pStyle w:val="TableParagraph"/>
                          <w:rPr>
                            <w:rFonts w:ascii="Arial"/>
                            <w:sz w:val="18"/>
                          </w:rPr>
                        </w:pPr>
                      </w:p>
                      <w:p>
                        <w:pPr>
                          <w:pStyle w:val="TableParagraph"/>
                          <w:rPr>
                            <w:rFonts w:ascii="Arial"/>
                            <w:sz w:val="18"/>
                          </w:rPr>
                        </w:pPr>
                      </w:p>
                      <w:p>
                        <w:pPr>
                          <w:pStyle w:val="TableParagraph"/>
                          <w:spacing w:before="127"/>
                          <w:ind w:right="22"/>
                          <w:jc w:val="right"/>
                          <w:rPr>
                            <w:sz w:val="18"/>
                          </w:rPr>
                        </w:pPr>
                        <w:r>
                          <w:rPr>
                            <w:w w:val="105"/>
                            <w:sz w:val="18"/>
                          </w:rPr>
                          <w:t>49</w:t>
                        </w:r>
                      </w:p>
                    </w:tc>
                    <w:tc>
                      <w:tcPr>
                        <w:tcW w:w="2843" w:type="dxa"/>
                      </w:tcPr>
                      <w:p>
                        <w:pPr>
                          <w:pStyle w:val="TableParagraph"/>
                          <w:spacing w:line="266" w:lineRule="auto" w:before="24"/>
                          <w:ind w:left="152" w:right="152"/>
                          <w:jc w:val="center"/>
                          <w:rPr>
                            <w:sz w:val="18"/>
                          </w:rPr>
                        </w:pPr>
                        <w:r>
                          <w:rPr>
                            <w:w w:val="105"/>
                            <w:sz w:val="18"/>
                          </w:rPr>
                          <w:t>Viviendas particulares habitadas que disponen de excusado o sanitario</w:t>
                        </w:r>
                      </w:p>
                    </w:tc>
                    <w:tc>
                      <w:tcPr>
                        <w:tcW w:w="3834" w:type="dxa"/>
                      </w:tcPr>
                      <w:p>
                        <w:pPr>
                          <w:pStyle w:val="TableParagraph"/>
                          <w:spacing w:before="5"/>
                          <w:rPr>
                            <w:rFonts w:ascii="Arial"/>
                            <w:sz w:val="25"/>
                          </w:rPr>
                        </w:pPr>
                      </w:p>
                      <w:p>
                        <w:pPr>
                          <w:pStyle w:val="TableParagraph"/>
                          <w:spacing w:line="266" w:lineRule="auto"/>
                          <w:ind w:left="24" w:right="62"/>
                          <w:rPr>
                            <w:sz w:val="18"/>
                          </w:rPr>
                        </w:pPr>
                        <w:r>
                          <w:rPr>
                            <w:w w:val="105"/>
                            <w:sz w:val="18"/>
                          </w:rPr>
                          <w:t>Viviendas particulares habitadas que tienen excusado retrete, sanitario, letrina u hoyo negro</w:t>
                        </w:r>
                      </w:p>
                    </w:tc>
                    <w:tc>
                      <w:tcPr>
                        <w:tcW w:w="1073" w:type="dxa"/>
                      </w:tcPr>
                      <w:p>
                        <w:pPr>
                          <w:pStyle w:val="TableParagraph"/>
                          <w:rPr>
                            <w:rFonts w:ascii="Arial"/>
                            <w:sz w:val="18"/>
                          </w:rPr>
                        </w:pPr>
                      </w:p>
                      <w:p>
                        <w:pPr>
                          <w:pStyle w:val="TableParagraph"/>
                          <w:rPr>
                            <w:rFonts w:ascii="Arial"/>
                            <w:sz w:val="18"/>
                          </w:rPr>
                        </w:pPr>
                      </w:p>
                      <w:p>
                        <w:pPr>
                          <w:pStyle w:val="TableParagraph"/>
                          <w:spacing w:before="127"/>
                          <w:ind w:left="24" w:right="-4"/>
                          <w:rPr>
                            <w:sz w:val="18"/>
                          </w:rPr>
                        </w:pPr>
                        <w:r>
                          <w:rPr>
                            <w:w w:val="105"/>
                            <w:sz w:val="18"/>
                          </w:rPr>
                          <w:t>VPH_EXCSA</w:t>
                        </w:r>
                      </w:p>
                    </w:tc>
                  </w:tr>
                  <w:tr>
                    <w:trPr>
                      <w:trHeight w:val="696" w:hRule="exact"/>
                    </w:trPr>
                    <w:tc>
                      <w:tcPr>
                        <w:tcW w:w="1073" w:type="dxa"/>
                      </w:tcPr>
                      <w:p>
                        <w:pPr>
                          <w:pStyle w:val="TableParagraph"/>
                          <w:rPr>
                            <w:rFonts w:ascii="Arial"/>
                            <w:sz w:val="18"/>
                          </w:rPr>
                        </w:pPr>
                      </w:p>
                      <w:p>
                        <w:pPr>
                          <w:pStyle w:val="TableParagraph"/>
                          <w:spacing w:before="6"/>
                          <w:rPr>
                            <w:rFonts w:ascii="Arial"/>
                            <w:sz w:val="21"/>
                          </w:rPr>
                        </w:pPr>
                      </w:p>
                      <w:p>
                        <w:pPr>
                          <w:pStyle w:val="TableParagraph"/>
                          <w:spacing w:before="1"/>
                          <w:ind w:right="22"/>
                          <w:jc w:val="right"/>
                          <w:rPr>
                            <w:sz w:val="18"/>
                          </w:rPr>
                        </w:pPr>
                        <w:r>
                          <w:rPr>
                            <w:w w:val="105"/>
                            <w:sz w:val="18"/>
                          </w:rPr>
                          <w:t>50</w:t>
                        </w:r>
                      </w:p>
                    </w:tc>
                    <w:tc>
                      <w:tcPr>
                        <w:tcW w:w="2843" w:type="dxa"/>
                      </w:tcPr>
                      <w:p>
                        <w:pPr>
                          <w:pStyle w:val="TableParagraph"/>
                          <w:spacing w:line="266" w:lineRule="auto" w:before="101"/>
                          <w:ind w:left="469" w:right="-8" w:hanging="286"/>
                          <w:rPr>
                            <w:sz w:val="18"/>
                          </w:rPr>
                        </w:pPr>
                        <w:r>
                          <w:rPr>
                            <w:w w:val="105"/>
                            <w:sz w:val="18"/>
                          </w:rPr>
                          <w:t>Viviendas particulares habitadas que disponen de drenaje</w:t>
                        </w:r>
                      </w:p>
                    </w:tc>
                    <w:tc>
                      <w:tcPr>
                        <w:tcW w:w="3834" w:type="dxa"/>
                      </w:tcPr>
                      <w:p>
                        <w:pPr>
                          <w:pStyle w:val="TableParagraph"/>
                          <w:spacing w:line="183" w:lineRule="exact"/>
                          <w:ind w:left="24" w:right="62"/>
                          <w:rPr>
                            <w:sz w:val="18"/>
                          </w:rPr>
                        </w:pPr>
                        <w:r>
                          <w:rPr>
                            <w:w w:val="105"/>
                            <w:sz w:val="18"/>
                          </w:rPr>
                          <w:t>Viviendas particulares habitadas que tienen</w:t>
                        </w:r>
                      </w:p>
                      <w:p>
                        <w:pPr>
                          <w:pStyle w:val="TableParagraph"/>
                          <w:spacing w:line="266" w:lineRule="auto" w:before="24"/>
                          <w:ind w:left="24" w:right="81"/>
                          <w:rPr>
                            <w:sz w:val="18"/>
                          </w:rPr>
                        </w:pPr>
                        <w:r>
                          <w:rPr>
                            <w:w w:val="105"/>
                            <w:sz w:val="18"/>
                          </w:rPr>
                          <w:t>drenaje conectado a la red pública, fosa séptica, barranca, grieta, río, lago o mar</w:t>
                        </w:r>
                      </w:p>
                    </w:tc>
                    <w:tc>
                      <w:tcPr>
                        <w:tcW w:w="1073" w:type="dxa"/>
                      </w:tcPr>
                      <w:p>
                        <w:pPr>
                          <w:pStyle w:val="TableParagraph"/>
                          <w:rPr>
                            <w:rFonts w:ascii="Arial"/>
                            <w:sz w:val="18"/>
                          </w:rPr>
                        </w:pPr>
                      </w:p>
                      <w:p>
                        <w:pPr>
                          <w:pStyle w:val="TableParagraph"/>
                          <w:spacing w:before="6"/>
                          <w:rPr>
                            <w:rFonts w:ascii="Arial"/>
                            <w:sz w:val="21"/>
                          </w:rPr>
                        </w:pPr>
                      </w:p>
                      <w:p>
                        <w:pPr>
                          <w:pStyle w:val="TableParagraph"/>
                          <w:spacing w:before="1"/>
                          <w:ind w:left="24" w:right="-7"/>
                          <w:rPr>
                            <w:sz w:val="18"/>
                          </w:rPr>
                        </w:pPr>
                        <w:r>
                          <w:rPr>
                            <w:w w:val="105"/>
                            <w:sz w:val="18"/>
                          </w:rPr>
                          <w:t>VPH_DRENAJ</w:t>
                        </w:r>
                      </w:p>
                    </w:tc>
                  </w:tr>
                </w:tbl>
                <w:p>
                  <w:pPr>
                    <w:pStyle w:val="BodyText"/>
                  </w:pPr>
                </w:p>
              </w:txbxContent>
            </v:textbox>
            <w10:wrap type="none"/>
          </v:shape>
        </w:pict>
      </w:r>
      <w:r>
        <w:rPr>
          <w:rFonts w:ascii="Calibri"/>
          <w:w w:val="104"/>
          <w:sz w:val="18"/>
        </w:rPr>
        <w:t>V</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19"/>
        </w:rPr>
      </w:pPr>
    </w:p>
    <w:p>
      <w:pPr>
        <w:spacing w:before="74"/>
        <w:ind w:left="1842" w:right="0" w:firstLine="0"/>
        <w:jc w:val="left"/>
        <w:rPr>
          <w:sz w:val="20"/>
        </w:rPr>
      </w:pPr>
      <w:r>
        <w:rPr>
          <w:sz w:val="20"/>
        </w:rPr>
        <w:t>Fuente: Elaboración propia con base en los datos del </w:t>
      </w:r>
      <w:r>
        <w:rPr>
          <w:sz w:val="19"/>
        </w:rPr>
        <w:t>INEGI</w:t>
      </w:r>
      <w:r>
        <w:rPr>
          <w:sz w:val="20"/>
        </w:rPr>
        <w:t>.</w:t>
      </w:r>
    </w:p>
    <w:p>
      <w:pPr>
        <w:pStyle w:val="BodyText"/>
        <w:rPr>
          <w:sz w:val="20"/>
        </w:rPr>
      </w:pPr>
    </w:p>
    <w:p>
      <w:pPr>
        <w:pStyle w:val="BodyText"/>
        <w:rPr>
          <w:sz w:val="20"/>
        </w:rPr>
      </w:pPr>
    </w:p>
    <w:p>
      <w:pPr>
        <w:pStyle w:val="BodyText"/>
        <w:spacing w:before="8"/>
        <w:rPr>
          <w:sz w:val="28"/>
        </w:rPr>
      </w:pPr>
    </w:p>
    <w:p>
      <w:pPr>
        <w:pStyle w:val="Heading3"/>
        <w:numPr>
          <w:ilvl w:val="1"/>
          <w:numId w:val="13"/>
        </w:numPr>
        <w:tabs>
          <w:tab w:pos="527" w:val="left" w:leader="none"/>
        </w:tabs>
        <w:spacing w:line="240" w:lineRule="auto" w:before="0" w:after="0"/>
        <w:ind w:left="526" w:right="0" w:hanging="424"/>
        <w:jc w:val="both"/>
      </w:pPr>
      <w:bookmarkStart w:name="_TOC_250016" w:id="18"/>
      <w:r>
        <w:rPr>
          <w:color w:val="4F81BC"/>
        </w:rPr>
        <w:t>Método Análisis Jerárquico de</w:t>
      </w:r>
      <w:r>
        <w:rPr>
          <w:color w:val="4F81BC"/>
          <w:spacing w:val="-12"/>
        </w:rPr>
        <w:t> </w:t>
      </w:r>
      <w:bookmarkEnd w:id="18"/>
      <w:r>
        <w:rPr>
          <w:color w:val="4F81BC"/>
        </w:rPr>
        <w:t>Saaty</w:t>
      </w:r>
    </w:p>
    <w:p>
      <w:pPr>
        <w:pStyle w:val="BodyText"/>
        <w:rPr>
          <w:rFonts w:ascii="Cambria"/>
          <w:b/>
          <w:sz w:val="26"/>
        </w:rPr>
      </w:pPr>
    </w:p>
    <w:p>
      <w:pPr>
        <w:pStyle w:val="BodyText"/>
        <w:spacing w:before="4"/>
        <w:rPr>
          <w:rFonts w:ascii="Cambria"/>
          <w:b/>
          <w:sz w:val="23"/>
        </w:rPr>
      </w:pPr>
    </w:p>
    <w:p>
      <w:pPr>
        <w:pStyle w:val="BodyText"/>
        <w:spacing w:line="360" w:lineRule="auto"/>
        <w:ind w:left="102" w:right="175"/>
        <w:jc w:val="both"/>
      </w:pPr>
      <w:r>
        <w:rPr/>
        <w:t>En cualquier investigación la descripción y análisis son necesarios para conocer  de manera adecuada las particularidades del tema en estudio, en muchos casos se hace preciso obtener alguna medida o magnitud resumen que permita ponderar la importancia relativa de cada una de las variables o indicadores que entran en juego en dicha descripción o</w:t>
      </w:r>
      <w:r>
        <w:rPr>
          <w:spacing w:val="-8"/>
        </w:rPr>
        <w:t> </w:t>
      </w:r>
      <w:r>
        <w:rPr/>
        <w:t>análisis.</w:t>
      </w:r>
    </w:p>
    <w:p>
      <w:pPr>
        <w:pStyle w:val="BodyText"/>
        <w:spacing w:line="360" w:lineRule="auto" w:before="204"/>
        <w:ind w:left="102" w:right="179"/>
        <w:jc w:val="both"/>
      </w:pPr>
      <w:r>
        <w:rPr/>
        <w:t>En los estudios de evaluación multicriterio se emplea un método de ponderación, que nos permita asignar pesos, jerarquías o ponderaciones.</w:t>
      </w:r>
    </w:p>
    <w:p>
      <w:pPr>
        <w:spacing w:after="0" w:line="360" w:lineRule="auto"/>
        <w:jc w:val="both"/>
        <w:sectPr>
          <w:pgSz w:w="12240" w:h="15840"/>
          <w:pgMar w:header="0" w:footer="1003" w:top="1360" w:bottom="1200" w:left="1600" w:right="1520"/>
        </w:sectPr>
      </w:pPr>
    </w:p>
    <w:p>
      <w:pPr>
        <w:pStyle w:val="BodyText"/>
        <w:spacing w:before="54"/>
        <w:ind w:left="102"/>
        <w:jc w:val="both"/>
      </w:pPr>
      <w:r>
        <w:rPr/>
        <w:t>Barredo (1996:12) señala que</w:t>
      </w:r>
    </w:p>
    <w:p>
      <w:pPr>
        <w:pStyle w:val="BodyText"/>
        <w:rPr>
          <w:sz w:val="29"/>
        </w:rPr>
      </w:pPr>
    </w:p>
    <w:p>
      <w:pPr>
        <w:spacing w:line="240" w:lineRule="auto" w:before="0"/>
        <w:ind w:left="385" w:right="451" w:firstLine="0"/>
        <w:jc w:val="both"/>
        <w:rPr>
          <w:sz w:val="24"/>
        </w:rPr>
      </w:pPr>
      <w:r>
        <w:rPr>
          <w:sz w:val="24"/>
        </w:rPr>
        <w:t>“</w:t>
      </w:r>
      <w:r>
        <w:rPr>
          <w:i/>
          <w:sz w:val="24"/>
        </w:rPr>
        <w:t>el objetivo de la ponderación es el de llegar a expresar, en términos </w:t>
      </w:r>
      <w:r>
        <w:rPr>
          <w:i/>
          <w:sz w:val="24"/>
        </w:rPr>
        <w:t>cuantitativos, la importancia de los distintos elementos, agrega asimismo que si bien es frecuente asignar pesos a criterios, la especificación de los mismos es una cuestión en la que no existe un método generalmente aceptado para su determinación pudiéndose considerar este proceso como un aspecto que puede crear controversias acerca de la asignación de dichos pesos”</w:t>
      </w:r>
      <w:r>
        <w:rPr>
          <w:sz w:val="24"/>
        </w:rPr>
        <w:t>.</w:t>
      </w:r>
    </w:p>
    <w:p>
      <w:pPr>
        <w:pStyle w:val="BodyText"/>
      </w:pPr>
    </w:p>
    <w:p>
      <w:pPr>
        <w:pStyle w:val="BodyText"/>
        <w:spacing w:before="9"/>
        <w:rPr>
          <w:sz w:val="34"/>
        </w:rPr>
      </w:pPr>
    </w:p>
    <w:p>
      <w:pPr>
        <w:spacing w:line="360" w:lineRule="auto" w:before="1"/>
        <w:ind w:left="102" w:right="112" w:firstLine="0"/>
        <w:jc w:val="both"/>
        <w:rPr>
          <w:sz w:val="24"/>
        </w:rPr>
      </w:pPr>
      <w:r>
        <w:rPr>
          <w:sz w:val="24"/>
        </w:rPr>
        <w:t>El análisis jerárquico de Saaty, “</w:t>
      </w:r>
      <w:r>
        <w:rPr>
          <w:i/>
          <w:sz w:val="24"/>
        </w:rPr>
        <w:t>está basado en comparaciones binarias de las </w:t>
      </w:r>
      <w:r>
        <w:rPr>
          <w:i/>
          <w:sz w:val="24"/>
        </w:rPr>
        <w:t>variables, por otro lado, los llamados métodos de aproximación, basados en comparaciones binarias de las alternativas” </w:t>
      </w:r>
      <w:r>
        <w:rPr>
          <w:sz w:val="24"/>
        </w:rPr>
        <w:t>(Barba-Romero y Pomerol, 1997: 103- 104).</w:t>
      </w:r>
    </w:p>
    <w:p>
      <w:pPr>
        <w:pStyle w:val="BodyText"/>
        <w:spacing w:line="360" w:lineRule="auto" w:before="204"/>
        <w:ind w:left="102" w:right="127"/>
        <w:jc w:val="both"/>
      </w:pPr>
      <w:r>
        <w:rPr/>
        <w:t>Uno de los autores que aborda este tópico con mayor claridad es Frías (2008). De acuerdo con este autor, los pasos a seguir en la aplicación del método son los siguientes:</w:t>
      </w:r>
    </w:p>
    <w:p>
      <w:pPr>
        <w:pStyle w:val="ListParagraph"/>
        <w:numPr>
          <w:ilvl w:val="2"/>
          <w:numId w:val="13"/>
        </w:numPr>
        <w:tabs>
          <w:tab w:pos="822" w:val="left" w:leader="none"/>
        </w:tabs>
        <w:spacing w:line="360" w:lineRule="auto" w:before="202" w:after="0"/>
        <w:ind w:left="822" w:right="119" w:hanging="360"/>
        <w:jc w:val="both"/>
        <w:rPr>
          <w:sz w:val="24"/>
        </w:rPr>
      </w:pPr>
      <w:r>
        <w:rPr>
          <w:i/>
          <w:sz w:val="24"/>
        </w:rPr>
        <w:t>“Elaborar una representación gráfica del problema, en términos de meta </w:t>
      </w:r>
      <w:r>
        <w:rPr>
          <w:i/>
          <w:sz w:val="24"/>
        </w:rPr>
        <w:t>global, criterios y</w:t>
      </w:r>
      <w:r>
        <w:rPr>
          <w:i/>
          <w:spacing w:val="-5"/>
          <w:sz w:val="24"/>
        </w:rPr>
        <w:t> </w:t>
      </w:r>
      <w:r>
        <w:rPr>
          <w:i/>
          <w:sz w:val="24"/>
        </w:rPr>
        <w:t>alternativas</w:t>
      </w:r>
      <w:r>
        <w:rPr>
          <w:sz w:val="24"/>
        </w:rPr>
        <w:t>.</w:t>
      </w:r>
    </w:p>
    <w:p>
      <w:pPr>
        <w:pStyle w:val="ListParagraph"/>
        <w:numPr>
          <w:ilvl w:val="2"/>
          <w:numId w:val="13"/>
        </w:numPr>
        <w:tabs>
          <w:tab w:pos="822" w:val="left" w:leader="none"/>
        </w:tabs>
        <w:spacing w:line="360" w:lineRule="auto" w:before="5" w:after="0"/>
        <w:ind w:left="822" w:right="120" w:hanging="360"/>
        <w:jc w:val="both"/>
        <w:rPr>
          <w:sz w:val="24"/>
        </w:rPr>
      </w:pPr>
      <w:r>
        <w:rPr>
          <w:i/>
          <w:sz w:val="24"/>
        </w:rPr>
        <w:t>Establecimiento de prioridades: realiza comparaciones pareadas entre </w:t>
      </w:r>
      <w:r>
        <w:rPr>
          <w:i/>
          <w:sz w:val="24"/>
        </w:rPr>
        <w:t>criterios respecto a la meta global y de las alternativas de decisión con respecto a los criterios”. </w:t>
      </w:r>
      <w:r>
        <w:rPr>
          <w:sz w:val="24"/>
        </w:rPr>
        <w:t>Requiere desarrollar una matriz con las calificaciones de las comparaciones pareadas en base a la escala definida. La matriz de comparaciones es una matriz cuadrada que contiene comparaciones pareadas de alternativas o</w:t>
      </w:r>
      <w:r>
        <w:rPr>
          <w:spacing w:val="-16"/>
          <w:sz w:val="24"/>
        </w:rPr>
        <w:t> </w:t>
      </w:r>
      <w:r>
        <w:rPr>
          <w:sz w:val="24"/>
        </w:rPr>
        <w:t>criterios.</w:t>
      </w:r>
    </w:p>
    <w:p>
      <w:pPr>
        <w:pStyle w:val="BodyText"/>
        <w:spacing w:line="360" w:lineRule="auto" w:before="205"/>
        <w:ind w:left="102" w:right="122"/>
        <w:jc w:val="both"/>
      </w:pPr>
      <w:r>
        <w:rPr/>
        <w:t>Sea A una matriz n x n, donde na Z+. Sea Aij el elemento (i, j) de A, para i=1, 2, n y, j=1, 2, .n. Decimos que es un Matriz de Comparaciones Pareadas (MCP) de n alternativas si aij es la medida de la preferencia de la alternativa en la fila i cuando se le compara con la alternativa de la columna j. Cuando i=j, el valor de Aij será igual a 1, pues está comparando la alternativa consigo misma.</w:t>
      </w:r>
    </w:p>
    <w:p>
      <w:pPr>
        <w:spacing w:after="0" w:line="360" w:lineRule="auto"/>
        <w:jc w:val="both"/>
        <w:sectPr>
          <w:pgSz w:w="12240" w:h="15840"/>
          <w:pgMar w:header="0" w:footer="1003" w:top="1360" w:bottom="1200" w:left="1600" w:right="1580"/>
        </w:sectPr>
      </w:pPr>
    </w:p>
    <w:p>
      <w:pPr>
        <w:pStyle w:val="BodyText"/>
        <w:spacing w:before="54"/>
        <w:ind w:left="102"/>
      </w:pPr>
      <w:r>
        <w:rPr/>
        <w:t>El método se sustenta en los axiomas siguientes:</w:t>
      </w:r>
    </w:p>
    <w:p>
      <w:pPr>
        <w:pStyle w:val="BodyText"/>
        <w:spacing w:before="4"/>
        <w:rPr>
          <w:sz w:val="29"/>
        </w:rPr>
      </w:pPr>
    </w:p>
    <w:p>
      <w:pPr>
        <w:pStyle w:val="ListParagraph"/>
        <w:numPr>
          <w:ilvl w:val="0"/>
          <w:numId w:val="14"/>
        </w:numPr>
        <w:tabs>
          <w:tab w:pos="885" w:val="left" w:leader="none"/>
        </w:tabs>
        <w:spacing w:line="360" w:lineRule="auto" w:before="1" w:after="0"/>
        <w:ind w:left="884" w:right="122" w:hanging="360"/>
        <w:jc w:val="both"/>
        <w:rPr>
          <w:sz w:val="24"/>
        </w:rPr>
      </w:pPr>
      <w:r>
        <w:rPr>
          <w:sz w:val="24"/>
        </w:rPr>
        <w:t>Se refiere a la condición de juicios recíprocos: si a es una matriz de comparaciones pareadas, se cumple Aij = 1 /</w:t>
      </w:r>
      <w:r>
        <w:rPr>
          <w:spacing w:val="-16"/>
          <w:sz w:val="24"/>
        </w:rPr>
        <w:t> </w:t>
      </w:r>
      <w:r>
        <w:rPr>
          <w:sz w:val="24"/>
        </w:rPr>
        <w:t>Aij.</w:t>
      </w:r>
    </w:p>
    <w:p>
      <w:pPr>
        <w:pStyle w:val="ListParagraph"/>
        <w:numPr>
          <w:ilvl w:val="0"/>
          <w:numId w:val="14"/>
        </w:numPr>
        <w:tabs>
          <w:tab w:pos="885" w:val="left" w:leader="none"/>
        </w:tabs>
        <w:spacing w:line="360" w:lineRule="auto" w:before="2" w:after="0"/>
        <w:ind w:left="884" w:right="117" w:hanging="360"/>
        <w:jc w:val="both"/>
        <w:rPr>
          <w:sz w:val="24"/>
        </w:rPr>
      </w:pPr>
      <w:r>
        <w:rPr>
          <w:sz w:val="24"/>
        </w:rPr>
        <w:t>Se refiere a la condición de homogeneidad de los elementos: los  elementos que se comparan son del mismo orden de magnitud o</w:t>
      </w:r>
      <w:r>
        <w:rPr>
          <w:spacing w:val="-28"/>
          <w:sz w:val="24"/>
        </w:rPr>
        <w:t> </w:t>
      </w:r>
      <w:r>
        <w:rPr>
          <w:sz w:val="24"/>
        </w:rPr>
        <w:t>jerarquía.</w:t>
      </w:r>
    </w:p>
    <w:p>
      <w:pPr>
        <w:pStyle w:val="ListParagraph"/>
        <w:numPr>
          <w:ilvl w:val="0"/>
          <w:numId w:val="14"/>
        </w:numPr>
        <w:tabs>
          <w:tab w:pos="885" w:val="left" w:leader="none"/>
        </w:tabs>
        <w:spacing w:line="360" w:lineRule="auto" w:before="2" w:after="0"/>
        <w:ind w:left="884" w:right="118" w:hanging="360"/>
        <w:jc w:val="both"/>
        <w:rPr>
          <w:sz w:val="24"/>
        </w:rPr>
      </w:pPr>
      <w:r>
        <w:rPr>
          <w:sz w:val="24"/>
        </w:rPr>
        <w:t>Se refiere a la condición de estructura jerárquica o dependiente: existe dependencia jerárquica entre los elementos de dos niveles</w:t>
      </w:r>
      <w:r>
        <w:rPr>
          <w:spacing w:val="-26"/>
          <w:sz w:val="24"/>
        </w:rPr>
        <w:t> </w:t>
      </w:r>
      <w:r>
        <w:rPr>
          <w:sz w:val="24"/>
        </w:rPr>
        <w:t>consecutivos.</w:t>
      </w:r>
    </w:p>
    <w:p>
      <w:pPr>
        <w:pStyle w:val="ListParagraph"/>
        <w:numPr>
          <w:ilvl w:val="0"/>
          <w:numId w:val="14"/>
        </w:numPr>
        <w:tabs>
          <w:tab w:pos="885" w:val="left" w:leader="none"/>
        </w:tabs>
        <w:spacing w:line="360" w:lineRule="auto" w:before="2" w:after="0"/>
        <w:ind w:left="884" w:right="118" w:hanging="360"/>
        <w:jc w:val="both"/>
        <w:rPr>
          <w:sz w:val="24"/>
        </w:rPr>
      </w:pPr>
      <w:r>
        <w:rPr>
          <w:sz w:val="24"/>
        </w:rPr>
        <w:t>Se refiere a la condición de expectativas de orden de rango: las expectativas deben estar representadas en la estructura en términos de criterios y</w:t>
      </w:r>
      <w:r>
        <w:rPr>
          <w:spacing w:val="-8"/>
          <w:sz w:val="24"/>
        </w:rPr>
        <w:t> </w:t>
      </w:r>
      <w:r>
        <w:rPr>
          <w:sz w:val="24"/>
        </w:rPr>
        <w:t>expectativos.</w:t>
      </w:r>
    </w:p>
    <w:p>
      <w:pPr>
        <w:pStyle w:val="ListParagraph"/>
        <w:numPr>
          <w:ilvl w:val="2"/>
          <w:numId w:val="13"/>
        </w:numPr>
        <w:tabs>
          <w:tab w:pos="822" w:val="left" w:leader="none"/>
        </w:tabs>
        <w:spacing w:line="360" w:lineRule="auto" w:before="5" w:after="0"/>
        <w:ind w:left="822" w:right="120" w:hanging="360"/>
        <w:jc w:val="both"/>
        <w:rPr>
          <w:sz w:val="24"/>
        </w:rPr>
      </w:pPr>
      <w:r>
        <w:rPr>
          <w:sz w:val="24"/>
        </w:rPr>
        <w:t>Síntesis de juicios: cálculo de las prioridades de cada uno de los elementos que se</w:t>
      </w:r>
      <w:r>
        <w:rPr>
          <w:spacing w:val="-4"/>
          <w:sz w:val="24"/>
        </w:rPr>
        <w:t> </w:t>
      </w:r>
      <w:r>
        <w:rPr>
          <w:sz w:val="24"/>
        </w:rPr>
        <w:t>comparan.</w:t>
      </w:r>
    </w:p>
    <w:p>
      <w:pPr>
        <w:pStyle w:val="ListParagraph"/>
        <w:numPr>
          <w:ilvl w:val="0"/>
          <w:numId w:val="15"/>
        </w:numPr>
        <w:tabs>
          <w:tab w:pos="822" w:val="left" w:leader="none"/>
        </w:tabs>
        <w:spacing w:line="240" w:lineRule="auto" w:before="5" w:after="0"/>
        <w:ind w:left="822" w:right="0" w:hanging="360"/>
        <w:jc w:val="left"/>
        <w:rPr>
          <w:sz w:val="24"/>
        </w:rPr>
      </w:pPr>
      <w:r>
        <w:rPr>
          <w:sz w:val="24"/>
        </w:rPr>
        <w:t>Sumar los valores de cada columna en la</w:t>
      </w:r>
      <w:r>
        <w:rPr>
          <w:spacing w:val="-15"/>
          <w:sz w:val="24"/>
        </w:rPr>
        <w:t> </w:t>
      </w:r>
      <w:r>
        <w:rPr>
          <w:sz w:val="24"/>
        </w:rPr>
        <w:t>MCP</w:t>
      </w:r>
    </w:p>
    <w:p>
      <w:pPr>
        <w:pStyle w:val="ListParagraph"/>
        <w:numPr>
          <w:ilvl w:val="0"/>
          <w:numId w:val="15"/>
        </w:numPr>
        <w:tabs>
          <w:tab w:pos="822" w:val="left" w:leader="none"/>
        </w:tabs>
        <w:spacing w:line="345" w:lineRule="auto" w:before="115" w:after="0"/>
        <w:ind w:left="822" w:right="123" w:hanging="360"/>
        <w:jc w:val="both"/>
        <w:rPr>
          <w:sz w:val="24"/>
        </w:rPr>
      </w:pPr>
      <w:r>
        <w:rPr>
          <w:sz w:val="24"/>
        </w:rPr>
        <w:t>Dividir cada elemento de la MCP entre el total de su columna, creando así una matriz resultante denominada Matriz de Comparaciones Pareadas Normalizada</w:t>
      </w:r>
      <w:r>
        <w:rPr>
          <w:spacing w:val="-6"/>
          <w:sz w:val="24"/>
        </w:rPr>
        <w:t> </w:t>
      </w:r>
      <w:r>
        <w:rPr>
          <w:sz w:val="24"/>
        </w:rPr>
        <w:t>(MCPN).</w:t>
      </w:r>
    </w:p>
    <w:p>
      <w:pPr>
        <w:pStyle w:val="ListParagraph"/>
        <w:numPr>
          <w:ilvl w:val="0"/>
          <w:numId w:val="15"/>
        </w:numPr>
        <w:tabs>
          <w:tab w:pos="822" w:val="left" w:leader="none"/>
        </w:tabs>
        <w:spacing w:line="345" w:lineRule="auto" w:before="21" w:after="0"/>
        <w:ind w:left="822" w:right="123" w:hanging="360"/>
        <w:jc w:val="both"/>
        <w:rPr>
          <w:sz w:val="24"/>
        </w:rPr>
      </w:pPr>
      <w:r>
        <w:rPr>
          <w:sz w:val="24"/>
        </w:rPr>
        <w:t>Calcular el promedio de los elementos de cada fila de la MCPN, los cuales proporcionan una estimación de las prioridades relativas de los elementos que se</w:t>
      </w:r>
      <w:r>
        <w:rPr>
          <w:spacing w:val="-4"/>
          <w:sz w:val="24"/>
        </w:rPr>
        <w:t> </w:t>
      </w:r>
      <w:r>
        <w:rPr>
          <w:sz w:val="24"/>
        </w:rPr>
        <w:t>comparan.</w:t>
      </w:r>
    </w:p>
    <w:p>
      <w:pPr>
        <w:pStyle w:val="ListParagraph"/>
        <w:numPr>
          <w:ilvl w:val="2"/>
          <w:numId w:val="13"/>
        </w:numPr>
        <w:tabs>
          <w:tab w:pos="822" w:val="left" w:leader="none"/>
        </w:tabs>
        <w:spacing w:line="360" w:lineRule="auto" w:before="21" w:after="0"/>
        <w:ind w:left="822" w:right="122" w:hanging="360"/>
        <w:jc w:val="both"/>
        <w:rPr>
          <w:sz w:val="24"/>
        </w:rPr>
      </w:pPr>
      <w:r>
        <w:rPr>
          <w:sz w:val="24"/>
        </w:rPr>
        <w:t>Consistencia de juicios: en las comparaciones pareadas se calcula la Relación de Consistencia (RC), considerándose que si sus valores exceden de 0.10 los juicios son inconsistentes, pero si son iguales o inferiores a esta cifra, muestran un nivel razonable de</w:t>
      </w:r>
      <w:r>
        <w:rPr>
          <w:spacing w:val="-15"/>
          <w:sz w:val="24"/>
        </w:rPr>
        <w:t> </w:t>
      </w:r>
      <w:r>
        <w:rPr>
          <w:sz w:val="24"/>
        </w:rPr>
        <w:t>consistencia.</w:t>
      </w:r>
    </w:p>
    <w:p>
      <w:pPr>
        <w:pStyle w:val="BodyText"/>
        <w:spacing w:before="204"/>
        <w:ind w:left="102"/>
      </w:pPr>
      <w:r>
        <w:rPr/>
        <w:t>Las secuencias necesarias para estimar la RC son:</w:t>
      </w:r>
    </w:p>
    <w:p>
      <w:pPr>
        <w:pStyle w:val="BodyText"/>
        <w:spacing w:before="5"/>
        <w:rPr>
          <w:sz w:val="29"/>
        </w:rPr>
      </w:pPr>
    </w:p>
    <w:p>
      <w:pPr>
        <w:pStyle w:val="ListParagraph"/>
        <w:numPr>
          <w:ilvl w:val="0"/>
          <w:numId w:val="15"/>
        </w:numPr>
        <w:tabs>
          <w:tab w:pos="822" w:val="left" w:leader="none"/>
        </w:tabs>
        <w:spacing w:line="336" w:lineRule="auto" w:before="0" w:after="0"/>
        <w:ind w:left="822" w:right="122" w:hanging="360"/>
        <w:jc w:val="both"/>
        <w:rPr>
          <w:sz w:val="24"/>
        </w:rPr>
      </w:pPr>
      <w:r>
        <w:rPr>
          <w:sz w:val="24"/>
        </w:rPr>
        <w:t>Dividir los elementos del vector de suma ponderada entre el correspondiente valor de</w:t>
      </w:r>
      <w:r>
        <w:rPr>
          <w:spacing w:val="-13"/>
          <w:sz w:val="24"/>
        </w:rPr>
        <w:t> </w:t>
      </w:r>
      <w:r>
        <w:rPr>
          <w:sz w:val="24"/>
        </w:rPr>
        <w:t>prioridad.</w:t>
      </w:r>
    </w:p>
    <w:p>
      <w:pPr>
        <w:pStyle w:val="ListParagraph"/>
        <w:numPr>
          <w:ilvl w:val="0"/>
          <w:numId w:val="15"/>
        </w:numPr>
        <w:tabs>
          <w:tab w:pos="822" w:val="left" w:leader="none"/>
        </w:tabs>
        <w:spacing w:line="240" w:lineRule="auto" w:before="29" w:after="0"/>
        <w:ind w:left="822" w:right="0" w:hanging="360"/>
        <w:jc w:val="left"/>
        <w:rPr>
          <w:sz w:val="24"/>
        </w:rPr>
      </w:pPr>
      <w:r>
        <w:rPr>
          <w:sz w:val="24"/>
        </w:rPr>
        <w:t>Evaluar el promedio de los valores que se determinaron en el paso</w:t>
      </w:r>
      <w:r>
        <w:rPr>
          <w:spacing w:val="-27"/>
          <w:sz w:val="24"/>
        </w:rPr>
        <w:t> </w:t>
      </w:r>
      <w:r>
        <w:rPr>
          <w:sz w:val="24"/>
        </w:rPr>
        <w:t>anterior.</w:t>
      </w:r>
    </w:p>
    <w:p>
      <w:pPr>
        <w:pStyle w:val="ListParagraph"/>
        <w:numPr>
          <w:ilvl w:val="0"/>
          <w:numId w:val="15"/>
        </w:numPr>
        <w:tabs>
          <w:tab w:pos="822" w:val="left" w:leader="none"/>
        </w:tabs>
        <w:spacing w:line="494" w:lineRule="auto" w:before="118" w:after="0"/>
        <w:ind w:left="102" w:right="809" w:firstLine="360"/>
        <w:jc w:val="left"/>
        <w:rPr>
          <w:sz w:val="24"/>
        </w:rPr>
      </w:pPr>
      <w:r>
        <w:rPr>
          <w:sz w:val="24"/>
        </w:rPr>
        <w:t>Calcular el índice de Consistencia (IC) de A: IC = (N mas. X N) / (N-1) Determinar la</w:t>
      </w:r>
      <w:r>
        <w:rPr>
          <w:spacing w:val="-4"/>
          <w:sz w:val="24"/>
        </w:rPr>
        <w:t> </w:t>
      </w:r>
      <w:r>
        <w:rPr>
          <w:sz w:val="24"/>
        </w:rPr>
        <w:t>RC</w:t>
      </w:r>
    </w:p>
    <w:p>
      <w:pPr>
        <w:spacing w:after="0" w:line="494" w:lineRule="auto"/>
        <w:jc w:val="left"/>
        <w:rPr>
          <w:sz w:val="24"/>
        </w:rPr>
        <w:sectPr>
          <w:pgSz w:w="12240" w:h="15840"/>
          <w:pgMar w:header="0" w:footer="1003" w:top="1360" w:bottom="1200" w:left="1600" w:right="1580"/>
        </w:sectPr>
      </w:pPr>
    </w:p>
    <w:p>
      <w:pPr>
        <w:pStyle w:val="BodyText"/>
        <w:spacing w:before="54"/>
        <w:ind w:left="102"/>
        <w:jc w:val="both"/>
      </w:pPr>
      <w:r>
        <w:rPr/>
        <w:t>Método</w:t>
      </w:r>
    </w:p>
    <w:p>
      <w:pPr>
        <w:pStyle w:val="BodyText"/>
        <w:spacing w:before="4"/>
        <w:rPr>
          <w:sz w:val="29"/>
        </w:rPr>
      </w:pPr>
    </w:p>
    <w:p>
      <w:pPr>
        <w:pStyle w:val="BodyText"/>
        <w:spacing w:line="360" w:lineRule="auto" w:before="1"/>
        <w:ind w:left="102" w:right="122"/>
        <w:jc w:val="both"/>
      </w:pPr>
      <w:r>
        <w:rPr/>
        <w:t>El Método Analytic Hierarchy Process (AHP) se clasifica en el grupo de Análisis Multicriterio Discreto y es capaz de emplear variables cualitativas y cuantitativas frente a múltiples objetivos. Fue desarrollado por el doctor en matemáticas  Thomas L. Saaty a fines de la década de los</w:t>
      </w:r>
      <w:r>
        <w:rPr>
          <w:spacing w:val="-11"/>
        </w:rPr>
        <w:t> </w:t>
      </w:r>
      <w:r>
        <w:rPr/>
        <w:t>80.</w:t>
      </w:r>
    </w:p>
    <w:p>
      <w:pPr>
        <w:pStyle w:val="BodyText"/>
        <w:spacing w:line="360" w:lineRule="auto" w:before="204"/>
        <w:ind w:left="102" w:right="125"/>
        <w:jc w:val="both"/>
      </w:pPr>
      <w:r>
        <w:rPr/>
        <w:t>El Proceso Analítico Jerárquico es un método de descomposición de estructuras complejas en sus componentes, ordenando estos componentes o variables en una estructura jerárquica, donde se obtienen valores numéricos para los juicios de preferencia y, finalmente los sintetiza para determinar qué variable tiene la más alta</w:t>
      </w:r>
      <w:r>
        <w:rPr>
          <w:spacing w:val="-4"/>
        </w:rPr>
        <w:t> </w:t>
      </w:r>
      <w:r>
        <w:rPr/>
        <w:t>prioridad.</w:t>
      </w:r>
    </w:p>
    <w:p>
      <w:pPr>
        <w:pStyle w:val="BodyText"/>
        <w:spacing w:line="360" w:lineRule="auto" w:before="204"/>
        <w:ind w:left="102" w:right="115"/>
        <w:jc w:val="both"/>
      </w:pPr>
      <w:r>
        <w:rPr/>
        <w:t>Esta fundado sobre una base teórica simple pero sólida. Cuenta con tres principios rectores, los que en términos generales guían el proceso de evaluación.</w:t>
      </w:r>
    </w:p>
    <w:p>
      <w:pPr>
        <w:pStyle w:val="BodyText"/>
        <w:spacing w:line="360" w:lineRule="auto" w:before="204"/>
        <w:ind w:left="102" w:right="119"/>
        <w:jc w:val="both"/>
      </w:pPr>
      <w:r>
        <w:rPr/>
        <w:t>Construcción de las jerarquías.Los sistemas complejos pueden ser mejor comprendidos mediante su descomposición en elementos constituyentes, la estructuración de dichos elementos jerárquicamente, y la composición o sintetización de los juicios, de acuerdo con la importancia relativa de los elementos de cada nivel de la jerarquía.</w:t>
      </w:r>
    </w:p>
    <w:p>
      <w:pPr>
        <w:pStyle w:val="BodyText"/>
        <w:spacing w:line="360" w:lineRule="auto" w:before="202"/>
        <w:ind w:left="102" w:right="119"/>
        <w:jc w:val="both"/>
      </w:pPr>
      <w:r>
        <w:rPr/>
        <w:t>La jerarquización representa la descomposición del problema en las partes que lo componen. En esta línea un problema está constituidos en: un foco, en criterios generales (dimensiones), criterios específicos y las alternativas posibles como solución.</w:t>
      </w:r>
    </w:p>
    <w:p>
      <w:pPr>
        <w:pStyle w:val="BodyText"/>
        <w:spacing w:line="360" w:lineRule="auto" w:before="204"/>
        <w:ind w:left="102" w:right="120"/>
        <w:jc w:val="both"/>
      </w:pPr>
      <w:r>
        <w:rPr/>
        <w:t>Establecimiento de prioridades. Los seres humanos perciben relaciones entre los elementos que describen una situación, pueden realizar comparaciones a pares entre ellos con respecto un cierto criterio y de esta manera expresar la preferencia de uno sobre otro.</w:t>
      </w:r>
    </w:p>
    <w:p>
      <w:pPr>
        <w:pStyle w:val="BodyText"/>
        <w:spacing w:line="360" w:lineRule="auto" w:before="204"/>
        <w:ind w:left="102" w:right="121"/>
        <w:jc w:val="both"/>
      </w:pPr>
      <w:r>
        <w:rPr/>
        <w:t>La escala de Saaty es una herramienta propuesta para establecer la importancia o preferencia de criterios o alternativas en la matriz de comparaciones a pares. Es</w:t>
      </w:r>
    </w:p>
    <w:p>
      <w:pPr>
        <w:spacing w:after="0" w:line="360" w:lineRule="auto"/>
        <w:jc w:val="both"/>
        <w:sectPr>
          <w:pgSz w:w="12240" w:h="15840"/>
          <w:pgMar w:header="0" w:footer="1003" w:top="1360" w:bottom="1200" w:left="1600" w:right="1580"/>
        </w:sectPr>
      </w:pPr>
    </w:p>
    <w:p>
      <w:pPr>
        <w:pStyle w:val="BodyText"/>
        <w:spacing w:line="360" w:lineRule="auto" w:before="54"/>
        <w:ind w:left="102" w:right="106"/>
        <w:jc w:val="both"/>
      </w:pPr>
      <w:r>
        <w:rPr/>
        <w:t>una escala de prioridades como forma de independizarse de las diferentes escalas que existen.</w:t>
      </w:r>
    </w:p>
    <w:p>
      <w:pPr>
        <w:pStyle w:val="BodyText"/>
        <w:spacing w:line="360" w:lineRule="auto" w:before="204"/>
        <w:ind w:left="102" w:right="105"/>
        <w:jc w:val="both"/>
      </w:pPr>
      <w:r>
        <w:rPr/>
        <w:t>De esta forma se entrega homogeneidad y cierto grado de certeza a las comparaciones.</w:t>
      </w:r>
    </w:p>
    <w:p>
      <w:pPr>
        <w:pStyle w:val="BodyText"/>
        <w:spacing w:line="360" w:lineRule="auto" w:before="204"/>
        <w:ind w:left="102" w:right="102"/>
        <w:jc w:val="both"/>
      </w:pPr>
      <w:r>
        <w:rPr/>
        <w:t>La escala de comparaciones pareadas para las preferencias en el PAJ: esta  escala consta de nueve posiciones, tal como se muestra a</w:t>
      </w:r>
      <w:r>
        <w:rPr>
          <w:spacing w:val="-25"/>
        </w:rPr>
        <w:t> </w:t>
      </w:r>
      <w:r>
        <w:rPr/>
        <w:t>continuación:</w:t>
      </w:r>
    </w:p>
    <w:p>
      <w:pPr>
        <w:spacing w:before="201"/>
        <w:ind w:left="157" w:right="159" w:firstLine="0"/>
        <w:jc w:val="center"/>
        <w:rPr>
          <w:sz w:val="20"/>
        </w:rPr>
      </w:pPr>
      <w:r>
        <w:rPr>
          <w:sz w:val="20"/>
        </w:rPr>
        <w:t>Cuadro No. 9 Escala de Saaty</w:t>
      </w:r>
    </w:p>
    <w:p>
      <w:pPr>
        <w:pStyle w:val="BodyText"/>
        <w:spacing w:before="4"/>
        <w:rPr>
          <w:sz w:val="10"/>
        </w:rPr>
      </w:pPr>
    </w:p>
    <w:tbl>
      <w:tblPr>
        <w:tblW w:w="0" w:type="auto"/>
        <w:jc w:val="left"/>
        <w:tblInd w:w="799" w:type="dxa"/>
        <w:tblBorders>
          <w:top w:val="single" w:sz="10" w:space="0" w:color="000000"/>
          <w:left w:val="single" w:sz="10" w:space="0" w:color="000000"/>
          <w:bottom w:val="single" w:sz="10" w:space="0" w:color="000000"/>
          <w:right w:val="single" w:sz="10" w:space="0" w:color="000000"/>
          <w:insideH w:val="single" w:sz="10" w:space="0" w:color="000000"/>
          <w:insideV w:val="single" w:sz="10" w:space="0" w:color="000000"/>
        </w:tblBorders>
        <w:tblLayout w:type="fixed"/>
        <w:tblCellMar>
          <w:top w:w="0" w:type="dxa"/>
          <w:left w:w="0" w:type="dxa"/>
          <w:bottom w:w="0" w:type="dxa"/>
          <w:right w:w="0" w:type="dxa"/>
        </w:tblCellMar>
        <w:tblLook w:val="01E0"/>
      </w:tblPr>
      <w:tblGrid>
        <w:gridCol w:w="1115"/>
        <w:gridCol w:w="6327"/>
      </w:tblGrid>
      <w:tr>
        <w:trPr>
          <w:trHeight w:val="557" w:hRule="exact"/>
        </w:trPr>
        <w:tc>
          <w:tcPr>
            <w:tcW w:w="1115" w:type="dxa"/>
            <w:tcBorders>
              <w:bottom w:val="single" w:sz="14" w:space="0" w:color="000000"/>
              <w:right w:val="single" w:sz="7" w:space="0" w:color="000000"/>
            </w:tcBorders>
            <w:shd w:val="clear" w:color="auto" w:fill="BEBEBE"/>
          </w:tcPr>
          <w:p>
            <w:pPr>
              <w:pStyle w:val="TableParagraph"/>
              <w:spacing w:before="143"/>
              <w:ind w:left="268" w:right="259"/>
              <w:jc w:val="center"/>
              <w:rPr>
                <w:rFonts w:ascii="Arial"/>
                <w:b/>
                <w:sz w:val="21"/>
              </w:rPr>
            </w:pPr>
            <w:r>
              <w:rPr>
                <w:rFonts w:ascii="Arial"/>
                <w:b/>
                <w:sz w:val="21"/>
              </w:rPr>
              <w:t>Valor</w:t>
            </w:r>
          </w:p>
        </w:tc>
        <w:tc>
          <w:tcPr>
            <w:tcW w:w="6327" w:type="dxa"/>
            <w:tcBorders>
              <w:left w:val="single" w:sz="7" w:space="0" w:color="000000"/>
              <w:bottom w:val="single" w:sz="14" w:space="0" w:color="000000"/>
            </w:tcBorders>
            <w:shd w:val="clear" w:color="auto" w:fill="BEBEBE"/>
          </w:tcPr>
          <w:p>
            <w:pPr>
              <w:pStyle w:val="TableParagraph"/>
              <w:spacing w:before="143"/>
              <w:ind w:left="205" w:right="196"/>
              <w:jc w:val="center"/>
              <w:rPr>
                <w:rFonts w:ascii="Arial"/>
                <w:b/>
                <w:sz w:val="21"/>
              </w:rPr>
            </w:pPr>
            <w:r>
              <w:rPr>
                <w:rFonts w:ascii="Arial"/>
                <w:b/>
                <w:sz w:val="21"/>
              </w:rPr>
              <w:t>Escala de comparaciones pareadas para las  preferencias</w:t>
            </w:r>
          </w:p>
        </w:tc>
      </w:tr>
      <w:tr>
        <w:trPr>
          <w:trHeight w:val="524" w:hRule="exact"/>
        </w:trPr>
        <w:tc>
          <w:tcPr>
            <w:tcW w:w="1115" w:type="dxa"/>
            <w:tcBorders>
              <w:top w:val="single" w:sz="14" w:space="0" w:color="000000"/>
              <w:bottom w:val="single" w:sz="7" w:space="0" w:color="000000"/>
              <w:right w:val="single" w:sz="7" w:space="0" w:color="000000"/>
            </w:tcBorders>
          </w:tcPr>
          <w:p>
            <w:pPr>
              <w:pStyle w:val="TableParagraph"/>
              <w:spacing w:before="126"/>
              <w:ind w:left="3"/>
              <w:jc w:val="center"/>
              <w:rPr>
                <w:rFonts w:ascii="Arial"/>
                <w:sz w:val="21"/>
              </w:rPr>
            </w:pPr>
            <w:r>
              <w:rPr>
                <w:rFonts w:ascii="Arial"/>
                <w:w w:val="101"/>
                <w:sz w:val="21"/>
              </w:rPr>
              <w:t>9</w:t>
            </w:r>
          </w:p>
        </w:tc>
        <w:tc>
          <w:tcPr>
            <w:tcW w:w="6327" w:type="dxa"/>
            <w:tcBorders>
              <w:top w:val="single" w:sz="14" w:space="0" w:color="000000"/>
              <w:left w:val="single" w:sz="7" w:space="0" w:color="000000"/>
              <w:bottom w:val="single" w:sz="7" w:space="0" w:color="000000"/>
            </w:tcBorders>
          </w:tcPr>
          <w:p>
            <w:pPr>
              <w:pStyle w:val="TableParagraph"/>
              <w:spacing w:before="126"/>
              <w:ind w:left="208" w:right="189"/>
              <w:jc w:val="center"/>
              <w:rPr>
                <w:rFonts w:ascii="Arial"/>
                <w:sz w:val="21"/>
              </w:rPr>
            </w:pPr>
            <w:r>
              <w:rPr>
                <w:rFonts w:ascii="Arial"/>
                <w:sz w:val="21"/>
              </w:rPr>
              <w:t>Extremadamente preferible</w:t>
            </w:r>
          </w:p>
        </w:tc>
      </w:tr>
      <w:tr>
        <w:trPr>
          <w:trHeight w:val="511" w:hRule="exact"/>
        </w:trPr>
        <w:tc>
          <w:tcPr>
            <w:tcW w:w="1115" w:type="dxa"/>
            <w:tcBorders>
              <w:top w:val="single" w:sz="7" w:space="0" w:color="000000"/>
              <w:bottom w:val="single" w:sz="7" w:space="0" w:color="000000"/>
              <w:right w:val="single" w:sz="7" w:space="0" w:color="000000"/>
            </w:tcBorders>
          </w:tcPr>
          <w:p>
            <w:pPr>
              <w:pStyle w:val="TableParagraph"/>
              <w:spacing w:before="126"/>
              <w:ind w:left="3"/>
              <w:jc w:val="center"/>
              <w:rPr>
                <w:rFonts w:ascii="Arial"/>
                <w:sz w:val="21"/>
              </w:rPr>
            </w:pPr>
            <w:r>
              <w:rPr>
                <w:rFonts w:ascii="Arial"/>
                <w:w w:val="101"/>
                <w:sz w:val="21"/>
              </w:rPr>
              <w:t>8</w:t>
            </w:r>
          </w:p>
        </w:tc>
        <w:tc>
          <w:tcPr>
            <w:tcW w:w="6327" w:type="dxa"/>
            <w:tcBorders>
              <w:top w:val="single" w:sz="7" w:space="0" w:color="000000"/>
              <w:left w:val="single" w:sz="7" w:space="0" w:color="000000"/>
              <w:bottom w:val="single" w:sz="7" w:space="0" w:color="000000"/>
            </w:tcBorders>
          </w:tcPr>
          <w:p>
            <w:pPr>
              <w:pStyle w:val="TableParagraph"/>
              <w:spacing w:before="126"/>
              <w:ind w:left="208" w:right="196"/>
              <w:jc w:val="center"/>
              <w:rPr>
                <w:rFonts w:ascii="Arial"/>
                <w:sz w:val="21"/>
              </w:rPr>
            </w:pPr>
            <w:r>
              <w:rPr>
                <w:rFonts w:ascii="Arial"/>
                <w:sz w:val="21"/>
              </w:rPr>
              <w:t>Entre muy fuertemente preferible y extremadamente  preferible</w:t>
            </w:r>
          </w:p>
        </w:tc>
      </w:tr>
      <w:tr>
        <w:trPr>
          <w:trHeight w:val="485" w:hRule="exact"/>
        </w:trPr>
        <w:tc>
          <w:tcPr>
            <w:tcW w:w="1115" w:type="dxa"/>
            <w:tcBorders>
              <w:top w:val="single" w:sz="7" w:space="0" w:color="000000"/>
              <w:bottom w:val="single" w:sz="7" w:space="0" w:color="000000"/>
              <w:right w:val="single" w:sz="7" w:space="0" w:color="000000"/>
            </w:tcBorders>
          </w:tcPr>
          <w:p>
            <w:pPr>
              <w:pStyle w:val="TableParagraph"/>
              <w:spacing w:before="114"/>
              <w:ind w:left="3"/>
              <w:jc w:val="center"/>
              <w:rPr>
                <w:rFonts w:ascii="Arial"/>
                <w:sz w:val="21"/>
              </w:rPr>
            </w:pPr>
            <w:r>
              <w:rPr>
                <w:rFonts w:ascii="Arial"/>
                <w:w w:val="101"/>
                <w:sz w:val="21"/>
              </w:rPr>
              <w:t>7</w:t>
            </w:r>
          </w:p>
        </w:tc>
        <w:tc>
          <w:tcPr>
            <w:tcW w:w="6327" w:type="dxa"/>
            <w:tcBorders>
              <w:top w:val="single" w:sz="7" w:space="0" w:color="000000"/>
              <w:left w:val="single" w:sz="7" w:space="0" w:color="000000"/>
              <w:bottom w:val="single" w:sz="7" w:space="0" w:color="000000"/>
            </w:tcBorders>
          </w:tcPr>
          <w:p>
            <w:pPr>
              <w:pStyle w:val="TableParagraph"/>
              <w:spacing w:before="114"/>
              <w:ind w:left="208" w:right="193"/>
              <w:jc w:val="center"/>
              <w:rPr>
                <w:rFonts w:ascii="Arial"/>
                <w:sz w:val="21"/>
              </w:rPr>
            </w:pPr>
            <w:r>
              <w:rPr>
                <w:rFonts w:ascii="Arial"/>
                <w:sz w:val="21"/>
              </w:rPr>
              <w:t>Muy fuertemente preferible</w:t>
            </w:r>
          </w:p>
        </w:tc>
      </w:tr>
      <w:tr>
        <w:trPr>
          <w:trHeight w:val="498" w:hRule="exact"/>
        </w:trPr>
        <w:tc>
          <w:tcPr>
            <w:tcW w:w="1115" w:type="dxa"/>
            <w:tcBorders>
              <w:top w:val="single" w:sz="7" w:space="0" w:color="000000"/>
              <w:bottom w:val="single" w:sz="7" w:space="0" w:color="000000"/>
              <w:right w:val="single" w:sz="7" w:space="0" w:color="000000"/>
            </w:tcBorders>
          </w:tcPr>
          <w:p>
            <w:pPr>
              <w:pStyle w:val="TableParagraph"/>
              <w:spacing w:before="122"/>
              <w:ind w:left="3"/>
              <w:jc w:val="center"/>
              <w:rPr>
                <w:rFonts w:ascii="Arial"/>
                <w:sz w:val="21"/>
              </w:rPr>
            </w:pPr>
            <w:r>
              <w:rPr>
                <w:rFonts w:ascii="Arial"/>
                <w:w w:val="101"/>
                <w:sz w:val="21"/>
              </w:rPr>
              <w:t>6</w:t>
            </w:r>
          </w:p>
        </w:tc>
        <w:tc>
          <w:tcPr>
            <w:tcW w:w="6327" w:type="dxa"/>
            <w:tcBorders>
              <w:top w:val="single" w:sz="7" w:space="0" w:color="000000"/>
              <w:left w:val="single" w:sz="7" w:space="0" w:color="000000"/>
              <w:bottom w:val="single" w:sz="7" w:space="0" w:color="000000"/>
            </w:tcBorders>
          </w:tcPr>
          <w:p>
            <w:pPr>
              <w:pStyle w:val="TableParagraph"/>
              <w:spacing w:before="122"/>
              <w:ind w:left="208" w:right="193"/>
              <w:jc w:val="center"/>
              <w:rPr>
                <w:rFonts w:ascii="Arial"/>
                <w:sz w:val="21"/>
              </w:rPr>
            </w:pPr>
            <w:r>
              <w:rPr>
                <w:rFonts w:ascii="Arial"/>
                <w:sz w:val="21"/>
              </w:rPr>
              <w:t>Entre fuertemente y muy fuertemente  preferible</w:t>
            </w:r>
          </w:p>
        </w:tc>
      </w:tr>
      <w:tr>
        <w:trPr>
          <w:trHeight w:val="498" w:hRule="exact"/>
        </w:trPr>
        <w:tc>
          <w:tcPr>
            <w:tcW w:w="1115" w:type="dxa"/>
            <w:tcBorders>
              <w:top w:val="single" w:sz="7" w:space="0" w:color="000000"/>
              <w:bottom w:val="single" w:sz="7" w:space="0" w:color="000000"/>
              <w:right w:val="single" w:sz="7" w:space="0" w:color="000000"/>
            </w:tcBorders>
          </w:tcPr>
          <w:p>
            <w:pPr>
              <w:pStyle w:val="TableParagraph"/>
              <w:spacing w:before="122"/>
              <w:ind w:left="3"/>
              <w:jc w:val="center"/>
              <w:rPr>
                <w:rFonts w:ascii="Arial"/>
                <w:sz w:val="21"/>
              </w:rPr>
            </w:pPr>
            <w:r>
              <w:rPr>
                <w:rFonts w:ascii="Arial"/>
                <w:w w:val="101"/>
                <w:sz w:val="21"/>
              </w:rPr>
              <w:t>5</w:t>
            </w:r>
          </w:p>
        </w:tc>
        <w:tc>
          <w:tcPr>
            <w:tcW w:w="6327" w:type="dxa"/>
            <w:tcBorders>
              <w:top w:val="single" w:sz="7" w:space="0" w:color="000000"/>
              <w:left w:val="single" w:sz="7" w:space="0" w:color="000000"/>
              <w:bottom w:val="single" w:sz="7" w:space="0" w:color="000000"/>
            </w:tcBorders>
          </w:tcPr>
          <w:p>
            <w:pPr>
              <w:pStyle w:val="TableParagraph"/>
              <w:spacing w:before="122"/>
              <w:ind w:left="208" w:right="189"/>
              <w:jc w:val="center"/>
              <w:rPr>
                <w:rFonts w:ascii="Arial"/>
                <w:sz w:val="21"/>
              </w:rPr>
            </w:pPr>
            <w:r>
              <w:rPr>
                <w:rFonts w:ascii="Arial"/>
                <w:sz w:val="21"/>
              </w:rPr>
              <w:t>Fuertemente preferible</w:t>
            </w:r>
          </w:p>
        </w:tc>
      </w:tr>
      <w:tr>
        <w:trPr>
          <w:trHeight w:val="511" w:hRule="exact"/>
        </w:trPr>
        <w:tc>
          <w:tcPr>
            <w:tcW w:w="1115" w:type="dxa"/>
            <w:tcBorders>
              <w:top w:val="single" w:sz="7" w:space="0" w:color="000000"/>
              <w:bottom w:val="single" w:sz="7" w:space="0" w:color="000000"/>
              <w:right w:val="single" w:sz="7" w:space="0" w:color="000000"/>
            </w:tcBorders>
          </w:tcPr>
          <w:p>
            <w:pPr>
              <w:pStyle w:val="TableParagraph"/>
              <w:spacing w:before="126"/>
              <w:ind w:left="3"/>
              <w:jc w:val="center"/>
              <w:rPr>
                <w:rFonts w:ascii="Arial"/>
                <w:sz w:val="21"/>
              </w:rPr>
            </w:pPr>
            <w:r>
              <w:rPr>
                <w:rFonts w:ascii="Arial"/>
                <w:w w:val="101"/>
                <w:sz w:val="21"/>
              </w:rPr>
              <w:t>4</w:t>
            </w:r>
          </w:p>
        </w:tc>
        <w:tc>
          <w:tcPr>
            <w:tcW w:w="6327" w:type="dxa"/>
            <w:tcBorders>
              <w:top w:val="single" w:sz="7" w:space="0" w:color="000000"/>
              <w:left w:val="single" w:sz="7" w:space="0" w:color="000000"/>
              <w:bottom w:val="single" w:sz="7" w:space="0" w:color="000000"/>
            </w:tcBorders>
          </w:tcPr>
          <w:p>
            <w:pPr>
              <w:pStyle w:val="TableParagraph"/>
              <w:spacing w:before="126"/>
              <w:ind w:left="208" w:right="196"/>
              <w:jc w:val="center"/>
              <w:rPr>
                <w:rFonts w:ascii="Arial"/>
                <w:sz w:val="21"/>
              </w:rPr>
            </w:pPr>
            <w:r>
              <w:rPr>
                <w:rFonts w:ascii="Arial"/>
                <w:sz w:val="21"/>
              </w:rPr>
              <w:t>Entre moderada y fuertemente preferible</w:t>
            </w:r>
          </w:p>
        </w:tc>
      </w:tr>
      <w:tr>
        <w:trPr>
          <w:trHeight w:val="498" w:hRule="exact"/>
        </w:trPr>
        <w:tc>
          <w:tcPr>
            <w:tcW w:w="1115" w:type="dxa"/>
            <w:tcBorders>
              <w:top w:val="single" w:sz="7" w:space="0" w:color="000000"/>
              <w:bottom w:val="single" w:sz="7" w:space="0" w:color="000000"/>
              <w:right w:val="single" w:sz="7" w:space="0" w:color="000000"/>
            </w:tcBorders>
          </w:tcPr>
          <w:p>
            <w:pPr>
              <w:pStyle w:val="TableParagraph"/>
              <w:spacing w:before="122"/>
              <w:ind w:left="3"/>
              <w:jc w:val="center"/>
              <w:rPr>
                <w:rFonts w:ascii="Arial"/>
                <w:sz w:val="21"/>
              </w:rPr>
            </w:pPr>
            <w:r>
              <w:rPr>
                <w:rFonts w:ascii="Arial"/>
                <w:w w:val="101"/>
                <w:sz w:val="21"/>
              </w:rPr>
              <w:t>3</w:t>
            </w:r>
          </w:p>
        </w:tc>
        <w:tc>
          <w:tcPr>
            <w:tcW w:w="6327" w:type="dxa"/>
            <w:tcBorders>
              <w:top w:val="single" w:sz="7" w:space="0" w:color="000000"/>
              <w:left w:val="single" w:sz="7" w:space="0" w:color="000000"/>
              <w:bottom w:val="single" w:sz="7" w:space="0" w:color="000000"/>
            </w:tcBorders>
          </w:tcPr>
          <w:p>
            <w:pPr>
              <w:pStyle w:val="TableParagraph"/>
              <w:spacing w:before="122"/>
              <w:ind w:left="208" w:right="189"/>
              <w:jc w:val="center"/>
              <w:rPr>
                <w:rFonts w:ascii="Arial"/>
                <w:sz w:val="21"/>
              </w:rPr>
            </w:pPr>
            <w:r>
              <w:rPr>
                <w:rFonts w:ascii="Arial"/>
                <w:sz w:val="21"/>
              </w:rPr>
              <w:t>Moderadamente preferible</w:t>
            </w:r>
          </w:p>
        </w:tc>
      </w:tr>
      <w:tr>
        <w:trPr>
          <w:trHeight w:val="511" w:hRule="exact"/>
        </w:trPr>
        <w:tc>
          <w:tcPr>
            <w:tcW w:w="1115" w:type="dxa"/>
            <w:tcBorders>
              <w:top w:val="single" w:sz="7" w:space="0" w:color="000000"/>
              <w:bottom w:val="single" w:sz="7" w:space="0" w:color="000000"/>
              <w:right w:val="single" w:sz="7" w:space="0" w:color="000000"/>
            </w:tcBorders>
          </w:tcPr>
          <w:p>
            <w:pPr>
              <w:pStyle w:val="TableParagraph"/>
              <w:spacing w:before="126"/>
              <w:ind w:left="3"/>
              <w:jc w:val="center"/>
              <w:rPr>
                <w:rFonts w:ascii="Arial"/>
                <w:sz w:val="21"/>
              </w:rPr>
            </w:pPr>
            <w:r>
              <w:rPr>
                <w:rFonts w:ascii="Arial"/>
                <w:w w:val="101"/>
                <w:sz w:val="21"/>
              </w:rPr>
              <w:t>2</w:t>
            </w:r>
          </w:p>
        </w:tc>
        <w:tc>
          <w:tcPr>
            <w:tcW w:w="6327" w:type="dxa"/>
            <w:tcBorders>
              <w:top w:val="single" w:sz="7" w:space="0" w:color="000000"/>
              <w:left w:val="single" w:sz="7" w:space="0" w:color="000000"/>
              <w:bottom w:val="single" w:sz="7" w:space="0" w:color="000000"/>
            </w:tcBorders>
          </w:tcPr>
          <w:p>
            <w:pPr>
              <w:pStyle w:val="TableParagraph"/>
              <w:spacing w:before="126"/>
              <w:ind w:left="208" w:right="192"/>
              <w:jc w:val="center"/>
              <w:rPr>
                <w:rFonts w:ascii="Arial"/>
                <w:sz w:val="21"/>
              </w:rPr>
            </w:pPr>
            <w:r>
              <w:rPr>
                <w:rFonts w:ascii="Arial"/>
                <w:sz w:val="21"/>
              </w:rPr>
              <w:t>Entre igual y moderadamente preferible</w:t>
            </w:r>
          </w:p>
        </w:tc>
      </w:tr>
      <w:tr>
        <w:trPr>
          <w:trHeight w:val="519" w:hRule="exact"/>
        </w:trPr>
        <w:tc>
          <w:tcPr>
            <w:tcW w:w="1115" w:type="dxa"/>
            <w:tcBorders>
              <w:top w:val="single" w:sz="7" w:space="0" w:color="000000"/>
              <w:right w:val="single" w:sz="7" w:space="0" w:color="000000"/>
            </w:tcBorders>
          </w:tcPr>
          <w:p>
            <w:pPr>
              <w:pStyle w:val="TableParagraph"/>
              <w:spacing w:before="135"/>
              <w:ind w:left="3"/>
              <w:jc w:val="center"/>
              <w:rPr>
                <w:rFonts w:ascii="Arial"/>
                <w:sz w:val="21"/>
              </w:rPr>
            </w:pPr>
            <w:r>
              <w:rPr>
                <w:rFonts w:ascii="Arial"/>
                <w:w w:val="101"/>
                <w:sz w:val="21"/>
              </w:rPr>
              <w:t>1</w:t>
            </w:r>
          </w:p>
        </w:tc>
        <w:tc>
          <w:tcPr>
            <w:tcW w:w="6327" w:type="dxa"/>
            <w:tcBorders>
              <w:top w:val="single" w:sz="7" w:space="0" w:color="000000"/>
              <w:left w:val="single" w:sz="7" w:space="0" w:color="000000"/>
            </w:tcBorders>
          </w:tcPr>
          <w:p>
            <w:pPr>
              <w:pStyle w:val="TableParagraph"/>
              <w:spacing w:before="135"/>
              <w:ind w:left="208" w:right="189"/>
              <w:jc w:val="center"/>
              <w:rPr>
                <w:rFonts w:ascii="Arial"/>
                <w:sz w:val="21"/>
              </w:rPr>
            </w:pPr>
            <w:r>
              <w:rPr>
                <w:rFonts w:ascii="Arial"/>
                <w:sz w:val="21"/>
              </w:rPr>
              <w:t>Igualmente preferible</w:t>
            </w:r>
          </w:p>
        </w:tc>
      </w:tr>
    </w:tbl>
    <w:p>
      <w:pPr>
        <w:spacing w:before="0"/>
        <w:ind w:left="157" w:right="159" w:firstLine="0"/>
        <w:jc w:val="center"/>
        <w:rPr>
          <w:sz w:val="20"/>
        </w:rPr>
      </w:pPr>
      <w:r>
        <w:rPr>
          <w:sz w:val="20"/>
        </w:rPr>
        <w:t>Fuente: Método de Saaty, 1980.</w:t>
      </w:r>
    </w:p>
    <w:p>
      <w:pPr>
        <w:pStyle w:val="BodyText"/>
        <w:rPr>
          <w:sz w:val="20"/>
        </w:rPr>
      </w:pPr>
    </w:p>
    <w:p>
      <w:pPr>
        <w:pStyle w:val="BodyText"/>
        <w:spacing w:before="2"/>
        <w:rPr>
          <w:sz w:val="20"/>
        </w:rPr>
      </w:pPr>
    </w:p>
    <w:p>
      <w:pPr>
        <w:pStyle w:val="BodyText"/>
        <w:spacing w:line="360" w:lineRule="auto"/>
        <w:ind w:left="102" w:right="98"/>
        <w:jc w:val="both"/>
      </w:pPr>
      <w:r>
        <w:rPr/>
        <w:t>Consistencia lógica. Se debe realizar un ordenamiento jerárquico para los elementos. Dada la ausencia de valores exactos para esta escala en la mente humana, esta no está preparada para emitir juicios 100% consistentes, por lo tanto deben ser verificados.</w:t>
      </w:r>
    </w:p>
    <w:p>
      <w:pPr>
        <w:pStyle w:val="BodyText"/>
        <w:spacing w:line="360" w:lineRule="auto" w:before="204"/>
        <w:ind w:left="102" w:right="99"/>
        <w:jc w:val="both"/>
      </w:pPr>
      <w:r>
        <w:rPr/>
        <w:t>Para la investigación se ha elegido el método de análisis jerárquico propuesto por Thomas Saaty; se trata de un procedimiento de comparación por pares de los criterios por parte de una matriz cuadrada en el cual el número de filas y columnas está definido por el número de criterios a ponderar.</w:t>
      </w:r>
    </w:p>
    <w:p>
      <w:pPr>
        <w:spacing w:after="0" w:line="360" w:lineRule="auto"/>
        <w:jc w:val="both"/>
        <w:sectPr>
          <w:pgSz w:w="12240" w:h="15840"/>
          <w:pgMar w:header="0" w:footer="1003" w:top="1360" w:bottom="1200" w:left="1600" w:right="1600"/>
        </w:sectPr>
      </w:pPr>
    </w:p>
    <w:p>
      <w:pPr>
        <w:spacing w:line="240" w:lineRule="auto" w:before="49"/>
        <w:ind w:left="385" w:right="431" w:firstLine="0"/>
        <w:jc w:val="both"/>
        <w:rPr>
          <w:sz w:val="24"/>
        </w:rPr>
      </w:pPr>
      <w:r>
        <w:rPr>
          <w:sz w:val="24"/>
        </w:rPr>
        <w:t>“</w:t>
      </w:r>
      <w:r>
        <w:rPr>
          <w:i/>
          <w:sz w:val="24"/>
        </w:rPr>
        <w:t>Así se establece una matriz de comparación entre pares de criterios, </w:t>
      </w:r>
      <w:r>
        <w:rPr>
          <w:i/>
          <w:sz w:val="24"/>
        </w:rPr>
        <w:t>comparando la importancia de cada uno de ellos con los demás, posteriormente se establece el eigenvector principal el cual establece los pesos (wj) que a su vez proporciona una medida cuantitativa de la consistencia de los resultados” </w:t>
      </w:r>
      <w:r>
        <w:rPr>
          <w:sz w:val="24"/>
        </w:rPr>
        <w:t>(Saaty, 1980: 17).</w:t>
      </w:r>
    </w:p>
    <w:p>
      <w:pPr>
        <w:pStyle w:val="BodyText"/>
      </w:pPr>
    </w:p>
    <w:p>
      <w:pPr>
        <w:pStyle w:val="BodyText"/>
        <w:rPr>
          <w:sz w:val="35"/>
        </w:rPr>
      </w:pPr>
    </w:p>
    <w:p>
      <w:pPr>
        <w:pStyle w:val="BodyText"/>
        <w:spacing w:line="360" w:lineRule="auto"/>
        <w:ind w:left="102" w:right="107"/>
        <w:jc w:val="both"/>
      </w:pPr>
      <w:r>
        <w:rPr/>
        <w:t>La escala de medida que se emplea en este método y que estima el coeficiente  ajj, ha surgido de 28 escalas alternativas que se ensayaron y es la siguiente (Barba-Moreno y Pomerol, 1997:</w:t>
      </w:r>
      <w:r>
        <w:rPr>
          <w:spacing w:val="-9"/>
        </w:rPr>
        <w:t> </w:t>
      </w:r>
      <w:r>
        <w:rPr/>
        <w:t>113).</w:t>
      </w:r>
    </w:p>
    <w:p>
      <w:pPr>
        <w:pStyle w:val="BodyText"/>
        <w:spacing w:before="8"/>
        <w:rPr>
          <w:sz w:val="12"/>
        </w:rPr>
      </w:pPr>
    </w:p>
    <w:p>
      <w:pPr>
        <w:pStyle w:val="BodyText"/>
        <w:tabs>
          <w:tab w:pos="2694" w:val="left" w:leader="none"/>
        </w:tabs>
        <w:spacing w:before="69" w:after="19"/>
        <w:ind w:left="1656"/>
      </w:pPr>
      <w:r>
        <w:rPr/>
        <w:t>ajj</w:t>
      </w:r>
      <w:r>
        <w:rPr>
          <w:spacing w:val="-6"/>
        </w:rPr>
        <w:t> </w:t>
      </w:r>
      <w:r>
        <w:rPr/>
        <w:t>vale</w:t>
        <w:tab/>
        <w:t>cuando el criterio i, al compararlo con </w:t>
      </w:r>
      <w:r>
        <w:rPr>
          <w:spacing w:val="-3"/>
        </w:rPr>
        <w:t>j, </w:t>
      </w:r>
      <w:r>
        <w:rPr/>
        <w:t>es</w:t>
      </w:r>
      <w:r>
        <w:rPr>
          <w:spacing w:val="33"/>
        </w:rPr>
        <w:t> </w:t>
      </w:r>
      <w:r>
        <w:rPr/>
        <w:t>3</w:t>
      </w:r>
    </w:p>
    <w:p>
      <w:pPr>
        <w:pStyle w:val="BodyText"/>
        <w:spacing w:line="39" w:lineRule="exact"/>
        <w:ind w:left="1368"/>
        <w:rPr>
          <w:sz w:val="3"/>
        </w:rPr>
      </w:pPr>
      <w:r>
        <w:rPr>
          <w:position w:val="0"/>
          <w:sz w:val="3"/>
        </w:rPr>
        <w:pict>
          <v:group style="width:317pt;height:1.95pt;mso-position-horizontal-relative:char;mso-position-vertical-relative:line" coordorigin="0,0" coordsize="6340,39">
            <v:line style="position:absolute" from="20,20" to="6321,20" stroked="true" strokeweight="1.912365pt" strokecolor="#000000"/>
          </v:group>
        </w:pict>
      </w:r>
      <w:r>
        <w:rPr>
          <w:position w:val="0"/>
          <w:sz w:val="3"/>
        </w:rPr>
      </w:r>
    </w:p>
    <w:p>
      <w:pPr>
        <w:pStyle w:val="BodyText"/>
        <w:tabs>
          <w:tab w:pos="2694" w:val="left" w:leader="none"/>
        </w:tabs>
        <w:ind w:left="1959"/>
      </w:pPr>
      <w:r>
        <w:rPr/>
        <w:t>1</w:t>
        <w:tab/>
        <w:t>igualmente</w:t>
      </w:r>
      <w:r>
        <w:rPr>
          <w:spacing w:val="1"/>
        </w:rPr>
        <w:t> </w:t>
      </w:r>
      <w:r>
        <w:rPr/>
        <w:t>importante</w:t>
      </w:r>
    </w:p>
    <w:p>
      <w:pPr>
        <w:pStyle w:val="BodyText"/>
        <w:tabs>
          <w:tab w:pos="2694" w:val="left" w:leader="none"/>
        </w:tabs>
        <w:spacing w:before="25"/>
        <w:ind w:left="1959"/>
      </w:pPr>
      <w:r>
        <w:rPr/>
        <w:t>3</w:t>
        <w:tab/>
        <w:t>ligeramente </w:t>
      </w:r>
      <w:r>
        <w:rPr>
          <w:spacing w:val="-3"/>
        </w:rPr>
        <w:t>más</w:t>
      </w:r>
      <w:r>
        <w:rPr>
          <w:spacing w:val="5"/>
        </w:rPr>
        <w:t> </w:t>
      </w:r>
      <w:r>
        <w:rPr/>
        <w:t>importante</w:t>
      </w:r>
    </w:p>
    <w:p>
      <w:pPr>
        <w:pStyle w:val="BodyText"/>
        <w:tabs>
          <w:tab w:pos="2694" w:val="left" w:leader="none"/>
        </w:tabs>
        <w:spacing w:before="26"/>
        <w:ind w:left="1959"/>
      </w:pPr>
      <w:r>
        <w:rPr/>
        <w:t>5</w:t>
        <w:tab/>
        <w:t>notablemente </w:t>
      </w:r>
      <w:r>
        <w:rPr>
          <w:spacing w:val="-3"/>
        </w:rPr>
        <w:t>más</w:t>
      </w:r>
      <w:r>
        <w:rPr/>
        <w:t> importante</w:t>
      </w:r>
    </w:p>
    <w:p>
      <w:pPr>
        <w:pStyle w:val="BodyText"/>
        <w:tabs>
          <w:tab w:pos="2694" w:val="left" w:leader="none"/>
        </w:tabs>
        <w:spacing w:before="26"/>
        <w:ind w:left="1959"/>
      </w:pPr>
      <w:r>
        <w:rPr/>
        <w:t>7</w:t>
        <w:tab/>
        <w:t>demostrablemente </w:t>
      </w:r>
      <w:r>
        <w:rPr>
          <w:spacing w:val="-3"/>
        </w:rPr>
        <w:t>más</w:t>
      </w:r>
      <w:r>
        <w:rPr>
          <w:spacing w:val="-6"/>
        </w:rPr>
        <w:t> </w:t>
      </w:r>
      <w:r>
        <w:rPr/>
        <w:t>importante</w:t>
      </w:r>
    </w:p>
    <w:p>
      <w:pPr>
        <w:pStyle w:val="BodyText"/>
        <w:tabs>
          <w:tab w:pos="2694" w:val="left" w:leader="none"/>
        </w:tabs>
        <w:spacing w:before="25"/>
        <w:ind w:left="1959"/>
      </w:pPr>
      <w:r>
        <w:rPr/>
        <w:t>9</w:t>
        <w:tab/>
        <w:t>absolutamente </w:t>
      </w:r>
      <w:r>
        <w:rPr>
          <w:spacing w:val="-3"/>
        </w:rPr>
        <w:t>más</w:t>
      </w:r>
      <w:r>
        <w:rPr>
          <w:spacing w:val="1"/>
        </w:rPr>
        <w:t> </w:t>
      </w:r>
      <w:r>
        <w:rPr/>
        <w:t>importante</w:t>
      </w:r>
    </w:p>
    <w:p>
      <w:pPr>
        <w:pStyle w:val="BodyText"/>
        <w:spacing w:before="9"/>
        <w:rPr>
          <w:sz w:val="25"/>
        </w:rPr>
      </w:pPr>
    </w:p>
    <w:p>
      <w:pPr>
        <w:pStyle w:val="BodyText"/>
        <w:spacing w:line="360" w:lineRule="auto" w:before="69"/>
        <w:ind w:left="102" w:right="106"/>
        <w:jc w:val="both"/>
      </w:pPr>
      <w:r>
        <w:rPr/>
        <w:t>Por último la importancia de este método también radica en que, luego de la asignación de los pesos, otorga una medida global de consistencia de la matriz, que permite valorar la relación de los criterios entre sí determinando su coherencia y pertinencia.</w:t>
      </w:r>
    </w:p>
    <w:p>
      <w:pPr>
        <w:pStyle w:val="BodyText"/>
        <w:spacing w:line="360" w:lineRule="auto" w:before="204"/>
        <w:ind w:left="102" w:right="105"/>
        <w:jc w:val="both"/>
      </w:pPr>
      <w:r>
        <w:rPr/>
        <w:t>A los efectos de alcanzar este parámetro recurrimos a una sumatoria lineal ponderada.</w:t>
      </w:r>
    </w:p>
    <w:p>
      <w:pPr>
        <w:pStyle w:val="BodyText"/>
        <w:spacing w:line="360" w:lineRule="auto" w:before="204"/>
        <w:ind w:left="102" w:right="105"/>
        <w:jc w:val="both"/>
      </w:pPr>
      <w:r>
        <w:rPr/>
        <w:t>El método desarrollado por Saaty permite, en primer lugar, generar una medida o parámetro síntesis a través del agrupamiento de indicadores, aspecto que constituye una ventaja ya que disminuye notablemente la cantidad de datos a analizar y en segundo lugar el parámetro que surge no es una simple agregación de indicadores, sino que pondera a cado uno de ellos de acuerdo con la importancia relativa de los mismos en la variable dependiente que se estudia.</w:t>
      </w:r>
    </w:p>
    <w:p>
      <w:pPr>
        <w:pStyle w:val="BodyText"/>
        <w:spacing w:before="204"/>
        <w:ind w:left="102"/>
        <w:jc w:val="both"/>
      </w:pPr>
      <w:r>
        <w:rPr/>
        <w:t>¿Por qué multicriterio?</w:t>
      </w:r>
    </w:p>
    <w:p>
      <w:pPr>
        <w:pStyle w:val="BodyText"/>
        <w:spacing w:before="4"/>
        <w:rPr>
          <w:sz w:val="29"/>
        </w:rPr>
      </w:pPr>
    </w:p>
    <w:p>
      <w:pPr>
        <w:pStyle w:val="BodyText"/>
        <w:spacing w:line="360" w:lineRule="auto" w:before="1"/>
        <w:ind w:left="102" w:right="99"/>
        <w:jc w:val="both"/>
      </w:pPr>
      <w:r>
        <w:rPr/>
        <w:t>La complejidad es una constante al momento de realizar una evaluación, ya que son múltiples los factores que se ven afectados al momento de realizar una intervención y las consecuencias sobre las mismas son desconocidas e imposibles</w:t>
      </w:r>
    </w:p>
    <w:p>
      <w:pPr>
        <w:spacing w:after="0" w:line="360" w:lineRule="auto"/>
        <w:jc w:val="both"/>
        <w:sectPr>
          <w:pgSz w:w="12240" w:h="15840"/>
          <w:pgMar w:header="0" w:footer="1003" w:top="1360" w:bottom="1200" w:left="1600" w:right="1600"/>
        </w:sectPr>
      </w:pPr>
    </w:p>
    <w:p>
      <w:pPr>
        <w:pStyle w:val="BodyText"/>
        <w:spacing w:line="360" w:lineRule="auto" w:before="54"/>
        <w:ind w:left="102" w:right="106"/>
        <w:jc w:val="both"/>
      </w:pPr>
      <w:r>
        <w:rPr/>
        <w:t>de predecir en su totalidad por el evaluador. Por este motivo es necesario abordar el problema a través de métodos que den cuenta de la realidad compleja.</w:t>
      </w:r>
    </w:p>
    <w:p>
      <w:pPr>
        <w:pStyle w:val="BodyText"/>
        <w:spacing w:before="204"/>
        <w:ind w:left="102"/>
        <w:jc w:val="both"/>
      </w:pPr>
      <w:r>
        <w:rPr/>
        <w:t>La metodología multicriterio permite:</w:t>
      </w:r>
    </w:p>
    <w:p>
      <w:pPr>
        <w:pStyle w:val="BodyText"/>
        <w:spacing w:before="4"/>
        <w:rPr>
          <w:sz w:val="29"/>
        </w:rPr>
      </w:pPr>
    </w:p>
    <w:p>
      <w:pPr>
        <w:pStyle w:val="BodyText"/>
        <w:spacing w:line="360" w:lineRule="auto" w:before="1"/>
        <w:ind w:left="102" w:right="102"/>
        <w:jc w:val="both"/>
      </w:pPr>
      <w:r>
        <w:rPr/>
        <w:t>Identificar las partes de un sistema: a través de un análisis jerárquico se puede descomponer un problema en sus partes constituyentes o por lo menos, aquellas que pueden ser observables.</w:t>
      </w:r>
    </w:p>
    <w:p>
      <w:pPr>
        <w:pStyle w:val="BodyText"/>
        <w:spacing w:line="360" w:lineRule="auto" w:before="202"/>
        <w:ind w:left="102" w:right="102"/>
        <w:jc w:val="both"/>
      </w:pPr>
      <w:r>
        <w:rPr/>
        <w:t>Reconocer el peso de las partes: no todos los efectos tienen la misma importancia relativa al momento de observar un resultado. La metodología multicriterio es capaz de reconocer la importancia de cada variable observable.</w:t>
      </w:r>
    </w:p>
    <w:p>
      <w:pPr>
        <w:pStyle w:val="BodyText"/>
        <w:spacing w:line="360" w:lineRule="auto" w:before="204"/>
        <w:ind w:left="102" w:right="98"/>
        <w:jc w:val="both"/>
      </w:pPr>
      <w:r>
        <w:rPr/>
        <w:t>Identificar los vínculos entre las partes: el orden jerárquico del problema permite reconocer las dimensiones del problema y las variables que les subyacen a ellas.</w:t>
      </w:r>
    </w:p>
    <w:p>
      <w:pPr>
        <w:pStyle w:val="BodyText"/>
        <w:spacing w:line="360" w:lineRule="auto" w:before="202"/>
        <w:ind w:left="102" w:right="102"/>
        <w:jc w:val="both"/>
      </w:pPr>
      <w:r>
        <w:rPr/>
        <w:t>Proponer una solución racional: la metodología multicriterio, en especial la que veremos, permite incorporar aspectos tales como la experiencia y las valoraciones que se puedan tener sobre el problema; y lo hace de una manera metodológica de tal modo que los criterios sean integrados y entreguen una solución racional.</w:t>
      </w:r>
    </w:p>
    <w:p>
      <w:pPr>
        <w:pStyle w:val="BodyText"/>
        <w:spacing w:before="204"/>
        <w:ind w:left="102"/>
        <w:jc w:val="both"/>
      </w:pPr>
      <w:r>
        <w:rPr/>
        <w:t>Procedimiento</w:t>
      </w:r>
    </w:p>
    <w:p>
      <w:pPr>
        <w:pStyle w:val="BodyText"/>
        <w:spacing w:before="4"/>
        <w:rPr>
          <w:sz w:val="29"/>
        </w:rPr>
      </w:pPr>
    </w:p>
    <w:p>
      <w:pPr>
        <w:pStyle w:val="BodyText"/>
        <w:spacing w:before="1"/>
        <w:ind w:left="102"/>
        <w:jc w:val="both"/>
      </w:pPr>
      <w:r>
        <w:rPr/>
        <w:t>Para determinar la mejor decisión, el método AHP requiere:</w:t>
      </w:r>
    </w:p>
    <w:p>
      <w:pPr>
        <w:pStyle w:val="BodyText"/>
        <w:spacing w:before="2"/>
        <w:rPr>
          <w:sz w:val="29"/>
        </w:rPr>
      </w:pPr>
    </w:p>
    <w:p>
      <w:pPr>
        <w:pStyle w:val="ListParagraph"/>
        <w:numPr>
          <w:ilvl w:val="0"/>
          <w:numId w:val="16"/>
        </w:numPr>
        <w:tabs>
          <w:tab w:pos="822" w:val="left" w:leader="none"/>
        </w:tabs>
        <w:spacing w:line="240" w:lineRule="auto" w:before="0" w:after="0"/>
        <w:ind w:left="822" w:right="0" w:hanging="360"/>
        <w:jc w:val="left"/>
        <w:rPr>
          <w:sz w:val="24"/>
        </w:rPr>
      </w:pPr>
      <w:r>
        <w:rPr>
          <w:sz w:val="24"/>
        </w:rPr>
        <w:t>Definición del</w:t>
      </w:r>
      <w:r>
        <w:rPr>
          <w:spacing w:val="-9"/>
          <w:sz w:val="24"/>
        </w:rPr>
        <w:t> </w:t>
      </w:r>
      <w:r>
        <w:rPr>
          <w:sz w:val="24"/>
        </w:rPr>
        <w:t>problema</w:t>
      </w:r>
    </w:p>
    <w:p>
      <w:pPr>
        <w:pStyle w:val="ListParagraph"/>
        <w:numPr>
          <w:ilvl w:val="0"/>
          <w:numId w:val="16"/>
        </w:numPr>
        <w:tabs>
          <w:tab w:pos="822" w:val="left" w:leader="none"/>
        </w:tabs>
        <w:spacing w:line="240" w:lineRule="auto" w:before="139" w:after="0"/>
        <w:ind w:left="822" w:right="0" w:hanging="360"/>
        <w:jc w:val="left"/>
        <w:rPr>
          <w:sz w:val="24"/>
        </w:rPr>
      </w:pPr>
      <w:r>
        <w:rPr>
          <w:sz w:val="24"/>
        </w:rPr>
        <w:t>Definición de</w:t>
      </w:r>
      <w:r>
        <w:rPr>
          <w:spacing w:val="-4"/>
          <w:sz w:val="24"/>
        </w:rPr>
        <w:t> </w:t>
      </w:r>
      <w:r>
        <w:rPr>
          <w:sz w:val="24"/>
        </w:rPr>
        <w:t>actores</w:t>
      </w:r>
    </w:p>
    <w:p>
      <w:pPr>
        <w:pStyle w:val="ListParagraph"/>
        <w:numPr>
          <w:ilvl w:val="0"/>
          <w:numId w:val="16"/>
        </w:numPr>
        <w:tabs>
          <w:tab w:pos="822" w:val="left" w:leader="none"/>
        </w:tabs>
        <w:spacing w:line="240" w:lineRule="auto" w:before="137" w:after="0"/>
        <w:ind w:left="822" w:right="0" w:hanging="360"/>
        <w:jc w:val="left"/>
        <w:rPr>
          <w:sz w:val="24"/>
        </w:rPr>
      </w:pPr>
      <w:r>
        <w:rPr>
          <w:sz w:val="24"/>
        </w:rPr>
        <w:t>Estructurar el problema de decisión en un modelo de jerarquía</w:t>
      </w:r>
      <w:r>
        <w:rPr>
          <w:spacing w:val="-29"/>
          <w:sz w:val="24"/>
        </w:rPr>
        <w:t> </w:t>
      </w:r>
      <w:r>
        <w:rPr>
          <w:sz w:val="24"/>
        </w:rPr>
        <w:t>(jerarquizar)</w:t>
      </w:r>
    </w:p>
    <w:p>
      <w:pPr>
        <w:pStyle w:val="ListParagraph"/>
        <w:numPr>
          <w:ilvl w:val="0"/>
          <w:numId w:val="16"/>
        </w:numPr>
        <w:tabs>
          <w:tab w:pos="822" w:val="left" w:leader="none"/>
        </w:tabs>
        <w:spacing w:line="240" w:lineRule="auto" w:before="139" w:after="0"/>
        <w:ind w:left="822" w:right="0" w:hanging="360"/>
        <w:jc w:val="left"/>
        <w:rPr>
          <w:sz w:val="24"/>
        </w:rPr>
      </w:pPr>
      <w:r>
        <w:rPr>
          <w:sz w:val="24"/>
        </w:rPr>
        <w:t>Identificación de las alternativas</w:t>
      </w:r>
      <w:r>
        <w:rPr>
          <w:spacing w:val="-13"/>
          <w:sz w:val="24"/>
        </w:rPr>
        <w:t> </w:t>
      </w:r>
      <w:r>
        <w:rPr>
          <w:sz w:val="24"/>
        </w:rPr>
        <w:t>factibles</w:t>
      </w:r>
    </w:p>
    <w:p>
      <w:pPr>
        <w:pStyle w:val="ListParagraph"/>
        <w:numPr>
          <w:ilvl w:val="0"/>
          <w:numId w:val="16"/>
        </w:numPr>
        <w:tabs>
          <w:tab w:pos="822" w:val="left" w:leader="none"/>
        </w:tabs>
        <w:spacing w:line="240" w:lineRule="auto" w:before="137" w:after="0"/>
        <w:ind w:left="822" w:right="0" w:hanging="360"/>
        <w:jc w:val="left"/>
        <w:rPr>
          <w:sz w:val="24"/>
        </w:rPr>
      </w:pPr>
      <w:r>
        <w:rPr>
          <w:sz w:val="24"/>
        </w:rPr>
        <w:t>Construcción del modelo</w:t>
      </w:r>
      <w:r>
        <w:rPr>
          <w:spacing w:val="-9"/>
          <w:sz w:val="24"/>
        </w:rPr>
        <w:t> </w:t>
      </w:r>
      <w:r>
        <w:rPr>
          <w:sz w:val="24"/>
        </w:rPr>
        <w:t>jerárquico</w:t>
      </w:r>
    </w:p>
    <w:p>
      <w:pPr>
        <w:pStyle w:val="ListParagraph"/>
        <w:numPr>
          <w:ilvl w:val="0"/>
          <w:numId w:val="16"/>
        </w:numPr>
        <w:tabs>
          <w:tab w:pos="822" w:val="left" w:leader="none"/>
        </w:tabs>
        <w:spacing w:line="240" w:lineRule="auto" w:before="139" w:after="0"/>
        <w:ind w:left="822" w:right="0" w:hanging="360"/>
        <w:jc w:val="left"/>
        <w:rPr>
          <w:sz w:val="24"/>
        </w:rPr>
      </w:pPr>
      <w:r>
        <w:rPr>
          <w:sz w:val="24"/>
        </w:rPr>
        <w:t>Ingreso de los</w:t>
      </w:r>
      <w:r>
        <w:rPr>
          <w:spacing w:val="-3"/>
          <w:sz w:val="24"/>
        </w:rPr>
        <w:t> </w:t>
      </w:r>
      <w:r>
        <w:rPr>
          <w:sz w:val="24"/>
        </w:rPr>
        <w:t>juicios</w:t>
      </w:r>
    </w:p>
    <w:p>
      <w:pPr>
        <w:pStyle w:val="ListParagraph"/>
        <w:numPr>
          <w:ilvl w:val="0"/>
          <w:numId w:val="16"/>
        </w:numPr>
        <w:tabs>
          <w:tab w:pos="822" w:val="left" w:leader="none"/>
        </w:tabs>
        <w:spacing w:line="240" w:lineRule="auto" w:before="137" w:after="0"/>
        <w:ind w:left="822" w:right="0" w:hanging="360"/>
        <w:jc w:val="left"/>
        <w:rPr>
          <w:sz w:val="24"/>
        </w:rPr>
      </w:pPr>
      <w:r>
        <w:rPr>
          <w:sz w:val="24"/>
        </w:rPr>
        <w:t>Síntesis de los resultados, toma de</w:t>
      </w:r>
      <w:r>
        <w:rPr>
          <w:spacing w:val="-16"/>
          <w:sz w:val="24"/>
        </w:rPr>
        <w:t> </w:t>
      </w:r>
      <w:r>
        <w:rPr>
          <w:sz w:val="24"/>
        </w:rPr>
        <w:t>decisión</w:t>
      </w:r>
    </w:p>
    <w:p>
      <w:pPr>
        <w:pStyle w:val="ListParagraph"/>
        <w:numPr>
          <w:ilvl w:val="0"/>
          <w:numId w:val="16"/>
        </w:numPr>
        <w:tabs>
          <w:tab w:pos="822" w:val="left" w:leader="none"/>
        </w:tabs>
        <w:spacing w:line="240" w:lineRule="auto" w:before="139" w:after="0"/>
        <w:ind w:left="822" w:right="0" w:hanging="360"/>
        <w:jc w:val="left"/>
        <w:rPr>
          <w:sz w:val="24"/>
        </w:rPr>
      </w:pPr>
      <w:r>
        <w:rPr>
          <w:sz w:val="24"/>
        </w:rPr>
        <w:t>Validación de la</w:t>
      </w:r>
      <w:r>
        <w:rPr>
          <w:spacing w:val="-7"/>
          <w:sz w:val="24"/>
        </w:rPr>
        <w:t> </w:t>
      </w:r>
      <w:r>
        <w:rPr>
          <w:sz w:val="24"/>
        </w:rPr>
        <w:t>decisión</w:t>
      </w:r>
    </w:p>
    <w:p>
      <w:pPr>
        <w:pStyle w:val="BodyText"/>
        <w:spacing w:before="4"/>
        <w:rPr>
          <w:sz w:val="29"/>
        </w:rPr>
      </w:pPr>
    </w:p>
    <w:p>
      <w:pPr>
        <w:pStyle w:val="BodyText"/>
        <w:spacing w:line="360" w:lineRule="auto" w:before="1"/>
        <w:ind w:left="102" w:right="102"/>
        <w:jc w:val="both"/>
      </w:pPr>
      <w:r>
        <w:rPr/>
        <w:t>Definición del problema</w:t>
      </w:r>
      <w:r>
        <w:rPr>
          <w:b/>
        </w:rPr>
        <w:t>: </w:t>
      </w:r>
      <w:r>
        <w:rPr/>
        <w:t>En esta etapa debe quedar claramente definido el  objetivo general del proceso de decisión junto con los actores involucrados en  </w:t>
      </w:r>
      <w:r>
        <w:rPr>
          <w:spacing w:val="57"/>
        </w:rPr>
        <w:t> </w:t>
      </w:r>
      <w:r>
        <w:rPr/>
        <w:t>él.</w:t>
      </w:r>
    </w:p>
    <w:p>
      <w:pPr>
        <w:spacing w:after="0" w:line="360" w:lineRule="auto"/>
        <w:jc w:val="both"/>
        <w:sectPr>
          <w:pgSz w:w="12240" w:h="15840"/>
          <w:pgMar w:header="0" w:footer="1003" w:top="1360" w:bottom="1200" w:left="1600" w:right="1600"/>
        </w:sectPr>
      </w:pPr>
    </w:p>
    <w:p>
      <w:pPr>
        <w:pStyle w:val="BodyText"/>
        <w:spacing w:line="360" w:lineRule="auto" w:before="54"/>
        <w:ind w:left="102" w:right="120"/>
        <w:jc w:val="both"/>
      </w:pPr>
      <w:r>
        <w:rPr/>
        <w:t>Además se debe entregar una descripción del ambiente en que se desarrollará el estudio, sus características socio-económicas, ambientales, culturales, etc. dependiendo de los parámetros afectados por los proyectos en cuestión.</w:t>
      </w:r>
    </w:p>
    <w:p>
      <w:pPr>
        <w:pStyle w:val="BodyText"/>
        <w:spacing w:line="360" w:lineRule="auto" w:before="204"/>
        <w:ind w:left="102" w:right="122"/>
        <w:jc w:val="both"/>
      </w:pPr>
      <w:r>
        <w:rPr/>
        <w:t>Definición de actores: Los participantes involucrados en el proceso de decisión, deben ser cuidadosamente seleccionados, ya que de estos depende la representatividad del resultado del modelo.</w:t>
      </w:r>
    </w:p>
    <w:p>
      <w:pPr>
        <w:pStyle w:val="BodyText"/>
        <w:spacing w:line="360" w:lineRule="auto" w:before="204"/>
        <w:ind w:left="102" w:right="116"/>
        <w:jc w:val="both"/>
      </w:pPr>
      <w:r>
        <w:rPr/>
        <w:t>Estructurar el problema de decisión en un modelo de jerarquía (Jerarquizar): En esta etapa se debe construir una estructura jerárquica que involucre todos los aspectos de interés, para la jerarquización de las alternativas.</w:t>
      </w:r>
    </w:p>
    <w:p>
      <w:pPr>
        <w:pStyle w:val="BodyText"/>
        <w:spacing w:line="360" w:lineRule="auto" w:before="204"/>
        <w:ind w:left="102" w:right="116"/>
        <w:jc w:val="both"/>
      </w:pPr>
      <w:r>
        <w:rPr/>
        <w:t>Selección de las alternativas factibles: Dentro de todas las posibilidades de proyectos alternativos se seleccionan aquellos que son factibles de realizar bajo  un punto de vista de análisis general, donde se consideran criterios tales como la factibilidad técnica o</w:t>
      </w:r>
      <w:r>
        <w:rPr>
          <w:spacing w:val="-9"/>
        </w:rPr>
        <w:t> </w:t>
      </w:r>
      <w:r>
        <w:rPr/>
        <w:t>económica.</w:t>
      </w:r>
    </w:p>
    <w:p>
      <w:pPr>
        <w:pStyle w:val="BodyText"/>
        <w:spacing w:line="360" w:lineRule="auto" w:before="204"/>
        <w:ind w:left="102" w:right="116"/>
        <w:jc w:val="both"/>
      </w:pPr>
      <w:r>
        <w:rPr/>
        <w:t>Construcción del modelo jerárquico: Se estructura el problema planteado en una jerarquía de criterios y alternativas. Para esto es necesario definir en una primera instancia los criterios estratégicos que participan en la decisión (políticos, económicos, sociales, medioambientales, etc.). Por lo general estos criterios son a nivel macro y representan los objetivos perseguidos por el proyecto. Una vez hecho esto, se procede a desglosar cada uno de los criterios definidos en la etapa anterior hasta llegar a un nivel de especificación que permita un fácil análisis y la comparación de las alternativas.</w:t>
      </w:r>
    </w:p>
    <w:p>
      <w:pPr>
        <w:pStyle w:val="BodyText"/>
        <w:spacing w:line="360" w:lineRule="auto" w:before="204"/>
        <w:ind w:left="102" w:right="116"/>
        <w:jc w:val="both"/>
      </w:pPr>
      <w:r>
        <w:rPr/>
        <w:t>Ingreso de los juicios: En base a la información obtenida o a la percepción de los actores del proceso se ingresan los juicios para cada par de elementos. Se comienza del primer nivel, donde se encuentran los criterios estratégicos, se compara su importancia relativa con respecto del logro del objetivo general, luego se desciende en los niveles jerárquicos, siempre realizando comparaciones de a pares referidos al nivel inmediatamente superior, hasta llegar al último nivel donde se encuentran las alternativas, las que son evaluadas en base a criterios técnicos más fáciles de tratar.</w:t>
      </w:r>
    </w:p>
    <w:p>
      <w:pPr>
        <w:spacing w:after="0" w:line="360" w:lineRule="auto"/>
        <w:jc w:val="both"/>
        <w:sectPr>
          <w:footerReference w:type="default" r:id="rId44"/>
          <w:pgSz w:w="12240" w:h="15840"/>
          <w:pgMar w:footer="1003" w:header="0" w:top="1360" w:bottom="1200" w:left="1600" w:right="1580"/>
          <w:pgNumType w:start="100"/>
        </w:sectPr>
      </w:pPr>
    </w:p>
    <w:p>
      <w:pPr>
        <w:pStyle w:val="BodyText"/>
        <w:spacing w:line="360" w:lineRule="auto" w:before="54"/>
        <w:ind w:left="102" w:right="115"/>
        <w:jc w:val="both"/>
      </w:pPr>
      <w:r>
        <w:rPr/>
        <w:t>Síntesis de los resultados: Como se explicó en los párrafos anteriores, por medio de comparaciones entre pares de elementos con respecto a su nivel inmediatamente superior y, gracias a la propiedad de transitividad entre los elementos, es posible establecer un ranking de prioridades para las diferentes alternativas, ranking que, dependiendo de la problemática, enfrentada representa la decisión a adoptar.</w:t>
      </w:r>
    </w:p>
    <w:p>
      <w:pPr>
        <w:spacing w:line="360" w:lineRule="auto" w:before="202"/>
        <w:ind w:left="102" w:right="112" w:firstLine="0"/>
        <w:jc w:val="both"/>
        <w:rPr>
          <w:sz w:val="24"/>
        </w:rPr>
      </w:pPr>
      <w:r>
        <w:rPr>
          <w:sz w:val="24"/>
        </w:rPr>
        <w:t>Validación de la decisión: “</w:t>
      </w:r>
      <w:r>
        <w:rPr>
          <w:i/>
          <w:sz w:val="24"/>
        </w:rPr>
        <w:t>Para otorgar mayor confiabilidad a la decisión se debe </w:t>
      </w:r>
      <w:r>
        <w:rPr>
          <w:i/>
          <w:sz w:val="24"/>
        </w:rPr>
        <w:t>establecer el rango de variación del peso relativo de los criterios estratégicos que soporta la decisión sin cambiar de alternativa propuesta, para esto se realiza un análisis de sensibilidad donde se analizan diversos escenarios posibles, determinando los puntos de corte para el peso de cada uno de los criterios” </w:t>
      </w:r>
      <w:r>
        <w:rPr>
          <w:sz w:val="24"/>
        </w:rPr>
        <w:t>(Saaty,</w:t>
      </w:r>
      <w:r>
        <w:rPr>
          <w:spacing w:val="-5"/>
          <w:sz w:val="24"/>
        </w:rPr>
        <w:t> </w:t>
      </w:r>
      <w:r>
        <w:rPr>
          <w:sz w:val="24"/>
        </w:rPr>
        <w:t>1980).</w:t>
      </w:r>
    </w:p>
    <w:p>
      <w:pPr>
        <w:pStyle w:val="BodyText"/>
        <w:spacing w:before="204"/>
        <w:ind w:left="102"/>
        <w:jc w:val="both"/>
      </w:pPr>
      <w:r>
        <w:rPr/>
        <w:t>Ventajas de la metodología</w:t>
      </w:r>
    </w:p>
    <w:p>
      <w:pPr>
        <w:pStyle w:val="BodyText"/>
        <w:spacing w:before="4"/>
        <w:rPr>
          <w:sz w:val="29"/>
        </w:rPr>
      </w:pPr>
    </w:p>
    <w:p>
      <w:pPr>
        <w:pStyle w:val="BodyText"/>
        <w:spacing w:line="360" w:lineRule="auto" w:before="1"/>
        <w:ind w:left="102" w:right="118"/>
        <w:jc w:val="both"/>
      </w:pPr>
      <w:r>
        <w:rPr/>
        <w:t>Esta metodología es una herramienta de apoyo a la toma de decisiones que permite:</w:t>
      </w:r>
    </w:p>
    <w:p>
      <w:pPr>
        <w:pStyle w:val="ListParagraph"/>
        <w:numPr>
          <w:ilvl w:val="0"/>
          <w:numId w:val="17"/>
        </w:numPr>
        <w:tabs>
          <w:tab w:pos="822" w:val="left" w:leader="none"/>
        </w:tabs>
        <w:spacing w:line="240" w:lineRule="auto" w:before="204" w:after="0"/>
        <w:ind w:left="822" w:right="0" w:hanging="360"/>
        <w:jc w:val="left"/>
        <w:rPr>
          <w:sz w:val="24"/>
        </w:rPr>
      </w:pPr>
      <w:r>
        <w:rPr>
          <w:sz w:val="24"/>
        </w:rPr>
        <w:t>Definir el problema que se desea</w:t>
      </w:r>
      <w:r>
        <w:rPr>
          <w:spacing w:val="-15"/>
          <w:sz w:val="24"/>
        </w:rPr>
        <w:t> </w:t>
      </w:r>
      <w:r>
        <w:rPr>
          <w:sz w:val="24"/>
        </w:rPr>
        <w:t>resolver</w:t>
      </w:r>
    </w:p>
    <w:p>
      <w:pPr>
        <w:pStyle w:val="ListParagraph"/>
        <w:numPr>
          <w:ilvl w:val="0"/>
          <w:numId w:val="17"/>
        </w:numPr>
        <w:tabs>
          <w:tab w:pos="822" w:val="left" w:leader="none"/>
        </w:tabs>
        <w:spacing w:line="240" w:lineRule="auto" w:before="139" w:after="0"/>
        <w:ind w:left="822" w:right="0" w:hanging="360"/>
        <w:jc w:val="left"/>
        <w:rPr>
          <w:sz w:val="24"/>
        </w:rPr>
      </w:pPr>
      <w:r>
        <w:rPr>
          <w:sz w:val="24"/>
        </w:rPr>
        <w:t>Identificar los criterios discriminantes en la toma de</w:t>
      </w:r>
      <w:r>
        <w:rPr>
          <w:spacing w:val="-21"/>
          <w:sz w:val="24"/>
        </w:rPr>
        <w:t> </w:t>
      </w:r>
      <w:r>
        <w:rPr>
          <w:sz w:val="24"/>
        </w:rPr>
        <w:t>decisiones.</w:t>
      </w:r>
    </w:p>
    <w:p>
      <w:pPr>
        <w:pStyle w:val="ListParagraph"/>
        <w:numPr>
          <w:ilvl w:val="0"/>
          <w:numId w:val="17"/>
        </w:numPr>
        <w:tabs>
          <w:tab w:pos="822" w:val="left" w:leader="none"/>
        </w:tabs>
        <w:spacing w:line="240" w:lineRule="auto" w:before="137" w:after="0"/>
        <w:ind w:left="822" w:right="0" w:hanging="360"/>
        <w:jc w:val="left"/>
        <w:rPr>
          <w:sz w:val="24"/>
        </w:rPr>
      </w:pPr>
      <w:r>
        <w:rPr>
          <w:sz w:val="24"/>
        </w:rPr>
        <w:t>Trabajar con un equipo</w:t>
      </w:r>
      <w:r>
        <w:rPr>
          <w:spacing w:val="-9"/>
          <w:sz w:val="24"/>
        </w:rPr>
        <w:t> </w:t>
      </w:r>
      <w:r>
        <w:rPr>
          <w:sz w:val="24"/>
        </w:rPr>
        <w:t>multidisciplinario</w:t>
      </w:r>
    </w:p>
    <w:p>
      <w:pPr>
        <w:pStyle w:val="ListParagraph"/>
        <w:numPr>
          <w:ilvl w:val="0"/>
          <w:numId w:val="17"/>
        </w:numPr>
        <w:tabs>
          <w:tab w:pos="822" w:val="left" w:leader="none"/>
        </w:tabs>
        <w:spacing w:line="240" w:lineRule="auto" w:before="137" w:after="0"/>
        <w:ind w:left="822" w:right="0" w:hanging="360"/>
        <w:jc w:val="left"/>
        <w:rPr>
          <w:sz w:val="24"/>
        </w:rPr>
      </w:pPr>
      <w:r>
        <w:rPr>
          <w:sz w:val="24"/>
        </w:rPr>
        <w:t>Estructurar los criterios y subcriterios en una</w:t>
      </w:r>
      <w:r>
        <w:rPr>
          <w:spacing w:val="-15"/>
          <w:sz w:val="24"/>
        </w:rPr>
        <w:t> </w:t>
      </w:r>
      <w:r>
        <w:rPr>
          <w:sz w:val="24"/>
        </w:rPr>
        <w:t>jerarquía</w:t>
      </w:r>
    </w:p>
    <w:p>
      <w:pPr>
        <w:pStyle w:val="ListParagraph"/>
        <w:numPr>
          <w:ilvl w:val="0"/>
          <w:numId w:val="17"/>
        </w:numPr>
        <w:tabs>
          <w:tab w:pos="822" w:val="left" w:leader="none"/>
        </w:tabs>
        <w:spacing w:line="360" w:lineRule="auto" w:before="139" w:after="0"/>
        <w:ind w:left="822" w:right="122" w:hanging="360"/>
        <w:jc w:val="left"/>
        <w:rPr>
          <w:sz w:val="24"/>
        </w:rPr>
      </w:pPr>
      <w:r>
        <w:rPr>
          <w:sz w:val="24"/>
        </w:rPr>
        <w:t>Determinar la importancia de cada criterio en términos de ponderaciones y sintetizar toda esta información para tomar la mejor</w:t>
      </w:r>
      <w:r>
        <w:rPr>
          <w:spacing w:val="-18"/>
          <w:sz w:val="24"/>
        </w:rPr>
        <w:t> </w:t>
      </w:r>
      <w:r>
        <w:rPr>
          <w:sz w:val="24"/>
        </w:rPr>
        <w:t>decisión.</w:t>
      </w:r>
    </w:p>
    <w:p>
      <w:pPr>
        <w:pStyle w:val="ListParagraph"/>
        <w:numPr>
          <w:ilvl w:val="0"/>
          <w:numId w:val="17"/>
        </w:numPr>
        <w:tabs>
          <w:tab w:pos="822" w:val="left" w:leader="none"/>
        </w:tabs>
        <w:spacing w:line="240" w:lineRule="auto" w:before="5" w:after="0"/>
        <w:ind w:left="822" w:right="0" w:hanging="360"/>
        <w:jc w:val="left"/>
        <w:rPr>
          <w:sz w:val="24"/>
        </w:rPr>
      </w:pPr>
      <w:r>
        <w:rPr>
          <w:sz w:val="24"/>
        </w:rPr>
        <w:t>Llegar a un resultado en</w:t>
      </w:r>
      <w:r>
        <w:rPr>
          <w:spacing w:val="-13"/>
          <w:sz w:val="24"/>
        </w:rPr>
        <w:t> </w:t>
      </w:r>
      <w:r>
        <w:rPr>
          <w:sz w:val="24"/>
        </w:rPr>
        <w:t>consenso.</w:t>
      </w:r>
    </w:p>
    <w:p>
      <w:pPr>
        <w:pStyle w:val="BodyText"/>
        <w:spacing w:before="7"/>
        <w:rPr>
          <w:sz w:val="29"/>
        </w:rPr>
      </w:pPr>
    </w:p>
    <w:p>
      <w:pPr>
        <w:pStyle w:val="Heading3"/>
        <w:numPr>
          <w:ilvl w:val="1"/>
          <w:numId w:val="13"/>
        </w:numPr>
        <w:tabs>
          <w:tab w:pos="527" w:val="left" w:leader="none"/>
        </w:tabs>
        <w:spacing w:line="240" w:lineRule="auto" w:before="0" w:after="0"/>
        <w:ind w:left="526" w:right="0" w:hanging="424"/>
        <w:jc w:val="both"/>
      </w:pPr>
      <w:bookmarkStart w:name="_TOC_250015" w:id="19"/>
      <w:r>
        <w:rPr>
          <w:color w:val="4F81BC"/>
        </w:rPr>
        <w:t>Índice de</w:t>
      </w:r>
      <w:r>
        <w:rPr>
          <w:color w:val="4F81BC"/>
          <w:spacing w:val="-11"/>
        </w:rPr>
        <w:t> </w:t>
      </w:r>
      <w:bookmarkEnd w:id="19"/>
      <w:r>
        <w:rPr>
          <w:color w:val="4F81BC"/>
        </w:rPr>
        <w:t>Accesibilidad</w:t>
      </w:r>
    </w:p>
    <w:p>
      <w:pPr>
        <w:pStyle w:val="BodyText"/>
        <w:rPr>
          <w:rFonts w:ascii="Cambria"/>
          <w:b/>
          <w:sz w:val="26"/>
        </w:rPr>
      </w:pPr>
    </w:p>
    <w:p>
      <w:pPr>
        <w:pStyle w:val="BodyText"/>
        <w:spacing w:before="1"/>
        <w:rPr>
          <w:rFonts w:ascii="Cambria"/>
          <w:b/>
          <w:sz w:val="30"/>
        </w:rPr>
      </w:pPr>
    </w:p>
    <w:p>
      <w:pPr>
        <w:pStyle w:val="BodyText"/>
        <w:spacing w:line="360" w:lineRule="auto"/>
        <w:ind w:left="102" w:right="112"/>
        <w:jc w:val="both"/>
      </w:pPr>
      <w:r>
        <w:rPr/>
        <w:t>Este índice de accesibilidad pretende tener una aproximación a la habitabilidad de las viviendas en la </w:t>
      </w:r>
      <w:r>
        <w:rPr>
          <w:sz w:val="19"/>
        </w:rPr>
        <w:t>ZMT</w:t>
      </w:r>
      <w:r>
        <w:rPr/>
        <w:t>, a través de la dimensión espacial para el entendimiento de dicho proceso ya que se incluyen variables la localización, distribución, la  magnitud</w:t>
      </w:r>
      <w:r>
        <w:rPr>
          <w:spacing w:val="52"/>
        </w:rPr>
        <w:t> </w:t>
      </w:r>
      <w:r>
        <w:rPr/>
        <w:t>de</w:t>
      </w:r>
      <w:r>
        <w:rPr>
          <w:spacing w:val="52"/>
        </w:rPr>
        <w:t> </w:t>
      </w:r>
      <w:r>
        <w:rPr/>
        <w:t>la</w:t>
      </w:r>
      <w:r>
        <w:rPr>
          <w:spacing w:val="49"/>
        </w:rPr>
        <w:t> </w:t>
      </w:r>
      <w:r>
        <w:rPr/>
        <w:t>oferta</w:t>
      </w:r>
      <w:r>
        <w:rPr>
          <w:spacing w:val="49"/>
        </w:rPr>
        <w:t> </w:t>
      </w:r>
      <w:r>
        <w:rPr/>
        <w:t>de</w:t>
      </w:r>
      <w:r>
        <w:rPr>
          <w:spacing w:val="55"/>
        </w:rPr>
        <w:t> </w:t>
      </w:r>
      <w:r>
        <w:rPr/>
        <w:t>los</w:t>
      </w:r>
      <w:r>
        <w:rPr>
          <w:spacing w:val="49"/>
        </w:rPr>
        <w:t> </w:t>
      </w:r>
      <w:r>
        <w:rPr/>
        <w:t>servicios</w:t>
      </w:r>
      <w:r>
        <w:rPr>
          <w:spacing w:val="51"/>
        </w:rPr>
        <w:t> </w:t>
      </w:r>
      <w:r>
        <w:rPr/>
        <w:t>como</w:t>
      </w:r>
      <w:r>
        <w:rPr>
          <w:spacing w:val="52"/>
        </w:rPr>
        <w:t> </w:t>
      </w:r>
      <w:r>
        <w:rPr/>
        <w:t>son;</w:t>
      </w:r>
      <w:r>
        <w:rPr>
          <w:spacing w:val="51"/>
        </w:rPr>
        <w:t> </w:t>
      </w:r>
      <w:r>
        <w:rPr/>
        <w:t>la</w:t>
      </w:r>
      <w:r>
        <w:rPr>
          <w:spacing w:val="49"/>
        </w:rPr>
        <w:t> </w:t>
      </w:r>
      <w:r>
        <w:rPr/>
        <w:t>educación</w:t>
      </w:r>
      <w:r>
        <w:rPr>
          <w:spacing w:val="50"/>
        </w:rPr>
        <w:t> </w:t>
      </w:r>
      <w:r>
        <w:rPr/>
        <w:t>básica</w:t>
      </w:r>
      <w:r>
        <w:rPr>
          <w:spacing w:val="56"/>
        </w:rPr>
        <w:t> </w:t>
      </w:r>
      <w:r>
        <w:rPr/>
        <w:t>(kínder-</w:t>
      </w:r>
    </w:p>
    <w:p>
      <w:pPr>
        <w:spacing w:after="0" w:line="360" w:lineRule="auto"/>
        <w:jc w:val="both"/>
        <w:sectPr>
          <w:pgSz w:w="12240" w:h="15840"/>
          <w:pgMar w:header="0" w:footer="1003" w:top="1360" w:bottom="1200" w:left="1600" w:right="1580"/>
        </w:sectPr>
      </w:pPr>
    </w:p>
    <w:p>
      <w:pPr>
        <w:pStyle w:val="BodyText"/>
        <w:spacing w:line="360" w:lineRule="auto" w:before="54"/>
        <w:ind w:left="122" w:right="117"/>
        <w:jc w:val="both"/>
      </w:pPr>
      <w:r>
        <w:rPr/>
        <w:t>preparatoria), salud, empleo, abastecimiento de alimentos, áreas verdes y recreación, y las características del propio espacio geográfico.</w:t>
      </w:r>
    </w:p>
    <w:p>
      <w:pPr>
        <w:spacing w:line="360" w:lineRule="auto" w:before="204"/>
        <w:ind w:left="122" w:right="116" w:firstLine="0"/>
        <w:jc w:val="both"/>
        <w:rPr>
          <w:sz w:val="24"/>
        </w:rPr>
      </w:pPr>
      <w:r>
        <w:rPr>
          <w:sz w:val="24"/>
        </w:rPr>
        <w:t>El trabajo permite evaluar la habitabilidad del entorno, que es prácticamente lo que mide la accesibilidad a servicios a través localización o ubicación de las viviendas por medio de la variable espacial en la determinación de las condiciones habitabilidad y de vida de la población de la </w:t>
      </w:r>
      <w:r>
        <w:rPr>
          <w:sz w:val="19"/>
        </w:rPr>
        <w:t>ZMT</w:t>
      </w:r>
      <w:r>
        <w:rPr>
          <w:sz w:val="24"/>
        </w:rPr>
        <w:t>, puede ser de gran utilidad en el diseño de la política social y de un mejor planeamiento de los servicios. “</w:t>
      </w:r>
      <w:r>
        <w:rPr>
          <w:i/>
          <w:sz w:val="24"/>
        </w:rPr>
        <w:t>La </w:t>
      </w:r>
      <w:r>
        <w:rPr>
          <w:i/>
          <w:sz w:val="24"/>
        </w:rPr>
        <w:t>discusión de la desigualdad en la distribución de los servicios ha sido retomada  por los urbanistas, planificadores urbanos y geógrafos ya que mencionan  que debe existir una justicia espacial” </w:t>
      </w:r>
      <w:r>
        <w:rPr>
          <w:sz w:val="24"/>
        </w:rPr>
        <w:t>(Gervais-Lambony, 2007: Bromberg et al, 2007: 1-3).</w:t>
      </w:r>
    </w:p>
    <w:p>
      <w:pPr>
        <w:spacing w:line="360" w:lineRule="auto" w:before="199"/>
        <w:ind w:left="122" w:right="116" w:firstLine="0"/>
        <w:jc w:val="both"/>
        <w:rPr>
          <w:sz w:val="24"/>
        </w:rPr>
      </w:pPr>
      <w:r>
        <w:rPr>
          <w:i/>
          <w:sz w:val="24"/>
        </w:rPr>
        <w:t>“La riqueza material, de oportunidades de salud, educación, recreación y empleos, </w:t>
      </w:r>
      <w:r>
        <w:rPr>
          <w:i/>
          <w:sz w:val="24"/>
        </w:rPr>
        <w:t>no están distribuidos equitativamente en el espacio, lo cual genera disparidades regionales y urbanas, muchas veces relacionadas con aspectos de raza y  etnicidad que le confieren mayores desventajas” </w:t>
      </w:r>
      <w:r>
        <w:rPr>
          <w:sz w:val="24"/>
        </w:rPr>
        <w:t>(Brand, 2007: 8-9), la  habitabilidad de las viviendas no está ajena a esta desigualdad de servicios es por ello que la investigación retoma la dimensión del entorno de las viviendas para hacer una evaluación de habitabilidad de las</w:t>
      </w:r>
      <w:r>
        <w:rPr>
          <w:spacing w:val="-15"/>
          <w:sz w:val="24"/>
        </w:rPr>
        <w:t> </w:t>
      </w:r>
      <w:r>
        <w:rPr>
          <w:sz w:val="24"/>
        </w:rPr>
        <w:t>mismas.</w:t>
      </w:r>
    </w:p>
    <w:p>
      <w:pPr>
        <w:pStyle w:val="BodyText"/>
        <w:spacing w:line="360" w:lineRule="auto" w:before="204"/>
        <w:ind w:left="122" w:right="118"/>
        <w:jc w:val="both"/>
      </w:pPr>
      <w:r>
        <w:rPr/>
        <w:t>Se puede mencionar que el territorio, las relaciones entre las condiciones sociales y económicas mezcladas en el espacio generaran ventajas para cierta población y desventajas para otros habitantes. El reconocimiento del espacio es importante para la comprensión de la inhabitabilidad de las viviendas y como se producen, ya que puede fomentar cambios en el diseño de la política social y económica.</w:t>
      </w:r>
    </w:p>
    <w:p>
      <w:pPr>
        <w:pStyle w:val="BodyText"/>
        <w:spacing w:line="357" w:lineRule="auto" w:before="205"/>
        <w:ind w:left="122" w:right="122"/>
        <w:jc w:val="both"/>
      </w:pPr>
      <w:r>
        <w:rPr/>
        <w:t>La idea de que las viviendas sean habitables es fácilmente medible a través de la medición de las distancias</w:t>
      </w:r>
      <w:r>
        <w:rPr>
          <w:position w:val="8"/>
          <w:sz w:val="16"/>
        </w:rPr>
        <w:t>10 </w:t>
      </w:r>
      <w:r>
        <w:rPr/>
        <w:t>que separan la oferta (vivienda y servicios) de la demanda</w:t>
      </w:r>
      <w:r>
        <w:rPr>
          <w:spacing w:val="58"/>
        </w:rPr>
        <w:t> </w:t>
      </w:r>
      <w:r>
        <w:rPr/>
        <w:t>(la</w:t>
      </w:r>
      <w:r>
        <w:rPr>
          <w:spacing w:val="58"/>
        </w:rPr>
        <w:t> </w:t>
      </w:r>
      <w:r>
        <w:rPr/>
        <w:t>población)</w:t>
      </w:r>
      <w:r>
        <w:rPr>
          <w:spacing w:val="56"/>
        </w:rPr>
        <w:t> </w:t>
      </w:r>
      <w:r>
        <w:rPr/>
        <w:t>a</w:t>
      </w:r>
      <w:r>
        <w:rPr>
          <w:spacing w:val="58"/>
        </w:rPr>
        <w:t> </w:t>
      </w:r>
      <w:r>
        <w:rPr/>
        <w:t>menor</w:t>
      </w:r>
      <w:r>
        <w:rPr>
          <w:spacing w:val="56"/>
        </w:rPr>
        <w:t> </w:t>
      </w:r>
      <w:r>
        <w:rPr/>
        <w:t>diferencia</w:t>
      </w:r>
      <w:r>
        <w:rPr>
          <w:spacing w:val="55"/>
        </w:rPr>
        <w:t> </w:t>
      </w:r>
      <w:r>
        <w:rPr/>
        <w:t>existente</w:t>
      </w:r>
      <w:r>
        <w:rPr>
          <w:spacing w:val="58"/>
        </w:rPr>
        <w:t> </w:t>
      </w:r>
      <w:r>
        <w:rPr/>
        <w:t>entre</w:t>
      </w:r>
      <w:r>
        <w:rPr>
          <w:spacing w:val="58"/>
        </w:rPr>
        <w:t> </w:t>
      </w:r>
      <w:r>
        <w:rPr/>
        <w:t>esas</w:t>
      </w:r>
      <w:r>
        <w:rPr>
          <w:spacing w:val="55"/>
        </w:rPr>
        <w:t> </w:t>
      </w:r>
      <w:r>
        <w:rPr/>
        <w:t>distancias</w:t>
      </w:r>
      <w:r>
        <w:rPr>
          <w:spacing w:val="55"/>
        </w:rPr>
        <w:t> </w:t>
      </w:r>
      <w:r>
        <w:rPr/>
        <w:t>se</w:t>
      </w:r>
    </w:p>
    <w:p>
      <w:pPr>
        <w:pStyle w:val="BodyText"/>
        <w:rPr>
          <w:sz w:val="20"/>
        </w:rPr>
      </w:pPr>
    </w:p>
    <w:p>
      <w:pPr>
        <w:pStyle w:val="BodyText"/>
        <w:rPr>
          <w:sz w:val="20"/>
        </w:rPr>
      </w:pPr>
    </w:p>
    <w:p>
      <w:pPr>
        <w:pStyle w:val="BodyText"/>
        <w:spacing w:before="5"/>
        <w:rPr>
          <w:sz w:val="29"/>
        </w:rPr>
      </w:pPr>
      <w:r>
        <w:rPr/>
        <w:pict>
          <v:line style="position:absolute;mso-position-horizontal-relative:page;mso-position-vertical-relative:paragraph;z-index:2224;mso-wrap-distance-left:0;mso-wrap-distance-right:0" from="85.103996pt,19.309904pt" to="229.123996pt,19.309904pt" stroked="true" strokeweight=".84003pt" strokecolor="#000000">
            <w10:wrap type="topAndBottom"/>
          </v:line>
        </w:pict>
      </w:r>
    </w:p>
    <w:p>
      <w:pPr>
        <w:spacing w:before="74"/>
        <w:ind w:left="122" w:right="263" w:firstLine="0"/>
        <w:jc w:val="left"/>
        <w:rPr>
          <w:rFonts w:ascii="Calibri" w:hAnsi="Calibri"/>
          <w:sz w:val="20"/>
        </w:rPr>
      </w:pPr>
      <w:r>
        <w:rPr>
          <w:rFonts w:ascii="Calibri" w:hAnsi="Calibri"/>
          <w:position w:val="7"/>
          <w:sz w:val="13"/>
        </w:rPr>
        <w:t>10 </w:t>
      </w:r>
      <w:r>
        <w:rPr>
          <w:rFonts w:ascii="Calibri" w:hAnsi="Calibri"/>
          <w:sz w:val="20"/>
        </w:rPr>
        <w:t>Las distancias son referidas a la distancia geográfica (euclidiana y bien la real a partir de la red carretera), de los tiempos de traslado y costos (Campos, 2009).</w:t>
      </w:r>
    </w:p>
    <w:p>
      <w:pPr>
        <w:spacing w:after="0"/>
        <w:jc w:val="left"/>
        <w:rPr>
          <w:rFonts w:ascii="Calibri" w:hAnsi="Calibri"/>
          <w:sz w:val="20"/>
        </w:rPr>
        <w:sectPr>
          <w:pgSz w:w="12240" w:h="15840"/>
          <w:pgMar w:header="0" w:footer="1003" w:top="1360" w:bottom="1200" w:left="1580" w:right="1580"/>
        </w:sectPr>
      </w:pPr>
    </w:p>
    <w:p>
      <w:pPr>
        <w:pStyle w:val="BodyText"/>
        <w:spacing w:line="360" w:lineRule="auto" w:before="54"/>
        <w:ind w:left="122" w:right="127"/>
        <w:jc w:val="both"/>
      </w:pPr>
      <w:r>
        <w:rPr/>
        <w:t>puede hablar de habitabilidad en las viviendas, caso contrario se hace referencia a una inhabitabilidad de las viviendas.</w:t>
      </w:r>
    </w:p>
    <w:p>
      <w:pPr>
        <w:spacing w:line="360" w:lineRule="auto" w:before="202"/>
        <w:ind w:left="122" w:right="118" w:firstLine="0"/>
        <w:jc w:val="both"/>
        <w:rPr>
          <w:sz w:val="24"/>
        </w:rPr>
      </w:pPr>
      <w:r>
        <w:rPr>
          <w:sz w:val="24"/>
        </w:rPr>
        <w:t>Para Garrocho (1995: 16-20) “</w:t>
      </w:r>
      <w:r>
        <w:rPr>
          <w:i/>
          <w:sz w:val="24"/>
        </w:rPr>
        <w:t>la justicia locacional es aquella donde la localización </w:t>
      </w:r>
      <w:r>
        <w:rPr>
          <w:i/>
          <w:sz w:val="24"/>
        </w:rPr>
        <w:t>más justa de un bien o servicio es aquella que minimizará la suma de los recorridos que realicen todos los usuarios, sin importar las diferencias en la longitud de sus viajes. Es decir, las desigualdades en accesibilidad no serían relevantes, solo la accesibilidad total”, </w:t>
      </w:r>
      <w:r>
        <w:rPr>
          <w:sz w:val="24"/>
        </w:rPr>
        <w:t>esto implica que todos los habitantes de la zona metropolitana deben tener la misma oportunidad (derecho de igualdad) de acceder a los servicios que se</w:t>
      </w:r>
      <w:r>
        <w:rPr>
          <w:spacing w:val="-12"/>
          <w:sz w:val="24"/>
        </w:rPr>
        <w:t> </w:t>
      </w:r>
      <w:r>
        <w:rPr>
          <w:sz w:val="24"/>
        </w:rPr>
        <w:t>ofrecen.</w:t>
      </w:r>
    </w:p>
    <w:p>
      <w:pPr>
        <w:spacing w:line="360" w:lineRule="auto" w:before="202"/>
        <w:ind w:left="122" w:right="116" w:firstLine="0"/>
        <w:jc w:val="both"/>
        <w:rPr>
          <w:sz w:val="24"/>
        </w:rPr>
      </w:pPr>
      <w:r>
        <w:rPr>
          <w:sz w:val="24"/>
        </w:rPr>
        <w:t>El concepto de accesibilidad, como medida de justicia social se entiende que permite a la población utilice y obtenga beneficios. Las oportunidades o probabilidades de contacto de interacción, Joseph y Phillips (1984) “</w:t>
      </w:r>
      <w:r>
        <w:rPr>
          <w:i/>
          <w:sz w:val="24"/>
        </w:rPr>
        <w:t>llaman </w:t>
      </w:r>
      <w:r>
        <w:rPr>
          <w:i/>
          <w:sz w:val="24"/>
        </w:rPr>
        <w:t>accesibilidad potencial, para diferenciarla de la utilización efectiva del servicio, a la que llaman accesibilidad real”</w:t>
      </w:r>
      <w:r>
        <w:rPr>
          <w:sz w:val="24"/>
        </w:rPr>
        <w:t>.</w:t>
      </w:r>
    </w:p>
    <w:p>
      <w:pPr>
        <w:spacing w:line="360" w:lineRule="auto" w:before="204"/>
        <w:ind w:left="122" w:right="119" w:firstLine="0"/>
        <w:jc w:val="both"/>
        <w:rPr>
          <w:sz w:val="24"/>
        </w:rPr>
      </w:pPr>
      <w:r>
        <w:rPr>
          <w:sz w:val="24"/>
        </w:rPr>
        <w:t>Según Goodall (1987), “</w:t>
      </w:r>
      <w:r>
        <w:rPr>
          <w:i/>
          <w:sz w:val="24"/>
        </w:rPr>
        <w:t>accesibilidad se refiere a las oportunidades de interacción </w:t>
      </w:r>
      <w:r>
        <w:rPr>
          <w:i/>
          <w:sz w:val="24"/>
        </w:rPr>
        <w:t>entre orígenes y destinos (es decir, entre áreas o puntos), más que la interacción efectiva entre individuos y destinos”</w:t>
      </w:r>
      <w:r>
        <w:rPr>
          <w:sz w:val="24"/>
        </w:rPr>
        <w:t>. Entonces se puede considerar el enfoque de justicia espacial en la habitabilidad de las viviendas, como complementario al análisis de las condiciones relativas de vida.</w:t>
      </w:r>
    </w:p>
    <w:p>
      <w:pPr>
        <w:spacing w:line="357" w:lineRule="auto" w:before="204"/>
        <w:ind w:left="122" w:right="122" w:firstLine="0"/>
        <w:jc w:val="both"/>
        <w:rPr>
          <w:sz w:val="24"/>
        </w:rPr>
      </w:pPr>
      <w:r>
        <w:rPr>
          <w:sz w:val="24"/>
        </w:rPr>
        <w:t>Para fines de este trabajo se retoma el concepto propuesto por Garrocho y Campos (2006), que considera “</w:t>
      </w:r>
      <w:r>
        <w:rPr>
          <w:i/>
          <w:sz w:val="24"/>
        </w:rPr>
        <w:t>la accesibilidad como el potencial de interacción </w:t>
      </w:r>
      <w:r>
        <w:rPr>
          <w:i/>
          <w:sz w:val="24"/>
        </w:rPr>
        <w:t>entre un grupo de población determinado que reside en determinada área y los servicios seleccionados, esto desde un punto de vista de accesibilidad física”</w:t>
      </w:r>
      <w:r>
        <w:rPr>
          <w:position w:val="8"/>
          <w:sz w:val="16"/>
        </w:rPr>
        <w:t>11</w:t>
      </w:r>
      <w:r>
        <w:rPr>
          <w:sz w:val="24"/>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2"/>
        </w:rPr>
      </w:pPr>
      <w:r>
        <w:rPr/>
        <w:pict>
          <v:line style="position:absolute;mso-position-horizontal-relative:page;mso-position-vertical-relative:paragraph;z-index:2248;mso-wrap-distance-left:0;mso-wrap-distance-right:0" from="85.103996pt,9.596222pt" to="229.123996pt,9.596222pt" stroked="true" strokeweight=".83997pt" strokecolor="#000000">
            <w10:wrap type="topAndBottom"/>
          </v:line>
        </w:pict>
      </w:r>
    </w:p>
    <w:p>
      <w:pPr>
        <w:spacing w:before="74"/>
        <w:ind w:left="122" w:right="120" w:firstLine="0"/>
        <w:jc w:val="both"/>
        <w:rPr>
          <w:rFonts w:ascii="Calibri" w:hAnsi="Calibri"/>
          <w:sz w:val="20"/>
        </w:rPr>
      </w:pPr>
      <w:r>
        <w:rPr>
          <w:rFonts w:ascii="Calibri" w:hAnsi="Calibri"/>
          <w:position w:val="7"/>
          <w:sz w:val="13"/>
        </w:rPr>
        <w:t>11 </w:t>
      </w:r>
      <w:r>
        <w:rPr>
          <w:rFonts w:ascii="Calibri" w:hAnsi="Calibri"/>
          <w:sz w:val="20"/>
        </w:rPr>
        <w:t>El concepto de accesibilidad tiene dos componentes básicos uno físico y otro social. el componente físico se relaciona con la distancia geográfica (como quiera que se estime) que separa al usuario potencial del punto de servicio, expresa la proximidad espacial entre ambos y representa la accesibilidad locacional del servicio o de los usuarios (según la perspectiva que se adopte). El comportamiento social se refiere a la distancia social que existe entre el usuario potencial y el servicio, e involucra las características de ambos (Garrocho, 1995).</w:t>
      </w:r>
    </w:p>
    <w:p>
      <w:pPr>
        <w:spacing w:after="0"/>
        <w:jc w:val="both"/>
        <w:rPr>
          <w:rFonts w:ascii="Calibri" w:hAnsi="Calibri"/>
          <w:sz w:val="20"/>
        </w:rPr>
        <w:sectPr>
          <w:pgSz w:w="12240" w:h="15840"/>
          <w:pgMar w:header="0" w:footer="1003" w:top="1360" w:bottom="1200" w:left="1580" w:right="1580"/>
        </w:sectPr>
      </w:pPr>
    </w:p>
    <w:p>
      <w:pPr>
        <w:pStyle w:val="BodyText"/>
        <w:spacing w:before="54"/>
        <w:ind w:left="102"/>
        <w:jc w:val="both"/>
      </w:pPr>
      <w:r>
        <w:rPr/>
        <w:t>Fuentes de información utilizadas</w:t>
      </w:r>
    </w:p>
    <w:p>
      <w:pPr>
        <w:pStyle w:val="BodyText"/>
        <w:spacing w:before="4"/>
        <w:rPr>
          <w:sz w:val="29"/>
        </w:rPr>
      </w:pPr>
    </w:p>
    <w:p>
      <w:pPr>
        <w:pStyle w:val="BodyText"/>
        <w:spacing w:line="360" w:lineRule="auto" w:before="1"/>
        <w:ind w:left="102" w:right="123"/>
        <w:jc w:val="both"/>
      </w:pPr>
      <w:r>
        <w:rPr/>
        <w:t>Para la estimación de la accesibilidad de la población respecto de sus viviendas a los servicios (oferta), se utilizaron por cuestiones de disponibilidad de información, seis dimensiones a decir: la primera relacionada con el empleo, la segunda con los servicios médicos de primer nivel destinados a población abierta, la tercera a la educación básica (kínder-preparatoria) con un grupo de población cerrado de 3 a 17 años, la cuarta con las unidades de abasto más representativas localizadas en el área de estudio, la quinta con las áreas verdes (parques) y finalmente la sexta con los servicios de recreación (museos, zoológico).</w:t>
      </w:r>
    </w:p>
    <w:p>
      <w:pPr>
        <w:spacing w:line="360" w:lineRule="auto" w:before="202"/>
        <w:ind w:left="102" w:right="117" w:firstLine="0"/>
        <w:jc w:val="both"/>
        <w:rPr>
          <w:sz w:val="24"/>
        </w:rPr>
      </w:pPr>
      <w:r>
        <w:rPr>
          <w:sz w:val="24"/>
        </w:rPr>
        <w:t>Los servicios se seleccionaron con base al análisis espacial, ya que nos mencionan que “</w:t>
      </w:r>
      <w:r>
        <w:rPr>
          <w:i/>
          <w:sz w:val="24"/>
        </w:rPr>
        <w:t>la habitabilidad de las viviendas están en función con la </w:t>
      </w:r>
      <w:r>
        <w:rPr>
          <w:i/>
          <w:sz w:val="24"/>
        </w:rPr>
        <w:t>proximidad o lejanía con el empleo, equipamientos educativos, de salud y recreativos, además de los espacios abiertos de encuentro, convivencia y sociabilización” </w:t>
      </w:r>
      <w:r>
        <w:rPr>
          <w:sz w:val="24"/>
        </w:rPr>
        <w:t>(Coulomb, 2006: 36; Colavidas y Salas, 2005; Alcalá, 2007; Espinoza y Gómez, 2010; Casals, Arcas, Cuchí, 2013; Avila, 2016).</w:t>
      </w:r>
    </w:p>
    <w:p>
      <w:pPr>
        <w:pStyle w:val="BodyText"/>
        <w:spacing w:line="360" w:lineRule="auto" w:before="204"/>
        <w:ind w:left="102" w:right="119"/>
        <w:jc w:val="both"/>
      </w:pPr>
      <w:r>
        <w:rPr/>
        <w:t>En el caso de la demanda, se utilizó primordialmente la información total  disponible en el Censo de Población y Vivienda 2010 a nivel de ageb (INEGI, 2010) variable a la que se denominó “</w:t>
      </w:r>
      <w:r>
        <w:rPr>
          <w:i/>
        </w:rPr>
        <w:t>usuarios potenciales de los</w:t>
      </w:r>
      <w:r>
        <w:rPr>
          <w:i/>
          <w:spacing w:val="-24"/>
        </w:rPr>
        <w:t> </w:t>
      </w:r>
      <w:r>
        <w:rPr>
          <w:i/>
        </w:rPr>
        <w:t>servicios</w:t>
      </w:r>
      <w:r>
        <w:rPr/>
        <w:t>”.</w:t>
      </w:r>
    </w:p>
    <w:p>
      <w:pPr>
        <w:pStyle w:val="BodyText"/>
        <w:spacing w:before="204"/>
        <w:ind w:left="102"/>
        <w:jc w:val="both"/>
      </w:pPr>
      <w:r>
        <w:rPr/>
        <w:t>La construcción del indicador de accesibilidad</w:t>
      </w:r>
    </w:p>
    <w:p>
      <w:pPr>
        <w:pStyle w:val="BodyText"/>
        <w:spacing w:before="2"/>
        <w:rPr>
          <w:sz w:val="29"/>
        </w:rPr>
      </w:pPr>
    </w:p>
    <w:p>
      <w:pPr>
        <w:pStyle w:val="BodyText"/>
        <w:spacing w:line="360" w:lineRule="auto"/>
        <w:ind w:left="102" w:right="112"/>
        <w:jc w:val="both"/>
      </w:pPr>
      <w:r>
        <w:rPr/>
        <w:t>Como se mencionó en secciones anteriores, será “</w:t>
      </w:r>
      <w:r>
        <w:rPr>
          <w:i/>
        </w:rPr>
        <w:t>el indicador de accesibilidad” </w:t>
      </w:r>
      <w:r>
        <w:rPr/>
        <w:t>probado por Garrocho y Campos (2006) el que se utilizará en el presente trabajo; la fórmula para estimar el índice de accesibilidad es la</w:t>
      </w:r>
      <w:r>
        <w:rPr>
          <w:spacing w:val="-20"/>
        </w:rPr>
        <w:t> </w:t>
      </w:r>
      <w:r>
        <w:rPr/>
        <w:t>siguiente:</w:t>
      </w:r>
    </w:p>
    <w:p>
      <w:pPr>
        <w:pStyle w:val="BodyText"/>
      </w:pPr>
    </w:p>
    <w:p>
      <w:pPr>
        <w:pStyle w:val="BodyText"/>
      </w:pPr>
    </w:p>
    <w:p>
      <w:pPr>
        <w:spacing w:before="186"/>
        <w:ind w:left="201" w:right="216" w:firstLine="0"/>
        <w:jc w:val="center"/>
        <w:rPr>
          <w:rFonts w:ascii="Times New Roman" w:hAnsi="Times New Roman"/>
          <w:i/>
          <w:sz w:val="23"/>
        </w:rPr>
      </w:pPr>
      <w:r>
        <w:rPr>
          <w:rFonts w:ascii="Times New Roman" w:hAnsi="Times New Roman"/>
          <w:i/>
          <w:sz w:val="48"/>
        </w:rPr>
        <w:t>I </w:t>
      </w:r>
      <w:r>
        <w:rPr>
          <w:sz w:val="24"/>
        </w:rPr>
        <w:t>= </w:t>
      </w:r>
      <w:r>
        <w:rPr>
          <w:rFonts w:ascii="MS Mincho" w:hAnsi="MS Mincho"/>
          <w:sz w:val="40"/>
        </w:rPr>
        <w:t>Σ</w:t>
      </w:r>
      <w:r>
        <w:rPr>
          <w:rFonts w:ascii="Times New Roman" w:hAnsi="Times New Roman"/>
          <w:i/>
          <w:sz w:val="23"/>
          <w:u w:val="thick"/>
        </w:rPr>
        <w:t>Sj</w:t>
      </w:r>
    </w:p>
    <w:p>
      <w:pPr>
        <w:spacing w:before="8"/>
        <w:ind w:left="199" w:right="216" w:firstLine="0"/>
        <w:jc w:val="center"/>
        <w:rPr>
          <w:rFonts w:ascii="Times New Roman"/>
          <w:i/>
          <w:sz w:val="23"/>
        </w:rPr>
      </w:pPr>
      <w:r>
        <w:rPr>
          <w:rFonts w:ascii="Times New Roman"/>
          <w:i/>
          <w:sz w:val="16"/>
        </w:rPr>
        <w:t>J</w:t>
      </w:r>
      <w:r>
        <w:rPr>
          <w:rFonts w:ascii="Times New Roman"/>
          <w:i/>
          <w:sz w:val="23"/>
          <w:u w:val="thick"/>
        </w:rPr>
        <w:t>Oi</w:t>
      </w:r>
    </w:p>
    <w:p>
      <w:pPr>
        <w:spacing w:line="206" w:lineRule="exact" w:before="0"/>
        <w:ind w:left="927" w:right="0" w:firstLine="0"/>
        <w:jc w:val="center"/>
        <w:rPr>
          <w:rFonts w:ascii="Times New Roman"/>
          <w:i/>
          <w:sz w:val="18"/>
        </w:rPr>
      </w:pPr>
      <w:r>
        <w:rPr>
          <w:rFonts w:ascii="Times New Roman"/>
          <w:i/>
          <w:sz w:val="18"/>
        </w:rPr>
        <w:t>b</w:t>
      </w:r>
    </w:p>
    <w:p>
      <w:pPr>
        <w:spacing w:line="264" w:lineRule="exact" w:before="0"/>
        <w:ind w:left="627" w:right="10" w:firstLine="0"/>
        <w:jc w:val="center"/>
        <w:rPr>
          <w:rFonts w:ascii="Times New Roman"/>
          <w:i/>
          <w:sz w:val="23"/>
        </w:rPr>
      </w:pPr>
      <w:r>
        <w:rPr>
          <w:rFonts w:ascii="Times New Roman"/>
          <w:i/>
          <w:sz w:val="23"/>
        </w:rPr>
        <w:t>dj</w:t>
      </w:r>
    </w:p>
    <w:p>
      <w:pPr>
        <w:spacing w:after="0" w:line="264" w:lineRule="exact"/>
        <w:jc w:val="center"/>
        <w:rPr>
          <w:rFonts w:ascii="Times New Roman"/>
          <w:sz w:val="23"/>
        </w:rPr>
        <w:sectPr>
          <w:pgSz w:w="12240" w:h="15840"/>
          <w:pgMar w:header="0" w:footer="1003" w:top="1360" w:bottom="1200" w:left="1600" w:right="1580"/>
        </w:sectPr>
      </w:pPr>
    </w:p>
    <w:p>
      <w:pPr>
        <w:pStyle w:val="BodyText"/>
        <w:spacing w:before="54"/>
        <w:ind w:left="122"/>
        <w:jc w:val="both"/>
      </w:pPr>
      <w:r>
        <w:rPr/>
        <w:t>Donde:</w:t>
      </w:r>
    </w:p>
    <w:p>
      <w:pPr>
        <w:pStyle w:val="BodyText"/>
        <w:spacing w:before="2"/>
        <w:rPr>
          <w:sz w:val="29"/>
        </w:rPr>
      </w:pPr>
    </w:p>
    <w:p>
      <w:pPr>
        <w:pStyle w:val="BodyText"/>
        <w:spacing w:line="360" w:lineRule="auto"/>
        <w:ind w:left="122" w:right="117"/>
        <w:jc w:val="both"/>
      </w:pPr>
      <w:r>
        <w:rPr>
          <w:i/>
        </w:rPr>
        <w:t>Sj= </w:t>
      </w:r>
      <w:r>
        <w:rPr/>
        <w:t>magnitud de los servicios disponibles. Que puede ser los consultorios públicos y privados por cada unidad de salud, la superficie de venta de algún negocio, el número de empleos que se ofertan en una zona, el número de escuelas de educación básica, la superficie de áreas verdes (parques) por citar algunos. Es decir, son las unidades que permiten evaluar la capacidad de atención a la población de un determinado establecimiento.</w:t>
      </w:r>
    </w:p>
    <w:p>
      <w:pPr>
        <w:pStyle w:val="BodyText"/>
        <w:spacing w:line="360" w:lineRule="auto" w:before="200"/>
        <w:ind w:left="122" w:right="118"/>
        <w:jc w:val="both"/>
      </w:pPr>
      <w:r>
        <w:rPr>
          <w:i/>
        </w:rPr>
        <w:t>Oi= </w:t>
      </w:r>
      <w:r>
        <w:rPr/>
        <w:t>demanda total en la zona de estudio. Depende del servicio que se está evaluando, por ejemplo, si se analiza el servicio salud, la población total se convierte en usuario potencial del mismo; en cambio, si analizamos el empleo, es la población en edad de trabajar la que se convierte en demandante de  los puestos de trabajo; o bien, si se habla de educación básica, se debe considerar la población que está en edad de cursar alguno de los niveles educativos en este caso serán del kínder-preparatoria. Por lo tanto la demanda debe ajustarse al servicio que se analiza.</w:t>
      </w:r>
    </w:p>
    <w:p>
      <w:pPr>
        <w:pStyle w:val="BodyText"/>
        <w:spacing w:line="360" w:lineRule="auto" w:before="202"/>
        <w:ind w:left="122" w:right="119"/>
        <w:jc w:val="both"/>
      </w:pPr>
      <w:r>
        <w:rPr>
          <w:i/>
        </w:rPr>
        <w:t>dij= </w:t>
      </w:r>
      <w:r>
        <w:rPr/>
        <w:t>costo de transporte, distancia entre lugar de residencia y lugar donde se encuentra el bien o servicio; y tiempo de traslado. En este ejercicio se utiliza la distancia lineal</w:t>
      </w:r>
      <w:r>
        <w:rPr>
          <w:position w:val="8"/>
          <w:sz w:val="16"/>
        </w:rPr>
        <w:t>12 </w:t>
      </w:r>
      <w:r>
        <w:rPr/>
        <w:t>entre los centroides de cada </w:t>
      </w:r>
      <w:r>
        <w:rPr>
          <w:sz w:val="19"/>
        </w:rPr>
        <w:t>AGEB </w:t>
      </w:r>
      <w:r>
        <w:rPr/>
        <w:t>(zonas de residencia) y los sitios donde ofrecen los bienes y servicios.</w:t>
      </w:r>
    </w:p>
    <w:p>
      <w:pPr>
        <w:pStyle w:val="BodyText"/>
        <w:spacing w:line="360" w:lineRule="auto" w:before="197"/>
        <w:ind w:left="122" w:right="123"/>
        <w:jc w:val="both"/>
      </w:pPr>
      <w:r>
        <w:rPr>
          <w:i/>
        </w:rPr>
        <w:t>b= </w:t>
      </w:r>
      <w:r>
        <w:rPr/>
        <w:t>fricción de distancia</w:t>
      </w:r>
      <w:r>
        <w:rPr>
          <w:position w:val="8"/>
          <w:sz w:val="16"/>
        </w:rPr>
        <w:t>13 </w:t>
      </w:r>
      <w:r>
        <w:rPr/>
        <w:t>(parámetro que se obtiene por calibración a partir de datos de la conducta espacial de los usuarios).</w:t>
      </w:r>
    </w:p>
    <w:p>
      <w:pPr>
        <w:spacing w:line="362" w:lineRule="auto" w:before="202"/>
        <w:ind w:left="122" w:right="122" w:firstLine="0"/>
        <w:jc w:val="both"/>
        <w:rPr>
          <w:i/>
          <w:sz w:val="24"/>
        </w:rPr>
      </w:pPr>
      <w:r>
        <w:rPr>
          <w:sz w:val="24"/>
        </w:rPr>
        <w:t>Como menciona Campos (2009; 59), “</w:t>
      </w:r>
      <w:r>
        <w:rPr>
          <w:i/>
          <w:sz w:val="24"/>
        </w:rPr>
        <w:t>a pesar de que para le estimación de un </w:t>
      </w:r>
      <w:r>
        <w:rPr>
          <w:i/>
          <w:sz w:val="24"/>
        </w:rPr>
        <w:t>indicador  resumen  de  las  condiciones  relativas  de  vida  existen  una  serie  de</w:t>
      </w:r>
    </w:p>
    <w:p>
      <w:pPr>
        <w:pStyle w:val="BodyText"/>
        <w:rPr>
          <w:i/>
          <w:sz w:val="20"/>
        </w:rPr>
      </w:pPr>
    </w:p>
    <w:p>
      <w:pPr>
        <w:pStyle w:val="BodyText"/>
        <w:rPr>
          <w:i/>
          <w:sz w:val="20"/>
        </w:rPr>
      </w:pPr>
    </w:p>
    <w:p>
      <w:pPr>
        <w:pStyle w:val="BodyText"/>
        <w:spacing w:before="6"/>
        <w:rPr>
          <w:i/>
          <w:sz w:val="13"/>
        </w:rPr>
      </w:pPr>
      <w:r>
        <w:rPr/>
        <w:pict>
          <v:line style="position:absolute;mso-position-horizontal-relative:page;mso-position-vertical-relative:paragraph;z-index:2272;mso-wrap-distance-left:0;mso-wrap-distance-right:0" from="85.103996pt,10.161807pt" to="229.123996pt,10.161807pt" stroked="true" strokeweight=".83997pt" strokecolor="#000000">
            <w10:wrap type="topAndBottom"/>
          </v:line>
        </w:pict>
      </w:r>
    </w:p>
    <w:p>
      <w:pPr>
        <w:spacing w:before="77"/>
        <w:ind w:left="122" w:right="119" w:firstLine="0"/>
        <w:jc w:val="both"/>
        <w:rPr>
          <w:rFonts w:ascii="Calibri" w:hAnsi="Calibri"/>
          <w:sz w:val="20"/>
        </w:rPr>
      </w:pPr>
      <w:r>
        <w:rPr>
          <w:rFonts w:ascii="Calibri" w:hAnsi="Calibri"/>
          <w:position w:val="7"/>
          <w:sz w:val="13"/>
        </w:rPr>
        <w:t>12 </w:t>
      </w:r>
      <w:r>
        <w:rPr>
          <w:rFonts w:ascii="Calibri" w:hAnsi="Calibri"/>
          <w:sz w:val="20"/>
        </w:rPr>
        <w:t>A pesar a que esta variable puede ser cuestionada por no representar las distancias reales entre un origen y un destino, las limitantes de presupuesto y tiempo justifican su utilización. Existen algunos estudios en México que han utilizado las distancias estimadas por carretera (Chías, Iturbide y Reyna, 2001; 117-130)  para la estimación de la accesibilidad; en otros como el de Peña (2002) se utilizó una matriz de tiempos de recorrido entre algunas localidades seleccionadas en una región del sur del Estado de</w:t>
      </w:r>
      <w:r>
        <w:rPr>
          <w:rFonts w:ascii="Calibri" w:hAnsi="Calibri"/>
          <w:spacing w:val="-31"/>
          <w:sz w:val="20"/>
        </w:rPr>
        <w:t> </w:t>
      </w:r>
      <w:r>
        <w:rPr>
          <w:rFonts w:ascii="Calibri" w:hAnsi="Calibri"/>
          <w:sz w:val="20"/>
        </w:rPr>
        <w:t>México.</w:t>
      </w:r>
    </w:p>
    <w:p>
      <w:pPr>
        <w:spacing w:line="240" w:lineRule="auto" w:before="0"/>
        <w:ind w:left="122" w:right="127" w:firstLine="0"/>
        <w:jc w:val="both"/>
        <w:rPr>
          <w:rFonts w:ascii="Calibri" w:hAnsi="Calibri"/>
          <w:sz w:val="20"/>
        </w:rPr>
      </w:pPr>
      <w:r>
        <w:rPr>
          <w:rFonts w:ascii="Calibri" w:hAnsi="Calibri"/>
          <w:position w:val="7"/>
          <w:sz w:val="13"/>
        </w:rPr>
        <w:t>13 </w:t>
      </w:r>
      <w:r>
        <w:rPr>
          <w:rFonts w:ascii="Calibri" w:hAnsi="Calibri"/>
          <w:sz w:val="20"/>
        </w:rPr>
        <w:t>Se retoman los valores del valor de fricción de Garrocho y Campos (2006), dado que este ponderador ha sido probado empíricamente.</w:t>
      </w:r>
    </w:p>
    <w:p>
      <w:pPr>
        <w:spacing w:after="0" w:line="240" w:lineRule="auto"/>
        <w:jc w:val="both"/>
        <w:rPr>
          <w:rFonts w:ascii="Calibri" w:hAnsi="Calibri"/>
          <w:sz w:val="20"/>
        </w:rPr>
        <w:sectPr>
          <w:pgSz w:w="12240" w:h="15840"/>
          <w:pgMar w:header="0" w:footer="1003" w:top="1360" w:bottom="1200" w:left="1580" w:right="1580"/>
        </w:sectPr>
      </w:pPr>
    </w:p>
    <w:p>
      <w:pPr>
        <w:pStyle w:val="BodyText"/>
        <w:spacing w:line="360" w:lineRule="auto" w:before="67"/>
        <w:ind w:left="122" w:right="116"/>
        <w:jc w:val="both"/>
      </w:pPr>
      <w:r>
        <w:rPr>
          <w:i/>
        </w:rPr>
        <w:t>metodologías encaminadas a la medición”</w:t>
      </w:r>
      <w:r>
        <w:rPr>
          <w:position w:val="8"/>
          <w:sz w:val="16"/>
        </w:rPr>
        <w:t>14</w:t>
      </w:r>
      <w:r>
        <w:rPr/>
        <w:t>, en la mayoría de los casos coinciden con el uso de la cobertura promedio de servicios de vivienda, los materiales utilizados para su construcción, en utilizar cierto nivel de ingreso como línea de pobreza, en establecer un mínimo de escolaridad, en tener acceso a algún tipo de servicio médico público, e incluso, integrar una dimensión de grupos vulnerables. Sin embargo esas metodologías poco hacen referencia al papel que tiene la propia localización de los equipamientos donde se prestan los servicios, por ejemplo, en el servicio educativo necesariamente se requiere un edificio al  cual  los estudiantes, en sus diversas modalidades, se desplacen de sus viviendas para recibir su instrucción, de igual forma con el servicio médico (público o privado) ocurre un desplazamiento de sus viviendas a las zonas donde se recibe la consulta.</w:t>
      </w:r>
    </w:p>
    <w:p>
      <w:pPr>
        <w:pStyle w:val="BodyText"/>
        <w:spacing w:line="360" w:lineRule="auto" w:before="204"/>
        <w:ind w:left="122" w:right="120"/>
        <w:jc w:val="both"/>
      </w:pPr>
      <w:r>
        <w:rPr/>
        <w:t>Otros aspectos como el empleo, el abasto, las áreas verdes (parques), y los servicios recreativos, no están distribuidos homogéneamente en el territorio, son igual de importantes en la determinación de las oportunidades espaciales,  al darles ventajas a unas personas sobre otras por el simple hecho de residir en la zona donde están localizadas.</w:t>
      </w:r>
    </w:p>
    <w:p>
      <w:pPr>
        <w:pStyle w:val="BodyText"/>
        <w:spacing w:line="360" w:lineRule="auto" w:before="202"/>
        <w:ind w:left="122" w:right="124"/>
        <w:jc w:val="both"/>
      </w:pPr>
      <w:r>
        <w:rPr/>
        <w:t>Este aspecto de la localización sin duda influye de manera determinada en las condiciones de vida relativas, ya que de acuerdo con la Teoría de Interacción Espacial, la distancia geográfica juega un papel relevante en los niveles de interacción entre dos lugares, es decir, a mayor distancia menor es la probabilidad de interacción o demanda de un servicio.</w:t>
      </w:r>
    </w:p>
    <w:p>
      <w:pPr>
        <w:pStyle w:val="BodyText"/>
        <w:spacing w:line="360" w:lineRule="auto" w:before="204"/>
        <w:ind w:left="122" w:right="117"/>
        <w:jc w:val="both"/>
      </w:pPr>
      <w:r>
        <w:rPr/>
        <w:t>En otras palabras se gesta un proceso de exclusión o desigualdad de oportunidades de interacción que va en contra de los principios de la habitabilidad, de ahí la utilidad del indicador de accesibilidad, que al igual que como se analizan otros servicios, permite ir identificando las áreas de la zona metropolitana con menores valores de accesibilidad, que posteriormente pueden sumarse e integrar un indicador resumen, donde las zonas con valores más bajos de accesibilidad,</w:t>
      </w:r>
    </w:p>
    <w:p>
      <w:pPr>
        <w:pStyle w:val="BodyText"/>
        <w:spacing w:before="6"/>
        <w:rPr>
          <w:sz w:val="14"/>
        </w:rPr>
      </w:pPr>
      <w:r>
        <w:rPr/>
        <w:pict>
          <v:line style="position:absolute;mso-position-horizontal-relative:page;mso-position-vertical-relative:paragraph;z-index:2296;mso-wrap-distance-left:0;mso-wrap-distance-right:0" from="85.103996pt,10.733894pt" to="229.123996pt,10.733894pt" stroked="true" strokeweight=".84003pt" strokecolor="#000000">
            <w10:wrap type="topAndBottom"/>
          </v:line>
        </w:pict>
      </w:r>
    </w:p>
    <w:p>
      <w:pPr>
        <w:spacing w:before="74"/>
        <w:ind w:left="122" w:right="214" w:firstLine="0"/>
        <w:jc w:val="left"/>
        <w:rPr>
          <w:rFonts w:ascii="Calibri" w:hAnsi="Calibri"/>
          <w:sz w:val="20"/>
        </w:rPr>
      </w:pPr>
      <w:r>
        <w:rPr>
          <w:rFonts w:ascii="Calibri" w:hAnsi="Calibri"/>
          <w:position w:val="7"/>
          <w:sz w:val="13"/>
        </w:rPr>
        <w:t>14 </w:t>
      </w:r>
      <w:r>
        <w:rPr>
          <w:rFonts w:ascii="Calibri" w:hAnsi="Calibri"/>
          <w:sz w:val="20"/>
        </w:rPr>
        <w:t>Por ejemplo, el indicador de marginación, el índice de desarrollo humano, los índices de pobreza,  exclusión y vulnerabilidad</w:t>
      </w:r>
      <w:r>
        <w:rPr>
          <w:rFonts w:ascii="Calibri" w:hAnsi="Calibri"/>
          <w:spacing w:val="-16"/>
          <w:sz w:val="20"/>
        </w:rPr>
        <w:t> </w:t>
      </w:r>
      <w:r>
        <w:rPr>
          <w:rFonts w:ascii="Calibri" w:hAnsi="Calibri"/>
          <w:sz w:val="20"/>
        </w:rPr>
        <w:t>social.</w:t>
      </w:r>
    </w:p>
    <w:p>
      <w:pPr>
        <w:spacing w:after="0"/>
        <w:jc w:val="left"/>
        <w:rPr>
          <w:rFonts w:ascii="Calibri" w:hAnsi="Calibri"/>
          <w:sz w:val="20"/>
        </w:rPr>
        <w:sectPr>
          <w:pgSz w:w="12240" w:h="15840"/>
          <w:pgMar w:header="0" w:footer="1003" w:top="1340" w:bottom="1200" w:left="1580" w:right="1580"/>
        </w:sectPr>
      </w:pPr>
    </w:p>
    <w:p>
      <w:pPr>
        <w:pStyle w:val="BodyText"/>
        <w:spacing w:line="360" w:lineRule="auto" w:before="54"/>
        <w:ind w:left="102" w:right="121"/>
        <w:jc w:val="both"/>
      </w:pPr>
      <w:r>
        <w:rPr/>
        <w:t>serían aquellas con las mayores desventajas para la población residente en términos de contacto con los servicios analizados.</w:t>
      </w:r>
    </w:p>
    <w:p>
      <w:pPr>
        <w:pStyle w:val="BodyText"/>
        <w:spacing w:before="204"/>
        <w:ind w:left="102"/>
        <w:jc w:val="both"/>
      </w:pPr>
      <w:r>
        <w:rPr/>
        <w:t>Construcción del indicador-resumen de la habitabilidad de las viviendas</w:t>
      </w:r>
    </w:p>
    <w:p>
      <w:pPr>
        <w:pStyle w:val="BodyText"/>
        <w:spacing w:before="4"/>
        <w:rPr>
          <w:sz w:val="29"/>
        </w:rPr>
      </w:pPr>
    </w:p>
    <w:p>
      <w:pPr>
        <w:pStyle w:val="BodyText"/>
        <w:spacing w:line="360" w:lineRule="auto" w:before="1"/>
        <w:ind w:left="102" w:right="115"/>
        <w:jc w:val="both"/>
      </w:pPr>
      <w:r>
        <w:rPr/>
        <w:t>Como se ha mencionado a lo largo del trabajo, la localización y disponibilidad de los servicios analizados tiene patrones muy específicos, que en el caso de la </w:t>
      </w:r>
      <w:r>
        <w:rPr>
          <w:sz w:val="19"/>
        </w:rPr>
        <w:t>ZMT</w:t>
      </w:r>
      <w:r>
        <w:rPr/>
        <w:t>, privilegian las zonas centrales, mientras que en el extremo opuesto, son las áreas periféricas las que mayores desventajas presentan en términos de oportunidad.</w:t>
      </w:r>
    </w:p>
    <w:p>
      <w:pPr>
        <w:pStyle w:val="BodyText"/>
        <w:spacing w:line="360" w:lineRule="auto" w:before="205"/>
        <w:ind w:left="102" w:right="119"/>
        <w:jc w:val="both"/>
      </w:pPr>
      <w:r>
        <w:rPr/>
        <w:t>Al construir el indicador de accesibilidad–resumen (o de habitabilidad de las viviendas), los resultados contrastan ya que claramente se conforma un grupo de AGEB que va del centro de Toluca hacia el centro de Metepec, que tendrá las mejores oportunidades de acceso a los servicios.</w:t>
      </w:r>
    </w:p>
    <w:p>
      <w:pPr>
        <w:pStyle w:val="BodyText"/>
        <w:spacing w:before="204"/>
        <w:ind w:left="102"/>
        <w:jc w:val="both"/>
      </w:pPr>
      <w:r>
        <w:rPr/>
        <w:t>Conclusiones</w:t>
      </w:r>
    </w:p>
    <w:p>
      <w:pPr>
        <w:pStyle w:val="BodyText"/>
        <w:spacing w:before="4"/>
        <w:rPr>
          <w:sz w:val="29"/>
        </w:rPr>
      </w:pPr>
    </w:p>
    <w:p>
      <w:pPr>
        <w:pStyle w:val="BodyText"/>
        <w:spacing w:line="360" w:lineRule="auto" w:before="1"/>
        <w:ind w:left="102" w:right="116"/>
        <w:jc w:val="both"/>
      </w:pPr>
      <w:r>
        <w:rPr/>
        <w:t>Para realizar la evaluación de las viviendas en la zona metropolitana de Toluca, se utilizan dos métodos, el primero, método jerárquico de Saaty, se puede evaluar los servicios públicos, materiales de construcción y los bienes con los que cuentan las viviendas, mientras que con el índice de accesibilidad, se evalúa el entorno de las viviendas por medio de los servicios complementarios, como son, el empleo, educación, salud, abasto de alimentos, áreas verdes y recreación.</w:t>
      </w:r>
    </w:p>
    <w:p>
      <w:pPr>
        <w:spacing w:after="0" w:line="360" w:lineRule="auto"/>
        <w:jc w:val="both"/>
        <w:sectPr>
          <w:pgSz w:w="12240" w:h="15840"/>
          <w:pgMar w:header="0" w:footer="1003"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pStyle w:val="Heading2"/>
      </w:pPr>
      <w:bookmarkStart w:name="_TOC_250014" w:id="20"/>
      <w:bookmarkEnd w:id="20"/>
      <w:r>
        <w:rPr>
          <w:color w:val="365F91"/>
        </w:rPr>
        <w:t>Capítulo 3</w:t>
      </w:r>
    </w:p>
    <w:p>
      <w:pPr>
        <w:pStyle w:val="BodyText"/>
        <w:rPr>
          <w:rFonts w:ascii="Cambria"/>
          <w:b/>
          <w:sz w:val="28"/>
        </w:rPr>
      </w:pPr>
    </w:p>
    <w:p>
      <w:pPr>
        <w:pStyle w:val="Heading2"/>
        <w:spacing w:before="200"/>
      </w:pPr>
      <w:bookmarkStart w:name="_TOC_250013" w:id="21"/>
      <w:bookmarkEnd w:id="21"/>
      <w:r>
        <w:rPr>
          <w:color w:val="365F91"/>
        </w:rPr>
        <w:t>La habitabilidad de las viviendas en la zona metropolitana de Toluca</w:t>
      </w:r>
    </w:p>
    <w:p>
      <w:pPr>
        <w:spacing w:after="0"/>
        <w:sectPr>
          <w:pgSz w:w="12240" w:h="15840"/>
          <w:pgMar w:header="0" w:footer="1003" w:top="1500" w:bottom="1200" w:left="1600" w:right="1640"/>
        </w:sectPr>
      </w:pPr>
    </w:p>
    <w:p>
      <w:pPr>
        <w:pStyle w:val="Heading3"/>
        <w:ind w:left="122" w:firstLine="0"/>
      </w:pPr>
      <w:bookmarkStart w:name="_TOC_250012" w:id="22"/>
      <w:bookmarkEnd w:id="22"/>
      <w:r>
        <w:rPr>
          <w:color w:val="4F81BC"/>
        </w:rPr>
        <w:t>Introducción</w:t>
      </w:r>
    </w:p>
    <w:p>
      <w:pPr>
        <w:pStyle w:val="BodyText"/>
        <w:rPr>
          <w:rFonts w:ascii="Cambria"/>
          <w:b/>
          <w:sz w:val="26"/>
        </w:rPr>
      </w:pPr>
    </w:p>
    <w:p>
      <w:pPr>
        <w:pStyle w:val="BodyText"/>
        <w:spacing w:before="9"/>
        <w:rPr>
          <w:rFonts w:ascii="Cambria"/>
          <w:b/>
        </w:rPr>
      </w:pPr>
    </w:p>
    <w:p>
      <w:pPr>
        <w:pStyle w:val="BodyText"/>
        <w:spacing w:line="360" w:lineRule="auto"/>
        <w:ind w:left="122" w:right="118"/>
        <w:jc w:val="both"/>
      </w:pPr>
      <w:r>
        <w:rPr/>
        <w:t>En este capítulo de la investigación se aplica la propuesta del método jerárquico  de Saaty de la habitabilidad de las viviendas partiendo de la ubicación geográfica de la zona metropolitana de Toluca, tomando como base para la evaluación los servicios públicos básicos, los materiales de construcción, los bienes con los </w:t>
      </w:r>
      <w:r>
        <w:rPr>
          <w:spacing w:val="-2"/>
        </w:rPr>
        <w:t>que </w:t>
      </w:r>
      <w:r>
        <w:rPr/>
        <w:t>cuentan las viviendas, así como el equipamiento e infraestructura con la que cuenta esta zona metropolitana del</w:t>
      </w:r>
      <w:r>
        <w:rPr>
          <w:spacing w:val="-14"/>
        </w:rPr>
        <w:t> </w:t>
      </w:r>
      <w:r>
        <w:rPr/>
        <w:t>país.</w:t>
      </w:r>
    </w:p>
    <w:p>
      <w:pPr>
        <w:pStyle w:val="BodyText"/>
        <w:spacing w:line="360" w:lineRule="auto" w:before="205"/>
        <w:ind w:left="122" w:right="117"/>
        <w:jc w:val="both"/>
      </w:pPr>
      <w:r>
        <w:rPr/>
        <w:t>Los servicios públicos son concebidos como un conjunto de actividades y prestaciones por las administraciones públicas en la legislación del Estado, teniendo como finalidad reconocer a diferentes necesidades para  el funcionamiento social, favoreciendo la realización de igualdad y el bienestar social, suelen ser de carácter gratuito, ya que el costo es absorbido por parte del Estado</w:t>
      </w:r>
      <w:r>
        <w:rPr>
          <w:position w:val="8"/>
          <w:sz w:val="16"/>
        </w:rPr>
        <w:t>15</w:t>
      </w:r>
      <w:r>
        <w:rPr/>
        <w:t>.</w:t>
      </w:r>
    </w:p>
    <w:p>
      <w:pPr>
        <w:pStyle w:val="BodyText"/>
        <w:spacing w:line="360" w:lineRule="auto" w:before="198"/>
        <w:ind w:left="122" w:right="119"/>
        <w:jc w:val="both"/>
      </w:pPr>
      <w:r>
        <w:rPr/>
        <w:t>Mientras que los materiales de construcción de las viviendas son la materia prima empleada en la construcción de las mismas, deben tener la característica de ser duraderos y acordes al lugar geográfico donde se desean emplear. Además se analiza el equipamiento urbano con el que cuenta esta zona metropolitana, este equipamiento entendido como el conjunto de edificaciones y espacios de uso público, donde se realizan actividades complementarias a las de habitación y trabajo, proporcionando a la población servicios de bienestar social y de apoyo a las actividades económicas.</w:t>
      </w:r>
    </w:p>
    <w:p>
      <w:pPr>
        <w:pStyle w:val="BodyText"/>
        <w:spacing w:line="360" w:lineRule="auto" w:before="204"/>
        <w:ind w:left="122" w:right="120"/>
        <w:jc w:val="both"/>
      </w:pPr>
      <w:r>
        <w:rPr/>
        <w:t>Por su parte la infraestructura urbana es la realización humana diseñada y dirigida por los profesionales (arquitectos, ingenieros, urbanistas) que sirve de soporte  para el desarrollo de otras actividades y su funcionamiento, es necesaria para la organización estructural de las</w:t>
      </w:r>
      <w:r>
        <w:rPr>
          <w:spacing w:val="-16"/>
        </w:rPr>
        <w:t> </w:t>
      </w:r>
      <w:r>
        <w:rPr/>
        <w:t>ciudades.</w:t>
      </w:r>
    </w:p>
    <w:p>
      <w:pPr>
        <w:pStyle w:val="BodyText"/>
        <w:rPr>
          <w:sz w:val="20"/>
        </w:rPr>
      </w:pPr>
    </w:p>
    <w:p>
      <w:pPr>
        <w:pStyle w:val="BodyText"/>
        <w:rPr>
          <w:sz w:val="20"/>
        </w:rPr>
      </w:pPr>
    </w:p>
    <w:p>
      <w:pPr>
        <w:pStyle w:val="BodyText"/>
        <w:rPr>
          <w:sz w:val="20"/>
        </w:rPr>
      </w:pPr>
    </w:p>
    <w:p>
      <w:pPr>
        <w:pStyle w:val="BodyText"/>
        <w:spacing w:before="3"/>
        <w:rPr>
          <w:sz w:val="20"/>
        </w:rPr>
      </w:pPr>
      <w:r>
        <w:rPr/>
        <w:pict>
          <v:line style="position:absolute;mso-position-horizontal-relative:page;mso-position-vertical-relative:paragraph;z-index:2320;mso-wrap-distance-left:0;mso-wrap-distance-right:0" from="85.103996pt,14.036819pt" to="229.123996pt,14.036819pt" stroked="true" strokeweight=".84003pt" strokecolor="#000000">
            <w10:wrap type="topAndBottom"/>
          </v:line>
        </w:pict>
      </w:r>
    </w:p>
    <w:p>
      <w:pPr>
        <w:spacing w:before="74"/>
        <w:ind w:left="122" w:right="482" w:firstLine="0"/>
        <w:jc w:val="left"/>
        <w:rPr>
          <w:rFonts w:ascii="Calibri"/>
          <w:sz w:val="20"/>
        </w:rPr>
      </w:pPr>
      <w:r>
        <w:rPr>
          <w:rFonts w:ascii="Calibri"/>
          <w:position w:val="7"/>
          <w:sz w:val="13"/>
        </w:rPr>
        <w:t>15 </w:t>
      </w:r>
      <w:r>
        <w:rPr>
          <w:rFonts w:ascii="Calibri"/>
          <w:sz w:val="20"/>
        </w:rPr>
        <w:t>(Wikipedia, 2016) https://es.wikipedia.org/wiki/Servicio_p%C3%BAblico consultado el 10 de marzo de 2016.</w:t>
      </w:r>
    </w:p>
    <w:p>
      <w:pPr>
        <w:spacing w:after="0"/>
        <w:jc w:val="left"/>
        <w:rPr>
          <w:rFonts w:ascii="Calibri"/>
          <w:sz w:val="20"/>
        </w:rPr>
        <w:sectPr>
          <w:pgSz w:w="12240" w:h="15840"/>
          <w:pgMar w:header="0" w:footer="1003" w:top="1380" w:bottom="1200" w:left="1580" w:right="1580"/>
        </w:sectPr>
      </w:pPr>
    </w:p>
    <w:p>
      <w:pPr>
        <w:pStyle w:val="BodyText"/>
        <w:spacing w:line="360" w:lineRule="auto" w:before="54"/>
        <w:ind w:left="102" w:right="114"/>
        <w:jc w:val="both"/>
      </w:pPr>
      <w:r>
        <w:rPr/>
        <w:t>A continuación se analiza las condiciones de las viviendas habitadas, en la zona metropolitana de Toluca, con base en los tres últimos censos de población y vivienda del INEGI, 1990, 2000 y 2010.</w:t>
      </w:r>
    </w:p>
    <w:p>
      <w:pPr>
        <w:pStyle w:val="BodyText"/>
        <w:spacing w:line="360" w:lineRule="auto" w:before="204"/>
        <w:ind w:left="102" w:right="116"/>
        <w:jc w:val="both"/>
      </w:pPr>
      <w:r>
        <w:rPr/>
        <w:t>Las dimensiones, variables e indicadores para evaluar la habitabilidad de las viviendas en la </w:t>
      </w:r>
      <w:r>
        <w:rPr>
          <w:sz w:val="19"/>
        </w:rPr>
        <w:t>ZMT </w:t>
      </w:r>
      <w:r>
        <w:rPr/>
        <w:t>por medio del método de Saaty son las siguientes; la dimensión de los materiales de la vivienda que cuenta con 5 variables  igual número de indicadores, la dimensión de servicios básicos de la vivienda con 4 variables e indicadores, la dimensión de bienes en la vivienda con 9 variables e indicadores, la dimensión de la legalidad de las viviendas con 2</w:t>
      </w:r>
      <w:r>
        <w:rPr>
          <w:spacing w:val="-22"/>
        </w:rPr>
        <w:t> </w:t>
      </w:r>
      <w:r>
        <w:rPr/>
        <w:t>variables.</w:t>
      </w:r>
    </w:p>
    <w:p>
      <w:pPr>
        <w:pStyle w:val="BodyText"/>
        <w:spacing w:line="360" w:lineRule="auto" w:before="202"/>
        <w:ind w:left="102" w:right="115"/>
        <w:jc w:val="both"/>
      </w:pPr>
      <w:r>
        <w:rPr/>
        <w:t>Se debe dejar en claro que la última dimensión del entorno se evaluó con el método de accesibilidad a los servicios con 6 variables dando como resultado el índice de habitabilidad (ver cuadro no. 10).</w:t>
      </w:r>
    </w:p>
    <w:p>
      <w:pPr>
        <w:spacing w:after="0" w:line="360" w:lineRule="auto"/>
        <w:jc w:val="both"/>
        <w:sectPr>
          <w:footerReference w:type="default" r:id="rId45"/>
          <w:pgSz w:w="12240" w:h="15840"/>
          <w:pgMar w:footer="1003" w:header="0" w:top="1360" w:bottom="1200" w:left="1600" w:right="1580"/>
          <w:pgNumType w:start="110"/>
        </w:sectPr>
      </w:pPr>
    </w:p>
    <w:p>
      <w:pPr>
        <w:spacing w:before="53"/>
        <w:ind w:left="147" w:right="0" w:firstLine="0"/>
        <w:jc w:val="left"/>
        <w:rPr>
          <w:sz w:val="20"/>
        </w:rPr>
      </w:pPr>
      <w:r>
        <w:rPr>
          <w:sz w:val="20"/>
        </w:rPr>
        <w:t>Cuadro No. 10 Dimensiones, variables e indicadores de la habitabilidad de las viviendas en la </w:t>
      </w:r>
      <w:r>
        <w:rPr>
          <w:sz w:val="16"/>
        </w:rPr>
        <w:t>ZMT</w:t>
      </w:r>
      <w:r>
        <w:rPr>
          <w:sz w:val="20"/>
        </w:rPr>
        <w:t>.</w:t>
      </w:r>
    </w:p>
    <w:p>
      <w:pPr>
        <w:pStyle w:val="BodyText"/>
        <w:spacing w:before="3"/>
        <w:rPr>
          <w:sz w:val="10"/>
        </w:rPr>
      </w:pPr>
    </w:p>
    <w:tbl>
      <w:tblPr>
        <w:tblW w:w="0" w:type="auto"/>
        <w:jc w:val="left"/>
        <w:tblInd w:w="13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295"/>
        <w:gridCol w:w="3059"/>
        <w:gridCol w:w="2459"/>
      </w:tblGrid>
      <w:tr>
        <w:trPr>
          <w:trHeight w:val="571" w:hRule="exact"/>
        </w:trPr>
        <w:tc>
          <w:tcPr>
            <w:tcW w:w="8812" w:type="dxa"/>
            <w:gridSpan w:val="3"/>
            <w:tcBorders>
              <w:bottom w:val="single" w:sz="8" w:space="0" w:color="000000"/>
            </w:tcBorders>
            <w:shd w:val="clear" w:color="auto" w:fill="D7D7D7"/>
          </w:tcPr>
          <w:p>
            <w:pPr>
              <w:pStyle w:val="TableParagraph"/>
              <w:spacing w:before="134"/>
              <w:ind w:left="2842"/>
              <w:rPr>
                <w:rFonts w:ascii="Arial"/>
                <w:b/>
                <w:sz w:val="22"/>
              </w:rPr>
            </w:pPr>
            <w:r>
              <w:rPr>
                <w:rFonts w:ascii="Arial"/>
                <w:b/>
                <w:sz w:val="22"/>
              </w:rPr>
              <w:t>Habitabilidad de las viviendas</w:t>
            </w:r>
          </w:p>
        </w:tc>
      </w:tr>
      <w:tr>
        <w:trPr>
          <w:trHeight w:val="288" w:hRule="exact"/>
        </w:trPr>
        <w:tc>
          <w:tcPr>
            <w:tcW w:w="3295" w:type="dxa"/>
            <w:tcBorders>
              <w:top w:val="single" w:sz="8" w:space="0" w:color="000000"/>
              <w:bottom w:val="single" w:sz="8" w:space="0" w:color="000000"/>
              <w:right w:val="single" w:sz="8" w:space="0" w:color="000000"/>
            </w:tcBorders>
            <w:shd w:val="clear" w:color="auto" w:fill="D7D7D7"/>
          </w:tcPr>
          <w:p>
            <w:pPr>
              <w:pStyle w:val="TableParagraph"/>
              <w:spacing w:line="253" w:lineRule="exact"/>
              <w:ind w:left="960"/>
              <w:rPr>
                <w:rFonts w:ascii="Arial"/>
                <w:b/>
                <w:sz w:val="22"/>
              </w:rPr>
            </w:pPr>
            <w:r>
              <w:rPr>
                <w:rFonts w:ascii="Arial"/>
                <w:b/>
                <w:sz w:val="22"/>
              </w:rPr>
              <w:t>Dimensiones</w:t>
            </w:r>
          </w:p>
        </w:tc>
        <w:tc>
          <w:tcPr>
            <w:tcW w:w="3059" w:type="dxa"/>
            <w:tcBorders>
              <w:top w:val="single" w:sz="8" w:space="0" w:color="000000"/>
              <w:left w:val="single" w:sz="8" w:space="0" w:color="000000"/>
              <w:bottom w:val="single" w:sz="8" w:space="0" w:color="000000"/>
              <w:right w:val="single" w:sz="8" w:space="0" w:color="000000"/>
            </w:tcBorders>
            <w:shd w:val="clear" w:color="auto" w:fill="D7D7D7"/>
          </w:tcPr>
          <w:p>
            <w:pPr>
              <w:pStyle w:val="TableParagraph"/>
              <w:spacing w:line="253" w:lineRule="exact"/>
              <w:ind w:left="1018" w:right="1003"/>
              <w:jc w:val="center"/>
              <w:rPr>
                <w:rFonts w:ascii="Arial"/>
                <w:b/>
                <w:sz w:val="22"/>
              </w:rPr>
            </w:pPr>
            <w:r>
              <w:rPr>
                <w:rFonts w:ascii="Arial"/>
                <w:b/>
                <w:sz w:val="22"/>
              </w:rPr>
              <w:t>Variables</w:t>
            </w:r>
          </w:p>
        </w:tc>
        <w:tc>
          <w:tcPr>
            <w:tcW w:w="2459" w:type="dxa"/>
            <w:tcBorders>
              <w:top w:val="single" w:sz="8" w:space="0" w:color="000000"/>
              <w:left w:val="single" w:sz="8" w:space="0" w:color="000000"/>
              <w:bottom w:val="single" w:sz="8" w:space="0" w:color="000000"/>
            </w:tcBorders>
            <w:shd w:val="clear" w:color="auto" w:fill="D7D7D7"/>
          </w:tcPr>
          <w:p>
            <w:pPr>
              <w:pStyle w:val="TableParagraph"/>
              <w:spacing w:line="253" w:lineRule="exact"/>
              <w:ind w:left="614"/>
              <w:rPr>
                <w:rFonts w:ascii="Arial"/>
                <w:b/>
                <w:sz w:val="22"/>
              </w:rPr>
            </w:pPr>
            <w:r>
              <w:rPr>
                <w:rFonts w:ascii="Arial"/>
                <w:b/>
                <w:sz w:val="22"/>
              </w:rPr>
              <w:t>Indicadores</w:t>
            </w:r>
          </w:p>
        </w:tc>
      </w:tr>
      <w:tr>
        <w:trPr>
          <w:trHeight w:val="288" w:hRule="exact"/>
        </w:trPr>
        <w:tc>
          <w:tcPr>
            <w:tcW w:w="3295" w:type="dxa"/>
            <w:vMerge w:val="restart"/>
            <w:tcBorders>
              <w:top w:val="single" w:sz="8" w:space="0" w:color="000000"/>
              <w:right w:val="single" w:sz="8" w:space="0" w:color="000000"/>
            </w:tcBorders>
            <w:shd w:val="clear" w:color="auto" w:fill="D7D7D7"/>
          </w:tcPr>
          <w:p>
            <w:pPr>
              <w:pStyle w:val="TableParagraph"/>
              <w:rPr>
                <w:rFonts w:ascii="Arial"/>
                <w:sz w:val="22"/>
              </w:rPr>
            </w:pPr>
          </w:p>
          <w:p>
            <w:pPr>
              <w:pStyle w:val="TableParagraph"/>
              <w:rPr>
                <w:rFonts w:ascii="Arial"/>
                <w:sz w:val="28"/>
              </w:rPr>
            </w:pPr>
          </w:p>
          <w:p>
            <w:pPr>
              <w:pStyle w:val="TableParagraph"/>
              <w:ind w:left="345"/>
              <w:rPr>
                <w:rFonts w:ascii="Arial"/>
                <w:b/>
                <w:sz w:val="22"/>
              </w:rPr>
            </w:pPr>
            <w:r>
              <w:rPr>
                <w:rFonts w:ascii="Arial"/>
                <w:b/>
                <w:sz w:val="22"/>
              </w:rPr>
              <w:t>Materiales de la vivienda</w:t>
            </w:r>
          </w:p>
        </w:tc>
        <w:tc>
          <w:tcPr>
            <w:tcW w:w="3059" w:type="dxa"/>
            <w:tcBorders>
              <w:top w:val="single" w:sz="8" w:space="0" w:color="000000"/>
              <w:left w:val="single" w:sz="8" w:space="0" w:color="000000"/>
              <w:bottom w:val="single" w:sz="8" w:space="0" w:color="000000"/>
              <w:right w:val="single" w:sz="8" w:space="0" w:color="000000"/>
            </w:tcBorders>
          </w:tcPr>
          <w:p>
            <w:pPr>
              <w:pStyle w:val="TableParagraph"/>
              <w:spacing w:line="253" w:lineRule="exact"/>
              <w:ind w:left="33"/>
              <w:rPr>
                <w:rFonts w:ascii="Arial"/>
                <w:sz w:val="22"/>
              </w:rPr>
            </w:pPr>
            <w:r>
              <w:rPr>
                <w:rFonts w:ascii="Arial"/>
                <w:sz w:val="22"/>
              </w:rPr>
              <w:t>Piso</w:t>
            </w:r>
          </w:p>
        </w:tc>
        <w:tc>
          <w:tcPr>
            <w:tcW w:w="2459" w:type="dxa"/>
            <w:tcBorders>
              <w:top w:val="single" w:sz="8" w:space="0" w:color="000000"/>
              <w:left w:val="single" w:sz="8" w:space="0" w:color="000000"/>
              <w:bottom w:val="single" w:sz="8" w:space="0" w:color="000000"/>
            </w:tcBorders>
          </w:tcPr>
          <w:p>
            <w:pPr>
              <w:pStyle w:val="TableParagraph"/>
              <w:spacing w:line="253" w:lineRule="exact"/>
              <w:ind w:left="33"/>
              <w:rPr>
                <w:rFonts w:ascii="Arial"/>
                <w:sz w:val="22"/>
              </w:rPr>
            </w:pPr>
            <w:r>
              <w:rPr>
                <w:rFonts w:ascii="Arial"/>
                <w:sz w:val="22"/>
              </w:rPr>
              <w:t>1_piso</w:t>
            </w:r>
          </w:p>
        </w:tc>
      </w:tr>
      <w:tr>
        <w:trPr>
          <w:trHeight w:val="288" w:hRule="exact"/>
        </w:trPr>
        <w:tc>
          <w:tcPr>
            <w:tcW w:w="3295" w:type="dxa"/>
            <w:vMerge/>
            <w:tcBorders>
              <w:right w:val="single" w:sz="8" w:space="0" w:color="000000"/>
            </w:tcBorders>
            <w:shd w:val="clear" w:color="auto" w:fill="D7D7D7"/>
          </w:tcPr>
          <w:p>
            <w:pPr/>
          </w:p>
        </w:tc>
        <w:tc>
          <w:tcPr>
            <w:tcW w:w="3059" w:type="dxa"/>
            <w:tcBorders>
              <w:top w:val="single" w:sz="8" w:space="0" w:color="000000"/>
              <w:left w:val="single" w:sz="8" w:space="0" w:color="000000"/>
              <w:bottom w:val="single" w:sz="8" w:space="0" w:color="000000"/>
              <w:right w:val="single" w:sz="8" w:space="0" w:color="000000"/>
            </w:tcBorders>
          </w:tcPr>
          <w:p>
            <w:pPr>
              <w:pStyle w:val="TableParagraph"/>
              <w:spacing w:line="253" w:lineRule="exact"/>
              <w:ind w:left="33"/>
              <w:rPr>
                <w:rFonts w:ascii="Arial"/>
                <w:sz w:val="22"/>
              </w:rPr>
            </w:pPr>
            <w:r>
              <w:rPr>
                <w:rFonts w:ascii="Arial"/>
                <w:sz w:val="22"/>
              </w:rPr>
              <w:t>Paredes</w:t>
            </w:r>
          </w:p>
        </w:tc>
        <w:tc>
          <w:tcPr>
            <w:tcW w:w="2459" w:type="dxa"/>
            <w:tcBorders>
              <w:top w:val="single" w:sz="8" w:space="0" w:color="000000"/>
              <w:left w:val="single" w:sz="8" w:space="0" w:color="000000"/>
              <w:bottom w:val="single" w:sz="8" w:space="0" w:color="000000"/>
            </w:tcBorders>
          </w:tcPr>
          <w:p>
            <w:pPr>
              <w:pStyle w:val="TableParagraph"/>
              <w:spacing w:line="253" w:lineRule="exact"/>
              <w:ind w:left="33"/>
              <w:rPr>
                <w:rFonts w:ascii="Arial"/>
                <w:sz w:val="22"/>
              </w:rPr>
            </w:pPr>
            <w:r>
              <w:rPr>
                <w:rFonts w:ascii="Arial"/>
                <w:sz w:val="22"/>
              </w:rPr>
              <w:t>2_paredes</w:t>
            </w:r>
          </w:p>
        </w:tc>
      </w:tr>
      <w:tr>
        <w:trPr>
          <w:trHeight w:val="288" w:hRule="exact"/>
        </w:trPr>
        <w:tc>
          <w:tcPr>
            <w:tcW w:w="3295" w:type="dxa"/>
            <w:vMerge/>
            <w:tcBorders>
              <w:right w:val="single" w:sz="8" w:space="0" w:color="000000"/>
            </w:tcBorders>
            <w:shd w:val="clear" w:color="auto" w:fill="D7D7D7"/>
          </w:tcPr>
          <w:p>
            <w:pPr/>
          </w:p>
        </w:tc>
        <w:tc>
          <w:tcPr>
            <w:tcW w:w="3059" w:type="dxa"/>
            <w:tcBorders>
              <w:top w:val="single" w:sz="8" w:space="0" w:color="000000"/>
              <w:left w:val="single" w:sz="8" w:space="0" w:color="000000"/>
              <w:bottom w:val="single" w:sz="8" w:space="0" w:color="000000"/>
              <w:right w:val="single" w:sz="8" w:space="0" w:color="000000"/>
            </w:tcBorders>
          </w:tcPr>
          <w:p>
            <w:pPr>
              <w:pStyle w:val="TableParagraph"/>
              <w:ind w:left="33"/>
              <w:rPr>
                <w:rFonts w:ascii="Arial"/>
                <w:sz w:val="22"/>
              </w:rPr>
            </w:pPr>
            <w:r>
              <w:rPr>
                <w:rFonts w:ascii="Arial"/>
                <w:sz w:val="22"/>
              </w:rPr>
              <w:t>Techo</w:t>
            </w:r>
          </w:p>
        </w:tc>
        <w:tc>
          <w:tcPr>
            <w:tcW w:w="2459" w:type="dxa"/>
            <w:tcBorders>
              <w:top w:val="single" w:sz="8" w:space="0" w:color="000000"/>
              <w:left w:val="single" w:sz="8" w:space="0" w:color="000000"/>
              <w:bottom w:val="single" w:sz="8" w:space="0" w:color="000000"/>
            </w:tcBorders>
          </w:tcPr>
          <w:p>
            <w:pPr>
              <w:pStyle w:val="TableParagraph"/>
              <w:ind w:left="33"/>
              <w:rPr>
                <w:rFonts w:ascii="Arial"/>
                <w:sz w:val="22"/>
              </w:rPr>
            </w:pPr>
            <w:r>
              <w:rPr>
                <w:rFonts w:ascii="Arial"/>
                <w:sz w:val="22"/>
              </w:rPr>
              <w:t>3_techo</w:t>
            </w:r>
          </w:p>
        </w:tc>
      </w:tr>
      <w:tr>
        <w:trPr>
          <w:trHeight w:val="288" w:hRule="exact"/>
        </w:trPr>
        <w:tc>
          <w:tcPr>
            <w:tcW w:w="3295" w:type="dxa"/>
            <w:vMerge/>
            <w:tcBorders>
              <w:right w:val="single" w:sz="8" w:space="0" w:color="000000"/>
            </w:tcBorders>
            <w:shd w:val="clear" w:color="auto" w:fill="D7D7D7"/>
          </w:tcPr>
          <w:p>
            <w:pPr/>
          </w:p>
        </w:tc>
        <w:tc>
          <w:tcPr>
            <w:tcW w:w="3059" w:type="dxa"/>
            <w:tcBorders>
              <w:top w:val="single" w:sz="8" w:space="0" w:color="000000"/>
              <w:left w:val="single" w:sz="8" w:space="0" w:color="000000"/>
              <w:bottom w:val="single" w:sz="8" w:space="0" w:color="000000"/>
              <w:right w:val="single" w:sz="8" w:space="0" w:color="000000"/>
            </w:tcBorders>
          </w:tcPr>
          <w:p>
            <w:pPr>
              <w:pStyle w:val="TableParagraph"/>
              <w:spacing w:line="253" w:lineRule="exact"/>
              <w:ind w:left="33"/>
              <w:rPr>
                <w:rFonts w:ascii="Arial"/>
                <w:sz w:val="22"/>
              </w:rPr>
            </w:pPr>
            <w:r>
              <w:rPr>
                <w:rFonts w:ascii="Arial"/>
                <w:sz w:val="22"/>
              </w:rPr>
              <w:t>Vivienda con 1 cuarto</w:t>
            </w:r>
          </w:p>
        </w:tc>
        <w:tc>
          <w:tcPr>
            <w:tcW w:w="2459" w:type="dxa"/>
            <w:tcBorders>
              <w:top w:val="single" w:sz="8" w:space="0" w:color="000000"/>
              <w:left w:val="single" w:sz="8" w:space="0" w:color="000000"/>
              <w:bottom w:val="single" w:sz="8" w:space="0" w:color="000000"/>
            </w:tcBorders>
          </w:tcPr>
          <w:p>
            <w:pPr>
              <w:pStyle w:val="TableParagraph"/>
              <w:spacing w:line="253" w:lineRule="exact"/>
              <w:ind w:left="33"/>
              <w:rPr>
                <w:rFonts w:ascii="Arial"/>
                <w:sz w:val="22"/>
              </w:rPr>
            </w:pPr>
            <w:r>
              <w:rPr>
                <w:rFonts w:ascii="Arial"/>
                <w:sz w:val="22"/>
              </w:rPr>
              <w:t>4_1 cuarto</w:t>
            </w:r>
          </w:p>
        </w:tc>
      </w:tr>
      <w:tr>
        <w:trPr>
          <w:trHeight w:val="288" w:hRule="exact"/>
        </w:trPr>
        <w:tc>
          <w:tcPr>
            <w:tcW w:w="3295" w:type="dxa"/>
            <w:vMerge/>
            <w:tcBorders>
              <w:bottom w:val="single" w:sz="8" w:space="0" w:color="000000"/>
              <w:right w:val="single" w:sz="8" w:space="0" w:color="000000"/>
            </w:tcBorders>
            <w:shd w:val="clear" w:color="auto" w:fill="D7D7D7"/>
          </w:tcPr>
          <w:p>
            <w:pPr/>
          </w:p>
        </w:tc>
        <w:tc>
          <w:tcPr>
            <w:tcW w:w="3059" w:type="dxa"/>
            <w:tcBorders>
              <w:top w:val="single" w:sz="8" w:space="0" w:color="000000"/>
              <w:left w:val="single" w:sz="8" w:space="0" w:color="000000"/>
              <w:bottom w:val="single" w:sz="8" w:space="0" w:color="000000"/>
              <w:right w:val="single" w:sz="8" w:space="0" w:color="000000"/>
            </w:tcBorders>
          </w:tcPr>
          <w:p>
            <w:pPr>
              <w:pStyle w:val="TableParagraph"/>
              <w:spacing w:line="253" w:lineRule="exact"/>
              <w:ind w:left="33"/>
              <w:rPr>
                <w:rFonts w:ascii="Arial"/>
                <w:sz w:val="22"/>
              </w:rPr>
            </w:pPr>
            <w:r>
              <w:rPr>
                <w:rFonts w:ascii="Arial"/>
                <w:sz w:val="22"/>
              </w:rPr>
              <w:t>Vivienda con 2 cuartos</w:t>
            </w:r>
          </w:p>
        </w:tc>
        <w:tc>
          <w:tcPr>
            <w:tcW w:w="2459" w:type="dxa"/>
            <w:tcBorders>
              <w:top w:val="single" w:sz="8" w:space="0" w:color="000000"/>
              <w:left w:val="single" w:sz="8" w:space="0" w:color="000000"/>
              <w:bottom w:val="single" w:sz="8" w:space="0" w:color="000000"/>
            </w:tcBorders>
          </w:tcPr>
          <w:p>
            <w:pPr>
              <w:pStyle w:val="TableParagraph"/>
              <w:spacing w:line="253" w:lineRule="exact"/>
              <w:ind w:left="33"/>
              <w:rPr>
                <w:rFonts w:ascii="Arial"/>
                <w:sz w:val="22"/>
              </w:rPr>
            </w:pPr>
            <w:r>
              <w:rPr>
                <w:rFonts w:ascii="Arial"/>
                <w:sz w:val="22"/>
              </w:rPr>
              <w:t>5_2 cuartos</w:t>
            </w:r>
          </w:p>
        </w:tc>
      </w:tr>
      <w:tr>
        <w:trPr>
          <w:trHeight w:val="288" w:hRule="exact"/>
        </w:trPr>
        <w:tc>
          <w:tcPr>
            <w:tcW w:w="8812" w:type="dxa"/>
            <w:gridSpan w:val="3"/>
            <w:tcBorders>
              <w:top w:val="single" w:sz="8" w:space="0" w:color="000000"/>
              <w:bottom w:val="single" w:sz="8" w:space="0" w:color="000000"/>
            </w:tcBorders>
          </w:tcPr>
          <w:p>
            <w:pPr/>
          </w:p>
        </w:tc>
      </w:tr>
      <w:tr>
        <w:trPr>
          <w:trHeight w:val="288" w:hRule="exact"/>
        </w:trPr>
        <w:tc>
          <w:tcPr>
            <w:tcW w:w="3295" w:type="dxa"/>
            <w:vMerge w:val="restart"/>
            <w:tcBorders>
              <w:top w:val="single" w:sz="8" w:space="0" w:color="000000"/>
              <w:right w:val="single" w:sz="8" w:space="0" w:color="000000"/>
            </w:tcBorders>
            <w:shd w:val="clear" w:color="auto" w:fill="D7D7D7"/>
          </w:tcPr>
          <w:p>
            <w:pPr>
              <w:pStyle w:val="TableParagraph"/>
              <w:spacing w:before="11"/>
              <w:rPr>
                <w:rFonts w:ascii="Arial"/>
                <w:sz w:val="24"/>
              </w:rPr>
            </w:pPr>
          </w:p>
          <w:p>
            <w:pPr>
              <w:pStyle w:val="TableParagraph"/>
              <w:spacing w:line="273" w:lineRule="auto"/>
              <w:ind w:left="1195" w:hanging="822"/>
              <w:rPr>
                <w:rFonts w:ascii="Arial" w:hAnsi="Arial"/>
                <w:b/>
                <w:sz w:val="22"/>
              </w:rPr>
            </w:pPr>
            <w:r>
              <w:rPr>
                <w:rFonts w:ascii="Arial" w:hAnsi="Arial"/>
                <w:b/>
                <w:sz w:val="22"/>
              </w:rPr>
              <w:t>Servicios Públicos de la vivienda</w:t>
            </w:r>
          </w:p>
        </w:tc>
        <w:tc>
          <w:tcPr>
            <w:tcW w:w="3059" w:type="dxa"/>
            <w:tcBorders>
              <w:top w:val="single" w:sz="8" w:space="0" w:color="000000"/>
              <w:left w:val="single" w:sz="8" w:space="0" w:color="000000"/>
              <w:bottom w:val="single" w:sz="8" w:space="0" w:color="000000"/>
              <w:right w:val="single" w:sz="8" w:space="0" w:color="000000"/>
            </w:tcBorders>
          </w:tcPr>
          <w:p>
            <w:pPr>
              <w:pStyle w:val="TableParagraph"/>
              <w:spacing w:line="253" w:lineRule="exact"/>
              <w:ind w:left="33"/>
              <w:rPr>
                <w:rFonts w:ascii="Arial"/>
                <w:sz w:val="22"/>
              </w:rPr>
            </w:pPr>
            <w:r>
              <w:rPr>
                <w:rFonts w:ascii="Arial"/>
                <w:sz w:val="22"/>
              </w:rPr>
              <w:t>Agua</w:t>
            </w:r>
          </w:p>
        </w:tc>
        <w:tc>
          <w:tcPr>
            <w:tcW w:w="2459" w:type="dxa"/>
            <w:tcBorders>
              <w:top w:val="single" w:sz="8" w:space="0" w:color="000000"/>
              <w:left w:val="single" w:sz="8" w:space="0" w:color="000000"/>
              <w:bottom w:val="single" w:sz="8" w:space="0" w:color="000000"/>
            </w:tcBorders>
          </w:tcPr>
          <w:p>
            <w:pPr>
              <w:pStyle w:val="TableParagraph"/>
              <w:spacing w:line="253" w:lineRule="exact"/>
              <w:ind w:left="33"/>
              <w:rPr>
                <w:rFonts w:ascii="Arial"/>
                <w:sz w:val="22"/>
              </w:rPr>
            </w:pPr>
            <w:r>
              <w:rPr>
                <w:rFonts w:ascii="Arial"/>
                <w:sz w:val="22"/>
              </w:rPr>
              <w:t>6_agua</w:t>
            </w:r>
          </w:p>
        </w:tc>
      </w:tr>
      <w:tr>
        <w:trPr>
          <w:trHeight w:val="288" w:hRule="exact"/>
        </w:trPr>
        <w:tc>
          <w:tcPr>
            <w:tcW w:w="3295" w:type="dxa"/>
            <w:vMerge/>
            <w:tcBorders>
              <w:right w:val="single" w:sz="8" w:space="0" w:color="000000"/>
            </w:tcBorders>
            <w:shd w:val="clear" w:color="auto" w:fill="D7D7D7"/>
          </w:tcPr>
          <w:p>
            <w:pPr/>
          </w:p>
        </w:tc>
        <w:tc>
          <w:tcPr>
            <w:tcW w:w="3059" w:type="dxa"/>
            <w:tcBorders>
              <w:top w:val="single" w:sz="8" w:space="0" w:color="000000"/>
              <w:left w:val="single" w:sz="8" w:space="0" w:color="000000"/>
              <w:bottom w:val="single" w:sz="8" w:space="0" w:color="000000"/>
              <w:right w:val="single" w:sz="8" w:space="0" w:color="000000"/>
            </w:tcBorders>
          </w:tcPr>
          <w:p>
            <w:pPr>
              <w:pStyle w:val="TableParagraph"/>
              <w:spacing w:line="253" w:lineRule="exact"/>
              <w:ind w:left="33"/>
              <w:rPr>
                <w:rFonts w:ascii="Arial"/>
                <w:sz w:val="22"/>
              </w:rPr>
            </w:pPr>
            <w:r>
              <w:rPr>
                <w:rFonts w:ascii="Arial"/>
                <w:sz w:val="22"/>
              </w:rPr>
              <w:t>Drenaje</w:t>
            </w:r>
          </w:p>
        </w:tc>
        <w:tc>
          <w:tcPr>
            <w:tcW w:w="2459" w:type="dxa"/>
            <w:tcBorders>
              <w:top w:val="single" w:sz="8" w:space="0" w:color="000000"/>
              <w:left w:val="single" w:sz="8" w:space="0" w:color="000000"/>
              <w:bottom w:val="single" w:sz="8" w:space="0" w:color="000000"/>
            </w:tcBorders>
          </w:tcPr>
          <w:p>
            <w:pPr>
              <w:pStyle w:val="TableParagraph"/>
              <w:spacing w:line="253" w:lineRule="exact"/>
              <w:ind w:left="33"/>
              <w:rPr>
                <w:rFonts w:ascii="Arial"/>
                <w:sz w:val="22"/>
              </w:rPr>
            </w:pPr>
            <w:r>
              <w:rPr>
                <w:rFonts w:ascii="Arial"/>
                <w:sz w:val="22"/>
              </w:rPr>
              <w:t>7_drenaje</w:t>
            </w:r>
          </w:p>
        </w:tc>
      </w:tr>
      <w:tr>
        <w:trPr>
          <w:trHeight w:val="288" w:hRule="exact"/>
        </w:trPr>
        <w:tc>
          <w:tcPr>
            <w:tcW w:w="3295" w:type="dxa"/>
            <w:vMerge/>
            <w:tcBorders>
              <w:right w:val="single" w:sz="8" w:space="0" w:color="000000"/>
            </w:tcBorders>
            <w:shd w:val="clear" w:color="auto" w:fill="D7D7D7"/>
          </w:tcPr>
          <w:p>
            <w:pPr/>
          </w:p>
        </w:tc>
        <w:tc>
          <w:tcPr>
            <w:tcW w:w="3059" w:type="dxa"/>
            <w:tcBorders>
              <w:top w:val="single" w:sz="8" w:space="0" w:color="000000"/>
              <w:left w:val="single" w:sz="8" w:space="0" w:color="000000"/>
              <w:bottom w:val="single" w:sz="8" w:space="0" w:color="000000"/>
              <w:right w:val="single" w:sz="8" w:space="0" w:color="000000"/>
            </w:tcBorders>
          </w:tcPr>
          <w:p>
            <w:pPr>
              <w:pStyle w:val="TableParagraph"/>
              <w:spacing w:line="253" w:lineRule="exact"/>
              <w:ind w:left="33"/>
              <w:rPr>
                <w:rFonts w:ascii="Arial" w:hAnsi="Arial"/>
                <w:sz w:val="22"/>
              </w:rPr>
            </w:pPr>
            <w:r>
              <w:rPr>
                <w:rFonts w:ascii="Arial" w:hAnsi="Arial"/>
                <w:sz w:val="22"/>
              </w:rPr>
              <w:t>Energía Eléctrica</w:t>
            </w:r>
          </w:p>
        </w:tc>
        <w:tc>
          <w:tcPr>
            <w:tcW w:w="2459" w:type="dxa"/>
            <w:tcBorders>
              <w:top w:val="single" w:sz="8" w:space="0" w:color="000000"/>
              <w:left w:val="single" w:sz="8" w:space="0" w:color="000000"/>
              <w:bottom w:val="single" w:sz="8" w:space="0" w:color="000000"/>
            </w:tcBorders>
          </w:tcPr>
          <w:p>
            <w:pPr>
              <w:pStyle w:val="TableParagraph"/>
              <w:spacing w:line="253" w:lineRule="exact"/>
              <w:ind w:left="33"/>
              <w:rPr>
                <w:rFonts w:ascii="Arial" w:hAnsi="Arial"/>
                <w:sz w:val="22"/>
              </w:rPr>
            </w:pPr>
            <w:r>
              <w:rPr>
                <w:rFonts w:ascii="Arial" w:hAnsi="Arial"/>
                <w:sz w:val="22"/>
              </w:rPr>
              <w:t>8_energía electridad</w:t>
            </w:r>
          </w:p>
        </w:tc>
      </w:tr>
      <w:tr>
        <w:trPr>
          <w:trHeight w:val="288" w:hRule="exact"/>
        </w:trPr>
        <w:tc>
          <w:tcPr>
            <w:tcW w:w="3295" w:type="dxa"/>
            <w:vMerge/>
            <w:tcBorders>
              <w:bottom w:val="single" w:sz="8" w:space="0" w:color="000000"/>
              <w:right w:val="single" w:sz="8" w:space="0" w:color="000000"/>
            </w:tcBorders>
            <w:shd w:val="clear" w:color="auto" w:fill="D7D7D7"/>
          </w:tcPr>
          <w:p>
            <w:pPr/>
          </w:p>
        </w:tc>
        <w:tc>
          <w:tcPr>
            <w:tcW w:w="3059" w:type="dxa"/>
            <w:tcBorders>
              <w:top w:val="single" w:sz="8" w:space="0" w:color="000000"/>
              <w:left w:val="single" w:sz="8" w:space="0" w:color="000000"/>
              <w:bottom w:val="single" w:sz="8" w:space="0" w:color="000000"/>
              <w:right w:val="single" w:sz="8" w:space="0" w:color="000000"/>
            </w:tcBorders>
          </w:tcPr>
          <w:p>
            <w:pPr>
              <w:pStyle w:val="TableParagraph"/>
              <w:spacing w:line="253" w:lineRule="exact"/>
              <w:ind w:left="33"/>
              <w:rPr>
                <w:rFonts w:ascii="Arial"/>
                <w:sz w:val="22"/>
              </w:rPr>
            </w:pPr>
            <w:r>
              <w:rPr>
                <w:rFonts w:ascii="Arial"/>
                <w:sz w:val="22"/>
              </w:rPr>
              <w:t>Sanitario o excusado</w:t>
            </w:r>
          </w:p>
        </w:tc>
        <w:tc>
          <w:tcPr>
            <w:tcW w:w="2459" w:type="dxa"/>
            <w:tcBorders>
              <w:top w:val="single" w:sz="8" w:space="0" w:color="000000"/>
              <w:left w:val="single" w:sz="8" w:space="0" w:color="000000"/>
              <w:bottom w:val="single" w:sz="8" w:space="0" w:color="000000"/>
            </w:tcBorders>
          </w:tcPr>
          <w:p>
            <w:pPr>
              <w:pStyle w:val="TableParagraph"/>
              <w:spacing w:line="253" w:lineRule="exact"/>
              <w:ind w:left="33"/>
              <w:rPr>
                <w:rFonts w:ascii="Arial"/>
                <w:sz w:val="22"/>
              </w:rPr>
            </w:pPr>
            <w:r>
              <w:rPr>
                <w:rFonts w:ascii="Arial"/>
                <w:sz w:val="22"/>
              </w:rPr>
              <w:t>9_sanitario</w:t>
            </w:r>
          </w:p>
        </w:tc>
      </w:tr>
      <w:tr>
        <w:trPr>
          <w:trHeight w:val="288" w:hRule="exact"/>
        </w:trPr>
        <w:tc>
          <w:tcPr>
            <w:tcW w:w="8812" w:type="dxa"/>
            <w:gridSpan w:val="3"/>
            <w:tcBorders>
              <w:top w:val="single" w:sz="8" w:space="0" w:color="000000"/>
              <w:bottom w:val="single" w:sz="8" w:space="0" w:color="000000"/>
            </w:tcBorders>
          </w:tcPr>
          <w:p>
            <w:pPr/>
          </w:p>
        </w:tc>
      </w:tr>
      <w:tr>
        <w:trPr>
          <w:trHeight w:val="288" w:hRule="exact"/>
        </w:trPr>
        <w:tc>
          <w:tcPr>
            <w:tcW w:w="3295" w:type="dxa"/>
            <w:vMerge w:val="restart"/>
            <w:tcBorders>
              <w:top w:val="single" w:sz="8" w:space="0" w:color="000000"/>
              <w:right w:val="single" w:sz="8" w:space="0" w:color="000000"/>
            </w:tcBorders>
            <w:shd w:val="clear" w:color="auto" w:fill="D7D7D7"/>
          </w:tcPr>
          <w:p>
            <w:pPr>
              <w:pStyle w:val="TableParagraph"/>
              <w:rPr>
                <w:rFonts w:ascii="Arial"/>
                <w:sz w:val="22"/>
              </w:rPr>
            </w:pPr>
          </w:p>
          <w:p>
            <w:pPr>
              <w:pStyle w:val="TableParagraph"/>
              <w:rPr>
                <w:rFonts w:ascii="Arial"/>
                <w:sz w:val="22"/>
              </w:rPr>
            </w:pPr>
          </w:p>
          <w:p>
            <w:pPr>
              <w:pStyle w:val="TableParagraph"/>
              <w:rPr>
                <w:rFonts w:ascii="Arial"/>
                <w:sz w:val="22"/>
              </w:rPr>
            </w:pPr>
          </w:p>
          <w:p>
            <w:pPr>
              <w:pStyle w:val="TableParagraph"/>
              <w:rPr>
                <w:rFonts w:ascii="Arial"/>
                <w:sz w:val="22"/>
              </w:rPr>
            </w:pPr>
          </w:p>
          <w:p>
            <w:pPr>
              <w:pStyle w:val="TableParagraph"/>
              <w:spacing w:before="138"/>
              <w:ind w:left="518"/>
              <w:rPr>
                <w:rFonts w:ascii="Arial"/>
                <w:b/>
                <w:sz w:val="22"/>
              </w:rPr>
            </w:pPr>
            <w:r>
              <w:rPr>
                <w:rFonts w:ascii="Arial"/>
                <w:b/>
                <w:sz w:val="22"/>
              </w:rPr>
              <w:t>Bienes en la vivienda</w:t>
            </w:r>
          </w:p>
        </w:tc>
        <w:tc>
          <w:tcPr>
            <w:tcW w:w="3059" w:type="dxa"/>
            <w:tcBorders>
              <w:top w:val="single" w:sz="8" w:space="0" w:color="000000"/>
              <w:left w:val="single" w:sz="8" w:space="0" w:color="000000"/>
              <w:bottom w:val="single" w:sz="8" w:space="0" w:color="000000"/>
              <w:right w:val="single" w:sz="8" w:space="0" w:color="000000"/>
            </w:tcBorders>
          </w:tcPr>
          <w:p>
            <w:pPr>
              <w:pStyle w:val="TableParagraph"/>
              <w:spacing w:line="253" w:lineRule="exact"/>
              <w:ind w:left="33"/>
              <w:rPr>
                <w:rFonts w:ascii="Arial"/>
                <w:sz w:val="22"/>
              </w:rPr>
            </w:pPr>
            <w:r>
              <w:rPr>
                <w:rFonts w:ascii="Arial"/>
                <w:sz w:val="22"/>
              </w:rPr>
              <w:t>Radio</w:t>
            </w:r>
          </w:p>
        </w:tc>
        <w:tc>
          <w:tcPr>
            <w:tcW w:w="2459" w:type="dxa"/>
            <w:tcBorders>
              <w:top w:val="single" w:sz="8" w:space="0" w:color="000000"/>
              <w:left w:val="single" w:sz="8" w:space="0" w:color="000000"/>
              <w:bottom w:val="single" w:sz="8" w:space="0" w:color="000000"/>
            </w:tcBorders>
          </w:tcPr>
          <w:p>
            <w:pPr>
              <w:pStyle w:val="TableParagraph"/>
              <w:spacing w:line="253" w:lineRule="exact"/>
              <w:ind w:left="33"/>
              <w:rPr>
                <w:rFonts w:ascii="Arial"/>
                <w:sz w:val="22"/>
              </w:rPr>
            </w:pPr>
            <w:r>
              <w:rPr>
                <w:rFonts w:ascii="Arial"/>
                <w:sz w:val="22"/>
              </w:rPr>
              <w:t>10_radio</w:t>
            </w:r>
          </w:p>
        </w:tc>
      </w:tr>
      <w:tr>
        <w:trPr>
          <w:trHeight w:val="288" w:hRule="exact"/>
        </w:trPr>
        <w:tc>
          <w:tcPr>
            <w:tcW w:w="3295" w:type="dxa"/>
            <w:vMerge/>
            <w:tcBorders>
              <w:right w:val="single" w:sz="8" w:space="0" w:color="000000"/>
            </w:tcBorders>
            <w:shd w:val="clear" w:color="auto" w:fill="D7D7D7"/>
          </w:tcPr>
          <w:p>
            <w:pPr/>
          </w:p>
        </w:tc>
        <w:tc>
          <w:tcPr>
            <w:tcW w:w="3059" w:type="dxa"/>
            <w:tcBorders>
              <w:top w:val="single" w:sz="8" w:space="0" w:color="000000"/>
              <w:left w:val="single" w:sz="8" w:space="0" w:color="000000"/>
              <w:bottom w:val="single" w:sz="8" w:space="0" w:color="000000"/>
              <w:right w:val="single" w:sz="8" w:space="0" w:color="000000"/>
            </w:tcBorders>
          </w:tcPr>
          <w:p>
            <w:pPr>
              <w:pStyle w:val="TableParagraph"/>
              <w:ind w:left="33"/>
              <w:rPr>
                <w:rFonts w:ascii="Arial"/>
                <w:sz w:val="22"/>
              </w:rPr>
            </w:pPr>
            <w:r>
              <w:rPr>
                <w:rFonts w:ascii="Arial"/>
                <w:sz w:val="22"/>
              </w:rPr>
              <w:t>Televisor</w:t>
            </w:r>
          </w:p>
        </w:tc>
        <w:tc>
          <w:tcPr>
            <w:tcW w:w="2459" w:type="dxa"/>
            <w:tcBorders>
              <w:top w:val="single" w:sz="8" w:space="0" w:color="000000"/>
              <w:left w:val="single" w:sz="8" w:space="0" w:color="000000"/>
              <w:bottom w:val="single" w:sz="8" w:space="0" w:color="000000"/>
            </w:tcBorders>
          </w:tcPr>
          <w:p>
            <w:pPr>
              <w:pStyle w:val="TableParagraph"/>
              <w:ind w:left="33"/>
              <w:rPr>
                <w:rFonts w:ascii="Arial"/>
                <w:sz w:val="22"/>
              </w:rPr>
            </w:pPr>
            <w:r>
              <w:rPr>
                <w:rFonts w:ascii="Arial"/>
                <w:sz w:val="22"/>
              </w:rPr>
              <w:t>11_televisor</w:t>
            </w:r>
          </w:p>
        </w:tc>
      </w:tr>
      <w:tr>
        <w:trPr>
          <w:trHeight w:val="288" w:hRule="exact"/>
        </w:trPr>
        <w:tc>
          <w:tcPr>
            <w:tcW w:w="3295" w:type="dxa"/>
            <w:vMerge/>
            <w:tcBorders>
              <w:right w:val="single" w:sz="8" w:space="0" w:color="000000"/>
            </w:tcBorders>
            <w:shd w:val="clear" w:color="auto" w:fill="D7D7D7"/>
          </w:tcPr>
          <w:p>
            <w:pPr/>
          </w:p>
        </w:tc>
        <w:tc>
          <w:tcPr>
            <w:tcW w:w="3059" w:type="dxa"/>
            <w:tcBorders>
              <w:top w:val="single" w:sz="8" w:space="0" w:color="000000"/>
              <w:left w:val="single" w:sz="8" w:space="0" w:color="000000"/>
              <w:bottom w:val="single" w:sz="8" w:space="0" w:color="000000"/>
              <w:right w:val="single" w:sz="8" w:space="0" w:color="000000"/>
            </w:tcBorders>
          </w:tcPr>
          <w:p>
            <w:pPr>
              <w:pStyle w:val="TableParagraph"/>
              <w:spacing w:line="253" w:lineRule="exact"/>
              <w:ind w:left="33"/>
              <w:rPr>
                <w:rFonts w:ascii="Arial"/>
                <w:sz w:val="22"/>
              </w:rPr>
            </w:pPr>
            <w:r>
              <w:rPr>
                <w:rFonts w:ascii="Arial"/>
                <w:sz w:val="22"/>
              </w:rPr>
              <w:t>Refrigerador</w:t>
            </w:r>
          </w:p>
        </w:tc>
        <w:tc>
          <w:tcPr>
            <w:tcW w:w="2459" w:type="dxa"/>
            <w:tcBorders>
              <w:top w:val="single" w:sz="8" w:space="0" w:color="000000"/>
              <w:left w:val="single" w:sz="8" w:space="0" w:color="000000"/>
              <w:bottom w:val="single" w:sz="8" w:space="0" w:color="000000"/>
            </w:tcBorders>
          </w:tcPr>
          <w:p>
            <w:pPr>
              <w:pStyle w:val="TableParagraph"/>
              <w:spacing w:line="253" w:lineRule="exact"/>
              <w:ind w:left="33"/>
              <w:rPr>
                <w:rFonts w:ascii="Arial"/>
                <w:sz w:val="22"/>
              </w:rPr>
            </w:pPr>
            <w:r>
              <w:rPr>
                <w:rFonts w:ascii="Arial"/>
                <w:sz w:val="22"/>
              </w:rPr>
              <w:t>12_refrigerador</w:t>
            </w:r>
          </w:p>
        </w:tc>
      </w:tr>
      <w:tr>
        <w:trPr>
          <w:trHeight w:val="288" w:hRule="exact"/>
        </w:trPr>
        <w:tc>
          <w:tcPr>
            <w:tcW w:w="3295" w:type="dxa"/>
            <w:vMerge/>
            <w:tcBorders>
              <w:right w:val="single" w:sz="8" w:space="0" w:color="000000"/>
            </w:tcBorders>
            <w:shd w:val="clear" w:color="auto" w:fill="D7D7D7"/>
          </w:tcPr>
          <w:p>
            <w:pPr/>
          </w:p>
        </w:tc>
        <w:tc>
          <w:tcPr>
            <w:tcW w:w="3059" w:type="dxa"/>
            <w:tcBorders>
              <w:top w:val="single" w:sz="8" w:space="0" w:color="000000"/>
              <w:left w:val="single" w:sz="8" w:space="0" w:color="000000"/>
              <w:bottom w:val="single" w:sz="8" w:space="0" w:color="000000"/>
              <w:right w:val="single" w:sz="8" w:space="0" w:color="000000"/>
            </w:tcBorders>
          </w:tcPr>
          <w:p>
            <w:pPr>
              <w:pStyle w:val="TableParagraph"/>
              <w:spacing w:line="253" w:lineRule="exact"/>
              <w:ind w:left="33"/>
              <w:rPr>
                <w:rFonts w:ascii="Arial"/>
                <w:sz w:val="22"/>
              </w:rPr>
            </w:pPr>
            <w:r>
              <w:rPr>
                <w:rFonts w:ascii="Arial"/>
                <w:sz w:val="22"/>
              </w:rPr>
              <w:t>Lavadora</w:t>
            </w:r>
          </w:p>
        </w:tc>
        <w:tc>
          <w:tcPr>
            <w:tcW w:w="2459" w:type="dxa"/>
            <w:tcBorders>
              <w:top w:val="single" w:sz="8" w:space="0" w:color="000000"/>
              <w:left w:val="single" w:sz="8" w:space="0" w:color="000000"/>
              <w:bottom w:val="single" w:sz="8" w:space="0" w:color="000000"/>
            </w:tcBorders>
          </w:tcPr>
          <w:p>
            <w:pPr>
              <w:pStyle w:val="TableParagraph"/>
              <w:spacing w:line="253" w:lineRule="exact"/>
              <w:ind w:left="33"/>
              <w:rPr>
                <w:rFonts w:ascii="Arial"/>
                <w:sz w:val="22"/>
              </w:rPr>
            </w:pPr>
            <w:r>
              <w:rPr>
                <w:rFonts w:ascii="Arial"/>
                <w:sz w:val="22"/>
              </w:rPr>
              <w:t>13_lavadora</w:t>
            </w:r>
          </w:p>
        </w:tc>
      </w:tr>
      <w:tr>
        <w:trPr>
          <w:trHeight w:val="288" w:hRule="exact"/>
        </w:trPr>
        <w:tc>
          <w:tcPr>
            <w:tcW w:w="3295" w:type="dxa"/>
            <w:vMerge/>
            <w:tcBorders>
              <w:right w:val="single" w:sz="8" w:space="0" w:color="000000"/>
            </w:tcBorders>
            <w:shd w:val="clear" w:color="auto" w:fill="D7D7D7"/>
          </w:tcPr>
          <w:p>
            <w:pPr/>
          </w:p>
        </w:tc>
        <w:tc>
          <w:tcPr>
            <w:tcW w:w="3059" w:type="dxa"/>
            <w:tcBorders>
              <w:top w:val="single" w:sz="8" w:space="0" w:color="000000"/>
              <w:left w:val="single" w:sz="8" w:space="0" w:color="000000"/>
              <w:bottom w:val="single" w:sz="8" w:space="0" w:color="000000"/>
              <w:right w:val="single" w:sz="8" w:space="0" w:color="000000"/>
            </w:tcBorders>
          </w:tcPr>
          <w:p>
            <w:pPr>
              <w:pStyle w:val="TableParagraph"/>
              <w:spacing w:line="253" w:lineRule="exact"/>
              <w:ind w:left="33"/>
              <w:rPr>
                <w:rFonts w:ascii="Arial" w:hAnsi="Arial"/>
                <w:sz w:val="22"/>
              </w:rPr>
            </w:pPr>
            <w:r>
              <w:rPr>
                <w:rFonts w:ascii="Arial" w:hAnsi="Arial"/>
                <w:sz w:val="22"/>
              </w:rPr>
              <w:t>Automóvil o camioneta</w:t>
            </w:r>
          </w:p>
        </w:tc>
        <w:tc>
          <w:tcPr>
            <w:tcW w:w="2459" w:type="dxa"/>
            <w:tcBorders>
              <w:top w:val="single" w:sz="8" w:space="0" w:color="000000"/>
              <w:left w:val="single" w:sz="8" w:space="0" w:color="000000"/>
              <w:bottom w:val="single" w:sz="8" w:space="0" w:color="000000"/>
            </w:tcBorders>
          </w:tcPr>
          <w:p>
            <w:pPr>
              <w:pStyle w:val="TableParagraph"/>
              <w:spacing w:line="253" w:lineRule="exact"/>
              <w:ind w:left="33"/>
              <w:rPr>
                <w:rFonts w:ascii="Arial" w:hAnsi="Arial"/>
                <w:sz w:val="22"/>
              </w:rPr>
            </w:pPr>
            <w:r>
              <w:rPr>
                <w:rFonts w:ascii="Arial" w:hAnsi="Arial"/>
                <w:sz w:val="22"/>
              </w:rPr>
              <w:t>14_automóvil</w:t>
            </w:r>
          </w:p>
        </w:tc>
      </w:tr>
      <w:tr>
        <w:trPr>
          <w:trHeight w:val="288" w:hRule="exact"/>
        </w:trPr>
        <w:tc>
          <w:tcPr>
            <w:tcW w:w="3295" w:type="dxa"/>
            <w:vMerge/>
            <w:tcBorders>
              <w:right w:val="single" w:sz="8" w:space="0" w:color="000000"/>
            </w:tcBorders>
            <w:shd w:val="clear" w:color="auto" w:fill="D7D7D7"/>
          </w:tcPr>
          <w:p>
            <w:pPr/>
          </w:p>
        </w:tc>
        <w:tc>
          <w:tcPr>
            <w:tcW w:w="3059" w:type="dxa"/>
            <w:tcBorders>
              <w:top w:val="single" w:sz="8" w:space="0" w:color="000000"/>
              <w:left w:val="single" w:sz="8" w:space="0" w:color="000000"/>
              <w:bottom w:val="single" w:sz="8" w:space="0" w:color="000000"/>
              <w:right w:val="single" w:sz="8" w:space="0" w:color="000000"/>
            </w:tcBorders>
          </w:tcPr>
          <w:p>
            <w:pPr>
              <w:pStyle w:val="TableParagraph"/>
              <w:spacing w:line="253" w:lineRule="exact"/>
              <w:ind w:left="33"/>
              <w:rPr>
                <w:rFonts w:ascii="Arial"/>
                <w:sz w:val="22"/>
              </w:rPr>
            </w:pPr>
            <w:r>
              <w:rPr>
                <w:rFonts w:ascii="Arial"/>
                <w:sz w:val="22"/>
              </w:rPr>
              <w:t>Computadora</w:t>
            </w:r>
          </w:p>
        </w:tc>
        <w:tc>
          <w:tcPr>
            <w:tcW w:w="2459" w:type="dxa"/>
            <w:tcBorders>
              <w:top w:val="single" w:sz="8" w:space="0" w:color="000000"/>
              <w:left w:val="single" w:sz="8" w:space="0" w:color="000000"/>
              <w:bottom w:val="single" w:sz="8" w:space="0" w:color="000000"/>
            </w:tcBorders>
          </w:tcPr>
          <w:p>
            <w:pPr>
              <w:pStyle w:val="TableParagraph"/>
              <w:spacing w:line="253" w:lineRule="exact"/>
              <w:ind w:left="33"/>
              <w:rPr>
                <w:rFonts w:ascii="Arial"/>
                <w:sz w:val="22"/>
              </w:rPr>
            </w:pPr>
            <w:r>
              <w:rPr>
                <w:rFonts w:ascii="Arial"/>
                <w:sz w:val="22"/>
              </w:rPr>
              <w:t>15_computadora</w:t>
            </w:r>
          </w:p>
        </w:tc>
      </w:tr>
      <w:tr>
        <w:trPr>
          <w:trHeight w:val="288" w:hRule="exact"/>
        </w:trPr>
        <w:tc>
          <w:tcPr>
            <w:tcW w:w="3295" w:type="dxa"/>
            <w:vMerge/>
            <w:tcBorders>
              <w:right w:val="single" w:sz="8" w:space="0" w:color="000000"/>
            </w:tcBorders>
            <w:shd w:val="clear" w:color="auto" w:fill="D7D7D7"/>
          </w:tcPr>
          <w:p>
            <w:pPr/>
          </w:p>
        </w:tc>
        <w:tc>
          <w:tcPr>
            <w:tcW w:w="3059" w:type="dxa"/>
            <w:tcBorders>
              <w:top w:val="single" w:sz="8" w:space="0" w:color="000000"/>
              <w:left w:val="single" w:sz="8" w:space="0" w:color="000000"/>
              <w:bottom w:val="single" w:sz="8" w:space="0" w:color="000000"/>
              <w:right w:val="single" w:sz="8" w:space="0" w:color="000000"/>
            </w:tcBorders>
          </w:tcPr>
          <w:p>
            <w:pPr>
              <w:pStyle w:val="TableParagraph"/>
              <w:spacing w:line="253" w:lineRule="exact"/>
              <w:ind w:left="33"/>
              <w:rPr>
                <w:rFonts w:ascii="Arial" w:hAnsi="Arial"/>
                <w:sz w:val="22"/>
              </w:rPr>
            </w:pPr>
            <w:r>
              <w:rPr>
                <w:rFonts w:ascii="Arial" w:hAnsi="Arial"/>
                <w:sz w:val="22"/>
              </w:rPr>
              <w:t>Telefóno fijo</w:t>
            </w:r>
          </w:p>
        </w:tc>
        <w:tc>
          <w:tcPr>
            <w:tcW w:w="2459" w:type="dxa"/>
            <w:tcBorders>
              <w:top w:val="single" w:sz="8" w:space="0" w:color="000000"/>
              <w:left w:val="single" w:sz="8" w:space="0" w:color="000000"/>
              <w:bottom w:val="single" w:sz="8" w:space="0" w:color="000000"/>
            </w:tcBorders>
          </w:tcPr>
          <w:p>
            <w:pPr>
              <w:pStyle w:val="TableParagraph"/>
              <w:spacing w:line="253" w:lineRule="exact"/>
              <w:ind w:left="33"/>
              <w:rPr>
                <w:rFonts w:ascii="Arial" w:hAnsi="Arial"/>
                <w:sz w:val="22"/>
              </w:rPr>
            </w:pPr>
            <w:r>
              <w:rPr>
                <w:rFonts w:ascii="Arial" w:hAnsi="Arial"/>
                <w:sz w:val="22"/>
              </w:rPr>
              <w:t>16_telefóno fijo</w:t>
            </w:r>
          </w:p>
        </w:tc>
      </w:tr>
      <w:tr>
        <w:trPr>
          <w:trHeight w:val="288" w:hRule="exact"/>
        </w:trPr>
        <w:tc>
          <w:tcPr>
            <w:tcW w:w="3295" w:type="dxa"/>
            <w:vMerge/>
            <w:tcBorders>
              <w:right w:val="single" w:sz="8" w:space="0" w:color="000000"/>
            </w:tcBorders>
            <w:shd w:val="clear" w:color="auto" w:fill="D7D7D7"/>
          </w:tcPr>
          <w:p>
            <w:pPr/>
          </w:p>
        </w:tc>
        <w:tc>
          <w:tcPr>
            <w:tcW w:w="3059" w:type="dxa"/>
            <w:tcBorders>
              <w:top w:val="single" w:sz="8" w:space="0" w:color="000000"/>
              <w:left w:val="single" w:sz="8" w:space="0" w:color="000000"/>
              <w:bottom w:val="single" w:sz="8" w:space="0" w:color="000000"/>
              <w:right w:val="single" w:sz="8" w:space="0" w:color="000000"/>
            </w:tcBorders>
          </w:tcPr>
          <w:p>
            <w:pPr>
              <w:pStyle w:val="TableParagraph"/>
              <w:spacing w:line="253" w:lineRule="exact"/>
              <w:ind w:left="33"/>
              <w:rPr>
                <w:rFonts w:ascii="Arial"/>
                <w:sz w:val="22"/>
              </w:rPr>
            </w:pPr>
            <w:r>
              <w:rPr>
                <w:rFonts w:ascii="Arial"/>
                <w:sz w:val="22"/>
              </w:rPr>
              <w:t>Celular</w:t>
            </w:r>
          </w:p>
        </w:tc>
        <w:tc>
          <w:tcPr>
            <w:tcW w:w="2459" w:type="dxa"/>
            <w:tcBorders>
              <w:top w:val="single" w:sz="8" w:space="0" w:color="000000"/>
              <w:left w:val="single" w:sz="8" w:space="0" w:color="000000"/>
              <w:bottom w:val="single" w:sz="8" w:space="0" w:color="000000"/>
            </w:tcBorders>
          </w:tcPr>
          <w:p>
            <w:pPr>
              <w:pStyle w:val="TableParagraph"/>
              <w:spacing w:line="253" w:lineRule="exact"/>
              <w:ind w:left="33"/>
              <w:rPr>
                <w:rFonts w:ascii="Arial"/>
                <w:sz w:val="22"/>
              </w:rPr>
            </w:pPr>
            <w:r>
              <w:rPr>
                <w:rFonts w:ascii="Arial"/>
                <w:sz w:val="22"/>
              </w:rPr>
              <w:t>17_celular</w:t>
            </w:r>
          </w:p>
        </w:tc>
      </w:tr>
      <w:tr>
        <w:trPr>
          <w:trHeight w:val="288" w:hRule="exact"/>
        </w:trPr>
        <w:tc>
          <w:tcPr>
            <w:tcW w:w="3295" w:type="dxa"/>
            <w:vMerge/>
            <w:tcBorders>
              <w:bottom w:val="single" w:sz="8" w:space="0" w:color="000000"/>
              <w:right w:val="single" w:sz="8" w:space="0" w:color="000000"/>
            </w:tcBorders>
            <w:shd w:val="clear" w:color="auto" w:fill="D7D7D7"/>
          </w:tcPr>
          <w:p>
            <w:pPr/>
          </w:p>
        </w:tc>
        <w:tc>
          <w:tcPr>
            <w:tcW w:w="3059" w:type="dxa"/>
            <w:tcBorders>
              <w:top w:val="single" w:sz="8" w:space="0" w:color="000000"/>
              <w:left w:val="single" w:sz="8" w:space="0" w:color="000000"/>
              <w:bottom w:val="single" w:sz="8" w:space="0" w:color="000000"/>
              <w:right w:val="single" w:sz="8" w:space="0" w:color="000000"/>
            </w:tcBorders>
          </w:tcPr>
          <w:p>
            <w:pPr>
              <w:pStyle w:val="TableParagraph"/>
              <w:ind w:left="33"/>
              <w:rPr>
                <w:rFonts w:ascii="Arial"/>
                <w:sz w:val="22"/>
              </w:rPr>
            </w:pPr>
            <w:r>
              <w:rPr>
                <w:rFonts w:ascii="Arial"/>
                <w:sz w:val="22"/>
              </w:rPr>
              <w:t>Internet</w:t>
            </w:r>
          </w:p>
        </w:tc>
        <w:tc>
          <w:tcPr>
            <w:tcW w:w="2459" w:type="dxa"/>
            <w:tcBorders>
              <w:top w:val="single" w:sz="8" w:space="0" w:color="000000"/>
              <w:left w:val="single" w:sz="8" w:space="0" w:color="000000"/>
              <w:bottom w:val="single" w:sz="8" w:space="0" w:color="000000"/>
            </w:tcBorders>
          </w:tcPr>
          <w:p>
            <w:pPr>
              <w:pStyle w:val="TableParagraph"/>
              <w:ind w:left="33"/>
              <w:rPr>
                <w:rFonts w:ascii="Arial"/>
                <w:sz w:val="22"/>
              </w:rPr>
            </w:pPr>
            <w:r>
              <w:rPr>
                <w:rFonts w:ascii="Arial"/>
                <w:sz w:val="22"/>
              </w:rPr>
              <w:t>18_internet</w:t>
            </w:r>
          </w:p>
        </w:tc>
      </w:tr>
      <w:tr>
        <w:trPr>
          <w:trHeight w:val="288" w:hRule="exact"/>
        </w:trPr>
        <w:tc>
          <w:tcPr>
            <w:tcW w:w="8812" w:type="dxa"/>
            <w:gridSpan w:val="3"/>
            <w:tcBorders>
              <w:top w:val="single" w:sz="8" w:space="0" w:color="000000"/>
              <w:bottom w:val="single" w:sz="8" w:space="0" w:color="000000"/>
            </w:tcBorders>
          </w:tcPr>
          <w:p>
            <w:pPr/>
          </w:p>
        </w:tc>
      </w:tr>
      <w:tr>
        <w:trPr>
          <w:trHeight w:val="288" w:hRule="exact"/>
        </w:trPr>
        <w:tc>
          <w:tcPr>
            <w:tcW w:w="3295" w:type="dxa"/>
            <w:vMerge w:val="restart"/>
            <w:tcBorders>
              <w:top w:val="single" w:sz="8" w:space="0" w:color="000000"/>
              <w:right w:val="single" w:sz="8" w:space="0" w:color="000000"/>
            </w:tcBorders>
            <w:shd w:val="clear" w:color="auto" w:fill="D7D7D7"/>
          </w:tcPr>
          <w:p>
            <w:pPr>
              <w:pStyle w:val="TableParagraph"/>
              <w:spacing w:before="143"/>
              <w:ind w:left="244"/>
              <w:rPr>
                <w:rFonts w:ascii="Arial"/>
                <w:b/>
                <w:sz w:val="22"/>
              </w:rPr>
            </w:pPr>
            <w:r>
              <w:rPr>
                <w:rFonts w:ascii="Arial"/>
                <w:b/>
                <w:sz w:val="22"/>
              </w:rPr>
              <w:t>Legalidad de las viviendas</w:t>
            </w:r>
          </w:p>
        </w:tc>
        <w:tc>
          <w:tcPr>
            <w:tcW w:w="3059" w:type="dxa"/>
            <w:tcBorders>
              <w:top w:val="single" w:sz="8" w:space="0" w:color="000000"/>
              <w:left w:val="single" w:sz="8" w:space="0" w:color="000000"/>
              <w:bottom w:val="single" w:sz="8" w:space="0" w:color="000000"/>
              <w:right w:val="single" w:sz="8" w:space="0" w:color="000000"/>
            </w:tcBorders>
          </w:tcPr>
          <w:p>
            <w:pPr>
              <w:pStyle w:val="TableParagraph"/>
              <w:spacing w:line="253" w:lineRule="exact"/>
              <w:ind w:left="33"/>
              <w:rPr>
                <w:rFonts w:ascii="Arial"/>
                <w:sz w:val="22"/>
              </w:rPr>
            </w:pPr>
            <w:r>
              <w:rPr>
                <w:rFonts w:ascii="Arial"/>
                <w:sz w:val="22"/>
              </w:rPr>
              <w:t>Viviendas propias</w:t>
            </w:r>
          </w:p>
        </w:tc>
        <w:tc>
          <w:tcPr>
            <w:tcW w:w="2459" w:type="dxa"/>
            <w:tcBorders>
              <w:top w:val="single" w:sz="8" w:space="0" w:color="000000"/>
              <w:left w:val="single" w:sz="8" w:space="0" w:color="000000"/>
              <w:bottom w:val="single" w:sz="8" w:space="0" w:color="000000"/>
            </w:tcBorders>
          </w:tcPr>
          <w:p>
            <w:pPr>
              <w:pStyle w:val="TableParagraph"/>
              <w:spacing w:line="253" w:lineRule="exact"/>
              <w:ind w:left="33"/>
              <w:rPr>
                <w:rFonts w:ascii="Arial"/>
                <w:sz w:val="22"/>
              </w:rPr>
            </w:pPr>
            <w:r>
              <w:rPr>
                <w:rFonts w:ascii="Arial"/>
                <w:sz w:val="22"/>
              </w:rPr>
              <w:t>19_propias</w:t>
            </w:r>
          </w:p>
        </w:tc>
      </w:tr>
      <w:tr>
        <w:trPr>
          <w:trHeight w:val="288" w:hRule="exact"/>
        </w:trPr>
        <w:tc>
          <w:tcPr>
            <w:tcW w:w="3295" w:type="dxa"/>
            <w:vMerge/>
            <w:tcBorders>
              <w:bottom w:val="single" w:sz="8" w:space="0" w:color="000000"/>
              <w:right w:val="single" w:sz="8" w:space="0" w:color="000000"/>
            </w:tcBorders>
            <w:shd w:val="clear" w:color="auto" w:fill="D7D7D7"/>
          </w:tcPr>
          <w:p>
            <w:pPr/>
          </w:p>
        </w:tc>
        <w:tc>
          <w:tcPr>
            <w:tcW w:w="3059" w:type="dxa"/>
            <w:tcBorders>
              <w:top w:val="single" w:sz="8" w:space="0" w:color="000000"/>
              <w:left w:val="single" w:sz="8" w:space="0" w:color="000000"/>
              <w:bottom w:val="single" w:sz="8" w:space="0" w:color="000000"/>
              <w:right w:val="single" w:sz="8" w:space="0" w:color="000000"/>
            </w:tcBorders>
          </w:tcPr>
          <w:p>
            <w:pPr>
              <w:pStyle w:val="TableParagraph"/>
              <w:ind w:left="33"/>
              <w:rPr>
                <w:rFonts w:ascii="Arial"/>
                <w:sz w:val="22"/>
              </w:rPr>
            </w:pPr>
            <w:r>
              <w:rPr>
                <w:rFonts w:ascii="Arial"/>
                <w:sz w:val="22"/>
              </w:rPr>
              <w:t>Viviendas rentadas</w:t>
            </w:r>
          </w:p>
        </w:tc>
        <w:tc>
          <w:tcPr>
            <w:tcW w:w="2459" w:type="dxa"/>
            <w:tcBorders>
              <w:top w:val="single" w:sz="8" w:space="0" w:color="000000"/>
              <w:left w:val="single" w:sz="8" w:space="0" w:color="000000"/>
              <w:bottom w:val="single" w:sz="8" w:space="0" w:color="000000"/>
            </w:tcBorders>
          </w:tcPr>
          <w:p>
            <w:pPr>
              <w:pStyle w:val="TableParagraph"/>
              <w:ind w:left="33"/>
              <w:rPr>
                <w:rFonts w:ascii="Arial"/>
                <w:sz w:val="22"/>
              </w:rPr>
            </w:pPr>
            <w:r>
              <w:rPr>
                <w:rFonts w:ascii="Arial"/>
                <w:sz w:val="22"/>
              </w:rPr>
              <w:t>20_rentadas</w:t>
            </w:r>
          </w:p>
        </w:tc>
      </w:tr>
      <w:tr>
        <w:trPr>
          <w:trHeight w:val="288" w:hRule="exact"/>
        </w:trPr>
        <w:tc>
          <w:tcPr>
            <w:tcW w:w="8812" w:type="dxa"/>
            <w:gridSpan w:val="3"/>
            <w:tcBorders>
              <w:top w:val="single" w:sz="8" w:space="0" w:color="000000"/>
              <w:bottom w:val="single" w:sz="8" w:space="0" w:color="000000"/>
            </w:tcBorders>
          </w:tcPr>
          <w:p>
            <w:pPr/>
          </w:p>
        </w:tc>
      </w:tr>
      <w:tr>
        <w:trPr>
          <w:trHeight w:val="288" w:hRule="exact"/>
        </w:trPr>
        <w:tc>
          <w:tcPr>
            <w:tcW w:w="3295" w:type="dxa"/>
            <w:vMerge w:val="restart"/>
            <w:tcBorders>
              <w:top w:val="single" w:sz="8" w:space="0" w:color="000000"/>
              <w:right w:val="single" w:sz="8" w:space="0" w:color="000000"/>
            </w:tcBorders>
            <w:shd w:val="clear" w:color="auto" w:fill="D7D7D7"/>
          </w:tcPr>
          <w:p>
            <w:pPr>
              <w:pStyle w:val="TableParagraph"/>
              <w:rPr>
                <w:rFonts w:ascii="Arial"/>
                <w:sz w:val="22"/>
              </w:rPr>
            </w:pPr>
          </w:p>
          <w:p>
            <w:pPr>
              <w:pStyle w:val="TableParagraph"/>
              <w:rPr>
                <w:rFonts w:ascii="Arial"/>
                <w:sz w:val="22"/>
              </w:rPr>
            </w:pPr>
          </w:p>
          <w:p>
            <w:pPr>
              <w:pStyle w:val="TableParagraph"/>
              <w:spacing w:before="11"/>
              <w:rPr>
                <w:rFonts w:ascii="Arial"/>
                <w:sz w:val="18"/>
              </w:rPr>
            </w:pPr>
          </w:p>
          <w:p>
            <w:pPr>
              <w:pStyle w:val="TableParagraph"/>
              <w:ind w:left="335"/>
              <w:rPr>
                <w:rFonts w:ascii="Arial"/>
                <w:b/>
                <w:sz w:val="22"/>
              </w:rPr>
            </w:pPr>
            <w:r>
              <w:rPr>
                <w:rFonts w:ascii="Arial"/>
                <w:b/>
                <w:sz w:val="22"/>
              </w:rPr>
              <w:t>Entorno de las viviendas</w:t>
            </w:r>
          </w:p>
        </w:tc>
        <w:tc>
          <w:tcPr>
            <w:tcW w:w="3059" w:type="dxa"/>
            <w:tcBorders>
              <w:top w:val="single" w:sz="8" w:space="0" w:color="000000"/>
              <w:left w:val="single" w:sz="8" w:space="0" w:color="000000"/>
              <w:bottom w:val="single" w:sz="8" w:space="0" w:color="000000"/>
              <w:right w:val="single" w:sz="8" w:space="0" w:color="000000"/>
            </w:tcBorders>
          </w:tcPr>
          <w:p>
            <w:pPr>
              <w:pStyle w:val="TableParagraph"/>
              <w:spacing w:line="253" w:lineRule="exact"/>
              <w:ind w:left="33"/>
              <w:rPr>
                <w:rFonts w:ascii="Arial"/>
                <w:sz w:val="22"/>
              </w:rPr>
            </w:pPr>
            <w:r>
              <w:rPr>
                <w:rFonts w:ascii="Arial"/>
                <w:sz w:val="22"/>
              </w:rPr>
              <w:t>Empleo</w:t>
            </w:r>
          </w:p>
        </w:tc>
        <w:tc>
          <w:tcPr>
            <w:tcW w:w="2459" w:type="dxa"/>
            <w:tcBorders>
              <w:top w:val="single" w:sz="8" w:space="0" w:color="000000"/>
              <w:left w:val="single" w:sz="8" w:space="0" w:color="000000"/>
              <w:bottom w:val="single" w:sz="8" w:space="0" w:color="000000"/>
            </w:tcBorders>
          </w:tcPr>
          <w:p>
            <w:pPr>
              <w:pStyle w:val="TableParagraph"/>
              <w:spacing w:line="253" w:lineRule="exact"/>
              <w:ind w:left="33"/>
              <w:rPr>
                <w:rFonts w:ascii="Arial"/>
                <w:sz w:val="22"/>
              </w:rPr>
            </w:pPr>
            <w:r>
              <w:rPr>
                <w:rFonts w:ascii="Arial"/>
                <w:sz w:val="22"/>
              </w:rPr>
              <w:t>21_empleo</w:t>
            </w:r>
          </w:p>
        </w:tc>
      </w:tr>
      <w:tr>
        <w:trPr>
          <w:trHeight w:val="288" w:hRule="exact"/>
        </w:trPr>
        <w:tc>
          <w:tcPr>
            <w:tcW w:w="3295" w:type="dxa"/>
            <w:vMerge/>
            <w:tcBorders>
              <w:right w:val="single" w:sz="8" w:space="0" w:color="000000"/>
            </w:tcBorders>
            <w:shd w:val="clear" w:color="auto" w:fill="D7D7D7"/>
          </w:tcPr>
          <w:p>
            <w:pPr/>
          </w:p>
        </w:tc>
        <w:tc>
          <w:tcPr>
            <w:tcW w:w="3059" w:type="dxa"/>
            <w:tcBorders>
              <w:top w:val="single" w:sz="8" w:space="0" w:color="000000"/>
              <w:left w:val="single" w:sz="8" w:space="0" w:color="000000"/>
              <w:bottom w:val="single" w:sz="8" w:space="0" w:color="000000"/>
              <w:right w:val="single" w:sz="8" w:space="0" w:color="000000"/>
            </w:tcBorders>
          </w:tcPr>
          <w:p>
            <w:pPr>
              <w:pStyle w:val="TableParagraph"/>
              <w:spacing w:line="253" w:lineRule="exact"/>
              <w:ind w:left="33"/>
              <w:rPr>
                <w:rFonts w:ascii="Arial" w:hAnsi="Arial"/>
                <w:sz w:val="22"/>
              </w:rPr>
            </w:pPr>
            <w:r>
              <w:rPr>
                <w:rFonts w:ascii="Arial" w:hAnsi="Arial"/>
                <w:sz w:val="22"/>
              </w:rPr>
              <w:t>Educación</w:t>
            </w:r>
          </w:p>
        </w:tc>
        <w:tc>
          <w:tcPr>
            <w:tcW w:w="2459" w:type="dxa"/>
            <w:tcBorders>
              <w:top w:val="single" w:sz="8" w:space="0" w:color="000000"/>
              <w:left w:val="single" w:sz="8" w:space="0" w:color="000000"/>
              <w:bottom w:val="single" w:sz="8" w:space="0" w:color="000000"/>
            </w:tcBorders>
          </w:tcPr>
          <w:p>
            <w:pPr>
              <w:pStyle w:val="TableParagraph"/>
              <w:spacing w:line="253" w:lineRule="exact"/>
              <w:ind w:left="33"/>
              <w:rPr>
                <w:rFonts w:ascii="Arial" w:hAnsi="Arial"/>
                <w:sz w:val="22"/>
              </w:rPr>
            </w:pPr>
            <w:r>
              <w:rPr>
                <w:rFonts w:ascii="Arial" w:hAnsi="Arial"/>
                <w:sz w:val="22"/>
              </w:rPr>
              <w:t>22_educación</w:t>
            </w:r>
          </w:p>
        </w:tc>
      </w:tr>
      <w:tr>
        <w:trPr>
          <w:trHeight w:val="288" w:hRule="exact"/>
        </w:trPr>
        <w:tc>
          <w:tcPr>
            <w:tcW w:w="3295" w:type="dxa"/>
            <w:vMerge/>
            <w:tcBorders>
              <w:right w:val="single" w:sz="8" w:space="0" w:color="000000"/>
            </w:tcBorders>
            <w:shd w:val="clear" w:color="auto" w:fill="D7D7D7"/>
          </w:tcPr>
          <w:p>
            <w:pPr/>
          </w:p>
        </w:tc>
        <w:tc>
          <w:tcPr>
            <w:tcW w:w="3059" w:type="dxa"/>
            <w:tcBorders>
              <w:top w:val="single" w:sz="8" w:space="0" w:color="000000"/>
              <w:left w:val="single" w:sz="8" w:space="0" w:color="000000"/>
              <w:bottom w:val="single" w:sz="8" w:space="0" w:color="000000"/>
              <w:right w:val="single" w:sz="8" w:space="0" w:color="000000"/>
            </w:tcBorders>
          </w:tcPr>
          <w:p>
            <w:pPr>
              <w:pStyle w:val="TableParagraph"/>
              <w:ind w:left="33"/>
              <w:rPr>
                <w:rFonts w:ascii="Arial"/>
                <w:sz w:val="22"/>
              </w:rPr>
            </w:pPr>
            <w:r>
              <w:rPr>
                <w:rFonts w:ascii="Arial"/>
                <w:sz w:val="22"/>
              </w:rPr>
              <w:t>Salud</w:t>
            </w:r>
          </w:p>
        </w:tc>
        <w:tc>
          <w:tcPr>
            <w:tcW w:w="2459" w:type="dxa"/>
            <w:tcBorders>
              <w:top w:val="single" w:sz="8" w:space="0" w:color="000000"/>
              <w:left w:val="single" w:sz="8" w:space="0" w:color="000000"/>
              <w:bottom w:val="single" w:sz="8" w:space="0" w:color="000000"/>
            </w:tcBorders>
          </w:tcPr>
          <w:p>
            <w:pPr>
              <w:pStyle w:val="TableParagraph"/>
              <w:ind w:left="33"/>
              <w:rPr>
                <w:rFonts w:ascii="Arial"/>
                <w:sz w:val="22"/>
              </w:rPr>
            </w:pPr>
            <w:r>
              <w:rPr>
                <w:rFonts w:ascii="Arial"/>
                <w:sz w:val="22"/>
              </w:rPr>
              <w:t>23_salud</w:t>
            </w:r>
          </w:p>
        </w:tc>
      </w:tr>
      <w:tr>
        <w:trPr>
          <w:trHeight w:val="288" w:hRule="exact"/>
        </w:trPr>
        <w:tc>
          <w:tcPr>
            <w:tcW w:w="3295" w:type="dxa"/>
            <w:vMerge/>
            <w:tcBorders>
              <w:right w:val="single" w:sz="8" w:space="0" w:color="000000"/>
            </w:tcBorders>
            <w:shd w:val="clear" w:color="auto" w:fill="D7D7D7"/>
          </w:tcPr>
          <w:p>
            <w:pPr/>
          </w:p>
        </w:tc>
        <w:tc>
          <w:tcPr>
            <w:tcW w:w="3059" w:type="dxa"/>
            <w:tcBorders>
              <w:top w:val="single" w:sz="8" w:space="0" w:color="000000"/>
              <w:left w:val="single" w:sz="8" w:space="0" w:color="000000"/>
              <w:bottom w:val="single" w:sz="8" w:space="0" w:color="000000"/>
              <w:right w:val="single" w:sz="8" w:space="0" w:color="000000"/>
            </w:tcBorders>
          </w:tcPr>
          <w:p>
            <w:pPr>
              <w:pStyle w:val="TableParagraph"/>
              <w:spacing w:line="253" w:lineRule="exact"/>
              <w:ind w:left="33"/>
              <w:rPr>
                <w:rFonts w:ascii="Arial"/>
                <w:sz w:val="22"/>
              </w:rPr>
            </w:pPr>
            <w:r>
              <w:rPr>
                <w:rFonts w:ascii="Arial"/>
                <w:sz w:val="22"/>
              </w:rPr>
              <w:t>Abasto de alimentos</w:t>
            </w:r>
          </w:p>
        </w:tc>
        <w:tc>
          <w:tcPr>
            <w:tcW w:w="2459" w:type="dxa"/>
            <w:tcBorders>
              <w:top w:val="single" w:sz="8" w:space="0" w:color="000000"/>
              <w:left w:val="single" w:sz="8" w:space="0" w:color="000000"/>
              <w:bottom w:val="single" w:sz="8" w:space="0" w:color="000000"/>
            </w:tcBorders>
          </w:tcPr>
          <w:p>
            <w:pPr>
              <w:pStyle w:val="TableParagraph"/>
              <w:spacing w:line="253" w:lineRule="exact"/>
              <w:ind w:left="33"/>
              <w:rPr>
                <w:rFonts w:ascii="Arial"/>
                <w:sz w:val="22"/>
              </w:rPr>
            </w:pPr>
            <w:r>
              <w:rPr>
                <w:rFonts w:ascii="Arial"/>
                <w:sz w:val="22"/>
              </w:rPr>
              <w:t>24_abasto de alimetos</w:t>
            </w:r>
          </w:p>
        </w:tc>
      </w:tr>
      <w:tr>
        <w:trPr>
          <w:trHeight w:val="288" w:hRule="exact"/>
        </w:trPr>
        <w:tc>
          <w:tcPr>
            <w:tcW w:w="3295" w:type="dxa"/>
            <w:vMerge/>
            <w:tcBorders>
              <w:right w:val="single" w:sz="8" w:space="0" w:color="000000"/>
            </w:tcBorders>
            <w:shd w:val="clear" w:color="auto" w:fill="D7D7D7"/>
          </w:tcPr>
          <w:p>
            <w:pPr/>
          </w:p>
        </w:tc>
        <w:tc>
          <w:tcPr>
            <w:tcW w:w="3059" w:type="dxa"/>
            <w:tcBorders>
              <w:top w:val="single" w:sz="8" w:space="0" w:color="000000"/>
              <w:left w:val="single" w:sz="8" w:space="0" w:color="000000"/>
              <w:bottom w:val="single" w:sz="8" w:space="0" w:color="000000"/>
              <w:right w:val="single" w:sz="8" w:space="0" w:color="000000"/>
            </w:tcBorders>
          </w:tcPr>
          <w:p>
            <w:pPr>
              <w:pStyle w:val="TableParagraph"/>
              <w:spacing w:line="253" w:lineRule="exact"/>
              <w:ind w:left="33"/>
              <w:rPr>
                <w:rFonts w:ascii="Arial"/>
                <w:sz w:val="22"/>
              </w:rPr>
            </w:pPr>
            <w:r>
              <w:rPr>
                <w:rFonts w:ascii="Arial"/>
                <w:sz w:val="22"/>
              </w:rPr>
              <w:t>Areas verdes</w:t>
            </w:r>
          </w:p>
        </w:tc>
        <w:tc>
          <w:tcPr>
            <w:tcW w:w="2459" w:type="dxa"/>
            <w:tcBorders>
              <w:top w:val="single" w:sz="8" w:space="0" w:color="000000"/>
              <w:left w:val="single" w:sz="8" w:space="0" w:color="000000"/>
              <w:bottom w:val="single" w:sz="8" w:space="0" w:color="000000"/>
            </w:tcBorders>
          </w:tcPr>
          <w:p>
            <w:pPr>
              <w:pStyle w:val="TableParagraph"/>
              <w:spacing w:line="253" w:lineRule="exact"/>
              <w:ind w:left="33"/>
              <w:rPr>
                <w:rFonts w:ascii="Arial" w:hAnsi="Arial"/>
                <w:sz w:val="22"/>
              </w:rPr>
            </w:pPr>
            <w:r>
              <w:rPr>
                <w:rFonts w:ascii="Arial" w:hAnsi="Arial"/>
                <w:sz w:val="22"/>
              </w:rPr>
              <w:t>25_áreas verdes</w:t>
            </w:r>
          </w:p>
        </w:tc>
      </w:tr>
      <w:tr>
        <w:trPr>
          <w:trHeight w:val="298" w:hRule="exact"/>
        </w:trPr>
        <w:tc>
          <w:tcPr>
            <w:tcW w:w="3295" w:type="dxa"/>
            <w:vMerge/>
            <w:tcBorders>
              <w:right w:val="single" w:sz="8" w:space="0" w:color="000000"/>
            </w:tcBorders>
            <w:shd w:val="clear" w:color="auto" w:fill="D7D7D7"/>
          </w:tcPr>
          <w:p>
            <w:pPr/>
          </w:p>
        </w:tc>
        <w:tc>
          <w:tcPr>
            <w:tcW w:w="3059" w:type="dxa"/>
            <w:tcBorders>
              <w:top w:val="single" w:sz="8" w:space="0" w:color="000000"/>
              <w:left w:val="single" w:sz="8" w:space="0" w:color="000000"/>
              <w:right w:val="single" w:sz="8" w:space="0" w:color="000000"/>
            </w:tcBorders>
          </w:tcPr>
          <w:p>
            <w:pPr>
              <w:pStyle w:val="TableParagraph"/>
              <w:spacing w:line="248" w:lineRule="exact"/>
              <w:ind w:left="33"/>
              <w:rPr>
                <w:rFonts w:ascii="Arial" w:hAnsi="Arial"/>
                <w:sz w:val="22"/>
              </w:rPr>
            </w:pPr>
            <w:r>
              <w:rPr>
                <w:rFonts w:ascii="Arial" w:hAnsi="Arial"/>
                <w:sz w:val="22"/>
              </w:rPr>
              <w:t>Recreación</w:t>
            </w:r>
          </w:p>
        </w:tc>
        <w:tc>
          <w:tcPr>
            <w:tcW w:w="2459" w:type="dxa"/>
            <w:tcBorders>
              <w:top w:val="single" w:sz="8" w:space="0" w:color="000000"/>
              <w:left w:val="single" w:sz="8" w:space="0" w:color="000000"/>
            </w:tcBorders>
          </w:tcPr>
          <w:p>
            <w:pPr>
              <w:pStyle w:val="TableParagraph"/>
              <w:spacing w:line="248" w:lineRule="exact"/>
              <w:ind w:left="33"/>
              <w:rPr>
                <w:rFonts w:ascii="Arial" w:hAnsi="Arial"/>
                <w:sz w:val="22"/>
              </w:rPr>
            </w:pPr>
            <w:r>
              <w:rPr>
                <w:rFonts w:ascii="Arial" w:hAnsi="Arial"/>
                <w:sz w:val="22"/>
              </w:rPr>
              <w:t>26_recreación</w:t>
            </w:r>
          </w:p>
        </w:tc>
      </w:tr>
    </w:tbl>
    <w:p>
      <w:pPr>
        <w:spacing w:before="0"/>
        <w:ind w:left="3645" w:right="0" w:firstLine="0"/>
        <w:jc w:val="left"/>
        <w:rPr>
          <w:sz w:val="20"/>
        </w:rPr>
      </w:pPr>
      <w:r>
        <w:rPr>
          <w:sz w:val="20"/>
        </w:rPr>
        <w:t>Fuente: Elaboración propia.</w:t>
      </w:r>
    </w:p>
    <w:p>
      <w:pPr>
        <w:pStyle w:val="BodyText"/>
        <w:rPr>
          <w:sz w:val="20"/>
        </w:rPr>
      </w:pPr>
    </w:p>
    <w:p>
      <w:pPr>
        <w:pStyle w:val="BodyText"/>
        <w:rPr>
          <w:sz w:val="20"/>
        </w:rPr>
      </w:pPr>
    </w:p>
    <w:p>
      <w:pPr>
        <w:pStyle w:val="BodyText"/>
        <w:spacing w:before="6"/>
        <w:rPr>
          <w:sz w:val="17"/>
        </w:rPr>
      </w:pPr>
    </w:p>
    <w:p>
      <w:pPr>
        <w:pStyle w:val="Heading3"/>
        <w:spacing w:before="0"/>
        <w:ind w:left="102" w:firstLine="0"/>
        <w:jc w:val="left"/>
      </w:pPr>
      <w:r>
        <w:rPr>
          <w:color w:val="4F81BC"/>
        </w:rPr>
        <w:t>Viviendas habitadas y deshabitadas en la zona metropolitana de Toluca</w:t>
      </w:r>
    </w:p>
    <w:p>
      <w:pPr>
        <w:pStyle w:val="BodyText"/>
        <w:rPr>
          <w:rFonts w:ascii="Cambria"/>
          <w:b/>
          <w:sz w:val="26"/>
        </w:rPr>
      </w:pPr>
    </w:p>
    <w:p>
      <w:pPr>
        <w:pStyle w:val="BodyText"/>
        <w:spacing w:line="360" w:lineRule="auto" w:before="154"/>
        <w:ind w:left="102"/>
      </w:pPr>
      <w:r>
        <w:rPr/>
        <w:t>De manera general se indagó sobre las viviendas que están habitadas en la zona metropolitana</w:t>
      </w:r>
      <w:r>
        <w:rPr>
          <w:spacing w:val="58"/>
        </w:rPr>
        <w:t> </w:t>
      </w:r>
      <w:r>
        <w:rPr/>
        <w:t>de</w:t>
      </w:r>
      <w:r>
        <w:rPr>
          <w:spacing w:val="55"/>
        </w:rPr>
        <w:t> </w:t>
      </w:r>
      <w:r>
        <w:rPr/>
        <w:t>Toluca,</w:t>
      </w:r>
      <w:r>
        <w:rPr>
          <w:spacing w:val="58"/>
        </w:rPr>
        <w:t> </w:t>
      </w:r>
      <w:r>
        <w:rPr/>
        <w:t>así</w:t>
      </w:r>
      <w:r>
        <w:rPr>
          <w:spacing w:val="55"/>
        </w:rPr>
        <w:t> </w:t>
      </w:r>
      <w:r>
        <w:rPr/>
        <w:t>como</w:t>
      </w:r>
      <w:r>
        <w:rPr>
          <w:spacing w:val="58"/>
        </w:rPr>
        <w:t> </w:t>
      </w:r>
      <w:r>
        <w:rPr/>
        <w:t>las</w:t>
      </w:r>
      <w:r>
        <w:rPr>
          <w:spacing w:val="58"/>
        </w:rPr>
        <w:t> </w:t>
      </w:r>
      <w:r>
        <w:rPr/>
        <w:t>que</w:t>
      </w:r>
      <w:r>
        <w:rPr>
          <w:spacing w:val="56"/>
        </w:rPr>
        <w:t> </w:t>
      </w:r>
      <w:r>
        <w:rPr/>
        <w:t>están</w:t>
      </w:r>
      <w:r>
        <w:rPr>
          <w:spacing w:val="55"/>
        </w:rPr>
        <w:t> </w:t>
      </w:r>
      <w:r>
        <w:rPr/>
        <w:t>deshabitadas,</w:t>
      </w:r>
      <w:r>
        <w:rPr>
          <w:spacing w:val="55"/>
        </w:rPr>
        <w:t> </w:t>
      </w:r>
      <w:r>
        <w:rPr/>
        <w:t>finalmente</w:t>
      </w:r>
      <w:r>
        <w:rPr>
          <w:spacing w:val="58"/>
        </w:rPr>
        <w:t> </w:t>
      </w:r>
      <w:r>
        <w:rPr/>
        <w:t>se</w:t>
      </w:r>
    </w:p>
    <w:p>
      <w:pPr>
        <w:spacing w:after="0" w:line="360" w:lineRule="auto"/>
        <w:sectPr>
          <w:pgSz w:w="12240" w:h="15840"/>
          <w:pgMar w:header="0" w:footer="1003" w:top="1360" w:bottom="1200" w:left="1600" w:right="1540"/>
        </w:sectPr>
      </w:pPr>
    </w:p>
    <w:p>
      <w:pPr>
        <w:pStyle w:val="BodyText"/>
        <w:spacing w:line="360" w:lineRule="auto" w:before="54"/>
        <w:ind w:left="102" w:right="126"/>
        <w:jc w:val="both"/>
      </w:pPr>
      <w:r>
        <w:rPr/>
        <w:t>presentan las viviendas que se encuentran en uso temporal para el año 2010, arrojando los siguientes datos.</w:t>
      </w:r>
    </w:p>
    <w:p>
      <w:pPr>
        <w:pStyle w:val="BodyText"/>
      </w:pPr>
    </w:p>
    <w:p>
      <w:pPr>
        <w:pStyle w:val="BodyText"/>
        <w:spacing w:line="360" w:lineRule="auto" w:before="142"/>
        <w:ind w:left="102" w:right="114"/>
        <w:jc w:val="both"/>
      </w:pPr>
      <w:r>
        <w:rPr/>
        <w:t>El municipio de Rayón es el que cuenta con más de 90 por ciento de sus viviendas habitadas, mientras que los municipios Temoaya, Lerma, Toluca, Zinacantepec, Metepec, San Mateo Atenco, Xonacatlán, Otzolotepec, Mexicaltzingo y Ocoyoacac las viviendas habitadas dentro de sus municipios se encuentran entre 80 y 90 por ciento. Los municipios de Almoloya de Juárez y Calimaya las viviendas habitadas representan el 78.3 y 75.8 por ciento respectivamente, San Antonio la Isla 62.4 por ciento, finalmente el municipio Chapultepec solo cuenta con el 54.1 por ciento de sus viviendas habitadas.</w:t>
      </w:r>
    </w:p>
    <w:p>
      <w:pPr>
        <w:pStyle w:val="BodyText"/>
      </w:pPr>
    </w:p>
    <w:p>
      <w:pPr>
        <w:pStyle w:val="BodyText"/>
        <w:spacing w:line="360" w:lineRule="auto" w:before="142"/>
        <w:ind w:left="102" w:right="123"/>
        <w:jc w:val="both"/>
      </w:pPr>
      <w:r>
        <w:rPr/>
        <w:t>Chapultepec cuenta con el 37.4 por ciento de viviendas deshabitadas, San Antonio la Isla tiene 28.8 por ciento, Almoloya de Juárez con 17.1 por ciento, estos municipios cuentan el porcentaje de viviendas deshabitadas por razones de su ubicación geográfica y por los nuevos conjuntos habitacionales construidos, además de la autoconstrucción de sus viviendas en lugares donde no cuentan con los servicios públicos para que puedan ser habitables esta parte se verá más adelante en la investigación.</w:t>
      </w:r>
    </w:p>
    <w:p>
      <w:pPr>
        <w:pStyle w:val="BodyText"/>
      </w:pPr>
    </w:p>
    <w:p>
      <w:pPr>
        <w:pStyle w:val="BodyText"/>
        <w:spacing w:line="360" w:lineRule="auto" w:before="142"/>
        <w:ind w:left="102" w:right="119"/>
        <w:jc w:val="both"/>
      </w:pPr>
      <w:r>
        <w:rPr/>
        <w:t>Los municipios que cuentan con viviendas de uso temporal son principalmente el municipio de Calimaya con el 9.3 por ciento, seguido de los municipios  San Antonio la Isla, Chapultepec y Temoaya con el 8.8, 8.5 y 8.3 respectivamente (ver gráfica no. 1).</w:t>
      </w:r>
    </w:p>
    <w:p>
      <w:pPr>
        <w:spacing w:after="0" w:line="360" w:lineRule="auto"/>
        <w:jc w:val="both"/>
        <w:sectPr>
          <w:pgSz w:w="12240" w:h="15840"/>
          <w:pgMar w:header="0" w:footer="1003" w:top="1360" w:bottom="1200" w:left="1600" w:right="1580"/>
        </w:sectPr>
      </w:pPr>
    </w:p>
    <w:p>
      <w:pPr>
        <w:spacing w:before="53" w:after="14"/>
        <w:ind w:left="793" w:right="214" w:firstLine="0"/>
        <w:jc w:val="left"/>
        <w:rPr>
          <w:sz w:val="20"/>
        </w:rPr>
      </w:pPr>
      <w:r>
        <w:rPr>
          <w:sz w:val="20"/>
        </w:rPr>
        <w:t>Gráfica No. 1 Viviendas habitadas, deshabitadas y de uso temporal en la </w:t>
      </w:r>
      <w:r>
        <w:rPr>
          <w:sz w:val="16"/>
        </w:rPr>
        <w:t>ZMT</w:t>
      </w:r>
      <w:r>
        <w:rPr>
          <w:sz w:val="20"/>
        </w:rPr>
        <w:t>, 2010.</w:t>
      </w:r>
    </w:p>
    <w:p>
      <w:pPr>
        <w:pStyle w:val="BodyText"/>
        <w:ind w:left="140"/>
        <w:rPr>
          <w:sz w:val="20"/>
        </w:rPr>
      </w:pPr>
      <w:r>
        <w:rPr>
          <w:sz w:val="20"/>
        </w:rPr>
        <w:pict>
          <v:group style="width:441pt;height:261.1500pt;mso-position-horizontal-relative:char;mso-position-vertical-relative:line" coordorigin="0,0" coordsize="8820,5223">
            <v:shape style="position:absolute;left:776;top:902;width:7746;height:2770" type="#_x0000_t75" stroked="false">
              <v:imagedata r:id="rId46" o:title=""/>
            </v:shape>
            <v:line style="position:absolute" from="813,3657" to="771,3657" stroked="true" strokeweight=".531217pt" strokecolor="#858585"/>
            <v:line style="position:absolute" from="813,3381" to="771,3381" stroked="true" strokeweight=".531217pt" strokecolor="#858585"/>
            <v:line style="position:absolute" from="813,3115" to="771,3115" stroked="true" strokeweight=".531217pt" strokecolor="#858585"/>
            <v:line style="position:absolute" from="813,2850" to="771,2850" stroked="true" strokeweight=".531217pt" strokecolor="#858585"/>
            <v:line style="position:absolute" from="813,2595" to="771,2595" stroked="true" strokeweight=".531217pt" strokecolor="#858585"/>
            <v:line style="position:absolute" from="813,2330" to="771,2330" stroked="true" strokeweight=".531217pt" strokecolor="#858585"/>
            <v:line style="position:absolute" from="813,2065" to="771,2065" stroked="true" strokeweight=".531217pt" strokecolor="#858585"/>
            <v:line style="position:absolute" from="813,1810" to="771,1810" stroked="true" strokeweight=".531217pt" strokecolor="#858585"/>
            <v:line style="position:absolute" from="813,1544" to="771,1544" stroked="true" strokeweight=".531217pt" strokecolor="#858585"/>
            <v:line style="position:absolute" from="813,1279" to="771,1279" stroked="true" strokeweight=".531217pt" strokecolor="#858585"/>
            <v:line style="position:absolute" from="813,1024" to="771,1024" stroked="true" strokeweight=".531217pt" strokecolor="#858585"/>
            <v:shape style="position:absolute;left:267;top:3846;width:815;height:817" type="#_x0000_t75" stroked="false">
              <v:imagedata r:id="rId47" o:title=""/>
            </v:shape>
            <v:shape style="position:absolute;left:1195;top:3854;width:389;height:367" type="#_x0000_t75" stroked="false">
              <v:imagedata r:id="rId48" o:title=""/>
            </v:shape>
            <v:shape style="position:absolute;left:1547;top:3849;width:541;height:525" type="#_x0000_t75" stroked="false">
              <v:imagedata r:id="rId49" o:title=""/>
            </v:shape>
            <v:shape style="position:absolute;left:2297;top:3850;width:302;height:277" type="#_x0000_t75" stroked="false">
              <v:imagedata r:id="rId50" o:title=""/>
            </v:shape>
            <v:shape style="position:absolute;left:2696;top:3843;width:1917;height:590" type="#_x0000_t75" stroked="false">
              <v:imagedata r:id="rId51" o:title=""/>
            </v:shape>
            <v:shape style="position:absolute;left:4832;top:3852;width:291;height:267" type="#_x0000_t75" stroked="false">
              <v:imagedata r:id="rId52" o:title=""/>
            </v:shape>
            <v:shape style="position:absolute;left:4854;top:3852;width:1780;height:764" type="#_x0000_t75" stroked="false">
              <v:imagedata r:id="rId53" o:title=""/>
            </v:shape>
            <v:shape style="position:absolute;left:6830;top:3848;width:317;height:275" type="#_x0000_t75" stroked="false">
              <v:imagedata r:id="rId54" o:title=""/>
            </v:shape>
            <v:shape style="position:absolute;left:7155;top:3849;width:995;height:569" type="#_x0000_t75" stroked="false">
              <v:imagedata r:id="rId55" o:title=""/>
            </v:shape>
            <v:shape style="position:absolute;left:1977;top:4925;width:138;height:138" type="#_x0000_t75" stroked="false">
              <v:imagedata r:id="rId56" o:title=""/>
            </v:shape>
            <v:shape style="position:absolute;left:3517;top:4925;width:128;height:138" type="#_x0000_t75" stroked="false">
              <v:imagedata r:id="rId57" o:title=""/>
            </v:shape>
            <v:shape style="position:absolute;left:5185;top:4925;width:128;height:138" type="#_x0000_t75" stroked="false">
              <v:imagedata r:id="rId58" o:title=""/>
            </v:shape>
            <v:rect style="position:absolute;left:6;top:6;width:8808;height:5211" filled="false" stroked="true" strokeweight=".531369pt" strokecolor="#858585"/>
            <v:shape style="position:absolute;left:1318;top:160;width:6176;height:564" type="#_x0000_t202" filled="false" stroked="false">
              <v:textbox inset="0,0,0,0">
                <w:txbxContent>
                  <w:p>
                    <w:pPr>
                      <w:spacing w:line="258" w:lineRule="exact" w:before="0"/>
                      <w:ind w:left="3" w:right="3" w:firstLine="0"/>
                      <w:jc w:val="center"/>
                      <w:rPr>
                        <w:rFonts w:ascii="Calibri"/>
                        <w:b/>
                        <w:sz w:val="25"/>
                      </w:rPr>
                    </w:pPr>
                    <w:r>
                      <w:rPr>
                        <w:rFonts w:ascii="Calibri"/>
                        <w:b/>
                        <w:sz w:val="25"/>
                      </w:rPr>
                      <w:t>Viviendas habitadas, deshabitadas y de uso temporal en  la</w:t>
                    </w:r>
                  </w:p>
                  <w:p>
                    <w:pPr>
                      <w:spacing w:line="302" w:lineRule="exact" w:before="3"/>
                      <w:ind w:left="13" w:right="3" w:firstLine="0"/>
                      <w:jc w:val="center"/>
                      <w:rPr>
                        <w:rFonts w:ascii="Calibri"/>
                        <w:b/>
                        <w:sz w:val="25"/>
                      </w:rPr>
                    </w:pPr>
                    <w:r>
                      <w:rPr>
                        <w:rFonts w:ascii="Calibri"/>
                        <w:b/>
                        <w:sz w:val="25"/>
                      </w:rPr>
                      <w:t>ZMT, 2010.</w:t>
                    </w:r>
                  </w:p>
                </w:txbxContent>
              </v:textbox>
              <w10:wrap type="none"/>
            </v:shape>
            <v:shape style="position:absolute;left:347;top:974;width:325;height:139" type="#_x0000_t202" filled="false" stroked="false">
              <v:textbox inset="0,0,0,0">
                <w:txbxContent>
                  <w:p>
                    <w:pPr>
                      <w:spacing w:line="138" w:lineRule="exact" w:before="0"/>
                      <w:ind w:left="0" w:right="-15" w:firstLine="0"/>
                      <w:jc w:val="left"/>
                      <w:rPr>
                        <w:rFonts w:ascii="Calibri"/>
                        <w:sz w:val="14"/>
                      </w:rPr>
                    </w:pPr>
                    <w:r>
                      <w:rPr>
                        <w:rFonts w:ascii="Calibri"/>
                        <w:sz w:val="14"/>
                      </w:rPr>
                      <w:t>100.0</w:t>
                    </w:r>
                  </w:p>
                </w:txbxContent>
              </v:textbox>
              <w10:wrap type="none"/>
            </v:shape>
            <v:shape style="position:absolute;left:3420;top:1074;width:1784;height:163" type="#_x0000_t202" filled="false" stroked="false">
              <v:textbox inset="0,0,0,0">
                <w:txbxContent>
                  <w:p>
                    <w:pPr>
                      <w:tabs>
                        <w:tab w:pos="506" w:val="left" w:leader="none"/>
                        <w:tab w:pos="997" w:val="left" w:leader="none"/>
                        <w:tab w:pos="1531" w:val="left" w:leader="none"/>
                      </w:tabs>
                      <w:spacing w:line="160" w:lineRule="exact" w:before="0"/>
                      <w:ind w:left="0" w:right="0" w:firstLine="0"/>
                      <w:jc w:val="left"/>
                      <w:rPr>
                        <w:rFonts w:ascii="Calibri"/>
                        <w:sz w:val="13"/>
                      </w:rPr>
                    </w:pPr>
                    <w:r>
                      <w:rPr>
                        <w:rFonts w:ascii="Calibri"/>
                        <w:sz w:val="14"/>
                      </w:rPr>
                      <w:t>89.7</w:t>
                      <w:tab/>
                    </w:r>
                    <w:r>
                      <w:rPr>
                        <w:rFonts w:ascii="Calibri"/>
                        <w:position w:val="0"/>
                        <w:sz w:val="14"/>
                      </w:rPr>
                      <w:t>89.4</w:t>
                      <w:tab/>
                    </w:r>
                    <w:r>
                      <w:rPr>
                        <w:rFonts w:ascii="Calibri"/>
                        <w:sz w:val="14"/>
                      </w:rPr>
                      <w:t>88.5</w:t>
                      <w:tab/>
                    </w:r>
                    <w:r>
                      <w:rPr>
                        <w:rFonts w:ascii="Calibri"/>
                        <w:position w:val="-1"/>
                        <w:sz w:val="13"/>
                      </w:rPr>
                      <w:t>90.3</w:t>
                    </w:r>
                  </w:p>
                </w:txbxContent>
              </v:textbox>
              <w10:wrap type="none"/>
            </v:shape>
            <v:shape style="position:absolute;left:7453;top:1089;width:251;height:139" type="#_x0000_t202" filled="false" stroked="false">
              <v:textbox inset="0,0,0,0">
                <w:txbxContent>
                  <w:p>
                    <w:pPr>
                      <w:spacing w:line="138" w:lineRule="exact" w:before="0"/>
                      <w:ind w:left="0" w:right="-18" w:firstLine="0"/>
                      <w:jc w:val="left"/>
                      <w:rPr>
                        <w:rFonts w:ascii="Calibri"/>
                        <w:sz w:val="14"/>
                      </w:rPr>
                    </w:pPr>
                    <w:r>
                      <w:rPr>
                        <w:rFonts w:ascii="Calibri"/>
                        <w:sz w:val="14"/>
                      </w:rPr>
                      <w:t>88.0</w:t>
                    </w:r>
                  </w:p>
                </w:txbxContent>
              </v:textbox>
              <w10:wrap type="none"/>
            </v:shape>
            <v:shape style="position:absolute;left:415;top:1237;width:255;height:2504" type="#_x0000_t202" filled="false" stroked="false">
              <v:textbox inset="0,0,0,0">
                <w:txbxContent>
                  <w:p>
                    <w:pPr>
                      <w:spacing w:line="141" w:lineRule="exact" w:before="0"/>
                      <w:ind w:left="0" w:right="-14" w:firstLine="0"/>
                      <w:jc w:val="left"/>
                      <w:rPr>
                        <w:rFonts w:ascii="Calibri"/>
                        <w:sz w:val="14"/>
                      </w:rPr>
                    </w:pPr>
                    <w:r>
                      <w:rPr>
                        <w:rFonts w:ascii="Calibri"/>
                        <w:sz w:val="14"/>
                      </w:rPr>
                      <w:t>90.0</w:t>
                    </w:r>
                  </w:p>
                  <w:p>
                    <w:pPr>
                      <w:spacing w:before="92"/>
                      <w:ind w:left="0" w:right="-14" w:firstLine="0"/>
                      <w:jc w:val="left"/>
                      <w:rPr>
                        <w:rFonts w:ascii="Calibri"/>
                        <w:sz w:val="14"/>
                      </w:rPr>
                    </w:pPr>
                    <w:r>
                      <w:rPr>
                        <w:rFonts w:ascii="Calibri"/>
                        <w:sz w:val="14"/>
                      </w:rPr>
                      <w:t>80.0</w:t>
                    </w:r>
                  </w:p>
                  <w:p>
                    <w:pPr>
                      <w:spacing w:before="92"/>
                      <w:ind w:left="0" w:right="-14" w:firstLine="0"/>
                      <w:jc w:val="left"/>
                      <w:rPr>
                        <w:rFonts w:ascii="Calibri"/>
                        <w:sz w:val="14"/>
                      </w:rPr>
                    </w:pPr>
                    <w:r>
                      <w:rPr>
                        <w:rFonts w:ascii="Calibri"/>
                        <w:sz w:val="14"/>
                      </w:rPr>
                      <w:t>70.0</w:t>
                    </w:r>
                  </w:p>
                  <w:p>
                    <w:pPr>
                      <w:spacing w:before="92"/>
                      <w:ind w:left="0" w:right="-14" w:firstLine="0"/>
                      <w:jc w:val="left"/>
                      <w:rPr>
                        <w:rFonts w:ascii="Calibri"/>
                        <w:sz w:val="14"/>
                      </w:rPr>
                    </w:pPr>
                    <w:r>
                      <w:rPr>
                        <w:rFonts w:ascii="Calibri"/>
                        <w:sz w:val="14"/>
                      </w:rPr>
                      <w:t>60.0</w:t>
                    </w:r>
                  </w:p>
                  <w:p>
                    <w:pPr>
                      <w:spacing w:before="92"/>
                      <w:ind w:left="0" w:right="-14" w:firstLine="0"/>
                      <w:jc w:val="left"/>
                      <w:rPr>
                        <w:rFonts w:ascii="Calibri"/>
                        <w:sz w:val="14"/>
                      </w:rPr>
                    </w:pPr>
                    <w:r>
                      <w:rPr>
                        <w:rFonts w:ascii="Calibri"/>
                        <w:sz w:val="14"/>
                      </w:rPr>
                      <w:t>50.0</w:t>
                    </w:r>
                  </w:p>
                  <w:p>
                    <w:pPr>
                      <w:spacing w:before="92"/>
                      <w:ind w:left="0" w:right="-14" w:firstLine="0"/>
                      <w:jc w:val="left"/>
                      <w:rPr>
                        <w:rFonts w:ascii="Calibri"/>
                        <w:sz w:val="14"/>
                      </w:rPr>
                    </w:pPr>
                    <w:r>
                      <w:rPr>
                        <w:rFonts w:ascii="Calibri"/>
                        <w:sz w:val="14"/>
                      </w:rPr>
                      <w:t>40.0</w:t>
                    </w:r>
                  </w:p>
                  <w:p>
                    <w:pPr>
                      <w:spacing w:before="92"/>
                      <w:ind w:left="0" w:right="-14" w:firstLine="0"/>
                      <w:jc w:val="left"/>
                      <w:rPr>
                        <w:rFonts w:ascii="Calibri"/>
                        <w:sz w:val="14"/>
                      </w:rPr>
                    </w:pPr>
                    <w:r>
                      <w:rPr>
                        <w:rFonts w:ascii="Calibri"/>
                        <w:sz w:val="14"/>
                      </w:rPr>
                      <w:t>30.0</w:t>
                    </w:r>
                  </w:p>
                  <w:p>
                    <w:pPr>
                      <w:spacing w:before="101"/>
                      <w:ind w:left="0" w:right="-7" w:firstLine="0"/>
                      <w:jc w:val="left"/>
                      <w:rPr>
                        <w:rFonts w:ascii="Calibri"/>
                        <w:sz w:val="13"/>
                      </w:rPr>
                    </w:pPr>
                    <w:r>
                      <w:rPr>
                        <w:rFonts w:ascii="Calibri"/>
                        <w:w w:val="105"/>
                        <w:sz w:val="13"/>
                      </w:rPr>
                      <w:t>20.0</w:t>
                    </w:r>
                  </w:p>
                  <w:p>
                    <w:pPr>
                      <w:spacing w:before="94"/>
                      <w:ind w:left="0" w:right="-14" w:firstLine="0"/>
                      <w:jc w:val="left"/>
                      <w:rPr>
                        <w:rFonts w:ascii="Calibri"/>
                        <w:sz w:val="14"/>
                      </w:rPr>
                    </w:pPr>
                    <w:r>
                      <w:rPr>
                        <w:rFonts w:ascii="Calibri"/>
                        <w:sz w:val="14"/>
                      </w:rPr>
                      <w:t>10.0</w:t>
                    </w:r>
                  </w:p>
                  <w:p>
                    <w:pPr>
                      <w:spacing w:line="168" w:lineRule="exact" w:before="92"/>
                      <w:ind w:left="78" w:right="-12" w:firstLine="0"/>
                      <w:jc w:val="left"/>
                      <w:rPr>
                        <w:rFonts w:ascii="Calibri"/>
                        <w:sz w:val="14"/>
                      </w:rPr>
                    </w:pPr>
                    <w:r>
                      <w:rPr>
                        <w:rFonts w:ascii="Calibri"/>
                        <w:w w:val="95"/>
                        <w:sz w:val="14"/>
                      </w:rPr>
                      <w:t>0.0</w:t>
                    </w:r>
                  </w:p>
                </w:txbxContent>
              </v:textbox>
              <w10:wrap type="none"/>
            </v:shape>
            <v:shape style="position:absolute;left:5936;top:1211;width:251;height:139" type="#_x0000_t202" filled="false" stroked="false">
              <v:textbox inset="0,0,0,0">
                <w:txbxContent>
                  <w:p>
                    <w:pPr>
                      <w:spacing w:line="138" w:lineRule="exact" w:before="0"/>
                      <w:ind w:left="0" w:right="-18" w:firstLine="0"/>
                      <w:jc w:val="left"/>
                      <w:rPr>
                        <w:rFonts w:ascii="Calibri"/>
                        <w:sz w:val="14"/>
                      </w:rPr>
                    </w:pPr>
                    <w:r>
                      <w:rPr>
                        <w:rFonts w:ascii="Calibri"/>
                        <w:sz w:val="14"/>
                      </w:rPr>
                      <w:t>86.1</w:t>
                    </w:r>
                  </w:p>
                </w:txbxContent>
              </v:textbox>
              <w10:wrap type="none"/>
            </v:shape>
            <v:shape style="position:absolute;left:892;top:1344;width:252;height:138" type="#_x0000_t202" filled="false" stroked="false">
              <v:textbox inset="0,0,0,0">
                <w:txbxContent>
                  <w:p>
                    <w:pPr>
                      <w:spacing w:line="138" w:lineRule="exact" w:before="0"/>
                      <w:ind w:left="0" w:right="-10" w:firstLine="0"/>
                      <w:jc w:val="left"/>
                      <w:rPr>
                        <w:rFonts w:ascii="Calibri"/>
                        <w:sz w:val="13"/>
                      </w:rPr>
                    </w:pPr>
                    <w:r>
                      <w:rPr>
                        <w:rFonts w:ascii="Calibri"/>
                        <w:w w:val="105"/>
                        <w:sz w:val="13"/>
                      </w:rPr>
                      <w:t>78.3</w:t>
                    </w:r>
                  </w:p>
                </w:txbxContent>
              </v:textbox>
              <w10:wrap type="none"/>
            </v:shape>
            <v:shape style="position:absolute;left:2395;top:1291;width:251;height:139" type="#_x0000_t202" filled="false" stroked="false">
              <v:textbox inset="0,0,0,0">
                <w:txbxContent>
                  <w:p>
                    <w:pPr>
                      <w:spacing w:line="138" w:lineRule="exact" w:before="0"/>
                      <w:ind w:left="0" w:right="-18" w:firstLine="0"/>
                      <w:jc w:val="left"/>
                      <w:rPr>
                        <w:rFonts w:ascii="Calibri"/>
                        <w:sz w:val="14"/>
                      </w:rPr>
                    </w:pPr>
                    <w:r>
                      <w:rPr>
                        <w:rFonts w:ascii="Calibri"/>
                        <w:sz w:val="14"/>
                      </w:rPr>
                      <w:t>82.5</w:t>
                    </w:r>
                  </w:p>
                </w:txbxContent>
              </v:textbox>
              <w10:wrap type="none"/>
            </v:shape>
            <v:shape style="position:absolute;left:2915;top:1227;width:251;height:139" type="#_x0000_t202" filled="false" stroked="false">
              <v:textbox inset="0,0,0,0">
                <w:txbxContent>
                  <w:p>
                    <w:pPr>
                      <w:spacing w:line="138" w:lineRule="exact" w:before="0"/>
                      <w:ind w:left="0" w:right="-18" w:firstLine="0"/>
                      <w:jc w:val="left"/>
                      <w:rPr>
                        <w:rFonts w:ascii="Calibri"/>
                        <w:sz w:val="14"/>
                      </w:rPr>
                    </w:pPr>
                    <w:r>
                      <w:rPr>
                        <w:rFonts w:ascii="Calibri"/>
                        <w:sz w:val="14"/>
                      </w:rPr>
                      <w:t>85.5</w:t>
                    </w:r>
                  </w:p>
                </w:txbxContent>
              </v:textbox>
              <w10:wrap type="none"/>
            </v:shape>
            <v:shape style="position:absolute;left:6455;top:1320;width:251;height:139" type="#_x0000_t202" filled="false" stroked="false">
              <v:textbox inset="0,0,0,0">
                <w:txbxContent>
                  <w:p>
                    <w:pPr>
                      <w:spacing w:line="138" w:lineRule="exact" w:before="0"/>
                      <w:ind w:left="0" w:right="-18" w:firstLine="0"/>
                      <w:jc w:val="left"/>
                      <w:rPr>
                        <w:rFonts w:ascii="Calibri"/>
                        <w:sz w:val="14"/>
                      </w:rPr>
                    </w:pPr>
                    <w:r>
                      <w:rPr>
                        <w:rFonts w:ascii="Calibri"/>
                        <w:sz w:val="14"/>
                      </w:rPr>
                      <w:t>81.4</w:t>
                    </w:r>
                  </w:p>
                </w:txbxContent>
              </v:textbox>
              <w10:wrap type="none"/>
            </v:shape>
            <v:shape style="position:absolute;left:6990;top:1253;width:251;height:139" type="#_x0000_t202" filled="false" stroked="false">
              <v:textbox inset="0,0,0,0">
                <w:txbxContent>
                  <w:p>
                    <w:pPr>
                      <w:spacing w:line="138" w:lineRule="exact" w:before="0"/>
                      <w:ind w:left="0" w:right="-18" w:firstLine="0"/>
                      <w:jc w:val="left"/>
                      <w:rPr>
                        <w:rFonts w:ascii="Calibri"/>
                        <w:sz w:val="14"/>
                      </w:rPr>
                    </w:pPr>
                    <w:r>
                      <w:rPr>
                        <w:rFonts w:ascii="Calibri"/>
                        <w:sz w:val="14"/>
                      </w:rPr>
                      <w:t>83.9</w:t>
                    </w:r>
                  </w:p>
                </w:txbxContent>
              </v:textbox>
              <w10:wrap type="none"/>
            </v:shape>
            <v:shape style="position:absolute;left:8002;top:1284;width:252;height:139" type="#_x0000_t202" filled="false" stroked="false">
              <v:textbox inset="0,0,0,0">
                <w:txbxContent>
                  <w:p>
                    <w:pPr>
                      <w:spacing w:line="138" w:lineRule="exact" w:before="0"/>
                      <w:ind w:left="0" w:right="-17" w:firstLine="0"/>
                      <w:jc w:val="left"/>
                      <w:rPr>
                        <w:rFonts w:ascii="Calibri"/>
                        <w:sz w:val="14"/>
                      </w:rPr>
                    </w:pPr>
                    <w:r>
                      <w:rPr>
                        <w:rFonts w:ascii="Calibri"/>
                        <w:sz w:val="14"/>
                      </w:rPr>
                      <w:t>83.3</w:t>
                    </w:r>
                  </w:p>
                </w:txbxContent>
              </v:textbox>
              <w10:wrap type="none"/>
            </v:shape>
            <v:shape style="position:absolute;left:1412;top:1494;width:251;height:138" type="#_x0000_t202" filled="false" stroked="false">
              <v:textbox inset="0,0,0,0">
                <w:txbxContent>
                  <w:p>
                    <w:pPr>
                      <w:spacing w:line="138" w:lineRule="exact" w:before="0"/>
                      <w:ind w:left="0" w:right="-11" w:firstLine="0"/>
                      <w:jc w:val="left"/>
                      <w:rPr>
                        <w:rFonts w:ascii="Calibri"/>
                        <w:sz w:val="13"/>
                      </w:rPr>
                    </w:pPr>
                    <w:r>
                      <w:rPr>
                        <w:rFonts w:ascii="Calibri"/>
                        <w:w w:val="105"/>
                        <w:sz w:val="13"/>
                      </w:rPr>
                      <w:t>75.8</w:t>
                    </w:r>
                  </w:p>
                </w:txbxContent>
              </v:textbox>
              <w10:wrap type="none"/>
            </v:shape>
            <v:shape style="position:absolute;left:5416;top:1833;width:252;height:139" type="#_x0000_t202" filled="false" stroked="false">
              <v:textbox inset="0,0,0,0">
                <w:txbxContent>
                  <w:p>
                    <w:pPr>
                      <w:spacing w:line="138" w:lineRule="exact" w:before="0"/>
                      <w:ind w:left="0" w:right="-17" w:firstLine="0"/>
                      <w:jc w:val="left"/>
                      <w:rPr>
                        <w:rFonts w:ascii="Calibri"/>
                        <w:sz w:val="14"/>
                      </w:rPr>
                    </w:pPr>
                    <w:r>
                      <w:rPr>
                        <w:rFonts w:ascii="Calibri"/>
                        <w:sz w:val="14"/>
                      </w:rPr>
                      <w:t>62.4</w:t>
                    </w:r>
                  </w:p>
                </w:txbxContent>
              </v:textbox>
              <w10:wrap type="none"/>
            </v:shape>
            <v:shape style="position:absolute;left:1903;top:2050;width:251;height:139" type="#_x0000_t202" filled="false" stroked="false">
              <v:textbox inset="0,0,0,0">
                <w:txbxContent>
                  <w:p>
                    <w:pPr>
                      <w:spacing w:line="138" w:lineRule="exact" w:before="0"/>
                      <w:ind w:left="0" w:right="-18" w:firstLine="0"/>
                      <w:jc w:val="left"/>
                      <w:rPr>
                        <w:rFonts w:ascii="Calibri"/>
                        <w:sz w:val="14"/>
                      </w:rPr>
                    </w:pPr>
                    <w:r>
                      <w:rPr>
                        <w:rFonts w:ascii="Calibri"/>
                        <w:sz w:val="14"/>
                      </w:rPr>
                      <w:t>54.1</w:t>
                    </w:r>
                  </w:p>
                </w:txbxContent>
              </v:textbox>
              <w10:wrap type="none"/>
            </v:shape>
            <v:shape style="position:absolute;left:2129;top:2378;width:252;height:138" type="#_x0000_t202" filled="false" stroked="false">
              <v:textbox inset="0,0,0,0">
                <w:txbxContent>
                  <w:p>
                    <w:pPr>
                      <w:spacing w:line="138" w:lineRule="exact" w:before="0"/>
                      <w:ind w:left="0" w:right="-10" w:firstLine="0"/>
                      <w:jc w:val="left"/>
                      <w:rPr>
                        <w:rFonts w:ascii="Calibri"/>
                        <w:sz w:val="13"/>
                      </w:rPr>
                    </w:pPr>
                    <w:r>
                      <w:rPr>
                        <w:rFonts w:ascii="Calibri"/>
                        <w:w w:val="105"/>
                        <w:sz w:val="13"/>
                      </w:rPr>
                      <w:t>37.4</w:t>
                    </w:r>
                  </w:p>
                </w:txbxContent>
              </v:textbox>
              <w10:wrap type="none"/>
            </v:shape>
            <v:shape style="position:absolute;left:5642;top:2632;width:251;height:139" type="#_x0000_t202" filled="false" stroked="false">
              <v:textbox inset="0,0,0,0">
                <w:txbxContent>
                  <w:p>
                    <w:pPr>
                      <w:spacing w:line="138" w:lineRule="exact" w:before="0"/>
                      <w:ind w:left="0" w:right="-18" w:firstLine="0"/>
                      <w:jc w:val="left"/>
                      <w:rPr>
                        <w:rFonts w:ascii="Calibri"/>
                        <w:sz w:val="14"/>
                      </w:rPr>
                    </w:pPr>
                    <w:r>
                      <w:rPr>
                        <w:rFonts w:ascii="Calibri"/>
                        <w:sz w:val="14"/>
                      </w:rPr>
                      <w:t>28.8</w:t>
                    </w:r>
                  </w:p>
                </w:txbxContent>
              </v:textbox>
              <w10:wrap type="none"/>
            </v:shape>
            <v:shape style="position:absolute;left:1174;top:2938;width:252;height:139" type="#_x0000_t202" filled="false" stroked="false">
              <v:textbox inset="0,0,0,0">
                <w:txbxContent>
                  <w:p>
                    <w:pPr>
                      <w:spacing w:line="138" w:lineRule="exact" w:before="0"/>
                      <w:ind w:left="0" w:right="-17" w:firstLine="0"/>
                      <w:jc w:val="left"/>
                      <w:rPr>
                        <w:rFonts w:ascii="Calibri"/>
                        <w:sz w:val="14"/>
                      </w:rPr>
                    </w:pPr>
                    <w:r>
                      <w:rPr>
                        <w:rFonts w:ascii="Calibri"/>
                        <w:sz w:val="14"/>
                      </w:rPr>
                      <w:t>17.1</w:t>
                    </w:r>
                  </w:p>
                </w:txbxContent>
              </v:textbox>
              <w10:wrap type="none"/>
            </v:shape>
            <v:shape style="position:absolute;left:1595;top:3055;width:321;height:283" type="#_x0000_t202" filled="false" stroked="false">
              <v:textbox inset="0,0,0,0">
                <w:txbxContent>
                  <w:p>
                    <w:pPr>
                      <w:spacing w:line="128" w:lineRule="exact" w:before="0"/>
                      <w:ind w:left="0" w:right="-12" w:firstLine="0"/>
                      <w:jc w:val="left"/>
                      <w:rPr>
                        <w:rFonts w:ascii="Calibri"/>
                        <w:sz w:val="14"/>
                      </w:rPr>
                    </w:pPr>
                    <w:r>
                      <w:rPr>
                        <w:rFonts w:ascii="Calibri"/>
                        <w:sz w:val="14"/>
                      </w:rPr>
                      <w:t>14.8</w:t>
                    </w:r>
                  </w:p>
                  <w:p>
                    <w:pPr>
                      <w:spacing w:line="155" w:lineRule="exact" w:before="0"/>
                      <w:ind w:left="144" w:right="-12" w:firstLine="0"/>
                      <w:jc w:val="left"/>
                      <w:rPr>
                        <w:rFonts w:ascii="Calibri"/>
                        <w:sz w:val="14"/>
                      </w:rPr>
                    </w:pPr>
                    <w:r>
                      <w:rPr>
                        <w:rFonts w:ascii="Calibri"/>
                        <w:w w:val="95"/>
                        <w:sz w:val="14"/>
                      </w:rPr>
                      <w:t>9.3</w:t>
                    </w:r>
                  </w:p>
                </w:txbxContent>
              </v:textbox>
              <w10:wrap type="none"/>
            </v:shape>
            <v:shape style="position:absolute;left:2245;top:3164;width:177;height:139" type="#_x0000_t202" filled="false" stroked="false">
              <v:textbox inset="0,0,0,0">
                <w:txbxContent>
                  <w:p>
                    <w:pPr>
                      <w:spacing w:line="138" w:lineRule="exact" w:before="0"/>
                      <w:ind w:left="0" w:right="-12" w:firstLine="0"/>
                      <w:jc w:val="left"/>
                      <w:rPr>
                        <w:rFonts w:ascii="Calibri"/>
                        <w:sz w:val="14"/>
                      </w:rPr>
                    </w:pPr>
                    <w:r>
                      <w:rPr>
                        <w:rFonts w:ascii="Calibri"/>
                        <w:w w:val="95"/>
                        <w:sz w:val="14"/>
                      </w:rPr>
                      <w:t>8.5</w:t>
                    </w:r>
                  </w:p>
                </w:txbxContent>
              </v:textbox>
              <w10:wrap type="none"/>
            </v:shape>
            <v:shape style="position:absolute;left:2635;top:3142;width:278;height:311" type="#_x0000_t202" filled="false" stroked="false">
              <v:textbox inset="0,0,0,0">
                <w:txbxContent>
                  <w:p>
                    <w:pPr>
                      <w:spacing w:line="141" w:lineRule="exact" w:before="0"/>
                      <w:ind w:left="0" w:right="25" w:firstLine="0"/>
                      <w:jc w:val="center"/>
                      <w:rPr>
                        <w:rFonts w:ascii="Calibri"/>
                        <w:sz w:val="14"/>
                      </w:rPr>
                    </w:pPr>
                    <w:r>
                      <w:rPr>
                        <w:rFonts w:ascii="Calibri"/>
                        <w:sz w:val="14"/>
                      </w:rPr>
                      <w:t>11.0</w:t>
                    </w:r>
                  </w:p>
                  <w:p>
                    <w:pPr>
                      <w:spacing w:line="168" w:lineRule="exact" w:before="1"/>
                      <w:ind w:left="101" w:right="0" w:firstLine="0"/>
                      <w:jc w:val="center"/>
                      <w:rPr>
                        <w:rFonts w:ascii="Calibri"/>
                        <w:sz w:val="14"/>
                      </w:rPr>
                    </w:pPr>
                    <w:r>
                      <w:rPr>
                        <w:rFonts w:ascii="Calibri"/>
                        <w:w w:val="95"/>
                        <w:sz w:val="14"/>
                      </w:rPr>
                      <w:t>6.6</w:t>
                    </w:r>
                  </w:p>
                </w:txbxContent>
              </v:textbox>
              <w10:wrap type="none"/>
            </v:shape>
            <v:shape style="position:absolute;left:3201;top:3171;width:204;height:319" type="#_x0000_t202" filled="false" stroked="false">
              <v:textbox inset="0,0,0,0">
                <w:txbxContent>
                  <w:p>
                    <w:pPr>
                      <w:spacing w:line="138" w:lineRule="exact" w:before="0"/>
                      <w:ind w:left="0" w:right="-12" w:firstLine="0"/>
                      <w:jc w:val="left"/>
                      <w:rPr>
                        <w:rFonts w:ascii="Calibri"/>
                        <w:sz w:val="13"/>
                      </w:rPr>
                    </w:pPr>
                    <w:r>
                      <w:rPr>
                        <w:rFonts w:ascii="Calibri"/>
                        <w:w w:val="105"/>
                        <w:sz w:val="13"/>
                      </w:rPr>
                      <w:t>9.9</w:t>
                    </w:r>
                  </w:p>
                  <w:p>
                    <w:pPr>
                      <w:spacing w:line="168" w:lineRule="exact" w:before="11"/>
                      <w:ind w:left="27" w:right="-12" w:firstLine="0"/>
                      <w:jc w:val="left"/>
                      <w:rPr>
                        <w:rFonts w:ascii="Calibri"/>
                        <w:sz w:val="14"/>
                      </w:rPr>
                    </w:pPr>
                    <w:r>
                      <w:rPr>
                        <w:rFonts w:ascii="Calibri"/>
                        <w:w w:val="95"/>
                        <w:sz w:val="14"/>
                      </w:rPr>
                      <w:t>4.7</w:t>
                    </w:r>
                  </w:p>
                </w:txbxContent>
              </v:textbox>
              <w10:wrap type="none"/>
            </v:shape>
            <v:shape style="position:absolute;left:3664;top:3208;width:246;height:326" type="#_x0000_t202" filled="false" stroked="false">
              <v:textbox inset="0,0,0,0">
                <w:txbxContent>
                  <w:p>
                    <w:pPr>
                      <w:spacing w:line="141" w:lineRule="exact" w:before="0"/>
                      <w:ind w:left="0" w:right="-12" w:firstLine="0"/>
                      <w:jc w:val="left"/>
                      <w:rPr>
                        <w:rFonts w:ascii="Calibri"/>
                        <w:sz w:val="14"/>
                      </w:rPr>
                    </w:pPr>
                    <w:r>
                      <w:rPr>
                        <w:rFonts w:ascii="Calibri"/>
                        <w:sz w:val="14"/>
                      </w:rPr>
                      <w:t>7.4</w:t>
                    </w:r>
                  </w:p>
                  <w:p>
                    <w:pPr>
                      <w:spacing w:line="168" w:lineRule="exact" w:before="16"/>
                      <w:ind w:left="69" w:right="-12" w:firstLine="0"/>
                      <w:jc w:val="left"/>
                      <w:rPr>
                        <w:rFonts w:ascii="Calibri"/>
                        <w:sz w:val="14"/>
                      </w:rPr>
                    </w:pPr>
                    <w:r>
                      <w:rPr>
                        <w:rFonts w:ascii="Calibri"/>
                        <w:w w:val="95"/>
                        <w:sz w:val="14"/>
                      </w:rPr>
                      <w:t>2.9</w:t>
                    </w:r>
                  </w:p>
                </w:txbxContent>
              </v:textbox>
              <w10:wrap type="none"/>
            </v:shape>
            <v:shape style="position:absolute;left:4142;top:3166;width:275;height:318" type="#_x0000_t202" filled="false" stroked="false">
              <v:textbox inset="0,0,0,0">
                <w:txbxContent>
                  <w:p>
                    <w:pPr>
                      <w:spacing w:line="141" w:lineRule="exact" w:before="0"/>
                      <w:ind w:left="0" w:right="-12" w:firstLine="0"/>
                      <w:jc w:val="left"/>
                      <w:rPr>
                        <w:rFonts w:ascii="Calibri"/>
                        <w:sz w:val="14"/>
                      </w:rPr>
                    </w:pPr>
                    <w:r>
                      <w:rPr>
                        <w:rFonts w:ascii="Calibri"/>
                        <w:sz w:val="14"/>
                      </w:rPr>
                      <w:t>5.2</w:t>
                    </w:r>
                  </w:p>
                  <w:p>
                    <w:pPr>
                      <w:spacing w:line="168" w:lineRule="exact" w:before="8"/>
                      <w:ind w:left="98" w:right="-12" w:firstLine="0"/>
                      <w:jc w:val="left"/>
                      <w:rPr>
                        <w:rFonts w:ascii="Calibri"/>
                        <w:sz w:val="14"/>
                      </w:rPr>
                    </w:pPr>
                    <w:r>
                      <w:rPr>
                        <w:rFonts w:ascii="Calibri"/>
                        <w:w w:val="95"/>
                        <w:sz w:val="14"/>
                      </w:rPr>
                      <w:t>5.4</w:t>
                    </w:r>
                  </w:p>
                </w:txbxContent>
              </v:textbox>
              <w10:wrap type="none"/>
            </v:shape>
            <v:shape style="position:absolute;left:4633;top:3190;width:333;height:319" type="#_x0000_t202" filled="false" stroked="false">
              <v:textbox inset="0,0,0,0">
                <w:txbxContent>
                  <w:p>
                    <w:pPr>
                      <w:spacing w:line="141" w:lineRule="exact" w:before="0"/>
                      <w:ind w:left="0" w:right="-15" w:firstLine="0"/>
                      <w:jc w:val="left"/>
                      <w:rPr>
                        <w:rFonts w:ascii="Calibri"/>
                        <w:sz w:val="14"/>
                      </w:rPr>
                    </w:pPr>
                    <w:r>
                      <w:rPr>
                        <w:rFonts w:ascii="Calibri"/>
                        <w:sz w:val="14"/>
                      </w:rPr>
                      <w:t>7.0</w:t>
                    </w:r>
                  </w:p>
                  <w:p>
                    <w:pPr>
                      <w:spacing w:line="158" w:lineRule="exact" w:before="18"/>
                      <w:ind w:left="155" w:right="-15" w:firstLine="0"/>
                      <w:jc w:val="left"/>
                      <w:rPr>
                        <w:rFonts w:ascii="Calibri"/>
                        <w:sz w:val="13"/>
                      </w:rPr>
                    </w:pPr>
                    <w:r>
                      <w:rPr>
                        <w:rFonts w:ascii="Calibri"/>
                        <w:w w:val="105"/>
                        <w:sz w:val="13"/>
                      </w:rPr>
                      <w:t>4.5</w:t>
                    </w:r>
                  </w:p>
                </w:txbxContent>
              </v:textbox>
              <w10:wrap type="none"/>
            </v:shape>
            <v:shape style="position:absolute;left:5139;top:3208;width:318;height:302" type="#_x0000_t202" filled="false" stroked="false">
              <v:textbox inset="0,0,0,0">
                <w:txbxContent>
                  <w:p>
                    <w:pPr>
                      <w:spacing w:line="141" w:lineRule="exact" w:before="0"/>
                      <w:ind w:left="0" w:right="-15" w:firstLine="0"/>
                      <w:jc w:val="left"/>
                      <w:rPr>
                        <w:rFonts w:ascii="Calibri"/>
                        <w:sz w:val="14"/>
                      </w:rPr>
                    </w:pPr>
                    <w:r>
                      <w:rPr>
                        <w:rFonts w:ascii="Calibri"/>
                        <w:sz w:val="14"/>
                      </w:rPr>
                      <w:t>7.4</w:t>
                    </w:r>
                  </w:p>
                  <w:p>
                    <w:pPr>
                      <w:spacing w:line="158" w:lineRule="exact" w:before="1"/>
                      <w:ind w:left="140" w:right="-15" w:firstLine="0"/>
                      <w:jc w:val="left"/>
                      <w:rPr>
                        <w:rFonts w:ascii="Calibri"/>
                        <w:sz w:val="13"/>
                      </w:rPr>
                    </w:pPr>
                    <w:r>
                      <w:rPr>
                        <w:rFonts w:ascii="Calibri"/>
                        <w:w w:val="105"/>
                        <w:sz w:val="13"/>
                      </w:rPr>
                      <w:t>2.3</w:t>
                    </w:r>
                  </w:p>
                </w:txbxContent>
              </v:textbox>
              <w10:wrap type="none"/>
            </v:shape>
            <v:shape style="position:absolute;left:5743;top:3198;width:178;height:139" type="#_x0000_t202" filled="false" stroked="false">
              <v:textbox inset="0,0,0,0">
                <w:txbxContent>
                  <w:p>
                    <w:pPr>
                      <w:spacing w:line="138" w:lineRule="exact" w:before="0"/>
                      <w:ind w:left="0" w:right="-20" w:firstLine="0"/>
                      <w:jc w:val="left"/>
                      <w:rPr>
                        <w:rFonts w:ascii="Calibri"/>
                        <w:sz w:val="14"/>
                      </w:rPr>
                    </w:pPr>
                    <w:r>
                      <w:rPr>
                        <w:rFonts w:ascii="Calibri"/>
                        <w:sz w:val="14"/>
                      </w:rPr>
                      <w:t>8.8</w:t>
                    </w:r>
                  </w:p>
                </w:txbxContent>
              </v:textbox>
              <w10:wrap type="none"/>
            </v:shape>
            <v:shape style="position:absolute;left:1219;top:3310;width:178;height:139" type="#_x0000_t202" filled="false" stroked="false">
              <v:textbox inset="0,0,0,0">
                <w:txbxContent>
                  <w:p>
                    <w:pPr>
                      <w:spacing w:line="138" w:lineRule="exact" w:before="0"/>
                      <w:ind w:left="0" w:right="-20" w:firstLine="0"/>
                      <w:jc w:val="left"/>
                      <w:rPr>
                        <w:rFonts w:ascii="Calibri"/>
                        <w:sz w:val="14"/>
                      </w:rPr>
                    </w:pPr>
                    <w:r>
                      <w:rPr>
                        <w:rFonts w:ascii="Calibri"/>
                        <w:sz w:val="14"/>
                      </w:rPr>
                      <w:t>4.6</w:t>
                    </w:r>
                  </w:p>
                </w:txbxContent>
              </v:textbox>
              <w10:wrap type="none"/>
            </v:shape>
            <v:shape style="position:absolute;left:6179;top:3197;width:261;height:296" type="#_x0000_t202" filled="false" stroked="false">
              <v:textbox inset="0,0,0,0">
                <w:txbxContent>
                  <w:p>
                    <w:pPr>
                      <w:spacing w:line="134" w:lineRule="exact" w:before="0"/>
                      <w:ind w:left="0" w:right="-12" w:firstLine="0"/>
                      <w:jc w:val="left"/>
                      <w:rPr>
                        <w:rFonts w:ascii="Calibri"/>
                        <w:sz w:val="14"/>
                      </w:rPr>
                    </w:pPr>
                    <w:r>
                      <w:rPr>
                        <w:rFonts w:ascii="Calibri"/>
                        <w:sz w:val="14"/>
                      </w:rPr>
                      <w:t>9.4</w:t>
                    </w:r>
                  </w:p>
                  <w:p>
                    <w:pPr>
                      <w:spacing w:line="161" w:lineRule="exact" w:before="0"/>
                      <w:ind w:left="84" w:right="-12" w:firstLine="0"/>
                      <w:jc w:val="left"/>
                      <w:rPr>
                        <w:rFonts w:ascii="Calibri"/>
                        <w:sz w:val="14"/>
                      </w:rPr>
                    </w:pPr>
                    <w:r>
                      <w:rPr>
                        <w:rFonts w:ascii="Calibri"/>
                        <w:w w:val="95"/>
                        <w:sz w:val="14"/>
                      </w:rPr>
                      <w:t>4.5</w:t>
                    </w:r>
                  </w:p>
                </w:txbxContent>
              </v:textbox>
              <w10:wrap type="none"/>
            </v:shape>
            <v:shape style="position:absolute;left:6667;top:3159;width:306;height:276" type="#_x0000_t202" filled="false" stroked="false">
              <v:textbox inset="0,0,0,0">
                <w:txbxContent>
                  <w:p>
                    <w:pPr>
                      <w:spacing w:line="129" w:lineRule="exact" w:before="0"/>
                      <w:ind w:left="0" w:right="52" w:firstLine="0"/>
                      <w:jc w:val="center"/>
                      <w:rPr>
                        <w:rFonts w:ascii="Calibri"/>
                        <w:sz w:val="14"/>
                      </w:rPr>
                    </w:pPr>
                    <w:r>
                      <w:rPr>
                        <w:rFonts w:ascii="Calibri"/>
                        <w:sz w:val="14"/>
                      </w:rPr>
                      <w:t>10.3</w:t>
                    </w:r>
                  </w:p>
                  <w:p>
                    <w:pPr>
                      <w:spacing w:line="146" w:lineRule="exact" w:before="0"/>
                      <w:ind w:left="129" w:right="0" w:firstLine="0"/>
                      <w:jc w:val="center"/>
                      <w:rPr>
                        <w:rFonts w:ascii="Calibri"/>
                        <w:sz w:val="13"/>
                      </w:rPr>
                    </w:pPr>
                    <w:r>
                      <w:rPr>
                        <w:rFonts w:ascii="Calibri"/>
                        <w:w w:val="105"/>
                        <w:sz w:val="13"/>
                      </w:rPr>
                      <w:t>8.3</w:t>
                    </w:r>
                  </w:p>
                </w:txbxContent>
              </v:textbox>
              <w10:wrap type="none"/>
            </v:shape>
            <v:shape style="position:absolute;left:7201;top:3128;width:251;height:350" type="#_x0000_t202" filled="false" stroked="false">
              <v:textbox inset="0,0,0,0">
                <w:txbxContent>
                  <w:p>
                    <w:pPr>
                      <w:spacing w:line="141" w:lineRule="exact" w:before="0"/>
                      <w:ind w:left="0" w:right="-18" w:firstLine="0"/>
                      <w:jc w:val="left"/>
                      <w:rPr>
                        <w:rFonts w:ascii="Calibri"/>
                        <w:sz w:val="14"/>
                      </w:rPr>
                    </w:pPr>
                    <w:r>
                      <w:rPr>
                        <w:rFonts w:ascii="Calibri"/>
                        <w:sz w:val="14"/>
                      </w:rPr>
                      <w:t>12.1</w:t>
                    </w:r>
                  </w:p>
                  <w:p>
                    <w:pPr>
                      <w:spacing w:line="168" w:lineRule="exact" w:before="40"/>
                      <w:ind w:left="73" w:right="-11" w:firstLine="0"/>
                      <w:jc w:val="left"/>
                      <w:rPr>
                        <w:rFonts w:ascii="Calibri"/>
                        <w:sz w:val="14"/>
                      </w:rPr>
                    </w:pPr>
                    <w:r>
                      <w:rPr>
                        <w:rFonts w:ascii="Calibri"/>
                        <w:w w:val="95"/>
                        <w:sz w:val="14"/>
                      </w:rPr>
                      <w:t>4.0</w:t>
                    </w:r>
                  </w:p>
                </w:txbxContent>
              </v:textbox>
              <w10:wrap type="none"/>
            </v:shape>
            <v:shape style="position:absolute;left:7697;top:3204;width:304;height:291" type="#_x0000_t202" filled="false" stroked="false">
              <v:textbox inset="0,0,0,0">
                <w:txbxContent>
                  <w:p>
                    <w:pPr>
                      <w:spacing w:line="132" w:lineRule="exact" w:before="0"/>
                      <w:ind w:left="0" w:right="-11" w:firstLine="0"/>
                      <w:jc w:val="left"/>
                      <w:rPr>
                        <w:rFonts w:ascii="Calibri"/>
                        <w:sz w:val="14"/>
                      </w:rPr>
                    </w:pPr>
                    <w:r>
                      <w:rPr>
                        <w:rFonts w:ascii="Calibri"/>
                        <w:sz w:val="14"/>
                      </w:rPr>
                      <w:t>7.5</w:t>
                    </w:r>
                  </w:p>
                  <w:p>
                    <w:pPr>
                      <w:spacing w:line="159" w:lineRule="exact" w:before="0"/>
                      <w:ind w:left="126" w:right="-11" w:firstLine="0"/>
                      <w:jc w:val="left"/>
                      <w:rPr>
                        <w:rFonts w:ascii="Calibri"/>
                        <w:sz w:val="14"/>
                      </w:rPr>
                    </w:pPr>
                    <w:r>
                      <w:rPr>
                        <w:rFonts w:ascii="Calibri"/>
                        <w:w w:val="95"/>
                        <w:sz w:val="14"/>
                      </w:rPr>
                      <w:t>4.4</w:t>
                    </w:r>
                  </w:p>
                </w:txbxContent>
              </v:textbox>
              <w10:wrap type="none"/>
            </v:shape>
            <v:shape style="position:absolute;left:8156;top:3122;width:350;height:415" type="#_x0000_t202" filled="false" stroked="false">
              <v:textbox inset="0,0,0,0">
                <w:txbxContent>
                  <w:p>
                    <w:pPr>
                      <w:spacing w:line="141" w:lineRule="exact" w:before="0"/>
                      <w:ind w:left="0" w:right="-11" w:firstLine="0"/>
                      <w:jc w:val="left"/>
                      <w:rPr>
                        <w:rFonts w:ascii="Calibri"/>
                        <w:sz w:val="14"/>
                      </w:rPr>
                    </w:pPr>
                    <w:r>
                      <w:rPr>
                        <w:rFonts w:ascii="Calibri"/>
                        <w:sz w:val="14"/>
                      </w:rPr>
                      <w:t>13.3</w:t>
                    </w:r>
                  </w:p>
                  <w:p>
                    <w:pPr>
                      <w:spacing w:line="168" w:lineRule="exact" w:before="105"/>
                      <w:ind w:left="172" w:right="-11" w:firstLine="0"/>
                      <w:jc w:val="left"/>
                      <w:rPr>
                        <w:rFonts w:ascii="Calibri"/>
                        <w:sz w:val="14"/>
                      </w:rPr>
                    </w:pPr>
                    <w:r>
                      <w:rPr>
                        <w:rFonts w:ascii="Calibri"/>
                        <w:w w:val="95"/>
                        <w:sz w:val="14"/>
                      </w:rPr>
                      <w:t>3.4</w:t>
                    </w:r>
                  </w:p>
                </w:txbxContent>
              </v:textbox>
              <w10:wrap type="none"/>
            </v:shape>
            <v:shape style="position:absolute;left:2126;top:4949;width:1132;height:138" type="#_x0000_t202" filled="false" stroked="false">
              <v:textbox inset="0,0,0,0">
                <w:txbxContent>
                  <w:p>
                    <w:pPr>
                      <w:spacing w:line="138" w:lineRule="exact" w:before="0"/>
                      <w:ind w:left="0" w:right="-6" w:firstLine="0"/>
                      <w:jc w:val="left"/>
                      <w:rPr>
                        <w:rFonts w:ascii="Calibri"/>
                        <w:sz w:val="13"/>
                      </w:rPr>
                    </w:pPr>
                    <w:r>
                      <w:rPr>
                        <w:rFonts w:ascii="Calibri"/>
                        <w:w w:val="105"/>
                        <w:sz w:val="13"/>
                      </w:rPr>
                      <w:t>Viviendas Habitadas</w:t>
                    </w:r>
                  </w:p>
                </w:txbxContent>
              </v:textbox>
              <w10:wrap type="none"/>
            </v:shape>
            <v:shape style="position:absolute;left:3666;top:4949;width:1260;height:138" type="#_x0000_t202" filled="false" stroked="false">
              <v:textbox inset="0,0,0,0">
                <w:txbxContent>
                  <w:p>
                    <w:pPr>
                      <w:spacing w:line="138" w:lineRule="exact" w:before="0"/>
                      <w:ind w:left="0" w:right="0" w:firstLine="0"/>
                      <w:jc w:val="left"/>
                      <w:rPr>
                        <w:rFonts w:ascii="Calibri"/>
                        <w:sz w:val="13"/>
                      </w:rPr>
                    </w:pPr>
                    <w:r>
                      <w:rPr>
                        <w:rFonts w:ascii="Calibri"/>
                        <w:w w:val="105"/>
                        <w:sz w:val="13"/>
                      </w:rPr>
                      <w:t>Viviendas Desabitadas</w:t>
                    </w:r>
                  </w:p>
                </w:txbxContent>
              </v:textbox>
              <w10:wrap type="none"/>
            </v:shape>
            <v:shape style="position:absolute;left:5330;top:4949;width:1507;height:138" type="#_x0000_t202" filled="false" stroked="false">
              <v:textbox inset="0,0,0,0">
                <w:txbxContent>
                  <w:p>
                    <w:pPr>
                      <w:spacing w:line="138" w:lineRule="exact" w:before="0"/>
                      <w:ind w:left="0" w:right="0" w:firstLine="0"/>
                      <w:jc w:val="left"/>
                      <w:rPr>
                        <w:rFonts w:ascii="Calibri"/>
                        <w:sz w:val="13"/>
                      </w:rPr>
                    </w:pPr>
                    <w:r>
                      <w:rPr>
                        <w:rFonts w:ascii="Calibri"/>
                        <w:w w:val="105"/>
                        <w:sz w:val="13"/>
                      </w:rPr>
                      <w:t>Viviendas de uso temporal</w:t>
                    </w:r>
                  </w:p>
                </w:txbxContent>
              </v:textbox>
              <w10:wrap type="none"/>
            </v:shape>
          </v:group>
        </w:pict>
      </w:r>
      <w:r>
        <w:rPr>
          <w:sz w:val="20"/>
        </w:rPr>
      </w:r>
    </w:p>
    <w:p>
      <w:pPr>
        <w:spacing w:before="0"/>
        <w:ind w:left="102" w:right="147" w:firstLine="0"/>
        <w:jc w:val="both"/>
        <w:rPr>
          <w:sz w:val="20"/>
        </w:rPr>
      </w:pPr>
      <w:r>
        <w:rPr>
          <w:sz w:val="20"/>
        </w:rPr>
        <w:t>Fuente: Elaboración propia con base en los datos del XIII Censo de Población y Vivienda INEGI, 2010.</w:t>
      </w:r>
    </w:p>
    <w:p>
      <w:pPr>
        <w:pStyle w:val="BodyText"/>
        <w:spacing w:before="11"/>
        <w:rPr>
          <w:sz w:val="29"/>
        </w:rPr>
      </w:pPr>
    </w:p>
    <w:p>
      <w:pPr>
        <w:pStyle w:val="BodyText"/>
        <w:spacing w:line="360" w:lineRule="auto"/>
        <w:ind w:left="102" w:right="143"/>
        <w:jc w:val="both"/>
      </w:pPr>
      <w:r>
        <w:rPr/>
        <w:t>Entonces se puede conceptualizar que la habitabilidad se toma como el resultado de la estructuración interna y externa de la vivienda, en el cual todas las dimensiones, variables, indicadores y factores son importantes. Su finalidad en sí misma es amplia y trae consigo aspectos particulares con finalidades especiales, los cuales en conjunto suministran las condiciones o requerimientos de ordenación, adecuación, eficiencia, y estabilidad, considerados como necesarios e indispensables para la</w:t>
      </w:r>
      <w:r>
        <w:rPr>
          <w:spacing w:val="-13"/>
        </w:rPr>
        <w:t> </w:t>
      </w:r>
      <w:r>
        <w:rPr/>
        <w:t>habitabilidad.</w:t>
      </w:r>
    </w:p>
    <w:p>
      <w:pPr>
        <w:pStyle w:val="BodyText"/>
      </w:pPr>
    </w:p>
    <w:p>
      <w:pPr>
        <w:pStyle w:val="BodyText"/>
      </w:pPr>
    </w:p>
    <w:p>
      <w:pPr>
        <w:pStyle w:val="Heading3"/>
        <w:numPr>
          <w:ilvl w:val="1"/>
          <w:numId w:val="18"/>
        </w:numPr>
        <w:tabs>
          <w:tab w:pos="527" w:val="left" w:leader="none"/>
        </w:tabs>
        <w:spacing w:line="240" w:lineRule="auto" w:before="192" w:after="0"/>
        <w:ind w:left="526" w:right="0" w:hanging="424"/>
        <w:jc w:val="both"/>
      </w:pPr>
      <w:r>
        <w:rPr>
          <w:color w:val="4F81BC"/>
        </w:rPr>
        <w:t>Servicios públicos de las</w:t>
      </w:r>
      <w:r>
        <w:rPr>
          <w:color w:val="4F81BC"/>
          <w:spacing w:val="-21"/>
        </w:rPr>
        <w:t> </w:t>
      </w:r>
      <w:r>
        <w:rPr>
          <w:color w:val="4F81BC"/>
        </w:rPr>
        <w:t>viviendas</w:t>
      </w:r>
    </w:p>
    <w:p>
      <w:pPr>
        <w:pStyle w:val="BodyText"/>
        <w:rPr>
          <w:rFonts w:ascii="Cambria"/>
          <w:b/>
          <w:sz w:val="26"/>
        </w:rPr>
      </w:pPr>
    </w:p>
    <w:p>
      <w:pPr>
        <w:pStyle w:val="BodyText"/>
        <w:spacing w:before="5"/>
        <w:rPr>
          <w:rFonts w:ascii="Cambria"/>
          <w:b/>
        </w:rPr>
      </w:pPr>
    </w:p>
    <w:p>
      <w:pPr>
        <w:spacing w:line="360" w:lineRule="auto" w:before="0"/>
        <w:ind w:left="102" w:right="136" w:firstLine="0"/>
        <w:jc w:val="both"/>
        <w:rPr>
          <w:sz w:val="24"/>
        </w:rPr>
      </w:pPr>
      <w:r>
        <w:rPr>
          <w:sz w:val="24"/>
        </w:rPr>
        <w:t>Los servicios públicos de las viviendas pueden explicarse como “</w:t>
      </w:r>
      <w:r>
        <w:rPr>
          <w:i/>
          <w:sz w:val="24"/>
        </w:rPr>
        <w:t>la actividad </w:t>
      </w:r>
      <w:r>
        <w:rPr>
          <w:i/>
          <w:sz w:val="24"/>
        </w:rPr>
        <w:t>técnica destinada al público para satisfacer una necesidad de carácter general, bajo un régimen jurídico especial exorbitante del derecho privado” </w:t>
      </w:r>
      <w:r>
        <w:rPr>
          <w:sz w:val="24"/>
        </w:rPr>
        <w:t>(Fernández, 2002).</w:t>
      </w:r>
    </w:p>
    <w:p>
      <w:pPr>
        <w:spacing w:after="0" w:line="360" w:lineRule="auto"/>
        <w:jc w:val="both"/>
        <w:rPr>
          <w:sz w:val="24"/>
        </w:rPr>
        <w:sectPr>
          <w:pgSz w:w="12240" w:h="15840"/>
          <w:pgMar w:header="0" w:footer="1003" w:top="1360" w:bottom="1200" w:left="1600" w:right="1560"/>
        </w:sectPr>
      </w:pPr>
    </w:p>
    <w:p>
      <w:pPr>
        <w:pStyle w:val="BodyText"/>
        <w:spacing w:line="360" w:lineRule="auto" w:before="54"/>
        <w:ind w:left="102" w:right="116"/>
        <w:jc w:val="both"/>
      </w:pPr>
      <w:r>
        <w:rPr/>
        <w:t>En la investigación los servicios públicos con los cuales vamos a analizar y evaluar la habitabilidad de las viviendas, son los siguientes agua potable, energía eléctrica y drenaje con los que cuentan las viviendas.</w:t>
      </w:r>
    </w:p>
    <w:p>
      <w:pPr>
        <w:pStyle w:val="BodyText"/>
        <w:spacing w:line="360" w:lineRule="auto" w:before="204"/>
        <w:ind w:left="102" w:right="123"/>
        <w:jc w:val="both"/>
      </w:pPr>
      <w:r>
        <w:rPr/>
        <w:t>Resulta difícil determinar con precisión las relaciones causa efecto entre la urbanización de la </w:t>
      </w:r>
      <w:r>
        <w:rPr>
          <w:sz w:val="19"/>
        </w:rPr>
        <w:t>ZMT </w:t>
      </w:r>
      <w:r>
        <w:rPr/>
        <w:t>y los servicios públicos, especialmente cuando no existen casos concretos de la expansión urbana y expansión de los servicios, es por ello que la investigación evidencia estos comportamientos. En seguida se empieza analizar el servicio de agua en la zona metropolitana.</w:t>
      </w:r>
    </w:p>
    <w:p>
      <w:pPr>
        <w:pStyle w:val="ListParagraph"/>
        <w:numPr>
          <w:ilvl w:val="2"/>
          <w:numId w:val="18"/>
        </w:numPr>
        <w:tabs>
          <w:tab w:pos="643" w:val="left" w:leader="none"/>
        </w:tabs>
        <w:spacing w:line="240" w:lineRule="auto" w:before="206" w:after="0"/>
        <w:ind w:left="642" w:right="0" w:hanging="540"/>
        <w:jc w:val="both"/>
        <w:rPr>
          <w:rFonts w:ascii="Cambria"/>
          <w:b/>
          <w:sz w:val="22"/>
        </w:rPr>
      </w:pPr>
      <w:r>
        <w:rPr>
          <w:rFonts w:ascii="Cambria"/>
          <w:b/>
          <w:color w:val="4F81BC"/>
          <w:sz w:val="22"/>
        </w:rPr>
        <w:t>Servicio de</w:t>
      </w:r>
      <w:r>
        <w:rPr>
          <w:rFonts w:ascii="Cambria"/>
          <w:b/>
          <w:color w:val="4F81BC"/>
          <w:spacing w:val="-2"/>
          <w:sz w:val="22"/>
        </w:rPr>
        <w:t> </w:t>
      </w:r>
      <w:r>
        <w:rPr>
          <w:rFonts w:ascii="Cambria"/>
          <w:b/>
          <w:color w:val="4F81BC"/>
          <w:sz w:val="22"/>
        </w:rPr>
        <w:t>agua</w:t>
      </w:r>
    </w:p>
    <w:p>
      <w:pPr>
        <w:pStyle w:val="BodyText"/>
        <w:rPr>
          <w:rFonts w:ascii="Cambria"/>
          <w:b/>
          <w:sz w:val="22"/>
        </w:rPr>
      </w:pPr>
    </w:p>
    <w:p>
      <w:pPr>
        <w:pStyle w:val="BodyText"/>
        <w:spacing w:before="10"/>
        <w:rPr>
          <w:rFonts w:ascii="Cambria"/>
          <w:b/>
          <w:sz w:val="26"/>
        </w:rPr>
      </w:pPr>
    </w:p>
    <w:p>
      <w:pPr>
        <w:pStyle w:val="BodyText"/>
        <w:spacing w:line="360" w:lineRule="auto"/>
        <w:ind w:left="102" w:right="116"/>
        <w:jc w:val="both"/>
      </w:pPr>
      <w:r>
        <w:rPr/>
        <w:t>El servicio de agua potable es necesario para el consumo humano, realizar la limpieza, aseo y saneamiento de las viviendas, limpieza del vestido, higiene de las personas, además para la limpieza y preparación de los alimentos. El suministro de agua potable ha sido un problema que ha ocupado el hombre desde la antigüedad y que al día de hoy sigue presente del cual no escapa la</w:t>
      </w:r>
      <w:r>
        <w:rPr>
          <w:spacing w:val="-28"/>
        </w:rPr>
        <w:t> </w:t>
      </w:r>
      <w:r>
        <w:rPr>
          <w:sz w:val="19"/>
        </w:rPr>
        <w:t>ZMT</w:t>
      </w:r>
      <w:r>
        <w:rPr/>
        <w:t>.</w:t>
      </w:r>
    </w:p>
    <w:p>
      <w:pPr>
        <w:spacing w:line="360" w:lineRule="auto" w:before="202"/>
        <w:ind w:left="102" w:right="117" w:firstLine="0"/>
        <w:jc w:val="both"/>
        <w:rPr>
          <w:sz w:val="24"/>
        </w:rPr>
      </w:pPr>
      <w:r>
        <w:rPr>
          <w:i/>
          <w:sz w:val="24"/>
        </w:rPr>
        <w:t>“Existe un fuerte desequilibrio que se presenta entre la distribución y la </w:t>
      </w:r>
      <w:r>
        <w:rPr>
          <w:i/>
          <w:sz w:val="24"/>
        </w:rPr>
        <w:t>disponibilidad natural del recurso agua” </w:t>
      </w:r>
      <w:r>
        <w:rPr>
          <w:sz w:val="24"/>
        </w:rPr>
        <w:t>(CONAPO 2016: 29), contar o no contar con este servicio también se presenta en las viviendas de la zona metropolitana en estudio. Como señalan (Aguilar y Graizbord 2014: 799) “</w:t>
      </w:r>
      <w:r>
        <w:rPr>
          <w:i/>
          <w:sz w:val="24"/>
        </w:rPr>
        <w:t>el agua, además de su </w:t>
      </w:r>
      <w:r>
        <w:rPr>
          <w:i/>
          <w:sz w:val="24"/>
        </w:rPr>
        <w:t>desigual distribución, se usa sectorialmente de manera sesgada e ineficiente: se estiman pérdidas en el uso agrícola, principal consumidor de agua, de entre 40 y 60 por ciento; y en el uso para abastecimiento público de entre 30 y 50 por ciento, mientras que el uso industrial es el uso más eficiente pero es el que más contamina”</w:t>
      </w:r>
      <w:r>
        <w:rPr>
          <w:sz w:val="24"/>
        </w:rPr>
        <w:t>.</w:t>
      </w:r>
    </w:p>
    <w:p>
      <w:pPr>
        <w:pStyle w:val="BodyText"/>
        <w:spacing w:line="360" w:lineRule="auto" w:before="206"/>
        <w:ind w:left="102" w:right="115"/>
        <w:jc w:val="both"/>
      </w:pPr>
      <w:r>
        <w:rPr/>
        <w:t>El servicio del agua junto con el saneamiento está considerado como los principales motores de la salud pública, ya que cuando se garantiza el acceso al agua salubre y a instalaciones sanitarias adecuadas dentro de las viviendas, independientemente de las diferencias de las condiciones de vida de sus moradores, se reducen las enfermedades.</w:t>
      </w:r>
    </w:p>
    <w:p>
      <w:pPr>
        <w:spacing w:after="0" w:line="360" w:lineRule="auto"/>
        <w:jc w:val="both"/>
        <w:sectPr>
          <w:pgSz w:w="12240" w:h="15840"/>
          <w:pgMar w:header="0" w:footer="1003" w:top="1360" w:bottom="1200" w:left="1600" w:right="1580"/>
        </w:sectPr>
      </w:pPr>
    </w:p>
    <w:p>
      <w:pPr>
        <w:pStyle w:val="BodyText"/>
        <w:spacing w:line="360" w:lineRule="auto" w:before="52"/>
        <w:ind w:left="102" w:right="116"/>
        <w:jc w:val="both"/>
      </w:pPr>
      <w:r>
        <w:rPr/>
        <w:t>Como se mencionó anteriormente para que exista la </w:t>
      </w:r>
      <w:r>
        <w:rPr>
          <w:i/>
        </w:rPr>
        <w:t>vivienda habitable</w:t>
      </w:r>
      <w:r>
        <w:rPr/>
        <w:t>, el servicio público imprescindible es el acceso al servicio de agua. Hoy en día se le considera un derecho inherente a los seres humanos, anclado en el derecho internacional (Domínguez, 2010). El derecho humano al agua, el derecho de todas las personas a disponer de agua suficiente, salubre, limpia, accesible y asequible para el uso personal y doméstico, es fundamental para el bienestar humano y para la salud (Uribe, 2010), además que ayuda a mejorar la calidad de vida de las personas.</w:t>
      </w:r>
    </w:p>
    <w:p>
      <w:pPr>
        <w:pStyle w:val="BodyText"/>
        <w:spacing w:line="360" w:lineRule="auto" w:before="204"/>
        <w:ind w:left="102" w:right="114"/>
        <w:jc w:val="both"/>
      </w:pPr>
      <w:r>
        <w:rPr/>
        <w:t>Con base en los datos del XI censo de población y vivienda del </w:t>
      </w:r>
      <w:r>
        <w:rPr>
          <w:sz w:val="19"/>
        </w:rPr>
        <w:t>INEGI</w:t>
      </w:r>
      <w:r>
        <w:rPr/>
        <w:t>, 1990 el municipio con menor servicio de agua en las viviendas de la </w:t>
      </w:r>
      <w:r>
        <w:rPr>
          <w:sz w:val="19"/>
        </w:rPr>
        <w:t>ZMT</w:t>
      </w:r>
      <w:r>
        <w:rPr/>
        <w:t>, fue Almoloya de Juárez con un 49 por ciento, se puede decir que menos de la mitad de sus viviendas no contaban con agua, el 69 por ciento de las viviendas del municipio de Zinacantepec contaban con este servicio.</w:t>
      </w:r>
    </w:p>
    <w:p>
      <w:pPr>
        <w:pStyle w:val="BodyText"/>
        <w:spacing w:line="360" w:lineRule="auto" w:before="204"/>
        <w:ind w:left="102" w:right="120"/>
        <w:jc w:val="both"/>
      </w:pPr>
      <w:r>
        <w:rPr/>
        <w:t>Los municipios que contaban entre un 70 a 90 por ciento del servicio del agua, de menor a mayor son los siguientes; Temoaya, San Mateo Atenco, Rayón, Otzolotepec, San Antonio la Isla, Toluca, Xonacatlán, Lerma, Mexicaltzingo, Calimaya.</w:t>
      </w:r>
    </w:p>
    <w:p>
      <w:pPr>
        <w:pStyle w:val="BodyText"/>
        <w:spacing w:line="360" w:lineRule="auto" w:before="204"/>
        <w:ind w:left="102" w:right="117"/>
        <w:jc w:val="both"/>
      </w:pPr>
      <w:r>
        <w:rPr/>
        <w:t>Fueron tres los municipios que contaban con mayor porcentaje de servicio de  agua encontramos a Ocoyoacac con el 90.6 por ciento, Metepec con 91.9 por ciento y el municipio de Chapultepec con más del 97 por ciento se puede decir que para este año es el municipio con </w:t>
      </w:r>
      <w:r>
        <w:rPr>
          <w:spacing w:val="3"/>
        </w:rPr>
        <w:t>el </w:t>
      </w:r>
      <w:r>
        <w:rPr/>
        <w:t>mejor servicio de agua dentro de la </w:t>
      </w:r>
      <w:r>
        <w:rPr>
          <w:sz w:val="19"/>
        </w:rPr>
        <w:t>ZMT</w:t>
      </w:r>
      <w:r>
        <w:rPr/>
        <w:t>, en promedio de la </w:t>
      </w:r>
      <w:r>
        <w:rPr>
          <w:sz w:val="19"/>
        </w:rPr>
        <w:t>ZMT </w:t>
      </w:r>
      <w:r>
        <w:rPr/>
        <w:t>para el año 1990 fue de un 80.8 por ciento  (ver cuadro no.  11).</w:t>
      </w:r>
    </w:p>
    <w:p>
      <w:pPr>
        <w:spacing w:after="0" w:line="360" w:lineRule="auto"/>
        <w:jc w:val="both"/>
        <w:sectPr>
          <w:pgSz w:w="12240" w:h="15840"/>
          <w:pgMar w:header="0" w:footer="1003" w:top="1360" w:bottom="1200" w:left="1600" w:right="1580"/>
        </w:sectPr>
      </w:pPr>
    </w:p>
    <w:p>
      <w:pPr>
        <w:spacing w:before="53" w:after="3"/>
        <w:ind w:left="38" w:right="96" w:firstLine="0"/>
        <w:jc w:val="center"/>
        <w:rPr>
          <w:sz w:val="20"/>
        </w:rPr>
      </w:pPr>
      <w:r>
        <w:rPr>
          <w:sz w:val="20"/>
        </w:rPr>
        <w:t>Cuadro No. 11 Viviendas que contaron con servicio de agua en la </w:t>
      </w:r>
      <w:r>
        <w:rPr>
          <w:sz w:val="16"/>
        </w:rPr>
        <w:t>ZMT</w:t>
      </w:r>
      <w:r>
        <w:rPr>
          <w:sz w:val="20"/>
        </w:rPr>
        <w:t>, 1990-2010.</w:t>
      </w:r>
    </w:p>
    <w:tbl>
      <w:tblPr>
        <w:tblW w:w="0" w:type="auto"/>
        <w:jc w:val="left"/>
        <w:tblInd w:w="130"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261"/>
        <w:gridCol w:w="1006"/>
        <w:gridCol w:w="1520"/>
        <w:gridCol w:w="1015"/>
        <w:gridCol w:w="1499"/>
        <w:gridCol w:w="1027"/>
        <w:gridCol w:w="1496"/>
      </w:tblGrid>
      <w:tr>
        <w:trPr>
          <w:trHeight w:val="177" w:hRule="exact"/>
        </w:trPr>
        <w:tc>
          <w:tcPr>
            <w:tcW w:w="1261" w:type="dxa"/>
            <w:tcBorders>
              <w:left w:val="single" w:sz="7" w:space="0" w:color="000000"/>
              <w:bottom w:val="single" w:sz="5" w:space="0" w:color="000000"/>
              <w:right w:val="single" w:sz="5" w:space="0" w:color="000000"/>
            </w:tcBorders>
            <w:shd w:val="clear" w:color="auto" w:fill="00AFEF"/>
          </w:tcPr>
          <w:p>
            <w:pPr>
              <w:pStyle w:val="TableParagraph"/>
              <w:spacing w:line="161" w:lineRule="exact"/>
              <w:ind w:left="402"/>
              <w:rPr>
                <w:b/>
                <w:sz w:val="14"/>
              </w:rPr>
            </w:pPr>
            <w:r>
              <w:rPr>
                <w:b/>
                <w:sz w:val="14"/>
              </w:rPr>
              <w:t>Periodo</w:t>
            </w:r>
          </w:p>
        </w:tc>
        <w:tc>
          <w:tcPr>
            <w:tcW w:w="2526" w:type="dxa"/>
            <w:gridSpan w:val="2"/>
            <w:tcBorders>
              <w:left w:val="single" w:sz="5" w:space="0" w:color="000000"/>
              <w:bottom w:val="single" w:sz="5" w:space="0" w:color="000000"/>
              <w:right w:val="single" w:sz="5" w:space="0" w:color="000000"/>
            </w:tcBorders>
            <w:shd w:val="clear" w:color="auto" w:fill="00AFEF"/>
          </w:tcPr>
          <w:p>
            <w:pPr>
              <w:pStyle w:val="TableParagraph"/>
              <w:spacing w:line="161" w:lineRule="exact"/>
              <w:ind w:left="1096" w:right="1093"/>
              <w:jc w:val="center"/>
              <w:rPr>
                <w:b/>
                <w:sz w:val="14"/>
              </w:rPr>
            </w:pPr>
            <w:r>
              <w:rPr>
                <w:b/>
                <w:sz w:val="14"/>
              </w:rPr>
              <w:t>1990</w:t>
            </w:r>
          </w:p>
        </w:tc>
        <w:tc>
          <w:tcPr>
            <w:tcW w:w="2514" w:type="dxa"/>
            <w:gridSpan w:val="2"/>
            <w:tcBorders>
              <w:left w:val="single" w:sz="5" w:space="0" w:color="000000"/>
              <w:bottom w:val="single" w:sz="5" w:space="0" w:color="000000"/>
              <w:right w:val="single" w:sz="5" w:space="0" w:color="000000"/>
            </w:tcBorders>
            <w:shd w:val="clear" w:color="auto" w:fill="00AFEF"/>
          </w:tcPr>
          <w:p>
            <w:pPr>
              <w:pStyle w:val="TableParagraph"/>
              <w:spacing w:line="161" w:lineRule="exact"/>
              <w:ind w:left="1090" w:right="1087"/>
              <w:jc w:val="center"/>
              <w:rPr>
                <w:b/>
                <w:sz w:val="14"/>
              </w:rPr>
            </w:pPr>
            <w:r>
              <w:rPr>
                <w:b/>
                <w:sz w:val="14"/>
              </w:rPr>
              <w:t>2000</w:t>
            </w:r>
          </w:p>
        </w:tc>
        <w:tc>
          <w:tcPr>
            <w:tcW w:w="2523" w:type="dxa"/>
            <w:gridSpan w:val="2"/>
            <w:tcBorders>
              <w:left w:val="single" w:sz="5" w:space="0" w:color="000000"/>
              <w:bottom w:val="single" w:sz="5" w:space="0" w:color="000000"/>
              <w:right w:val="single" w:sz="7" w:space="0" w:color="000000"/>
            </w:tcBorders>
            <w:shd w:val="clear" w:color="auto" w:fill="00AFEF"/>
          </w:tcPr>
          <w:p>
            <w:pPr>
              <w:pStyle w:val="TableParagraph"/>
              <w:spacing w:line="161" w:lineRule="exact"/>
              <w:ind w:left="1096" w:right="1088"/>
              <w:jc w:val="center"/>
              <w:rPr>
                <w:b/>
                <w:sz w:val="14"/>
              </w:rPr>
            </w:pPr>
            <w:r>
              <w:rPr>
                <w:b/>
                <w:sz w:val="14"/>
              </w:rPr>
              <w:t>2010</w:t>
            </w:r>
          </w:p>
        </w:tc>
      </w:tr>
      <w:tr>
        <w:trPr>
          <w:trHeight w:val="361" w:hRule="exact"/>
        </w:trPr>
        <w:tc>
          <w:tcPr>
            <w:tcW w:w="1261" w:type="dxa"/>
            <w:tcBorders>
              <w:top w:val="single" w:sz="5" w:space="0" w:color="000000"/>
              <w:left w:val="single" w:sz="7" w:space="0" w:color="000000"/>
              <w:bottom w:val="single" w:sz="5" w:space="0" w:color="000000"/>
              <w:right w:val="single" w:sz="5" w:space="0" w:color="000000"/>
            </w:tcBorders>
            <w:shd w:val="clear" w:color="auto" w:fill="00AFEF"/>
          </w:tcPr>
          <w:p>
            <w:pPr>
              <w:pStyle w:val="TableParagraph"/>
              <w:spacing w:before="82"/>
              <w:ind w:left="333"/>
              <w:rPr>
                <w:b/>
                <w:sz w:val="14"/>
              </w:rPr>
            </w:pPr>
            <w:r>
              <w:rPr>
                <w:b/>
                <w:sz w:val="14"/>
              </w:rPr>
              <w:t>Municipio</w:t>
            </w:r>
          </w:p>
        </w:tc>
        <w:tc>
          <w:tcPr>
            <w:tcW w:w="1006" w:type="dxa"/>
            <w:tcBorders>
              <w:top w:val="single" w:sz="5" w:space="0" w:color="000000"/>
              <w:left w:val="single" w:sz="5" w:space="0" w:color="000000"/>
              <w:bottom w:val="single" w:sz="5" w:space="0" w:color="000000"/>
              <w:right w:val="single" w:sz="5" w:space="0" w:color="000000"/>
            </w:tcBorders>
            <w:shd w:val="clear" w:color="auto" w:fill="00AFEF"/>
          </w:tcPr>
          <w:p>
            <w:pPr>
              <w:pStyle w:val="TableParagraph"/>
              <w:spacing w:line="254" w:lineRule="auto"/>
              <w:ind w:left="213" w:hanging="157"/>
              <w:rPr>
                <w:b/>
                <w:sz w:val="14"/>
              </w:rPr>
            </w:pPr>
            <w:r>
              <w:rPr>
                <w:b/>
                <w:sz w:val="14"/>
              </w:rPr>
              <w:t>Total Viviendas habitadas</w:t>
            </w:r>
          </w:p>
        </w:tc>
        <w:tc>
          <w:tcPr>
            <w:tcW w:w="1520" w:type="dxa"/>
            <w:tcBorders>
              <w:top w:val="single" w:sz="5" w:space="0" w:color="000000"/>
              <w:left w:val="single" w:sz="5" w:space="0" w:color="000000"/>
              <w:bottom w:val="single" w:sz="5" w:space="0" w:color="000000"/>
              <w:right w:val="single" w:sz="5" w:space="0" w:color="000000"/>
            </w:tcBorders>
            <w:shd w:val="clear" w:color="auto" w:fill="00AFEF"/>
          </w:tcPr>
          <w:p>
            <w:pPr>
              <w:pStyle w:val="TableParagraph"/>
              <w:spacing w:line="254" w:lineRule="auto"/>
              <w:ind w:left="495" w:hanging="424"/>
              <w:rPr>
                <w:b/>
                <w:sz w:val="14"/>
              </w:rPr>
            </w:pPr>
            <w:r>
              <w:rPr>
                <w:b/>
                <w:sz w:val="14"/>
              </w:rPr>
              <w:t>Porcentaje de viviendas con agua</w:t>
            </w:r>
          </w:p>
        </w:tc>
        <w:tc>
          <w:tcPr>
            <w:tcW w:w="1015" w:type="dxa"/>
            <w:tcBorders>
              <w:top w:val="single" w:sz="5" w:space="0" w:color="000000"/>
              <w:left w:val="single" w:sz="5" w:space="0" w:color="000000"/>
              <w:bottom w:val="single" w:sz="5" w:space="0" w:color="000000"/>
              <w:right w:val="single" w:sz="5" w:space="0" w:color="000000"/>
            </w:tcBorders>
            <w:shd w:val="clear" w:color="auto" w:fill="00AFEF"/>
          </w:tcPr>
          <w:p>
            <w:pPr>
              <w:pStyle w:val="TableParagraph"/>
              <w:spacing w:line="254" w:lineRule="auto"/>
              <w:ind w:left="219" w:hanging="157"/>
              <w:rPr>
                <w:b/>
                <w:sz w:val="14"/>
              </w:rPr>
            </w:pPr>
            <w:r>
              <w:rPr>
                <w:b/>
                <w:sz w:val="14"/>
              </w:rPr>
              <w:t>Total Viviendas habitadas</w:t>
            </w:r>
          </w:p>
        </w:tc>
        <w:tc>
          <w:tcPr>
            <w:tcW w:w="1499" w:type="dxa"/>
            <w:tcBorders>
              <w:top w:val="single" w:sz="5" w:space="0" w:color="000000"/>
              <w:left w:val="single" w:sz="5" w:space="0" w:color="000000"/>
              <w:bottom w:val="single" w:sz="5" w:space="0" w:color="000000"/>
              <w:right w:val="single" w:sz="5" w:space="0" w:color="000000"/>
            </w:tcBorders>
            <w:shd w:val="clear" w:color="auto" w:fill="00AFEF"/>
          </w:tcPr>
          <w:p>
            <w:pPr>
              <w:pStyle w:val="TableParagraph"/>
              <w:spacing w:line="254" w:lineRule="auto"/>
              <w:ind w:left="486" w:hanging="424"/>
              <w:rPr>
                <w:b/>
                <w:sz w:val="14"/>
              </w:rPr>
            </w:pPr>
            <w:r>
              <w:rPr>
                <w:b/>
                <w:sz w:val="14"/>
              </w:rPr>
              <w:t>Porcentaje de viviendas con agua</w:t>
            </w:r>
          </w:p>
        </w:tc>
        <w:tc>
          <w:tcPr>
            <w:tcW w:w="1027" w:type="dxa"/>
            <w:tcBorders>
              <w:top w:val="single" w:sz="5" w:space="0" w:color="000000"/>
              <w:left w:val="single" w:sz="5" w:space="0" w:color="000000"/>
              <w:bottom w:val="single" w:sz="5" w:space="0" w:color="000000"/>
              <w:right w:val="single" w:sz="5" w:space="0" w:color="000000"/>
            </w:tcBorders>
            <w:shd w:val="clear" w:color="auto" w:fill="00AFEF"/>
          </w:tcPr>
          <w:p>
            <w:pPr>
              <w:pStyle w:val="TableParagraph"/>
              <w:spacing w:line="254" w:lineRule="auto"/>
              <w:ind w:left="225" w:hanging="157"/>
              <w:rPr>
                <w:b/>
                <w:sz w:val="14"/>
              </w:rPr>
            </w:pPr>
            <w:r>
              <w:rPr>
                <w:b/>
                <w:sz w:val="14"/>
              </w:rPr>
              <w:t>Total Viviendas habitadas</w:t>
            </w:r>
          </w:p>
        </w:tc>
        <w:tc>
          <w:tcPr>
            <w:tcW w:w="1496" w:type="dxa"/>
            <w:tcBorders>
              <w:top w:val="single" w:sz="5" w:space="0" w:color="000000"/>
              <w:left w:val="single" w:sz="5" w:space="0" w:color="000000"/>
              <w:bottom w:val="single" w:sz="5" w:space="0" w:color="000000"/>
              <w:right w:val="single" w:sz="7" w:space="0" w:color="000000"/>
            </w:tcBorders>
            <w:shd w:val="clear" w:color="auto" w:fill="00AFEF"/>
          </w:tcPr>
          <w:p>
            <w:pPr>
              <w:pStyle w:val="TableParagraph"/>
              <w:spacing w:line="254" w:lineRule="auto"/>
              <w:ind w:left="486" w:right="15" w:hanging="424"/>
              <w:rPr>
                <w:b/>
                <w:sz w:val="14"/>
              </w:rPr>
            </w:pPr>
            <w:r>
              <w:rPr>
                <w:b/>
                <w:sz w:val="14"/>
              </w:rPr>
              <w:t>Porcentaje de viviendas con agua</w:t>
            </w:r>
          </w:p>
        </w:tc>
      </w:tr>
      <w:tr>
        <w:trPr>
          <w:trHeight w:val="180" w:hRule="exact"/>
        </w:trPr>
        <w:tc>
          <w:tcPr>
            <w:tcW w:w="1261" w:type="dxa"/>
            <w:tcBorders>
              <w:top w:val="single" w:sz="5" w:space="0" w:color="000000"/>
              <w:left w:val="single" w:sz="7" w:space="0" w:color="000000"/>
              <w:bottom w:val="single" w:sz="5" w:space="0" w:color="000000"/>
              <w:right w:val="single" w:sz="5" w:space="0" w:color="000000"/>
            </w:tcBorders>
          </w:tcPr>
          <w:p>
            <w:pPr>
              <w:pStyle w:val="TableParagraph"/>
              <w:spacing w:line="167" w:lineRule="exact"/>
              <w:ind w:left="12"/>
              <w:rPr>
                <w:sz w:val="14"/>
              </w:rPr>
            </w:pPr>
            <w:r>
              <w:rPr>
                <w:sz w:val="14"/>
              </w:rPr>
              <w:t>Almoloya de Juárez</w:t>
            </w:r>
          </w:p>
        </w:tc>
        <w:tc>
          <w:tcPr>
            <w:tcW w:w="1006"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14723</w:t>
            </w:r>
          </w:p>
        </w:tc>
        <w:tc>
          <w:tcPr>
            <w:tcW w:w="1520"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49.4</w:t>
            </w:r>
          </w:p>
        </w:tc>
        <w:tc>
          <w:tcPr>
            <w:tcW w:w="1015"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21999</w:t>
            </w:r>
          </w:p>
        </w:tc>
        <w:tc>
          <w:tcPr>
            <w:tcW w:w="1499"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59.7</w:t>
            </w:r>
          </w:p>
        </w:tc>
        <w:tc>
          <w:tcPr>
            <w:tcW w:w="1027"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32840</w:t>
            </w:r>
          </w:p>
        </w:tc>
        <w:tc>
          <w:tcPr>
            <w:tcW w:w="1496" w:type="dxa"/>
            <w:tcBorders>
              <w:top w:val="single" w:sz="5" w:space="0" w:color="000000"/>
              <w:left w:val="single" w:sz="5" w:space="0" w:color="000000"/>
              <w:bottom w:val="single" w:sz="5" w:space="0" w:color="000000"/>
              <w:right w:val="single" w:sz="7" w:space="0" w:color="000000"/>
            </w:tcBorders>
          </w:tcPr>
          <w:p>
            <w:pPr>
              <w:pStyle w:val="TableParagraph"/>
              <w:spacing w:line="167" w:lineRule="exact"/>
              <w:ind w:right="9"/>
              <w:jc w:val="right"/>
              <w:rPr>
                <w:sz w:val="14"/>
              </w:rPr>
            </w:pPr>
            <w:r>
              <w:rPr>
                <w:w w:val="95"/>
                <w:sz w:val="14"/>
              </w:rPr>
              <w:t>75.5</w:t>
            </w:r>
          </w:p>
        </w:tc>
      </w:tr>
      <w:tr>
        <w:trPr>
          <w:trHeight w:val="180" w:hRule="exact"/>
        </w:trPr>
        <w:tc>
          <w:tcPr>
            <w:tcW w:w="1261" w:type="dxa"/>
            <w:tcBorders>
              <w:top w:val="single" w:sz="5" w:space="0" w:color="000000"/>
              <w:left w:val="single" w:sz="7" w:space="0" w:color="000000"/>
              <w:bottom w:val="single" w:sz="5" w:space="0" w:color="000000"/>
              <w:right w:val="single" w:sz="5" w:space="0" w:color="000000"/>
            </w:tcBorders>
          </w:tcPr>
          <w:p>
            <w:pPr>
              <w:pStyle w:val="TableParagraph"/>
              <w:spacing w:line="167" w:lineRule="exact"/>
              <w:ind w:left="12"/>
              <w:rPr>
                <w:sz w:val="14"/>
              </w:rPr>
            </w:pPr>
            <w:r>
              <w:rPr>
                <w:sz w:val="14"/>
              </w:rPr>
              <w:t>Calimaya</w:t>
            </w:r>
          </w:p>
        </w:tc>
        <w:tc>
          <w:tcPr>
            <w:tcW w:w="1006"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4473</w:t>
            </w:r>
          </w:p>
        </w:tc>
        <w:tc>
          <w:tcPr>
            <w:tcW w:w="1520"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89.2</w:t>
            </w:r>
          </w:p>
        </w:tc>
        <w:tc>
          <w:tcPr>
            <w:tcW w:w="1015"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7153</w:t>
            </w:r>
          </w:p>
        </w:tc>
        <w:tc>
          <w:tcPr>
            <w:tcW w:w="1499"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91.7</w:t>
            </w:r>
          </w:p>
        </w:tc>
        <w:tc>
          <w:tcPr>
            <w:tcW w:w="1027"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10694</w:t>
            </w:r>
          </w:p>
        </w:tc>
        <w:tc>
          <w:tcPr>
            <w:tcW w:w="1496" w:type="dxa"/>
            <w:tcBorders>
              <w:top w:val="single" w:sz="5" w:space="0" w:color="000000"/>
              <w:left w:val="single" w:sz="5" w:space="0" w:color="000000"/>
              <w:bottom w:val="single" w:sz="5" w:space="0" w:color="000000"/>
              <w:right w:val="single" w:sz="7" w:space="0" w:color="000000"/>
            </w:tcBorders>
          </w:tcPr>
          <w:p>
            <w:pPr>
              <w:pStyle w:val="TableParagraph"/>
              <w:spacing w:line="167" w:lineRule="exact"/>
              <w:ind w:right="9"/>
              <w:jc w:val="right"/>
              <w:rPr>
                <w:sz w:val="14"/>
              </w:rPr>
            </w:pPr>
            <w:r>
              <w:rPr>
                <w:w w:val="95"/>
                <w:sz w:val="14"/>
              </w:rPr>
              <w:t>93.7</w:t>
            </w:r>
          </w:p>
        </w:tc>
      </w:tr>
      <w:tr>
        <w:trPr>
          <w:trHeight w:val="180" w:hRule="exact"/>
        </w:trPr>
        <w:tc>
          <w:tcPr>
            <w:tcW w:w="1261" w:type="dxa"/>
            <w:tcBorders>
              <w:top w:val="single" w:sz="5" w:space="0" w:color="000000"/>
              <w:left w:val="single" w:sz="7" w:space="0" w:color="000000"/>
              <w:bottom w:val="single" w:sz="5" w:space="0" w:color="000000"/>
              <w:right w:val="single" w:sz="5" w:space="0" w:color="000000"/>
            </w:tcBorders>
          </w:tcPr>
          <w:p>
            <w:pPr>
              <w:pStyle w:val="TableParagraph"/>
              <w:spacing w:line="167" w:lineRule="exact"/>
              <w:ind w:left="12"/>
              <w:rPr>
                <w:sz w:val="14"/>
              </w:rPr>
            </w:pPr>
            <w:r>
              <w:rPr>
                <w:sz w:val="14"/>
              </w:rPr>
              <w:t>Chapultepec</w:t>
            </w:r>
          </w:p>
        </w:tc>
        <w:tc>
          <w:tcPr>
            <w:tcW w:w="1006"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612</w:t>
            </w:r>
          </w:p>
        </w:tc>
        <w:tc>
          <w:tcPr>
            <w:tcW w:w="1520"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97.4</w:t>
            </w:r>
          </w:p>
        </w:tc>
        <w:tc>
          <w:tcPr>
            <w:tcW w:w="1015"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1183</w:t>
            </w:r>
          </w:p>
        </w:tc>
        <w:tc>
          <w:tcPr>
            <w:tcW w:w="1499"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95.9</w:t>
            </w:r>
          </w:p>
        </w:tc>
        <w:tc>
          <w:tcPr>
            <w:tcW w:w="1027"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2420</w:t>
            </w:r>
          </w:p>
        </w:tc>
        <w:tc>
          <w:tcPr>
            <w:tcW w:w="1496" w:type="dxa"/>
            <w:tcBorders>
              <w:top w:val="single" w:sz="5" w:space="0" w:color="000000"/>
              <w:left w:val="single" w:sz="5" w:space="0" w:color="000000"/>
              <w:bottom w:val="single" w:sz="5" w:space="0" w:color="000000"/>
              <w:right w:val="single" w:sz="7" w:space="0" w:color="000000"/>
            </w:tcBorders>
          </w:tcPr>
          <w:p>
            <w:pPr>
              <w:pStyle w:val="TableParagraph"/>
              <w:spacing w:line="167" w:lineRule="exact"/>
              <w:ind w:right="9"/>
              <w:jc w:val="right"/>
              <w:rPr>
                <w:sz w:val="14"/>
              </w:rPr>
            </w:pPr>
            <w:r>
              <w:rPr>
                <w:w w:val="95"/>
                <w:sz w:val="14"/>
              </w:rPr>
              <w:t>95.7</w:t>
            </w:r>
          </w:p>
        </w:tc>
      </w:tr>
      <w:tr>
        <w:trPr>
          <w:trHeight w:val="180" w:hRule="exact"/>
        </w:trPr>
        <w:tc>
          <w:tcPr>
            <w:tcW w:w="1261" w:type="dxa"/>
            <w:tcBorders>
              <w:top w:val="single" w:sz="5" w:space="0" w:color="000000"/>
              <w:left w:val="single" w:sz="7" w:space="0" w:color="000000"/>
              <w:bottom w:val="single" w:sz="5" w:space="0" w:color="000000"/>
              <w:right w:val="single" w:sz="5" w:space="0" w:color="000000"/>
            </w:tcBorders>
          </w:tcPr>
          <w:p>
            <w:pPr>
              <w:pStyle w:val="TableParagraph"/>
              <w:spacing w:line="167" w:lineRule="exact"/>
              <w:ind w:left="12"/>
              <w:rPr>
                <w:sz w:val="14"/>
              </w:rPr>
            </w:pPr>
            <w:r>
              <w:rPr>
                <w:sz w:val="14"/>
              </w:rPr>
              <w:t>Lerma</w:t>
            </w:r>
          </w:p>
        </w:tc>
        <w:tc>
          <w:tcPr>
            <w:tcW w:w="1006"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12013</w:t>
            </w:r>
          </w:p>
        </w:tc>
        <w:tc>
          <w:tcPr>
            <w:tcW w:w="1520"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86.8</w:t>
            </w:r>
          </w:p>
        </w:tc>
        <w:tc>
          <w:tcPr>
            <w:tcW w:w="1015"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20659</w:t>
            </w:r>
          </w:p>
        </w:tc>
        <w:tc>
          <w:tcPr>
            <w:tcW w:w="1499"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92.0</w:t>
            </w:r>
          </w:p>
        </w:tc>
        <w:tc>
          <w:tcPr>
            <w:tcW w:w="1027"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31349</w:t>
            </w:r>
          </w:p>
        </w:tc>
        <w:tc>
          <w:tcPr>
            <w:tcW w:w="1496" w:type="dxa"/>
            <w:tcBorders>
              <w:top w:val="single" w:sz="5" w:space="0" w:color="000000"/>
              <w:left w:val="single" w:sz="5" w:space="0" w:color="000000"/>
              <w:bottom w:val="single" w:sz="5" w:space="0" w:color="000000"/>
              <w:right w:val="single" w:sz="7" w:space="0" w:color="000000"/>
            </w:tcBorders>
          </w:tcPr>
          <w:p>
            <w:pPr>
              <w:pStyle w:val="TableParagraph"/>
              <w:spacing w:line="167" w:lineRule="exact"/>
              <w:ind w:right="9"/>
              <w:jc w:val="right"/>
              <w:rPr>
                <w:sz w:val="14"/>
              </w:rPr>
            </w:pPr>
            <w:r>
              <w:rPr>
                <w:w w:val="95"/>
                <w:sz w:val="14"/>
              </w:rPr>
              <w:t>91.0</w:t>
            </w:r>
          </w:p>
        </w:tc>
      </w:tr>
      <w:tr>
        <w:trPr>
          <w:trHeight w:val="180" w:hRule="exact"/>
        </w:trPr>
        <w:tc>
          <w:tcPr>
            <w:tcW w:w="1261" w:type="dxa"/>
            <w:tcBorders>
              <w:top w:val="single" w:sz="5" w:space="0" w:color="000000"/>
              <w:left w:val="single" w:sz="7" w:space="0" w:color="000000"/>
              <w:bottom w:val="single" w:sz="5" w:space="0" w:color="000000"/>
              <w:right w:val="single" w:sz="5" w:space="0" w:color="000000"/>
            </w:tcBorders>
          </w:tcPr>
          <w:p>
            <w:pPr>
              <w:pStyle w:val="TableParagraph"/>
              <w:spacing w:line="167" w:lineRule="exact"/>
              <w:ind w:left="12"/>
              <w:rPr>
                <w:sz w:val="14"/>
              </w:rPr>
            </w:pPr>
            <w:r>
              <w:rPr>
                <w:sz w:val="14"/>
              </w:rPr>
              <w:t>Metepec</w:t>
            </w:r>
          </w:p>
        </w:tc>
        <w:tc>
          <w:tcPr>
            <w:tcW w:w="1006"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28546</w:t>
            </w:r>
          </w:p>
        </w:tc>
        <w:tc>
          <w:tcPr>
            <w:tcW w:w="1520"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91.9</w:t>
            </w:r>
          </w:p>
        </w:tc>
        <w:tc>
          <w:tcPr>
            <w:tcW w:w="1015"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43852</w:t>
            </w:r>
          </w:p>
        </w:tc>
        <w:tc>
          <w:tcPr>
            <w:tcW w:w="1499"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94.2</w:t>
            </w:r>
          </w:p>
        </w:tc>
        <w:tc>
          <w:tcPr>
            <w:tcW w:w="1027"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54915</w:t>
            </w:r>
          </w:p>
        </w:tc>
        <w:tc>
          <w:tcPr>
            <w:tcW w:w="1496" w:type="dxa"/>
            <w:tcBorders>
              <w:top w:val="single" w:sz="5" w:space="0" w:color="000000"/>
              <w:left w:val="single" w:sz="5" w:space="0" w:color="000000"/>
              <w:bottom w:val="single" w:sz="5" w:space="0" w:color="000000"/>
              <w:right w:val="single" w:sz="7" w:space="0" w:color="000000"/>
            </w:tcBorders>
          </w:tcPr>
          <w:p>
            <w:pPr>
              <w:pStyle w:val="TableParagraph"/>
              <w:spacing w:line="167" w:lineRule="exact"/>
              <w:ind w:right="9"/>
              <w:jc w:val="right"/>
              <w:rPr>
                <w:sz w:val="14"/>
              </w:rPr>
            </w:pPr>
            <w:r>
              <w:rPr>
                <w:w w:val="95"/>
                <w:sz w:val="14"/>
              </w:rPr>
              <w:t>94.4</w:t>
            </w:r>
          </w:p>
        </w:tc>
      </w:tr>
      <w:tr>
        <w:trPr>
          <w:trHeight w:val="180" w:hRule="exact"/>
        </w:trPr>
        <w:tc>
          <w:tcPr>
            <w:tcW w:w="1261" w:type="dxa"/>
            <w:tcBorders>
              <w:top w:val="single" w:sz="5" w:space="0" w:color="000000"/>
              <w:left w:val="single" w:sz="7" w:space="0" w:color="000000"/>
              <w:bottom w:val="single" w:sz="5" w:space="0" w:color="000000"/>
              <w:right w:val="single" w:sz="5" w:space="0" w:color="000000"/>
            </w:tcBorders>
          </w:tcPr>
          <w:p>
            <w:pPr>
              <w:pStyle w:val="TableParagraph"/>
              <w:spacing w:line="167" w:lineRule="exact"/>
              <w:ind w:left="12"/>
              <w:rPr>
                <w:sz w:val="14"/>
              </w:rPr>
            </w:pPr>
            <w:r>
              <w:rPr>
                <w:sz w:val="14"/>
              </w:rPr>
              <w:t>Mexicaltzingo</w:t>
            </w:r>
          </w:p>
        </w:tc>
        <w:tc>
          <w:tcPr>
            <w:tcW w:w="1006"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1276</w:t>
            </w:r>
          </w:p>
        </w:tc>
        <w:tc>
          <w:tcPr>
            <w:tcW w:w="1520"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87.6</w:t>
            </w:r>
          </w:p>
        </w:tc>
        <w:tc>
          <w:tcPr>
            <w:tcW w:w="1015"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1727</w:t>
            </w:r>
          </w:p>
        </w:tc>
        <w:tc>
          <w:tcPr>
            <w:tcW w:w="1499"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87.8</w:t>
            </w:r>
          </w:p>
        </w:tc>
        <w:tc>
          <w:tcPr>
            <w:tcW w:w="1027"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2622</w:t>
            </w:r>
          </w:p>
        </w:tc>
        <w:tc>
          <w:tcPr>
            <w:tcW w:w="1496" w:type="dxa"/>
            <w:tcBorders>
              <w:top w:val="single" w:sz="5" w:space="0" w:color="000000"/>
              <w:left w:val="single" w:sz="5" w:space="0" w:color="000000"/>
              <w:bottom w:val="single" w:sz="5" w:space="0" w:color="000000"/>
              <w:right w:val="single" w:sz="7" w:space="0" w:color="000000"/>
            </w:tcBorders>
          </w:tcPr>
          <w:p>
            <w:pPr>
              <w:pStyle w:val="TableParagraph"/>
              <w:spacing w:line="167" w:lineRule="exact"/>
              <w:ind w:right="9"/>
              <w:jc w:val="right"/>
              <w:rPr>
                <w:sz w:val="14"/>
              </w:rPr>
            </w:pPr>
            <w:r>
              <w:rPr>
                <w:w w:val="95"/>
                <w:sz w:val="14"/>
              </w:rPr>
              <w:t>93.1</w:t>
            </w:r>
          </w:p>
        </w:tc>
      </w:tr>
      <w:tr>
        <w:trPr>
          <w:trHeight w:val="180" w:hRule="exact"/>
        </w:trPr>
        <w:tc>
          <w:tcPr>
            <w:tcW w:w="1261" w:type="dxa"/>
            <w:tcBorders>
              <w:top w:val="single" w:sz="5" w:space="0" w:color="000000"/>
              <w:left w:val="single" w:sz="7" w:space="0" w:color="000000"/>
              <w:bottom w:val="single" w:sz="5" w:space="0" w:color="000000"/>
              <w:right w:val="single" w:sz="5" w:space="0" w:color="000000"/>
            </w:tcBorders>
          </w:tcPr>
          <w:p>
            <w:pPr>
              <w:pStyle w:val="TableParagraph"/>
              <w:spacing w:line="167" w:lineRule="exact"/>
              <w:ind w:left="12"/>
              <w:rPr>
                <w:sz w:val="14"/>
              </w:rPr>
            </w:pPr>
            <w:r>
              <w:rPr>
                <w:sz w:val="14"/>
              </w:rPr>
              <w:t>Ocoyoacac</w:t>
            </w:r>
          </w:p>
        </w:tc>
        <w:tc>
          <w:tcPr>
            <w:tcW w:w="1006"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6418</w:t>
            </w:r>
          </w:p>
        </w:tc>
        <w:tc>
          <w:tcPr>
            <w:tcW w:w="1520"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90.6</w:t>
            </w:r>
          </w:p>
        </w:tc>
        <w:tc>
          <w:tcPr>
            <w:tcW w:w="1015"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10099</w:t>
            </w:r>
          </w:p>
        </w:tc>
        <w:tc>
          <w:tcPr>
            <w:tcW w:w="1499"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91.2</w:t>
            </w:r>
          </w:p>
        </w:tc>
        <w:tc>
          <w:tcPr>
            <w:tcW w:w="1027"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13926</w:t>
            </w:r>
          </w:p>
        </w:tc>
        <w:tc>
          <w:tcPr>
            <w:tcW w:w="1496" w:type="dxa"/>
            <w:tcBorders>
              <w:top w:val="single" w:sz="5" w:space="0" w:color="000000"/>
              <w:left w:val="single" w:sz="5" w:space="0" w:color="000000"/>
              <w:bottom w:val="single" w:sz="5" w:space="0" w:color="000000"/>
              <w:right w:val="single" w:sz="7" w:space="0" w:color="000000"/>
            </w:tcBorders>
          </w:tcPr>
          <w:p>
            <w:pPr>
              <w:pStyle w:val="TableParagraph"/>
              <w:spacing w:line="167" w:lineRule="exact"/>
              <w:ind w:right="9"/>
              <w:jc w:val="right"/>
              <w:rPr>
                <w:sz w:val="14"/>
              </w:rPr>
            </w:pPr>
            <w:r>
              <w:rPr>
                <w:w w:val="95"/>
                <w:sz w:val="14"/>
              </w:rPr>
              <w:t>92.6</w:t>
            </w:r>
          </w:p>
        </w:tc>
      </w:tr>
      <w:tr>
        <w:trPr>
          <w:trHeight w:val="180" w:hRule="exact"/>
        </w:trPr>
        <w:tc>
          <w:tcPr>
            <w:tcW w:w="1261" w:type="dxa"/>
            <w:tcBorders>
              <w:top w:val="single" w:sz="5" w:space="0" w:color="000000"/>
              <w:left w:val="single" w:sz="7" w:space="0" w:color="000000"/>
              <w:bottom w:val="single" w:sz="5" w:space="0" w:color="000000"/>
              <w:right w:val="single" w:sz="5" w:space="0" w:color="000000"/>
            </w:tcBorders>
          </w:tcPr>
          <w:p>
            <w:pPr>
              <w:pStyle w:val="TableParagraph"/>
              <w:spacing w:line="167" w:lineRule="exact"/>
              <w:ind w:left="12"/>
              <w:rPr>
                <w:sz w:val="14"/>
              </w:rPr>
            </w:pPr>
            <w:r>
              <w:rPr>
                <w:sz w:val="14"/>
              </w:rPr>
              <w:t>Otzolotepec</w:t>
            </w:r>
          </w:p>
        </w:tc>
        <w:tc>
          <w:tcPr>
            <w:tcW w:w="1006"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6675</w:t>
            </w:r>
          </w:p>
        </w:tc>
        <w:tc>
          <w:tcPr>
            <w:tcW w:w="1520"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77.5</w:t>
            </w:r>
          </w:p>
        </w:tc>
        <w:tc>
          <w:tcPr>
            <w:tcW w:w="1015"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10713</w:t>
            </w:r>
          </w:p>
        </w:tc>
        <w:tc>
          <w:tcPr>
            <w:tcW w:w="1499"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85.6</w:t>
            </w:r>
          </w:p>
        </w:tc>
        <w:tc>
          <w:tcPr>
            <w:tcW w:w="1027"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16074</w:t>
            </w:r>
          </w:p>
        </w:tc>
        <w:tc>
          <w:tcPr>
            <w:tcW w:w="1496" w:type="dxa"/>
            <w:tcBorders>
              <w:top w:val="single" w:sz="5" w:space="0" w:color="000000"/>
              <w:left w:val="single" w:sz="5" w:space="0" w:color="000000"/>
              <w:bottom w:val="single" w:sz="5" w:space="0" w:color="000000"/>
              <w:right w:val="single" w:sz="7" w:space="0" w:color="000000"/>
            </w:tcBorders>
          </w:tcPr>
          <w:p>
            <w:pPr>
              <w:pStyle w:val="TableParagraph"/>
              <w:spacing w:line="167" w:lineRule="exact"/>
              <w:ind w:right="9"/>
              <w:jc w:val="right"/>
              <w:rPr>
                <w:sz w:val="14"/>
              </w:rPr>
            </w:pPr>
            <w:r>
              <w:rPr>
                <w:w w:val="95"/>
                <w:sz w:val="14"/>
              </w:rPr>
              <w:t>91.5</w:t>
            </w:r>
          </w:p>
        </w:tc>
      </w:tr>
      <w:tr>
        <w:trPr>
          <w:trHeight w:val="180" w:hRule="exact"/>
        </w:trPr>
        <w:tc>
          <w:tcPr>
            <w:tcW w:w="1261" w:type="dxa"/>
            <w:tcBorders>
              <w:top w:val="single" w:sz="5" w:space="0" w:color="000000"/>
              <w:left w:val="single" w:sz="7" w:space="0" w:color="000000"/>
              <w:bottom w:val="single" w:sz="5" w:space="0" w:color="000000"/>
              <w:right w:val="single" w:sz="5" w:space="0" w:color="000000"/>
            </w:tcBorders>
          </w:tcPr>
          <w:p>
            <w:pPr>
              <w:pStyle w:val="TableParagraph"/>
              <w:spacing w:line="167" w:lineRule="exact"/>
              <w:ind w:left="12"/>
              <w:rPr>
                <w:sz w:val="14"/>
              </w:rPr>
            </w:pPr>
            <w:r>
              <w:rPr>
                <w:sz w:val="14"/>
              </w:rPr>
              <w:t>Rayón</w:t>
            </w:r>
          </w:p>
        </w:tc>
        <w:tc>
          <w:tcPr>
            <w:tcW w:w="1006"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1172</w:t>
            </w:r>
          </w:p>
        </w:tc>
        <w:tc>
          <w:tcPr>
            <w:tcW w:w="1520"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76.9</w:t>
            </w:r>
          </w:p>
        </w:tc>
        <w:tc>
          <w:tcPr>
            <w:tcW w:w="1015"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1683</w:t>
            </w:r>
          </w:p>
        </w:tc>
        <w:tc>
          <w:tcPr>
            <w:tcW w:w="1499"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92.5</w:t>
            </w:r>
          </w:p>
        </w:tc>
        <w:tc>
          <w:tcPr>
            <w:tcW w:w="1027"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2834</w:t>
            </w:r>
          </w:p>
        </w:tc>
        <w:tc>
          <w:tcPr>
            <w:tcW w:w="1496" w:type="dxa"/>
            <w:tcBorders>
              <w:top w:val="single" w:sz="5" w:space="0" w:color="000000"/>
              <w:left w:val="single" w:sz="5" w:space="0" w:color="000000"/>
              <w:bottom w:val="single" w:sz="5" w:space="0" w:color="000000"/>
              <w:right w:val="single" w:sz="7" w:space="0" w:color="000000"/>
            </w:tcBorders>
          </w:tcPr>
          <w:p>
            <w:pPr>
              <w:pStyle w:val="TableParagraph"/>
              <w:spacing w:line="167" w:lineRule="exact"/>
              <w:ind w:right="9"/>
              <w:jc w:val="right"/>
              <w:rPr>
                <w:sz w:val="14"/>
              </w:rPr>
            </w:pPr>
            <w:r>
              <w:rPr>
                <w:w w:val="95"/>
                <w:sz w:val="14"/>
              </w:rPr>
              <w:t>96.7</w:t>
            </w:r>
          </w:p>
        </w:tc>
      </w:tr>
      <w:tr>
        <w:trPr>
          <w:trHeight w:val="180" w:hRule="exact"/>
        </w:trPr>
        <w:tc>
          <w:tcPr>
            <w:tcW w:w="1261" w:type="dxa"/>
            <w:tcBorders>
              <w:top w:val="single" w:sz="5" w:space="0" w:color="000000"/>
              <w:left w:val="single" w:sz="7" w:space="0" w:color="000000"/>
              <w:bottom w:val="single" w:sz="5" w:space="0" w:color="000000"/>
              <w:right w:val="single" w:sz="5" w:space="0" w:color="000000"/>
            </w:tcBorders>
          </w:tcPr>
          <w:p>
            <w:pPr>
              <w:pStyle w:val="TableParagraph"/>
              <w:spacing w:line="167" w:lineRule="exact"/>
              <w:ind w:left="12"/>
              <w:rPr>
                <w:sz w:val="14"/>
              </w:rPr>
            </w:pPr>
            <w:r>
              <w:rPr>
                <w:sz w:val="14"/>
              </w:rPr>
              <w:t>San Antonio la Isla</w:t>
            </w:r>
          </w:p>
        </w:tc>
        <w:tc>
          <w:tcPr>
            <w:tcW w:w="1006"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1203</w:t>
            </w:r>
          </w:p>
        </w:tc>
        <w:tc>
          <w:tcPr>
            <w:tcW w:w="1520"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80.6</w:t>
            </w:r>
          </w:p>
        </w:tc>
        <w:tc>
          <w:tcPr>
            <w:tcW w:w="1015"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1806</w:t>
            </w:r>
          </w:p>
        </w:tc>
        <w:tc>
          <w:tcPr>
            <w:tcW w:w="1499"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94.3</w:t>
            </w:r>
          </w:p>
        </w:tc>
        <w:tc>
          <w:tcPr>
            <w:tcW w:w="1027"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5551</w:t>
            </w:r>
          </w:p>
        </w:tc>
        <w:tc>
          <w:tcPr>
            <w:tcW w:w="1496" w:type="dxa"/>
            <w:tcBorders>
              <w:top w:val="single" w:sz="5" w:space="0" w:color="000000"/>
              <w:left w:val="single" w:sz="5" w:space="0" w:color="000000"/>
              <w:bottom w:val="single" w:sz="5" w:space="0" w:color="000000"/>
              <w:right w:val="single" w:sz="7" w:space="0" w:color="000000"/>
            </w:tcBorders>
          </w:tcPr>
          <w:p>
            <w:pPr>
              <w:pStyle w:val="TableParagraph"/>
              <w:spacing w:line="167" w:lineRule="exact"/>
              <w:ind w:right="9"/>
              <w:jc w:val="right"/>
              <w:rPr>
                <w:sz w:val="14"/>
              </w:rPr>
            </w:pPr>
            <w:r>
              <w:rPr>
                <w:w w:val="95"/>
                <w:sz w:val="14"/>
              </w:rPr>
              <w:t>91.4</w:t>
            </w:r>
          </w:p>
        </w:tc>
      </w:tr>
      <w:tr>
        <w:trPr>
          <w:trHeight w:val="180" w:hRule="exact"/>
        </w:trPr>
        <w:tc>
          <w:tcPr>
            <w:tcW w:w="1261" w:type="dxa"/>
            <w:tcBorders>
              <w:top w:val="single" w:sz="5" w:space="0" w:color="000000"/>
              <w:left w:val="single" w:sz="7" w:space="0" w:color="000000"/>
              <w:bottom w:val="single" w:sz="5" w:space="0" w:color="000000"/>
              <w:right w:val="single" w:sz="5" w:space="0" w:color="000000"/>
            </w:tcBorders>
          </w:tcPr>
          <w:p>
            <w:pPr>
              <w:pStyle w:val="TableParagraph"/>
              <w:spacing w:line="167" w:lineRule="exact"/>
              <w:ind w:left="12"/>
              <w:rPr>
                <w:sz w:val="14"/>
              </w:rPr>
            </w:pPr>
            <w:r>
              <w:rPr>
                <w:sz w:val="14"/>
              </w:rPr>
              <w:t>San Mateo Atenco</w:t>
            </w:r>
          </w:p>
        </w:tc>
        <w:tc>
          <w:tcPr>
            <w:tcW w:w="1006"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7139</w:t>
            </w:r>
          </w:p>
        </w:tc>
        <w:tc>
          <w:tcPr>
            <w:tcW w:w="1520"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72.8</w:t>
            </w:r>
          </w:p>
        </w:tc>
        <w:tc>
          <w:tcPr>
            <w:tcW w:w="1015"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11983</w:t>
            </w:r>
          </w:p>
        </w:tc>
        <w:tc>
          <w:tcPr>
            <w:tcW w:w="1499"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64.5</w:t>
            </w:r>
          </w:p>
        </w:tc>
        <w:tc>
          <w:tcPr>
            <w:tcW w:w="1027"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16118</w:t>
            </w:r>
          </w:p>
        </w:tc>
        <w:tc>
          <w:tcPr>
            <w:tcW w:w="1496" w:type="dxa"/>
            <w:tcBorders>
              <w:top w:val="single" w:sz="5" w:space="0" w:color="000000"/>
              <w:left w:val="single" w:sz="5" w:space="0" w:color="000000"/>
              <w:bottom w:val="single" w:sz="5" w:space="0" w:color="000000"/>
              <w:right w:val="single" w:sz="7" w:space="0" w:color="000000"/>
            </w:tcBorders>
          </w:tcPr>
          <w:p>
            <w:pPr>
              <w:pStyle w:val="TableParagraph"/>
              <w:spacing w:line="167" w:lineRule="exact"/>
              <w:ind w:right="9"/>
              <w:jc w:val="right"/>
              <w:rPr>
                <w:sz w:val="14"/>
              </w:rPr>
            </w:pPr>
            <w:r>
              <w:rPr>
                <w:w w:val="95"/>
                <w:sz w:val="14"/>
              </w:rPr>
              <w:t>71.4</w:t>
            </w:r>
          </w:p>
        </w:tc>
      </w:tr>
      <w:tr>
        <w:trPr>
          <w:trHeight w:val="180" w:hRule="exact"/>
        </w:trPr>
        <w:tc>
          <w:tcPr>
            <w:tcW w:w="1261" w:type="dxa"/>
            <w:tcBorders>
              <w:top w:val="single" w:sz="5" w:space="0" w:color="000000"/>
              <w:left w:val="single" w:sz="7" w:space="0" w:color="000000"/>
              <w:bottom w:val="single" w:sz="5" w:space="0" w:color="000000"/>
              <w:right w:val="single" w:sz="5" w:space="0" w:color="000000"/>
            </w:tcBorders>
          </w:tcPr>
          <w:p>
            <w:pPr>
              <w:pStyle w:val="TableParagraph"/>
              <w:spacing w:line="167" w:lineRule="exact"/>
              <w:ind w:left="12"/>
              <w:rPr>
                <w:sz w:val="14"/>
              </w:rPr>
            </w:pPr>
            <w:r>
              <w:rPr>
                <w:sz w:val="14"/>
              </w:rPr>
              <w:t>Temoaya</w:t>
            </w:r>
          </w:p>
        </w:tc>
        <w:tc>
          <w:tcPr>
            <w:tcW w:w="1006"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8200</w:t>
            </w:r>
          </w:p>
        </w:tc>
        <w:tc>
          <w:tcPr>
            <w:tcW w:w="1520"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70.8</w:t>
            </w:r>
          </w:p>
        </w:tc>
        <w:tc>
          <w:tcPr>
            <w:tcW w:w="1015"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12384</w:t>
            </w:r>
          </w:p>
        </w:tc>
        <w:tc>
          <w:tcPr>
            <w:tcW w:w="1499"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80.7</w:t>
            </w:r>
          </w:p>
        </w:tc>
        <w:tc>
          <w:tcPr>
            <w:tcW w:w="1027"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17982</w:t>
            </w:r>
          </w:p>
        </w:tc>
        <w:tc>
          <w:tcPr>
            <w:tcW w:w="1496" w:type="dxa"/>
            <w:tcBorders>
              <w:top w:val="single" w:sz="5" w:space="0" w:color="000000"/>
              <w:left w:val="single" w:sz="5" w:space="0" w:color="000000"/>
              <w:bottom w:val="single" w:sz="5" w:space="0" w:color="000000"/>
              <w:right w:val="single" w:sz="7" w:space="0" w:color="000000"/>
            </w:tcBorders>
          </w:tcPr>
          <w:p>
            <w:pPr>
              <w:pStyle w:val="TableParagraph"/>
              <w:spacing w:line="167" w:lineRule="exact"/>
              <w:ind w:right="9"/>
              <w:jc w:val="right"/>
              <w:rPr>
                <w:sz w:val="14"/>
              </w:rPr>
            </w:pPr>
            <w:r>
              <w:rPr>
                <w:w w:val="95"/>
                <w:sz w:val="14"/>
              </w:rPr>
              <w:t>95.0</w:t>
            </w:r>
          </w:p>
        </w:tc>
      </w:tr>
      <w:tr>
        <w:trPr>
          <w:trHeight w:val="180" w:hRule="exact"/>
        </w:trPr>
        <w:tc>
          <w:tcPr>
            <w:tcW w:w="1261" w:type="dxa"/>
            <w:tcBorders>
              <w:top w:val="single" w:sz="5" w:space="0" w:color="000000"/>
              <w:left w:val="single" w:sz="7" w:space="0" w:color="000000"/>
              <w:bottom w:val="single" w:sz="5" w:space="0" w:color="000000"/>
              <w:right w:val="single" w:sz="5" w:space="0" w:color="000000"/>
            </w:tcBorders>
          </w:tcPr>
          <w:p>
            <w:pPr>
              <w:pStyle w:val="TableParagraph"/>
              <w:spacing w:line="167" w:lineRule="exact"/>
              <w:ind w:left="12"/>
              <w:rPr>
                <w:sz w:val="14"/>
              </w:rPr>
            </w:pPr>
            <w:r>
              <w:rPr>
                <w:sz w:val="14"/>
              </w:rPr>
              <w:t>Toluca</w:t>
            </w:r>
          </w:p>
        </w:tc>
        <w:tc>
          <w:tcPr>
            <w:tcW w:w="1006"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92743</w:t>
            </w:r>
          </w:p>
        </w:tc>
        <w:tc>
          <w:tcPr>
            <w:tcW w:w="1520"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84.7</w:t>
            </w:r>
          </w:p>
        </w:tc>
        <w:tc>
          <w:tcPr>
            <w:tcW w:w="1015"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w w:val="95"/>
                <w:sz w:val="14"/>
              </w:rPr>
              <w:t>145649</w:t>
            </w:r>
          </w:p>
        </w:tc>
        <w:tc>
          <w:tcPr>
            <w:tcW w:w="1499"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87.0</w:t>
            </w:r>
          </w:p>
        </w:tc>
        <w:tc>
          <w:tcPr>
            <w:tcW w:w="1027"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w w:val="95"/>
                <w:sz w:val="14"/>
              </w:rPr>
              <w:t>199789</w:t>
            </w:r>
          </w:p>
        </w:tc>
        <w:tc>
          <w:tcPr>
            <w:tcW w:w="1496" w:type="dxa"/>
            <w:tcBorders>
              <w:top w:val="single" w:sz="5" w:space="0" w:color="000000"/>
              <w:left w:val="single" w:sz="5" w:space="0" w:color="000000"/>
              <w:bottom w:val="single" w:sz="5" w:space="0" w:color="000000"/>
              <w:right w:val="single" w:sz="7" w:space="0" w:color="000000"/>
            </w:tcBorders>
          </w:tcPr>
          <w:p>
            <w:pPr>
              <w:pStyle w:val="TableParagraph"/>
              <w:spacing w:line="167" w:lineRule="exact"/>
              <w:ind w:right="9"/>
              <w:jc w:val="right"/>
              <w:rPr>
                <w:sz w:val="14"/>
              </w:rPr>
            </w:pPr>
            <w:r>
              <w:rPr>
                <w:w w:val="95"/>
                <w:sz w:val="14"/>
              </w:rPr>
              <w:t>86.5</w:t>
            </w:r>
          </w:p>
        </w:tc>
      </w:tr>
      <w:tr>
        <w:trPr>
          <w:trHeight w:val="180" w:hRule="exact"/>
        </w:trPr>
        <w:tc>
          <w:tcPr>
            <w:tcW w:w="1261" w:type="dxa"/>
            <w:tcBorders>
              <w:top w:val="single" w:sz="5" w:space="0" w:color="000000"/>
              <w:left w:val="single" w:sz="7" w:space="0" w:color="000000"/>
              <w:bottom w:val="single" w:sz="5" w:space="0" w:color="000000"/>
              <w:right w:val="single" w:sz="5" w:space="0" w:color="000000"/>
            </w:tcBorders>
          </w:tcPr>
          <w:p>
            <w:pPr>
              <w:pStyle w:val="TableParagraph"/>
              <w:spacing w:line="167" w:lineRule="exact"/>
              <w:ind w:left="12"/>
              <w:rPr>
                <w:sz w:val="14"/>
              </w:rPr>
            </w:pPr>
            <w:r>
              <w:rPr>
                <w:sz w:val="14"/>
              </w:rPr>
              <w:t>Xonacatlán</w:t>
            </w:r>
          </w:p>
        </w:tc>
        <w:tc>
          <w:tcPr>
            <w:tcW w:w="1006"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4870</w:t>
            </w:r>
          </w:p>
        </w:tc>
        <w:tc>
          <w:tcPr>
            <w:tcW w:w="1520"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86.1</w:t>
            </w:r>
          </w:p>
        </w:tc>
        <w:tc>
          <w:tcPr>
            <w:tcW w:w="1015"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8106</w:t>
            </w:r>
          </w:p>
        </w:tc>
        <w:tc>
          <w:tcPr>
            <w:tcW w:w="1499"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5"/>
              <w:jc w:val="right"/>
              <w:rPr>
                <w:sz w:val="14"/>
              </w:rPr>
            </w:pPr>
            <w:r>
              <w:rPr>
                <w:w w:val="95"/>
                <w:sz w:val="14"/>
              </w:rPr>
              <w:t>86.7</w:t>
            </w:r>
          </w:p>
        </w:tc>
        <w:tc>
          <w:tcPr>
            <w:tcW w:w="1027" w:type="dxa"/>
            <w:tcBorders>
              <w:top w:val="single" w:sz="5" w:space="0" w:color="000000"/>
              <w:left w:val="single" w:sz="5" w:space="0" w:color="000000"/>
              <w:bottom w:val="single" w:sz="5" w:space="0" w:color="000000"/>
              <w:right w:val="single" w:sz="5" w:space="0" w:color="000000"/>
            </w:tcBorders>
          </w:tcPr>
          <w:p>
            <w:pPr>
              <w:pStyle w:val="TableParagraph"/>
              <w:spacing w:line="167" w:lineRule="exact"/>
              <w:ind w:right="16"/>
              <w:jc w:val="right"/>
              <w:rPr>
                <w:sz w:val="14"/>
              </w:rPr>
            </w:pPr>
            <w:r>
              <w:rPr>
                <w:sz w:val="14"/>
              </w:rPr>
              <w:t>9965</w:t>
            </w:r>
          </w:p>
        </w:tc>
        <w:tc>
          <w:tcPr>
            <w:tcW w:w="1496" w:type="dxa"/>
            <w:tcBorders>
              <w:top w:val="single" w:sz="5" w:space="0" w:color="000000"/>
              <w:left w:val="single" w:sz="5" w:space="0" w:color="000000"/>
              <w:bottom w:val="single" w:sz="5" w:space="0" w:color="000000"/>
              <w:right w:val="single" w:sz="7" w:space="0" w:color="000000"/>
            </w:tcBorders>
          </w:tcPr>
          <w:p>
            <w:pPr>
              <w:pStyle w:val="TableParagraph"/>
              <w:spacing w:line="167" w:lineRule="exact"/>
              <w:ind w:right="9"/>
              <w:jc w:val="right"/>
              <w:rPr>
                <w:sz w:val="14"/>
              </w:rPr>
            </w:pPr>
            <w:r>
              <w:rPr>
                <w:w w:val="95"/>
                <w:sz w:val="14"/>
              </w:rPr>
              <w:t>90.9</w:t>
            </w:r>
          </w:p>
        </w:tc>
      </w:tr>
      <w:tr>
        <w:trPr>
          <w:trHeight w:val="189" w:hRule="exact"/>
        </w:trPr>
        <w:tc>
          <w:tcPr>
            <w:tcW w:w="1261" w:type="dxa"/>
            <w:tcBorders>
              <w:top w:val="single" w:sz="5" w:space="0" w:color="000000"/>
              <w:left w:val="single" w:sz="7" w:space="0" w:color="000000"/>
              <w:bottom w:val="single" w:sz="10" w:space="0" w:color="000000"/>
              <w:right w:val="single" w:sz="5" w:space="0" w:color="000000"/>
            </w:tcBorders>
          </w:tcPr>
          <w:p>
            <w:pPr>
              <w:pStyle w:val="TableParagraph"/>
              <w:spacing w:line="164" w:lineRule="exact"/>
              <w:ind w:left="12"/>
              <w:rPr>
                <w:sz w:val="14"/>
              </w:rPr>
            </w:pPr>
            <w:r>
              <w:rPr>
                <w:sz w:val="14"/>
              </w:rPr>
              <w:t>Zinacantepec</w:t>
            </w:r>
          </w:p>
        </w:tc>
        <w:tc>
          <w:tcPr>
            <w:tcW w:w="1006" w:type="dxa"/>
            <w:tcBorders>
              <w:top w:val="single" w:sz="5" w:space="0" w:color="000000"/>
              <w:left w:val="single" w:sz="5" w:space="0" w:color="000000"/>
              <w:bottom w:val="single" w:sz="10" w:space="0" w:color="000000"/>
              <w:right w:val="single" w:sz="5" w:space="0" w:color="000000"/>
            </w:tcBorders>
          </w:tcPr>
          <w:p>
            <w:pPr>
              <w:pStyle w:val="TableParagraph"/>
              <w:spacing w:line="164" w:lineRule="exact"/>
              <w:ind w:right="16"/>
              <w:jc w:val="right"/>
              <w:rPr>
                <w:sz w:val="14"/>
              </w:rPr>
            </w:pPr>
            <w:r>
              <w:rPr>
                <w:sz w:val="14"/>
              </w:rPr>
              <w:t>1496</w:t>
            </w:r>
          </w:p>
        </w:tc>
        <w:tc>
          <w:tcPr>
            <w:tcW w:w="1520" w:type="dxa"/>
            <w:tcBorders>
              <w:top w:val="single" w:sz="5" w:space="0" w:color="000000"/>
              <w:left w:val="single" w:sz="5" w:space="0" w:color="000000"/>
              <w:bottom w:val="single" w:sz="10" w:space="0" w:color="000000"/>
              <w:right w:val="single" w:sz="5" w:space="0" w:color="000000"/>
            </w:tcBorders>
          </w:tcPr>
          <w:p>
            <w:pPr>
              <w:pStyle w:val="TableParagraph"/>
              <w:spacing w:line="164" w:lineRule="exact"/>
              <w:ind w:right="15"/>
              <w:jc w:val="right"/>
              <w:rPr>
                <w:sz w:val="14"/>
              </w:rPr>
            </w:pPr>
            <w:r>
              <w:rPr>
                <w:w w:val="95"/>
                <w:sz w:val="14"/>
              </w:rPr>
              <w:t>69.1</w:t>
            </w:r>
          </w:p>
        </w:tc>
        <w:tc>
          <w:tcPr>
            <w:tcW w:w="1015" w:type="dxa"/>
            <w:tcBorders>
              <w:top w:val="single" w:sz="5" w:space="0" w:color="000000"/>
              <w:left w:val="single" w:sz="5" w:space="0" w:color="000000"/>
              <w:bottom w:val="single" w:sz="10" w:space="0" w:color="000000"/>
              <w:right w:val="single" w:sz="5" w:space="0" w:color="000000"/>
            </w:tcBorders>
          </w:tcPr>
          <w:p>
            <w:pPr>
              <w:pStyle w:val="TableParagraph"/>
              <w:spacing w:line="164" w:lineRule="exact"/>
              <w:ind w:right="16"/>
              <w:jc w:val="right"/>
              <w:rPr>
                <w:sz w:val="14"/>
              </w:rPr>
            </w:pPr>
            <w:r>
              <w:rPr>
                <w:sz w:val="14"/>
              </w:rPr>
              <w:t>23639</w:t>
            </w:r>
          </w:p>
        </w:tc>
        <w:tc>
          <w:tcPr>
            <w:tcW w:w="1499" w:type="dxa"/>
            <w:tcBorders>
              <w:top w:val="single" w:sz="5" w:space="0" w:color="000000"/>
              <w:left w:val="single" w:sz="5" w:space="0" w:color="000000"/>
              <w:bottom w:val="single" w:sz="10" w:space="0" w:color="000000"/>
              <w:right w:val="single" w:sz="5" w:space="0" w:color="000000"/>
            </w:tcBorders>
          </w:tcPr>
          <w:p>
            <w:pPr>
              <w:pStyle w:val="TableParagraph"/>
              <w:spacing w:line="164" w:lineRule="exact"/>
              <w:ind w:right="15"/>
              <w:jc w:val="right"/>
              <w:rPr>
                <w:sz w:val="14"/>
              </w:rPr>
            </w:pPr>
            <w:r>
              <w:rPr>
                <w:w w:val="95"/>
                <w:sz w:val="14"/>
              </w:rPr>
              <w:t>74.8</w:t>
            </w:r>
          </w:p>
        </w:tc>
        <w:tc>
          <w:tcPr>
            <w:tcW w:w="1027" w:type="dxa"/>
            <w:tcBorders>
              <w:top w:val="single" w:sz="5" w:space="0" w:color="000000"/>
              <w:left w:val="single" w:sz="5" w:space="0" w:color="000000"/>
              <w:bottom w:val="single" w:sz="10" w:space="0" w:color="000000"/>
              <w:right w:val="single" w:sz="5" w:space="0" w:color="000000"/>
            </w:tcBorders>
          </w:tcPr>
          <w:p>
            <w:pPr>
              <w:pStyle w:val="TableParagraph"/>
              <w:spacing w:line="164" w:lineRule="exact"/>
              <w:ind w:right="16"/>
              <w:jc w:val="right"/>
              <w:rPr>
                <w:sz w:val="14"/>
              </w:rPr>
            </w:pPr>
            <w:r>
              <w:rPr>
                <w:sz w:val="14"/>
              </w:rPr>
              <w:t>37660</w:t>
            </w:r>
          </w:p>
        </w:tc>
        <w:tc>
          <w:tcPr>
            <w:tcW w:w="1496" w:type="dxa"/>
            <w:tcBorders>
              <w:top w:val="single" w:sz="5" w:space="0" w:color="000000"/>
              <w:left w:val="single" w:sz="5" w:space="0" w:color="000000"/>
              <w:bottom w:val="single" w:sz="10" w:space="0" w:color="000000"/>
              <w:right w:val="single" w:sz="7" w:space="0" w:color="000000"/>
            </w:tcBorders>
          </w:tcPr>
          <w:p>
            <w:pPr>
              <w:pStyle w:val="TableParagraph"/>
              <w:spacing w:line="164" w:lineRule="exact"/>
              <w:ind w:right="9"/>
              <w:jc w:val="right"/>
              <w:rPr>
                <w:sz w:val="14"/>
              </w:rPr>
            </w:pPr>
            <w:r>
              <w:rPr>
                <w:w w:val="95"/>
                <w:sz w:val="14"/>
              </w:rPr>
              <w:t>80.9</w:t>
            </w:r>
          </w:p>
        </w:tc>
      </w:tr>
      <w:tr>
        <w:trPr>
          <w:trHeight w:val="186" w:hRule="exact"/>
        </w:trPr>
        <w:tc>
          <w:tcPr>
            <w:tcW w:w="1261" w:type="dxa"/>
            <w:tcBorders>
              <w:top w:val="single" w:sz="10" w:space="0" w:color="000000"/>
              <w:left w:val="single" w:sz="7" w:space="0" w:color="000000"/>
              <w:bottom w:val="single" w:sz="7" w:space="0" w:color="000000"/>
              <w:right w:val="single" w:sz="5" w:space="0" w:color="000000"/>
            </w:tcBorders>
          </w:tcPr>
          <w:p>
            <w:pPr>
              <w:pStyle w:val="TableParagraph"/>
              <w:spacing w:line="158" w:lineRule="exact"/>
              <w:ind w:left="12"/>
              <w:rPr>
                <w:b/>
                <w:sz w:val="14"/>
              </w:rPr>
            </w:pPr>
            <w:r>
              <w:rPr>
                <w:b/>
                <w:sz w:val="14"/>
              </w:rPr>
              <w:t>Total ZMT</w:t>
            </w:r>
          </w:p>
        </w:tc>
        <w:tc>
          <w:tcPr>
            <w:tcW w:w="1006" w:type="dxa"/>
            <w:tcBorders>
              <w:top w:val="single" w:sz="10" w:space="0" w:color="000000"/>
              <w:left w:val="single" w:sz="5" w:space="0" w:color="000000"/>
              <w:bottom w:val="single" w:sz="7" w:space="0" w:color="000000"/>
              <w:right w:val="single" w:sz="5" w:space="0" w:color="000000"/>
            </w:tcBorders>
          </w:tcPr>
          <w:p>
            <w:pPr>
              <w:pStyle w:val="TableParagraph"/>
              <w:spacing w:line="158" w:lineRule="exact"/>
              <w:ind w:right="16"/>
              <w:jc w:val="right"/>
              <w:rPr>
                <w:sz w:val="14"/>
              </w:rPr>
            </w:pPr>
            <w:r>
              <w:rPr>
                <w:w w:val="95"/>
                <w:sz w:val="14"/>
              </w:rPr>
              <w:t>191559</w:t>
            </w:r>
          </w:p>
        </w:tc>
        <w:tc>
          <w:tcPr>
            <w:tcW w:w="1520" w:type="dxa"/>
            <w:tcBorders>
              <w:top w:val="single" w:sz="10" w:space="0" w:color="000000"/>
              <w:left w:val="single" w:sz="5" w:space="0" w:color="000000"/>
              <w:bottom w:val="single" w:sz="7" w:space="0" w:color="000000"/>
              <w:right w:val="single" w:sz="5" w:space="0" w:color="000000"/>
            </w:tcBorders>
          </w:tcPr>
          <w:p>
            <w:pPr>
              <w:pStyle w:val="TableParagraph"/>
              <w:spacing w:line="158" w:lineRule="exact"/>
              <w:ind w:right="15"/>
              <w:jc w:val="right"/>
              <w:rPr>
                <w:sz w:val="14"/>
              </w:rPr>
            </w:pPr>
            <w:r>
              <w:rPr>
                <w:w w:val="95"/>
                <w:sz w:val="14"/>
              </w:rPr>
              <w:t>80.8</w:t>
            </w:r>
          </w:p>
        </w:tc>
        <w:tc>
          <w:tcPr>
            <w:tcW w:w="1015" w:type="dxa"/>
            <w:tcBorders>
              <w:top w:val="single" w:sz="10" w:space="0" w:color="000000"/>
              <w:left w:val="single" w:sz="5" w:space="0" w:color="000000"/>
              <w:bottom w:val="single" w:sz="7" w:space="0" w:color="000000"/>
              <w:right w:val="single" w:sz="5" w:space="0" w:color="000000"/>
            </w:tcBorders>
          </w:tcPr>
          <w:p>
            <w:pPr>
              <w:pStyle w:val="TableParagraph"/>
              <w:spacing w:line="158" w:lineRule="exact"/>
              <w:ind w:right="16"/>
              <w:jc w:val="right"/>
              <w:rPr>
                <w:sz w:val="14"/>
              </w:rPr>
            </w:pPr>
            <w:r>
              <w:rPr>
                <w:w w:val="95"/>
                <w:sz w:val="14"/>
              </w:rPr>
              <w:t>322635</w:t>
            </w:r>
          </w:p>
        </w:tc>
        <w:tc>
          <w:tcPr>
            <w:tcW w:w="1499" w:type="dxa"/>
            <w:tcBorders>
              <w:top w:val="single" w:sz="10" w:space="0" w:color="000000"/>
              <w:left w:val="single" w:sz="5" w:space="0" w:color="000000"/>
              <w:bottom w:val="single" w:sz="7" w:space="0" w:color="000000"/>
              <w:right w:val="single" w:sz="5" w:space="0" w:color="000000"/>
            </w:tcBorders>
          </w:tcPr>
          <w:p>
            <w:pPr>
              <w:pStyle w:val="TableParagraph"/>
              <w:spacing w:line="158" w:lineRule="exact"/>
              <w:ind w:right="15"/>
              <w:jc w:val="right"/>
              <w:rPr>
                <w:sz w:val="14"/>
              </w:rPr>
            </w:pPr>
            <w:r>
              <w:rPr>
                <w:w w:val="95"/>
                <w:sz w:val="14"/>
              </w:rPr>
              <w:t>85.2</w:t>
            </w:r>
          </w:p>
        </w:tc>
        <w:tc>
          <w:tcPr>
            <w:tcW w:w="1027" w:type="dxa"/>
            <w:tcBorders>
              <w:top w:val="single" w:sz="10" w:space="0" w:color="000000"/>
              <w:left w:val="single" w:sz="5" w:space="0" w:color="000000"/>
              <w:bottom w:val="single" w:sz="7" w:space="0" w:color="000000"/>
              <w:right w:val="single" w:sz="5" w:space="0" w:color="000000"/>
            </w:tcBorders>
          </w:tcPr>
          <w:p>
            <w:pPr>
              <w:pStyle w:val="TableParagraph"/>
              <w:spacing w:line="158" w:lineRule="exact"/>
              <w:ind w:right="16"/>
              <w:jc w:val="right"/>
              <w:rPr>
                <w:sz w:val="14"/>
              </w:rPr>
            </w:pPr>
            <w:r>
              <w:rPr>
                <w:w w:val="95"/>
                <w:sz w:val="14"/>
              </w:rPr>
              <w:t>454739</w:t>
            </w:r>
          </w:p>
        </w:tc>
        <w:tc>
          <w:tcPr>
            <w:tcW w:w="1496" w:type="dxa"/>
            <w:tcBorders>
              <w:top w:val="single" w:sz="10" w:space="0" w:color="000000"/>
              <w:left w:val="single" w:sz="5" w:space="0" w:color="000000"/>
              <w:bottom w:val="single" w:sz="7" w:space="0" w:color="000000"/>
              <w:right w:val="single" w:sz="7" w:space="0" w:color="000000"/>
            </w:tcBorders>
          </w:tcPr>
          <w:p>
            <w:pPr>
              <w:pStyle w:val="TableParagraph"/>
              <w:spacing w:line="158" w:lineRule="exact"/>
              <w:ind w:right="9"/>
              <w:jc w:val="right"/>
              <w:rPr>
                <w:sz w:val="14"/>
              </w:rPr>
            </w:pPr>
            <w:r>
              <w:rPr>
                <w:w w:val="95"/>
                <w:sz w:val="14"/>
              </w:rPr>
              <w:t>89.4</w:t>
            </w:r>
          </w:p>
        </w:tc>
      </w:tr>
    </w:tbl>
    <w:p>
      <w:pPr>
        <w:spacing w:before="0"/>
        <w:ind w:left="38" w:right="100" w:firstLine="0"/>
        <w:jc w:val="center"/>
        <w:rPr>
          <w:sz w:val="20"/>
        </w:rPr>
      </w:pPr>
      <w:r>
        <w:rPr>
          <w:sz w:val="20"/>
        </w:rPr>
        <w:t>Fuente: Elaboración propia con base en los datos de los Censos de Población y Vivienda INEGI, 1990, 2000 y 2010.</w:t>
      </w:r>
    </w:p>
    <w:p>
      <w:pPr>
        <w:pStyle w:val="BodyText"/>
        <w:rPr>
          <w:sz w:val="20"/>
        </w:rPr>
      </w:pPr>
    </w:p>
    <w:p>
      <w:pPr>
        <w:pStyle w:val="BodyText"/>
        <w:rPr>
          <w:sz w:val="20"/>
        </w:rPr>
      </w:pPr>
    </w:p>
    <w:p>
      <w:pPr>
        <w:pStyle w:val="BodyText"/>
        <w:spacing w:line="360" w:lineRule="auto" w:before="155"/>
        <w:ind w:left="102" w:right="157"/>
        <w:jc w:val="both"/>
      </w:pPr>
      <w:r>
        <w:rPr/>
        <w:t>Para el año 2000 el municipio de Almoloya de Juárez sigue siendo el que cuenta con menor servicio de agua con el 59.7 por ciento de sus viviendas, comparado con una década antes se puede decir que incrementó un 10 por ciento del servicio en las viviendas que se ubican en el municipio, San Mateo Atenco registró un 64.5 por ciento del servicio decreció más del 8 por ciento en una década, esto se debe al incremento de viviendas y por ende poblacional.</w:t>
      </w:r>
    </w:p>
    <w:p>
      <w:pPr>
        <w:pStyle w:val="BodyText"/>
        <w:spacing w:line="360" w:lineRule="auto" w:before="204"/>
        <w:ind w:left="102" w:right="156"/>
        <w:jc w:val="both"/>
      </w:pPr>
      <w:r>
        <w:rPr/>
        <w:t>Los municipios que se ubicaron en el año 2000 entre un 70 a 90 por ciento del servicio de agua fueron de menor a mayor son; Zinacantepec, Temoaya, Otzolotepec, Xonacatlán, Toluca, Mexicaltzingo.</w:t>
      </w:r>
    </w:p>
    <w:p>
      <w:pPr>
        <w:pStyle w:val="BodyText"/>
        <w:spacing w:line="360" w:lineRule="auto" w:before="204"/>
        <w:ind w:left="102" w:right="158"/>
        <w:jc w:val="both"/>
      </w:pPr>
      <w:r>
        <w:rPr/>
        <w:t>Se incrementó a siete los municipios que contaron con más del 90 por ciento del servicio de agua en las viviendas fueron los siguientes; Ocoyoacac, Calimaya, Lerma, Rayón, Metepec, San Antonio la Isla y Chapultepec, este último municipio fue el que registro el más alto porcentaje con un 95.9 por ciento, el promedio de la </w:t>
      </w:r>
      <w:r>
        <w:rPr>
          <w:sz w:val="19"/>
        </w:rPr>
        <w:t>ZMT </w:t>
      </w:r>
      <w:r>
        <w:rPr/>
        <w:t>para el año 2000 fue de un 85.2 por ciento, incrementando un 4.4 por ciento respecto a la década anterior.</w:t>
      </w:r>
    </w:p>
    <w:p>
      <w:pPr>
        <w:pStyle w:val="BodyText"/>
        <w:spacing w:line="360" w:lineRule="auto" w:before="202"/>
        <w:ind w:left="102" w:right="157"/>
        <w:jc w:val="both"/>
      </w:pPr>
      <w:r>
        <w:rPr/>
        <w:t>Con base en los datos del último censo de población y vivienda del </w:t>
      </w:r>
      <w:r>
        <w:rPr>
          <w:sz w:val="19"/>
        </w:rPr>
        <w:t>INEGI</w:t>
      </w:r>
      <w:r>
        <w:rPr/>
        <w:t>, del 2010 registra que municipio con menor servicio de agua potable en las viviendas es San Mateo  Atenco  con  el  71.4  por  ciento,  Almoloya  de  Juárez  incrementó        su</w:t>
      </w:r>
    </w:p>
    <w:p>
      <w:pPr>
        <w:spacing w:after="0" w:line="360" w:lineRule="auto"/>
        <w:jc w:val="both"/>
        <w:sectPr>
          <w:pgSz w:w="12240" w:h="15840"/>
          <w:pgMar w:header="0" w:footer="1003" w:top="1360" w:bottom="1200" w:left="1600" w:right="1540"/>
        </w:sectPr>
      </w:pPr>
    </w:p>
    <w:p>
      <w:pPr>
        <w:pStyle w:val="BodyText"/>
        <w:spacing w:line="360" w:lineRule="auto" w:before="54"/>
        <w:ind w:left="102" w:right="122"/>
        <w:jc w:val="both"/>
      </w:pPr>
      <w:r>
        <w:rPr/>
        <w:t>porcentaje a 75.5 por ciento. La razón principal es el incremento poblacional y la duplicación de viviendas en estos municipios.</w:t>
      </w:r>
    </w:p>
    <w:p>
      <w:pPr>
        <w:pStyle w:val="BodyText"/>
        <w:spacing w:line="360" w:lineRule="auto" w:before="204"/>
        <w:ind w:left="102" w:right="116"/>
        <w:jc w:val="both"/>
      </w:pPr>
      <w:r>
        <w:rPr/>
        <w:t>Los municipios con más del 80 por ciento de servicio de agua en las viviendas de menor a mayor son; Zinacantepec con el 80.9 por ciento mientras que Toluca registro 86.5 por ciento, el municipio de Toluca durante el periodo estudiado se mantuvo entre un 84 y 86 por ciento.</w:t>
      </w:r>
    </w:p>
    <w:p>
      <w:pPr>
        <w:pStyle w:val="BodyText"/>
        <w:spacing w:line="360" w:lineRule="auto" w:before="204"/>
        <w:ind w:left="102" w:right="117"/>
        <w:jc w:val="both"/>
      </w:pPr>
      <w:r>
        <w:rPr/>
        <w:t>Se incrementó a 11 los municipios que registraron más del 90 por ciento del servicio de agua en las viviendas los cuales son de menor a mayor; Lerma, San Antonio la Isla, Otzolotepec, Ocoyoacac, Mexicaltzingo, Calimaya, Metepec, Temoaya, Chapultepec y el municipio con el mejor porcentaje de este servicio fue el municipio de Rayón con el 96.7 por ciento, su incremento en el periodo estudiado fue cerca del 20 por ciento. El promedio de la </w:t>
      </w:r>
      <w:r>
        <w:rPr>
          <w:sz w:val="19"/>
        </w:rPr>
        <w:t>ZMT </w:t>
      </w:r>
      <w:r>
        <w:rPr/>
        <w:t>para el año 2010 fue de un 89.4 por ciento, incrementando un 4.2 por ciento respecto a la década anterior (ver mapa no. 2).</w:t>
      </w:r>
    </w:p>
    <w:p>
      <w:pPr>
        <w:pStyle w:val="BodyText"/>
        <w:spacing w:line="360" w:lineRule="auto" w:before="204"/>
        <w:ind w:left="102" w:right="124"/>
        <w:jc w:val="both"/>
      </w:pPr>
      <w:r>
        <w:rPr/>
        <w:t>El resultado de estos datos reflejan que en la zona metropolitana falta abastecer a más de 45 mil viviendas, es decir un 10 por ciento del total de viviendas que se registraban en el 2010, aunado a las viviendas que cuentan con el servicio de  agua potable en las viviendas de forma intermitente, es responsabilidad del</w:t>
      </w:r>
      <w:r>
        <w:rPr>
          <w:spacing w:val="-27"/>
        </w:rPr>
        <w:t> </w:t>
      </w:r>
      <w:r>
        <w:rPr/>
        <w:t>Estado de brindar de este vital líquido ya que es un derecho constitucional que tiene cualquier</w:t>
      </w:r>
      <w:r>
        <w:rPr>
          <w:spacing w:val="-6"/>
        </w:rPr>
        <w:t> </w:t>
      </w:r>
      <w:r>
        <w:rPr/>
        <w:t>persona.</w:t>
      </w:r>
    </w:p>
    <w:p>
      <w:pPr>
        <w:spacing w:after="0" w:line="360" w:lineRule="auto"/>
        <w:jc w:val="both"/>
        <w:sectPr>
          <w:pgSz w:w="12240" w:h="15840"/>
          <w:pgMar w:header="0" w:footer="1003" w:top="1360" w:bottom="1200" w:left="1600" w:right="1580"/>
        </w:sectPr>
      </w:pPr>
    </w:p>
    <w:p>
      <w:pPr>
        <w:spacing w:before="53" w:after="3"/>
        <w:ind w:left="157" w:right="156" w:firstLine="0"/>
        <w:jc w:val="center"/>
        <w:rPr>
          <w:sz w:val="20"/>
        </w:rPr>
      </w:pPr>
      <w:r>
        <w:rPr>
          <w:sz w:val="20"/>
        </w:rPr>
        <w:t>Mapa No. 2 Porcentaje de viviendas que contaron con servicio de agua potable en la </w:t>
      </w:r>
      <w:r>
        <w:rPr>
          <w:sz w:val="16"/>
        </w:rPr>
        <w:t>ZMT</w:t>
      </w:r>
      <w:r>
        <w:rPr>
          <w:sz w:val="20"/>
        </w:rPr>
        <w:t>, 1990- 2010.</w:t>
      </w:r>
    </w:p>
    <w:p>
      <w:pPr>
        <w:pStyle w:val="BodyText"/>
        <w:ind w:left="101"/>
        <w:rPr>
          <w:sz w:val="20"/>
        </w:rPr>
      </w:pPr>
      <w:r>
        <w:rPr>
          <w:sz w:val="20"/>
        </w:rPr>
        <w:drawing>
          <wp:inline distT="0" distB="0" distL="0" distR="0">
            <wp:extent cx="5517093" cy="3903249"/>
            <wp:effectExtent l="0" t="0" r="0" b="0"/>
            <wp:docPr id="13" name="image34.jpeg" descr=""/>
            <wp:cNvGraphicFramePr>
              <a:graphicFrameLocks noChangeAspect="1"/>
            </wp:cNvGraphicFramePr>
            <a:graphic>
              <a:graphicData uri="http://schemas.openxmlformats.org/drawingml/2006/picture">
                <pic:pic>
                  <pic:nvPicPr>
                    <pic:cNvPr id="14" name="image34.jpeg"/>
                    <pic:cNvPicPr/>
                  </pic:nvPicPr>
                  <pic:blipFill>
                    <a:blip r:embed="rId59" cstate="print"/>
                    <a:stretch>
                      <a:fillRect/>
                    </a:stretch>
                  </pic:blipFill>
                  <pic:spPr>
                    <a:xfrm>
                      <a:off x="0" y="0"/>
                      <a:ext cx="5517093" cy="3903249"/>
                    </a:xfrm>
                    <a:prstGeom prst="rect">
                      <a:avLst/>
                    </a:prstGeom>
                  </pic:spPr>
                </pic:pic>
              </a:graphicData>
            </a:graphic>
          </wp:inline>
        </w:drawing>
      </w:r>
      <w:r>
        <w:rPr>
          <w:sz w:val="20"/>
        </w:rPr>
      </w:r>
    </w:p>
    <w:p>
      <w:pPr>
        <w:spacing w:before="91"/>
        <w:ind w:left="157" w:right="159" w:firstLine="0"/>
        <w:jc w:val="center"/>
        <w:rPr>
          <w:sz w:val="20"/>
        </w:rPr>
      </w:pPr>
      <w:r>
        <w:rPr>
          <w:sz w:val="20"/>
        </w:rPr>
        <w:t>Fuente: Elaboración propia con base en los datos de los Censos de Población y Vivienda INEGI, 1990, 2000 y 2010.</w:t>
      </w:r>
    </w:p>
    <w:p>
      <w:pPr>
        <w:pStyle w:val="BodyText"/>
        <w:rPr>
          <w:sz w:val="20"/>
        </w:rPr>
      </w:pPr>
    </w:p>
    <w:p>
      <w:pPr>
        <w:pStyle w:val="BodyText"/>
        <w:rPr>
          <w:sz w:val="16"/>
        </w:rPr>
      </w:pPr>
    </w:p>
    <w:p>
      <w:pPr>
        <w:pStyle w:val="BodyText"/>
        <w:spacing w:line="360" w:lineRule="auto"/>
        <w:ind w:left="102" w:right="101"/>
        <w:jc w:val="both"/>
      </w:pPr>
      <w:r>
        <w:rPr/>
        <w:t>En la gráfica no. 2 es perceptible que el municipio de San Mateo Atenco es el que cuenta con el menor servicio de agua para las viviendas, Almoloya de Juárez incrementó su porcentaje durante el periodo analizado pero falta un 25 por ciento de viviendas que cuenten con el servicio.</w:t>
      </w:r>
    </w:p>
    <w:p>
      <w:pPr>
        <w:spacing w:after="0" w:line="360" w:lineRule="auto"/>
        <w:jc w:val="both"/>
        <w:sectPr>
          <w:pgSz w:w="12240" w:h="15840"/>
          <w:pgMar w:header="0" w:footer="1003" w:top="1360" w:bottom="1200" w:left="1600" w:right="1600"/>
        </w:sectPr>
      </w:pPr>
    </w:p>
    <w:p>
      <w:pPr>
        <w:spacing w:before="53"/>
        <w:ind w:left="213" w:right="1668" w:firstLine="0"/>
        <w:jc w:val="center"/>
        <w:rPr>
          <w:sz w:val="20"/>
        </w:rPr>
      </w:pPr>
      <w:r>
        <w:rPr/>
        <w:pict>
          <v:group style="position:absolute;margin-left:87.109894pt;margin-top:14.871926pt;width:440.85pt;height:271.6pt;mso-position-horizontal-relative:page;mso-position-vertical-relative:paragraph;z-index:3304" coordorigin="1742,297" coordsize="8817,5432">
            <v:shape style="position:absolute;left:1298;top:8877;width:8506;height:3885" coordorigin="1298,8877" coordsize="8506,3885" path="m2757,4075l9484,4075m2757,3766l9484,3766m2757,3458l9484,3458m2757,3150l9484,3150m2757,2841l9484,2841m2757,2545l9484,2545m2757,2237l9484,2237m2757,1928l9484,1928m2757,1620l9484,1620m2757,1311l9484,1311m2757,4383l2757,1311m2757,4383l9484,4383e" filled="false" stroked="true" strokeweight=".593115pt" strokecolor="#858585">
              <v:path arrowok="t"/>
            </v:shape>
            <v:shape style="position:absolute;left:2982;top:1394;width:6277;height:1471" coordorigin="2982,1394" coordsize="6277,1471" path="m2982,2865l3433,1644,3884,1394,4323,1715,4774,1561,5225,1691,5676,1596,6127,1999,6566,2023,7016,1904,7467,2142,7918,2213,8357,1786,8808,1738,9259,2260e" filled="false" stroked="true" strokeweight="1.778938pt" strokecolor="#497dba">
              <v:path arrowok="t"/>
            </v:shape>
            <v:shape style="position:absolute;left:2982;top:1430;width:6277;height:1115" coordorigin="2982,1430" coordsize="6277,1115" path="m2982,2545l3433,1561,3884,1430,4323,1561,4774,1489,5225,1691,5676,1584,6127,1750,6566,1537,7016,1489,7467,2403,7918,1904,8357,1715,8808,1715,9259,2082e" filled="false" stroked="true" strokeweight="1.778919pt" strokecolor="#bd4a47">
              <v:path arrowok="t"/>
            </v:shape>
            <v:shape style="position:absolute;left:2982;top:1406;width:6277;height:783" coordorigin="2982,1406" coordsize="6277,783" path="m2982,2059l3433,1501,3884,1442,4323,1584,4774,1478,5225,1525,5676,1537,6127,1572,6566,1406,7016,1572,7467,2189,7918,1466,8357,1727,8808,1584,9259,1893e" filled="false" stroked="true" strokeweight="1.778905pt" strokecolor="#97b853">
              <v:path arrowok="t"/>
            </v:shape>
            <v:shape style="position:absolute;left:2106;top:4597;width:1801;height:913" type="#_x0000_t75" stroked="false">
              <v:imagedata r:id="rId60" o:title=""/>
            </v:shape>
            <v:shape style="position:absolute;left:4025;top:4601;width:337;height:310" type="#_x0000_t75" stroked="false">
              <v:imagedata r:id="rId61" o:title=""/>
            </v:shape>
            <v:shape style="position:absolute;left:4346;top:4601;width:1802;height:651" type="#_x0000_t75" stroked="false">
              <v:imagedata r:id="rId62" o:title=""/>
            </v:shape>
            <v:shape style="position:absolute;left:6268;top:4612;width:325;height:299" type="#_x0000_t75" stroked="false">
              <v:imagedata r:id="rId63" o:title=""/>
            </v:shape>
            <v:shape style="position:absolute;left:6176;top:4607;width:1765;height:859" type="#_x0000_t75" stroked="false">
              <v:imagedata r:id="rId64" o:title=""/>
            </v:shape>
            <v:shape style="position:absolute;left:8035;top:4607;width:354;height:307" type="#_x0000_t75" stroked="false">
              <v:imagedata r:id="rId65" o:title=""/>
            </v:shape>
            <v:shape style="position:absolute;left:8281;top:4600;width:1004;height:636" type="#_x0000_t75" stroked="false">
              <v:imagedata r:id="rId66" o:title=""/>
            </v:shape>
            <v:line style="position:absolute" from="9728,3144" to="10036,3144" stroked="true" strokeweight="1.185927pt" strokecolor="#497dba"/>
            <v:line style="position:absolute" from="9728,3428" to="10036,3428" stroked="true" strokeweight="1.185927pt" strokecolor="#bd4a47"/>
            <v:line style="position:absolute" from="9728,3713" to="10036,3713" stroked="true" strokeweight="1.185927pt" strokecolor="#97b853"/>
            <v:rect style="position:absolute;left:1748;top:303;width:8804;height:5420" filled="false" stroked="true" strokeweight=".593640pt" strokecolor="#858585"/>
            <v:shape style="position:absolute;left:2957;top:476;width:6391;height:630" type="#_x0000_t202" filled="false" stroked="false">
              <v:textbox inset="0,0,0,0">
                <w:txbxContent>
                  <w:p>
                    <w:pPr>
                      <w:spacing w:line="289" w:lineRule="exact" w:before="0"/>
                      <w:ind w:left="0" w:right="0" w:firstLine="0"/>
                      <w:jc w:val="center"/>
                      <w:rPr>
                        <w:rFonts w:ascii="Calibri"/>
                        <w:b/>
                        <w:sz w:val="28"/>
                      </w:rPr>
                    </w:pPr>
                    <w:r>
                      <w:rPr>
                        <w:rFonts w:ascii="Calibri"/>
                        <w:b/>
                        <w:sz w:val="28"/>
                      </w:rPr>
                      <w:t>Servicio de agua en las viviendas de la </w:t>
                    </w:r>
                    <w:r>
                      <w:rPr>
                        <w:rFonts w:ascii="Calibri"/>
                        <w:b/>
                        <w:spacing w:val="-4"/>
                        <w:sz w:val="28"/>
                      </w:rPr>
                      <w:t>ZMT, </w:t>
                    </w:r>
                    <w:r>
                      <w:rPr>
                        <w:rFonts w:ascii="Calibri"/>
                        <w:b/>
                        <w:sz w:val="28"/>
                      </w:rPr>
                      <w:t>durante</w:t>
                    </w:r>
                    <w:r>
                      <w:rPr>
                        <w:rFonts w:ascii="Calibri"/>
                        <w:b/>
                        <w:spacing w:val="60"/>
                        <w:sz w:val="28"/>
                      </w:rPr>
                      <w:t> </w:t>
                    </w:r>
                    <w:r>
                      <w:rPr>
                        <w:rFonts w:ascii="Calibri"/>
                        <w:b/>
                        <w:sz w:val="28"/>
                      </w:rPr>
                      <w:t>el</w:t>
                    </w:r>
                  </w:p>
                  <w:p>
                    <w:pPr>
                      <w:spacing w:line="338" w:lineRule="exact" w:before="3"/>
                      <w:ind w:left="0" w:right="6" w:firstLine="0"/>
                      <w:jc w:val="center"/>
                      <w:rPr>
                        <w:rFonts w:ascii="Calibri"/>
                        <w:b/>
                        <w:sz w:val="28"/>
                      </w:rPr>
                    </w:pPr>
                    <w:r>
                      <w:rPr>
                        <w:rFonts w:ascii="Calibri"/>
                        <w:b/>
                        <w:sz w:val="28"/>
                      </w:rPr>
                      <w:t>periodo 1990-2010</w:t>
                    </w:r>
                  </w:p>
                </w:txbxContent>
              </v:textbox>
              <w10:wrap type="none"/>
            </v:shape>
            <v:shape style="position:absolute;left:2243;top:1246;width:368;height:3232" type="#_x0000_t202" filled="false" stroked="false">
              <v:textbox inset="0,0,0,0">
                <w:txbxContent>
                  <w:p>
                    <w:pPr>
                      <w:spacing w:line="156" w:lineRule="exact" w:before="0"/>
                      <w:ind w:left="-1" w:right="2" w:firstLine="0"/>
                      <w:jc w:val="center"/>
                      <w:rPr>
                        <w:rFonts w:ascii="Calibri"/>
                        <w:sz w:val="15"/>
                      </w:rPr>
                    </w:pPr>
                    <w:r>
                      <w:rPr>
                        <w:rFonts w:ascii="Calibri"/>
                        <w:w w:val="105"/>
                        <w:sz w:val="15"/>
                      </w:rPr>
                      <w:t>100.0</w:t>
                    </w:r>
                  </w:p>
                  <w:p>
                    <w:pPr>
                      <w:spacing w:before="124"/>
                      <w:ind w:left="87" w:right="-19" w:firstLine="0"/>
                      <w:jc w:val="left"/>
                      <w:rPr>
                        <w:rFonts w:ascii="Calibri"/>
                        <w:sz w:val="15"/>
                      </w:rPr>
                    </w:pPr>
                    <w:r>
                      <w:rPr>
                        <w:rFonts w:ascii="Calibri"/>
                        <w:w w:val="105"/>
                        <w:sz w:val="15"/>
                      </w:rPr>
                      <w:t>90.0</w:t>
                    </w:r>
                  </w:p>
                  <w:p>
                    <w:pPr>
                      <w:spacing w:before="125"/>
                      <w:ind w:left="87" w:right="-19" w:firstLine="0"/>
                      <w:jc w:val="left"/>
                      <w:rPr>
                        <w:rFonts w:ascii="Calibri"/>
                        <w:sz w:val="15"/>
                      </w:rPr>
                    </w:pPr>
                    <w:r>
                      <w:rPr>
                        <w:rFonts w:ascii="Calibri"/>
                        <w:w w:val="105"/>
                        <w:sz w:val="15"/>
                      </w:rPr>
                      <w:t>80.0</w:t>
                    </w:r>
                  </w:p>
                  <w:p>
                    <w:pPr>
                      <w:spacing w:before="124"/>
                      <w:ind w:left="87" w:right="-19" w:firstLine="0"/>
                      <w:jc w:val="left"/>
                      <w:rPr>
                        <w:rFonts w:ascii="Calibri"/>
                        <w:sz w:val="15"/>
                      </w:rPr>
                    </w:pPr>
                    <w:r>
                      <w:rPr>
                        <w:rFonts w:ascii="Calibri"/>
                        <w:w w:val="105"/>
                        <w:sz w:val="15"/>
                      </w:rPr>
                      <w:t>70.0</w:t>
                    </w:r>
                  </w:p>
                  <w:p>
                    <w:pPr>
                      <w:spacing w:before="124"/>
                      <w:ind w:left="87" w:right="-19" w:firstLine="0"/>
                      <w:jc w:val="left"/>
                      <w:rPr>
                        <w:rFonts w:ascii="Calibri"/>
                        <w:sz w:val="15"/>
                      </w:rPr>
                    </w:pPr>
                    <w:r>
                      <w:rPr>
                        <w:rFonts w:ascii="Calibri"/>
                        <w:w w:val="105"/>
                        <w:sz w:val="15"/>
                      </w:rPr>
                      <w:t>60.0</w:t>
                    </w:r>
                  </w:p>
                  <w:p>
                    <w:pPr>
                      <w:spacing w:before="124"/>
                      <w:ind w:left="87" w:right="-19" w:firstLine="0"/>
                      <w:jc w:val="left"/>
                      <w:rPr>
                        <w:rFonts w:ascii="Calibri"/>
                        <w:sz w:val="15"/>
                      </w:rPr>
                    </w:pPr>
                    <w:r>
                      <w:rPr>
                        <w:rFonts w:ascii="Calibri"/>
                        <w:w w:val="105"/>
                        <w:sz w:val="15"/>
                      </w:rPr>
                      <w:t>50.0</w:t>
                    </w:r>
                  </w:p>
                  <w:p>
                    <w:pPr>
                      <w:spacing w:before="125"/>
                      <w:ind w:left="87" w:right="-19" w:firstLine="0"/>
                      <w:jc w:val="left"/>
                      <w:rPr>
                        <w:rFonts w:ascii="Calibri"/>
                        <w:sz w:val="15"/>
                      </w:rPr>
                    </w:pPr>
                    <w:r>
                      <w:rPr>
                        <w:rFonts w:ascii="Calibri"/>
                        <w:w w:val="105"/>
                        <w:sz w:val="15"/>
                      </w:rPr>
                      <w:t>40.0</w:t>
                    </w:r>
                  </w:p>
                  <w:p>
                    <w:pPr>
                      <w:spacing w:before="124"/>
                      <w:ind w:left="87" w:right="-19" w:firstLine="0"/>
                      <w:jc w:val="left"/>
                      <w:rPr>
                        <w:rFonts w:ascii="Calibri"/>
                        <w:sz w:val="15"/>
                      </w:rPr>
                    </w:pPr>
                    <w:r>
                      <w:rPr>
                        <w:rFonts w:ascii="Calibri"/>
                        <w:w w:val="105"/>
                        <w:sz w:val="15"/>
                      </w:rPr>
                      <w:t>30.0</w:t>
                    </w:r>
                  </w:p>
                  <w:p>
                    <w:pPr>
                      <w:spacing w:before="124"/>
                      <w:ind w:left="87" w:right="-19" w:firstLine="0"/>
                      <w:jc w:val="left"/>
                      <w:rPr>
                        <w:rFonts w:ascii="Calibri"/>
                        <w:sz w:val="15"/>
                      </w:rPr>
                    </w:pPr>
                    <w:r>
                      <w:rPr>
                        <w:rFonts w:ascii="Calibri"/>
                        <w:w w:val="105"/>
                        <w:sz w:val="15"/>
                      </w:rPr>
                      <w:t>20.0</w:t>
                    </w:r>
                  </w:p>
                  <w:p>
                    <w:pPr>
                      <w:spacing w:before="124"/>
                      <w:ind w:left="87" w:right="-19" w:firstLine="0"/>
                      <w:jc w:val="left"/>
                      <w:rPr>
                        <w:rFonts w:ascii="Calibri"/>
                        <w:sz w:val="15"/>
                      </w:rPr>
                    </w:pPr>
                    <w:r>
                      <w:rPr>
                        <w:rFonts w:ascii="Calibri"/>
                        <w:w w:val="105"/>
                        <w:sz w:val="15"/>
                      </w:rPr>
                      <w:t>10.0</w:t>
                    </w:r>
                  </w:p>
                  <w:p>
                    <w:pPr>
                      <w:spacing w:line="181" w:lineRule="exact" w:before="124"/>
                      <w:ind w:left="155" w:right="0" w:firstLine="0"/>
                      <w:jc w:val="center"/>
                      <w:rPr>
                        <w:rFonts w:ascii="Calibri"/>
                        <w:sz w:val="15"/>
                      </w:rPr>
                    </w:pPr>
                    <w:r>
                      <w:rPr>
                        <w:rFonts w:ascii="Calibri"/>
                        <w:w w:val="105"/>
                        <w:sz w:val="15"/>
                      </w:rPr>
                      <w:t>0.0</w:t>
                    </w:r>
                  </w:p>
                </w:txbxContent>
              </v:textbox>
              <w10:wrap type="none"/>
            </v:shape>
            <v:shape style="position:absolute;left:10076;top:3079;width:333;height:728" type="#_x0000_t202" filled="false" stroked="false">
              <v:textbox inset="0,0,0,0">
                <w:txbxContent>
                  <w:p>
                    <w:pPr>
                      <w:spacing w:line="156" w:lineRule="exact" w:before="0"/>
                      <w:ind w:left="0" w:right="-15" w:firstLine="0"/>
                      <w:jc w:val="left"/>
                      <w:rPr>
                        <w:rFonts w:ascii="Calibri"/>
                        <w:sz w:val="15"/>
                      </w:rPr>
                    </w:pPr>
                    <w:r>
                      <w:rPr>
                        <w:rFonts w:ascii="Calibri"/>
                        <w:sz w:val="15"/>
                      </w:rPr>
                      <w:t>1990</w:t>
                    </w:r>
                  </w:p>
                  <w:p>
                    <w:pPr>
                      <w:spacing w:before="103"/>
                      <w:ind w:left="0" w:right="-15" w:firstLine="0"/>
                      <w:jc w:val="left"/>
                      <w:rPr>
                        <w:rFonts w:ascii="Calibri"/>
                        <w:sz w:val="15"/>
                      </w:rPr>
                    </w:pPr>
                    <w:r>
                      <w:rPr>
                        <w:rFonts w:ascii="Calibri"/>
                        <w:sz w:val="15"/>
                      </w:rPr>
                      <w:t>2000</w:t>
                    </w:r>
                  </w:p>
                  <w:p>
                    <w:pPr>
                      <w:spacing w:line="181" w:lineRule="exact" w:before="103"/>
                      <w:ind w:left="0" w:right="-15" w:firstLine="0"/>
                      <w:jc w:val="left"/>
                      <w:rPr>
                        <w:rFonts w:ascii="Calibri"/>
                        <w:sz w:val="15"/>
                      </w:rPr>
                    </w:pPr>
                    <w:r>
                      <w:rPr>
                        <w:rFonts w:ascii="Calibri"/>
                        <w:sz w:val="15"/>
                      </w:rPr>
                      <w:t>2010</w:t>
                    </w:r>
                  </w:p>
                </w:txbxContent>
              </v:textbox>
              <w10:wrap type="none"/>
            </v:shape>
            <w10:wrap type="none"/>
          </v:group>
        </w:pict>
      </w:r>
      <w:r>
        <w:rPr/>
        <w:pict>
          <v:shape style="position:absolute;margin-left:97.948906pt;margin-top:124.428291pt;width:9.75pt;height:36.85pt;mso-position-horizontal-relative:page;mso-position-vertical-relative:paragraph;z-index:3328" type="#_x0000_t202" filled="false" stroked="false">
            <v:textbox inset="0,0,0,0" style="layout-flow:vertical;mso-layout-flow-alt:bottom-to-top">
              <w:txbxContent>
                <w:p>
                  <w:pPr>
                    <w:spacing w:line="176" w:lineRule="exact" w:before="0"/>
                    <w:ind w:left="20" w:right="-539" w:firstLine="0"/>
                    <w:jc w:val="left"/>
                    <w:rPr>
                      <w:rFonts w:ascii="Calibri"/>
                      <w:b/>
                      <w:sz w:val="15"/>
                    </w:rPr>
                  </w:pPr>
                  <w:r>
                    <w:rPr>
                      <w:rFonts w:ascii="Calibri"/>
                      <w:b/>
                      <w:spacing w:val="1"/>
                      <w:w w:val="102"/>
                      <w:sz w:val="15"/>
                    </w:rPr>
                    <w:t>P</w:t>
                  </w:r>
                  <w:r>
                    <w:rPr>
                      <w:rFonts w:ascii="Calibri"/>
                      <w:b/>
                      <w:w w:val="102"/>
                      <w:sz w:val="15"/>
                    </w:rPr>
                    <w:t>o</w:t>
                  </w:r>
                  <w:r>
                    <w:rPr>
                      <w:rFonts w:ascii="Calibri"/>
                      <w:b/>
                      <w:spacing w:val="4"/>
                      <w:w w:val="102"/>
                      <w:sz w:val="15"/>
                    </w:rPr>
                    <w:t>r</w:t>
                  </w:r>
                  <w:r>
                    <w:rPr>
                      <w:rFonts w:ascii="Calibri"/>
                      <w:b/>
                      <w:spacing w:val="-5"/>
                      <w:w w:val="102"/>
                      <w:sz w:val="15"/>
                    </w:rPr>
                    <w:t>c</w:t>
                  </w:r>
                  <w:r>
                    <w:rPr>
                      <w:rFonts w:ascii="Calibri"/>
                      <w:b/>
                      <w:spacing w:val="5"/>
                      <w:w w:val="102"/>
                      <w:sz w:val="15"/>
                    </w:rPr>
                    <w:t>e</w:t>
                  </w:r>
                  <w:r>
                    <w:rPr>
                      <w:rFonts w:ascii="Calibri"/>
                      <w:b/>
                      <w:w w:val="102"/>
                      <w:sz w:val="15"/>
                    </w:rPr>
                    <w:t>n</w:t>
                  </w:r>
                  <w:r>
                    <w:rPr>
                      <w:rFonts w:ascii="Calibri"/>
                      <w:b/>
                      <w:spacing w:val="6"/>
                      <w:w w:val="102"/>
                      <w:sz w:val="15"/>
                    </w:rPr>
                    <w:t>t</w:t>
                  </w:r>
                  <w:r>
                    <w:rPr>
                      <w:rFonts w:ascii="Calibri"/>
                      <w:b/>
                      <w:spacing w:val="-5"/>
                      <w:w w:val="102"/>
                      <w:sz w:val="15"/>
                    </w:rPr>
                    <w:t>a</w:t>
                  </w:r>
                  <w:r>
                    <w:rPr>
                      <w:rFonts w:ascii="Calibri"/>
                      <w:b/>
                      <w:spacing w:val="-4"/>
                      <w:w w:val="102"/>
                      <w:sz w:val="15"/>
                    </w:rPr>
                    <w:t>j</w:t>
                  </w:r>
                  <w:r>
                    <w:rPr>
                      <w:rFonts w:ascii="Calibri"/>
                      <w:b/>
                      <w:w w:val="102"/>
                      <w:sz w:val="15"/>
                    </w:rPr>
                    <w:t>e</w:t>
                  </w:r>
                </w:p>
              </w:txbxContent>
            </v:textbox>
            <w10:wrap type="none"/>
          </v:shape>
        </w:pict>
      </w:r>
      <w:r>
        <w:rPr>
          <w:sz w:val="20"/>
        </w:rPr>
        <w:t>Gráfica No. 2 Viviendas que contaron con servicio de agua potable en la </w:t>
      </w:r>
      <w:r>
        <w:rPr>
          <w:sz w:val="16"/>
        </w:rPr>
        <w:t>ZMT</w:t>
      </w:r>
      <w:r>
        <w:rPr>
          <w:sz w:val="20"/>
        </w:rPr>
        <w:t>, 1990-2010.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66"/>
        <w:ind w:left="213" w:right="1675" w:firstLine="0"/>
        <w:jc w:val="center"/>
        <w:rPr>
          <w:sz w:val="20"/>
        </w:rPr>
      </w:pPr>
      <w:r>
        <w:rPr>
          <w:sz w:val="20"/>
        </w:rPr>
        <w:t>Fuente: Elaboración propia con base en los datos de los Censos de Población y Vivienda INEGI, 1990, 2000 y 2010.</w:t>
      </w:r>
    </w:p>
    <w:p>
      <w:pPr>
        <w:pStyle w:val="BodyText"/>
        <w:rPr>
          <w:sz w:val="20"/>
        </w:rPr>
      </w:pPr>
    </w:p>
    <w:p>
      <w:pPr>
        <w:pStyle w:val="BodyText"/>
        <w:spacing w:before="3"/>
        <w:rPr>
          <w:sz w:val="18"/>
        </w:rPr>
      </w:pPr>
    </w:p>
    <w:p>
      <w:pPr>
        <w:pStyle w:val="BodyText"/>
        <w:spacing w:line="360" w:lineRule="auto"/>
        <w:ind w:left="102" w:right="1559"/>
        <w:jc w:val="both"/>
      </w:pPr>
      <w:r>
        <w:rPr/>
        <w:t>Contar con el servicio de agua en las viviendas no siempre es efectivo por dos escenarios; primero que las nuevas viviendas no están conectadas a la red de agua por su ubicación lejana del desarrollo y expansión de la ciudad. Segundo porque dentro de los intereses del Estado no tienen contempladas estas nuevas condiciones de crecimiento. En seguida se analiza el servicio de energía eléctrica.</w:t>
      </w:r>
    </w:p>
    <w:p>
      <w:pPr>
        <w:pStyle w:val="ListParagraph"/>
        <w:numPr>
          <w:ilvl w:val="2"/>
          <w:numId w:val="18"/>
        </w:numPr>
        <w:tabs>
          <w:tab w:pos="643" w:val="left" w:leader="none"/>
        </w:tabs>
        <w:spacing w:line="240" w:lineRule="auto" w:before="203" w:after="0"/>
        <w:ind w:left="642" w:right="0" w:hanging="540"/>
        <w:jc w:val="both"/>
        <w:rPr>
          <w:rFonts w:ascii="Cambria" w:hAnsi="Cambria"/>
          <w:b/>
          <w:sz w:val="22"/>
        </w:rPr>
      </w:pPr>
      <w:r>
        <w:rPr>
          <w:rFonts w:ascii="Cambria" w:hAnsi="Cambria"/>
          <w:b/>
          <w:color w:val="4F81BC"/>
          <w:sz w:val="22"/>
        </w:rPr>
        <w:t>Servicio de energía</w:t>
      </w:r>
      <w:r>
        <w:rPr>
          <w:rFonts w:ascii="Cambria" w:hAnsi="Cambria"/>
          <w:b/>
          <w:color w:val="4F81BC"/>
          <w:spacing w:val="-3"/>
          <w:sz w:val="22"/>
        </w:rPr>
        <w:t> </w:t>
      </w:r>
      <w:r>
        <w:rPr>
          <w:rFonts w:ascii="Cambria" w:hAnsi="Cambria"/>
          <w:b/>
          <w:color w:val="4F81BC"/>
          <w:sz w:val="22"/>
        </w:rPr>
        <w:t>eléctrica</w:t>
      </w:r>
    </w:p>
    <w:p>
      <w:pPr>
        <w:pStyle w:val="BodyText"/>
        <w:rPr>
          <w:rFonts w:ascii="Cambria"/>
          <w:b/>
          <w:sz w:val="22"/>
        </w:rPr>
      </w:pPr>
    </w:p>
    <w:p>
      <w:pPr>
        <w:pStyle w:val="BodyText"/>
        <w:spacing w:before="1"/>
        <w:rPr>
          <w:rFonts w:ascii="Cambria"/>
          <w:b/>
          <w:sz w:val="27"/>
        </w:rPr>
      </w:pPr>
    </w:p>
    <w:p>
      <w:pPr>
        <w:pStyle w:val="BodyText"/>
        <w:spacing w:line="360" w:lineRule="auto"/>
        <w:ind w:left="102" w:right="1556"/>
        <w:jc w:val="both"/>
      </w:pPr>
      <w:r>
        <w:rPr/>
        <w:t>La energía eléctrica ha sido un factor clave para la densificación, expansión y crecimiento de la </w:t>
      </w:r>
      <w:r>
        <w:rPr>
          <w:sz w:val="19"/>
        </w:rPr>
        <w:t>ZMT</w:t>
      </w:r>
      <w:r>
        <w:rPr/>
        <w:t>, así como las técnicas implementadas en constante evolución del abastecimiento y distribución de la energía eléctrica.</w:t>
      </w:r>
    </w:p>
    <w:p>
      <w:pPr>
        <w:pStyle w:val="BodyText"/>
        <w:spacing w:line="360" w:lineRule="auto" w:before="204"/>
        <w:ind w:left="102" w:right="1555"/>
        <w:jc w:val="both"/>
      </w:pPr>
      <w:r>
        <w:rPr/>
        <w:t>En servicio de energía eléctrica </w:t>
      </w:r>
      <w:r>
        <w:rPr>
          <w:spacing w:val="3"/>
        </w:rPr>
        <w:t>en </w:t>
      </w:r>
      <w:r>
        <w:rPr/>
        <w:t>las viviendas es inevitable, para que sus moradores puedan utilizar los bienes con los que cuentan (lavadora, refrigerador, radio, televisor, computadora), además de generar luz artificial en la noche,  cuando ya no hay luz</w:t>
      </w:r>
      <w:r>
        <w:rPr>
          <w:spacing w:val="-9"/>
        </w:rPr>
        <w:t> </w:t>
      </w:r>
      <w:r>
        <w:rPr/>
        <w:t>natural.</w:t>
      </w:r>
    </w:p>
    <w:p>
      <w:pPr>
        <w:spacing w:after="0" w:line="360" w:lineRule="auto"/>
        <w:jc w:val="both"/>
        <w:sectPr>
          <w:pgSz w:w="12240" w:h="15840"/>
          <w:pgMar w:header="0" w:footer="1003" w:top="1360" w:bottom="1200" w:left="1600" w:right="140"/>
        </w:sectPr>
      </w:pPr>
    </w:p>
    <w:p>
      <w:pPr>
        <w:pStyle w:val="BodyText"/>
        <w:spacing w:line="360" w:lineRule="auto" w:before="54"/>
        <w:ind w:left="102" w:right="140"/>
        <w:jc w:val="both"/>
      </w:pPr>
      <w:r>
        <w:rPr/>
        <w:t>La energía eléctrica es el servicio con el que cuentan la mayoría de las viviendas en la </w:t>
      </w:r>
      <w:r>
        <w:rPr>
          <w:sz w:val="19"/>
        </w:rPr>
        <w:t>ZMT</w:t>
      </w:r>
      <w:r>
        <w:rPr/>
        <w:t>, la Comisión Federal de Electricidad (</w:t>
      </w:r>
      <w:r>
        <w:rPr>
          <w:sz w:val="19"/>
        </w:rPr>
        <w:t>CFE</w:t>
      </w:r>
      <w:r>
        <w:rPr/>
        <w:t>) es la empresa encargada de dotar el servicio a la población urbana y rural en todo el territorio nacional.</w:t>
      </w:r>
    </w:p>
    <w:p>
      <w:pPr>
        <w:pStyle w:val="BodyText"/>
        <w:spacing w:line="360" w:lineRule="auto" w:before="204"/>
        <w:ind w:left="102" w:right="137"/>
        <w:jc w:val="both"/>
      </w:pPr>
      <w:r>
        <w:rPr/>
        <w:t>En el año de 1990 el municipio que contaba con menor porcentaje del servicio de energía eléctrica fue Almoloya de Juárez con el 75.5 por ciento, Temoaya con el</w:t>
      </w:r>
    </w:p>
    <w:p>
      <w:pPr>
        <w:pStyle w:val="BodyText"/>
        <w:spacing w:line="360" w:lineRule="auto" w:before="2"/>
        <w:ind w:left="102" w:right="138"/>
        <w:jc w:val="both"/>
      </w:pPr>
      <w:r>
        <w:rPr/>
        <w:t>87.6 los trece municipios restantes que integran la </w:t>
      </w:r>
      <w:r>
        <w:rPr>
          <w:sz w:val="19"/>
        </w:rPr>
        <w:t>ZMT </w:t>
      </w:r>
      <w:r>
        <w:rPr/>
        <w:t>contaban más del 90 por ciento del servicio en sus viviendas, el municipio con el más alto porcentaje fue Chapultepec con el 99 por ciento. El promedio del servicio de energía eléctrica de la </w:t>
      </w:r>
      <w:r>
        <w:rPr>
          <w:sz w:val="19"/>
        </w:rPr>
        <w:t>ZMT </w:t>
      </w:r>
      <w:r>
        <w:rPr/>
        <w:t>para el año 1990 fue de un 93.6 por ciento (ver cuadro no.12).</w:t>
      </w:r>
    </w:p>
    <w:p>
      <w:pPr>
        <w:spacing w:before="201" w:after="3"/>
        <w:ind w:left="82" w:right="122" w:firstLine="0"/>
        <w:jc w:val="center"/>
        <w:rPr>
          <w:sz w:val="20"/>
        </w:rPr>
      </w:pPr>
      <w:r>
        <w:rPr>
          <w:sz w:val="20"/>
        </w:rPr>
        <w:t>Cuadro No. 12 Viviendas que contaron con servicio de energía eléctrica en la </w:t>
      </w:r>
      <w:r>
        <w:rPr>
          <w:sz w:val="16"/>
        </w:rPr>
        <w:t>ZMT</w:t>
      </w:r>
      <w:r>
        <w:rPr>
          <w:sz w:val="20"/>
        </w:rPr>
        <w:t>, 1990-2010.</w:t>
      </w:r>
    </w:p>
    <w:tbl>
      <w:tblPr>
        <w:tblW w:w="0" w:type="auto"/>
        <w:jc w:val="left"/>
        <w:tblInd w:w="130"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214"/>
        <w:gridCol w:w="1188"/>
        <w:gridCol w:w="1321"/>
        <w:gridCol w:w="1093"/>
        <w:gridCol w:w="1483"/>
        <w:gridCol w:w="1234"/>
        <w:gridCol w:w="1289"/>
      </w:tblGrid>
      <w:tr>
        <w:trPr>
          <w:trHeight w:val="170" w:hRule="exact"/>
        </w:trPr>
        <w:tc>
          <w:tcPr>
            <w:tcW w:w="1214" w:type="dxa"/>
            <w:tcBorders>
              <w:bottom w:val="single" w:sz="5" w:space="0" w:color="000000"/>
              <w:right w:val="single" w:sz="5" w:space="0" w:color="000000"/>
            </w:tcBorders>
            <w:shd w:val="clear" w:color="auto" w:fill="FFFF00"/>
          </w:tcPr>
          <w:p>
            <w:pPr>
              <w:pStyle w:val="TableParagraph"/>
              <w:spacing w:line="153" w:lineRule="exact"/>
              <w:ind w:left="387"/>
              <w:rPr>
                <w:b/>
                <w:sz w:val="13"/>
              </w:rPr>
            </w:pPr>
            <w:r>
              <w:rPr>
                <w:b/>
                <w:sz w:val="13"/>
              </w:rPr>
              <w:t>Periodo</w:t>
            </w:r>
          </w:p>
        </w:tc>
        <w:tc>
          <w:tcPr>
            <w:tcW w:w="2509" w:type="dxa"/>
            <w:gridSpan w:val="2"/>
            <w:tcBorders>
              <w:left w:val="single" w:sz="5" w:space="0" w:color="000000"/>
              <w:bottom w:val="single" w:sz="5" w:space="0" w:color="000000"/>
              <w:right w:val="single" w:sz="5" w:space="0" w:color="000000"/>
            </w:tcBorders>
            <w:shd w:val="clear" w:color="auto" w:fill="FFFF00"/>
          </w:tcPr>
          <w:p>
            <w:pPr>
              <w:pStyle w:val="TableParagraph"/>
              <w:spacing w:line="153" w:lineRule="exact"/>
              <w:ind w:left="1097" w:right="1097"/>
              <w:jc w:val="center"/>
              <w:rPr>
                <w:b/>
                <w:sz w:val="13"/>
              </w:rPr>
            </w:pPr>
            <w:r>
              <w:rPr>
                <w:b/>
                <w:sz w:val="13"/>
              </w:rPr>
              <w:t>1990</w:t>
            </w:r>
          </w:p>
        </w:tc>
        <w:tc>
          <w:tcPr>
            <w:tcW w:w="2576" w:type="dxa"/>
            <w:gridSpan w:val="2"/>
            <w:tcBorders>
              <w:left w:val="single" w:sz="5" w:space="0" w:color="000000"/>
              <w:bottom w:val="single" w:sz="5" w:space="0" w:color="000000"/>
              <w:right w:val="single" w:sz="5" w:space="0" w:color="000000"/>
            </w:tcBorders>
            <w:shd w:val="clear" w:color="auto" w:fill="FFFF00"/>
          </w:tcPr>
          <w:p>
            <w:pPr>
              <w:pStyle w:val="TableParagraph"/>
              <w:spacing w:line="153" w:lineRule="exact"/>
              <w:ind w:left="1131" w:right="1128"/>
              <w:jc w:val="center"/>
              <w:rPr>
                <w:b/>
                <w:sz w:val="13"/>
              </w:rPr>
            </w:pPr>
            <w:r>
              <w:rPr>
                <w:b/>
                <w:sz w:val="13"/>
              </w:rPr>
              <w:t>2000</w:t>
            </w:r>
          </w:p>
        </w:tc>
        <w:tc>
          <w:tcPr>
            <w:tcW w:w="2523" w:type="dxa"/>
            <w:gridSpan w:val="2"/>
            <w:tcBorders>
              <w:left w:val="single" w:sz="5" w:space="0" w:color="000000"/>
              <w:bottom w:val="single" w:sz="5" w:space="0" w:color="000000"/>
            </w:tcBorders>
            <w:shd w:val="clear" w:color="auto" w:fill="FFFF00"/>
          </w:tcPr>
          <w:p>
            <w:pPr>
              <w:pStyle w:val="TableParagraph"/>
              <w:spacing w:line="153" w:lineRule="exact"/>
              <w:ind w:left="1105" w:right="1099"/>
              <w:jc w:val="center"/>
              <w:rPr>
                <w:b/>
                <w:sz w:val="13"/>
              </w:rPr>
            </w:pPr>
            <w:r>
              <w:rPr>
                <w:b/>
                <w:sz w:val="13"/>
              </w:rPr>
              <w:t>2010</w:t>
            </w:r>
          </w:p>
        </w:tc>
      </w:tr>
      <w:tr>
        <w:trPr>
          <w:trHeight w:val="728" w:hRule="exact"/>
        </w:trPr>
        <w:tc>
          <w:tcPr>
            <w:tcW w:w="1214" w:type="dxa"/>
            <w:tcBorders>
              <w:top w:val="single" w:sz="5" w:space="0" w:color="000000"/>
              <w:bottom w:val="single" w:sz="5" w:space="0" w:color="000000"/>
              <w:right w:val="single" w:sz="5" w:space="0" w:color="000000"/>
            </w:tcBorders>
            <w:shd w:val="clear" w:color="auto" w:fill="FFFF00"/>
          </w:tcPr>
          <w:p>
            <w:pPr>
              <w:pStyle w:val="TableParagraph"/>
              <w:rPr>
                <w:rFonts w:ascii="Arial"/>
                <w:sz w:val="12"/>
              </w:rPr>
            </w:pPr>
          </w:p>
          <w:p>
            <w:pPr>
              <w:pStyle w:val="TableParagraph"/>
              <w:spacing w:before="10"/>
              <w:rPr>
                <w:rFonts w:ascii="Arial"/>
                <w:sz w:val="11"/>
              </w:rPr>
            </w:pPr>
          </w:p>
          <w:p>
            <w:pPr>
              <w:pStyle w:val="TableParagraph"/>
              <w:ind w:left="320"/>
              <w:rPr>
                <w:b/>
                <w:sz w:val="13"/>
              </w:rPr>
            </w:pPr>
            <w:r>
              <w:rPr>
                <w:b/>
                <w:sz w:val="13"/>
              </w:rPr>
              <w:t>Municipio</w:t>
            </w:r>
          </w:p>
        </w:tc>
        <w:tc>
          <w:tcPr>
            <w:tcW w:w="1188" w:type="dxa"/>
            <w:tcBorders>
              <w:top w:val="single" w:sz="5" w:space="0" w:color="000000"/>
              <w:left w:val="single" w:sz="5" w:space="0" w:color="000000"/>
              <w:bottom w:val="single" w:sz="5" w:space="0" w:color="000000"/>
              <w:right w:val="single" w:sz="5" w:space="0" w:color="000000"/>
            </w:tcBorders>
            <w:shd w:val="clear" w:color="auto" w:fill="FFFF00"/>
          </w:tcPr>
          <w:p>
            <w:pPr>
              <w:pStyle w:val="TableParagraph"/>
              <w:spacing w:before="3"/>
              <w:rPr>
                <w:rFonts w:ascii="Arial"/>
                <w:sz w:val="16"/>
              </w:rPr>
            </w:pPr>
          </w:p>
          <w:p>
            <w:pPr>
              <w:pStyle w:val="TableParagraph"/>
              <w:spacing w:line="261" w:lineRule="auto" w:before="1"/>
              <w:ind w:left="315" w:hanging="151"/>
              <w:rPr>
                <w:b/>
                <w:sz w:val="13"/>
              </w:rPr>
            </w:pPr>
            <w:r>
              <w:rPr>
                <w:b/>
                <w:sz w:val="13"/>
              </w:rPr>
              <w:t>Total Viviendas habitadas</w:t>
            </w:r>
          </w:p>
        </w:tc>
        <w:tc>
          <w:tcPr>
            <w:tcW w:w="1321" w:type="dxa"/>
            <w:tcBorders>
              <w:top w:val="single" w:sz="5" w:space="0" w:color="000000"/>
              <w:left w:val="single" w:sz="5" w:space="0" w:color="000000"/>
              <w:bottom w:val="single" w:sz="5" w:space="0" w:color="000000"/>
              <w:right w:val="single" w:sz="5" w:space="0" w:color="000000"/>
            </w:tcBorders>
            <w:shd w:val="clear" w:color="auto" w:fill="FFFF00"/>
          </w:tcPr>
          <w:p>
            <w:pPr>
              <w:pStyle w:val="TableParagraph"/>
              <w:spacing w:line="261" w:lineRule="auto" w:before="101"/>
              <w:ind w:left="60" w:right="58" w:firstLine="2"/>
              <w:jc w:val="center"/>
              <w:rPr>
                <w:b/>
                <w:sz w:val="13"/>
              </w:rPr>
            </w:pPr>
            <w:r>
              <w:rPr>
                <w:b/>
                <w:sz w:val="13"/>
              </w:rPr>
              <w:t>Porcentaje de viviendas con energía eléctrica</w:t>
            </w:r>
          </w:p>
        </w:tc>
        <w:tc>
          <w:tcPr>
            <w:tcW w:w="1093" w:type="dxa"/>
            <w:tcBorders>
              <w:top w:val="single" w:sz="5" w:space="0" w:color="000000"/>
              <w:left w:val="single" w:sz="5" w:space="0" w:color="000000"/>
              <w:bottom w:val="single" w:sz="5" w:space="0" w:color="000000"/>
              <w:right w:val="single" w:sz="5" w:space="0" w:color="000000"/>
            </w:tcBorders>
            <w:shd w:val="clear" w:color="auto" w:fill="FFFF00"/>
          </w:tcPr>
          <w:p>
            <w:pPr>
              <w:pStyle w:val="TableParagraph"/>
              <w:spacing w:before="3"/>
              <w:rPr>
                <w:rFonts w:ascii="Arial"/>
                <w:sz w:val="16"/>
              </w:rPr>
            </w:pPr>
          </w:p>
          <w:p>
            <w:pPr>
              <w:pStyle w:val="TableParagraph"/>
              <w:spacing w:line="261" w:lineRule="auto" w:before="1"/>
              <w:ind w:left="268" w:hanging="151"/>
              <w:rPr>
                <w:b/>
                <w:sz w:val="13"/>
              </w:rPr>
            </w:pPr>
            <w:r>
              <w:rPr>
                <w:b/>
                <w:sz w:val="13"/>
              </w:rPr>
              <w:t>Total Viviendas habitadas</w:t>
            </w:r>
          </w:p>
        </w:tc>
        <w:tc>
          <w:tcPr>
            <w:tcW w:w="1483" w:type="dxa"/>
            <w:tcBorders>
              <w:top w:val="single" w:sz="5" w:space="0" w:color="000000"/>
              <w:left w:val="single" w:sz="5" w:space="0" w:color="000000"/>
              <w:bottom w:val="single" w:sz="5" w:space="0" w:color="000000"/>
              <w:right w:val="single" w:sz="5" w:space="0" w:color="000000"/>
            </w:tcBorders>
            <w:shd w:val="clear" w:color="auto" w:fill="FFFF00"/>
          </w:tcPr>
          <w:p>
            <w:pPr>
              <w:pStyle w:val="TableParagraph"/>
              <w:spacing w:before="3"/>
              <w:rPr>
                <w:rFonts w:ascii="Arial"/>
                <w:sz w:val="16"/>
              </w:rPr>
            </w:pPr>
          </w:p>
          <w:p>
            <w:pPr>
              <w:pStyle w:val="TableParagraph"/>
              <w:spacing w:line="261" w:lineRule="auto" w:before="1"/>
              <w:ind w:left="170" w:hanging="90"/>
              <w:rPr>
                <w:b/>
                <w:sz w:val="13"/>
              </w:rPr>
            </w:pPr>
            <w:r>
              <w:rPr>
                <w:b/>
                <w:sz w:val="13"/>
              </w:rPr>
              <w:t>Porcentaje de viviendas con energía eléctrica</w:t>
            </w:r>
          </w:p>
        </w:tc>
        <w:tc>
          <w:tcPr>
            <w:tcW w:w="1234" w:type="dxa"/>
            <w:tcBorders>
              <w:top w:val="single" w:sz="5" w:space="0" w:color="000000"/>
              <w:left w:val="single" w:sz="5" w:space="0" w:color="000000"/>
              <w:bottom w:val="single" w:sz="5" w:space="0" w:color="000000"/>
              <w:right w:val="single" w:sz="5" w:space="0" w:color="000000"/>
            </w:tcBorders>
            <w:shd w:val="clear" w:color="auto" w:fill="FFFF00"/>
          </w:tcPr>
          <w:p>
            <w:pPr>
              <w:pStyle w:val="TableParagraph"/>
              <w:spacing w:before="3"/>
              <w:rPr>
                <w:rFonts w:ascii="Arial"/>
                <w:sz w:val="16"/>
              </w:rPr>
            </w:pPr>
          </w:p>
          <w:p>
            <w:pPr>
              <w:pStyle w:val="TableParagraph"/>
              <w:spacing w:line="261" w:lineRule="auto" w:before="1"/>
              <w:ind w:left="338" w:hanging="151"/>
              <w:rPr>
                <w:b/>
                <w:sz w:val="13"/>
              </w:rPr>
            </w:pPr>
            <w:r>
              <w:rPr>
                <w:b/>
                <w:sz w:val="13"/>
              </w:rPr>
              <w:t>Total Viviendas habitadas</w:t>
            </w:r>
          </w:p>
        </w:tc>
        <w:tc>
          <w:tcPr>
            <w:tcW w:w="1289" w:type="dxa"/>
            <w:tcBorders>
              <w:top w:val="single" w:sz="5" w:space="0" w:color="000000"/>
              <w:left w:val="single" w:sz="5" w:space="0" w:color="000000"/>
              <w:bottom w:val="single" w:sz="5" w:space="0" w:color="000000"/>
              <w:right w:val="single" w:sz="5" w:space="0" w:color="000000"/>
            </w:tcBorders>
            <w:shd w:val="clear" w:color="auto" w:fill="FFFF00"/>
          </w:tcPr>
          <w:p>
            <w:pPr>
              <w:pStyle w:val="TableParagraph"/>
              <w:spacing w:line="261" w:lineRule="auto" w:before="101"/>
              <w:ind w:left="46" w:right="41" w:firstLine="2"/>
              <w:jc w:val="center"/>
              <w:rPr>
                <w:b/>
                <w:sz w:val="13"/>
              </w:rPr>
            </w:pPr>
            <w:r>
              <w:rPr>
                <w:b/>
                <w:sz w:val="13"/>
              </w:rPr>
              <w:t>Porcentaje de viviendas con energía eléctrica</w:t>
            </w:r>
          </w:p>
        </w:tc>
      </w:tr>
      <w:tr>
        <w:trPr>
          <w:trHeight w:val="174" w:hRule="exact"/>
        </w:trPr>
        <w:tc>
          <w:tcPr>
            <w:tcW w:w="1214" w:type="dxa"/>
            <w:tcBorders>
              <w:top w:val="single" w:sz="5" w:space="0" w:color="000000"/>
              <w:bottom w:val="single" w:sz="5" w:space="0" w:color="000000"/>
              <w:right w:val="single" w:sz="5" w:space="0" w:color="000000"/>
            </w:tcBorders>
          </w:tcPr>
          <w:p>
            <w:pPr>
              <w:pStyle w:val="TableParagraph"/>
              <w:ind w:left="11"/>
              <w:rPr>
                <w:sz w:val="13"/>
              </w:rPr>
            </w:pPr>
            <w:r>
              <w:rPr>
                <w:sz w:val="13"/>
              </w:rPr>
              <w:t>Almoloya de Juárez</w:t>
            </w:r>
          </w:p>
        </w:tc>
        <w:tc>
          <w:tcPr>
            <w:tcW w:w="1188"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14723</w:t>
            </w:r>
          </w:p>
        </w:tc>
        <w:tc>
          <w:tcPr>
            <w:tcW w:w="1321"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75.5</w:t>
            </w:r>
          </w:p>
        </w:tc>
        <w:tc>
          <w:tcPr>
            <w:tcW w:w="1093"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21999</w:t>
            </w:r>
          </w:p>
        </w:tc>
        <w:tc>
          <w:tcPr>
            <w:tcW w:w="1483"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89.8</w:t>
            </w:r>
          </w:p>
        </w:tc>
        <w:tc>
          <w:tcPr>
            <w:tcW w:w="1234"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32840</w:t>
            </w:r>
          </w:p>
        </w:tc>
        <w:tc>
          <w:tcPr>
            <w:tcW w:w="1289" w:type="dxa"/>
            <w:tcBorders>
              <w:top w:val="single" w:sz="5" w:space="0" w:color="000000"/>
              <w:left w:val="single" w:sz="5" w:space="0" w:color="000000"/>
              <w:bottom w:val="single" w:sz="5" w:space="0" w:color="000000"/>
            </w:tcBorders>
          </w:tcPr>
          <w:p>
            <w:pPr>
              <w:pStyle w:val="TableParagraph"/>
              <w:ind w:right="8"/>
              <w:jc w:val="right"/>
              <w:rPr>
                <w:sz w:val="13"/>
              </w:rPr>
            </w:pPr>
            <w:r>
              <w:rPr>
                <w:sz w:val="13"/>
              </w:rPr>
              <w:t>96.1</w:t>
            </w:r>
          </w:p>
        </w:tc>
      </w:tr>
      <w:tr>
        <w:trPr>
          <w:trHeight w:val="173" w:hRule="exact"/>
        </w:trPr>
        <w:tc>
          <w:tcPr>
            <w:tcW w:w="1214" w:type="dxa"/>
            <w:tcBorders>
              <w:top w:val="single" w:sz="5" w:space="0" w:color="000000"/>
              <w:bottom w:val="single" w:sz="5" w:space="0" w:color="000000"/>
              <w:right w:val="single" w:sz="5" w:space="0" w:color="000000"/>
            </w:tcBorders>
          </w:tcPr>
          <w:p>
            <w:pPr>
              <w:pStyle w:val="TableParagraph"/>
              <w:ind w:left="11"/>
              <w:rPr>
                <w:sz w:val="13"/>
              </w:rPr>
            </w:pPr>
            <w:r>
              <w:rPr>
                <w:sz w:val="13"/>
              </w:rPr>
              <w:t>Calimaya</w:t>
            </w:r>
          </w:p>
        </w:tc>
        <w:tc>
          <w:tcPr>
            <w:tcW w:w="1188"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4473</w:t>
            </w:r>
          </w:p>
        </w:tc>
        <w:tc>
          <w:tcPr>
            <w:tcW w:w="1321"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95.9</w:t>
            </w:r>
          </w:p>
        </w:tc>
        <w:tc>
          <w:tcPr>
            <w:tcW w:w="1093"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7153</w:t>
            </w:r>
          </w:p>
        </w:tc>
        <w:tc>
          <w:tcPr>
            <w:tcW w:w="1483"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97.1</w:t>
            </w:r>
          </w:p>
        </w:tc>
        <w:tc>
          <w:tcPr>
            <w:tcW w:w="1234"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10694</w:t>
            </w:r>
          </w:p>
        </w:tc>
        <w:tc>
          <w:tcPr>
            <w:tcW w:w="1289" w:type="dxa"/>
            <w:tcBorders>
              <w:top w:val="single" w:sz="5" w:space="0" w:color="000000"/>
              <w:left w:val="single" w:sz="5" w:space="0" w:color="000000"/>
              <w:bottom w:val="single" w:sz="5" w:space="0" w:color="000000"/>
            </w:tcBorders>
          </w:tcPr>
          <w:p>
            <w:pPr>
              <w:pStyle w:val="TableParagraph"/>
              <w:ind w:right="8"/>
              <w:jc w:val="right"/>
              <w:rPr>
                <w:sz w:val="13"/>
              </w:rPr>
            </w:pPr>
            <w:r>
              <w:rPr>
                <w:sz w:val="13"/>
              </w:rPr>
              <w:t>97.9</w:t>
            </w:r>
          </w:p>
        </w:tc>
      </w:tr>
      <w:tr>
        <w:trPr>
          <w:trHeight w:val="173" w:hRule="exact"/>
        </w:trPr>
        <w:tc>
          <w:tcPr>
            <w:tcW w:w="1214" w:type="dxa"/>
            <w:tcBorders>
              <w:top w:val="single" w:sz="5" w:space="0" w:color="000000"/>
              <w:bottom w:val="single" w:sz="5" w:space="0" w:color="000000"/>
              <w:right w:val="single" w:sz="5" w:space="0" w:color="000000"/>
            </w:tcBorders>
          </w:tcPr>
          <w:p>
            <w:pPr>
              <w:pStyle w:val="TableParagraph"/>
              <w:ind w:left="11"/>
              <w:rPr>
                <w:sz w:val="13"/>
              </w:rPr>
            </w:pPr>
            <w:r>
              <w:rPr>
                <w:sz w:val="13"/>
              </w:rPr>
              <w:t>Chapultepec</w:t>
            </w:r>
          </w:p>
        </w:tc>
        <w:tc>
          <w:tcPr>
            <w:tcW w:w="1188"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612</w:t>
            </w:r>
          </w:p>
        </w:tc>
        <w:tc>
          <w:tcPr>
            <w:tcW w:w="1321"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99.0</w:t>
            </w:r>
          </w:p>
        </w:tc>
        <w:tc>
          <w:tcPr>
            <w:tcW w:w="1093"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1183</w:t>
            </w:r>
          </w:p>
        </w:tc>
        <w:tc>
          <w:tcPr>
            <w:tcW w:w="1483"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98.9</w:t>
            </w:r>
          </w:p>
        </w:tc>
        <w:tc>
          <w:tcPr>
            <w:tcW w:w="1234"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2420</w:t>
            </w:r>
          </w:p>
        </w:tc>
        <w:tc>
          <w:tcPr>
            <w:tcW w:w="1289" w:type="dxa"/>
            <w:tcBorders>
              <w:top w:val="single" w:sz="5" w:space="0" w:color="000000"/>
              <w:left w:val="single" w:sz="5" w:space="0" w:color="000000"/>
              <w:bottom w:val="single" w:sz="5" w:space="0" w:color="000000"/>
            </w:tcBorders>
          </w:tcPr>
          <w:p>
            <w:pPr>
              <w:pStyle w:val="TableParagraph"/>
              <w:ind w:right="8"/>
              <w:jc w:val="right"/>
              <w:rPr>
                <w:sz w:val="13"/>
              </w:rPr>
            </w:pPr>
            <w:r>
              <w:rPr>
                <w:sz w:val="13"/>
              </w:rPr>
              <w:t>98.1</w:t>
            </w:r>
          </w:p>
        </w:tc>
      </w:tr>
      <w:tr>
        <w:trPr>
          <w:trHeight w:val="173" w:hRule="exact"/>
        </w:trPr>
        <w:tc>
          <w:tcPr>
            <w:tcW w:w="1214" w:type="dxa"/>
            <w:tcBorders>
              <w:top w:val="single" w:sz="5" w:space="0" w:color="000000"/>
              <w:bottom w:val="single" w:sz="5" w:space="0" w:color="000000"/>
              <w:right w:val="single" w:sz="5" w:space="0" w:color="000000"/>
            </w:tcBorders>
          </w:tcPr>
          <w:p>
            <w:pPr>
              <w:pStyle w:val="TableParagraph"/>
              <w:ind w:left="11"/>
              <w:rPr>
                <w:sz w:val="13"/>
              </w:rPr>
            </w:pPr>
            <w:r>
              <w:rPr>
                <w:sz w:val="13"/>
              </w:rPr>
              <w:t>Lerma</w:t>
            </w:r>
          </w:p>
        </w:tc>
        <w:tc>
          <w:tcPr>
            <w:tcW w:w="1188"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12013</w:t>
            </w:r>
          </w:p>
        </w:tc>
        <w:tc>
          <w:tcPr>
            <w:tcW w:w="1321"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96.0</w:t>
            </w:r>
          </w:p>
        </w:tc>
        <w:tc>
          <w:tcPr>
            <w:tcW w:w="1093"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20659</w:t>
            </w:r>
          </w:p>
        </w:tc>
        <w:tc>
          <w:tcPr>
            <w:tcW w:w="1483"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98.6</w:t>
            </w:r>
          </w:p>
        </w:tc>
        <w:tc>
          <w:tcPr>
            <w:tcW w:w="1234"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31349</w:t>
            </w:r>
          </w:p>
        </w:tc>
        <w:tc>
          <w:tcPr>
            <w:tcW w:w="1289" w:type="dxa"/>
            <w:tcBorders>
              <w:top w:val="single" w:sz="5" w:space="0" w:color="000000"/>
              <w:left w:val="single" w:sz="5" w:space="0" w:color="000000"/>
              <w:bottom w:val="single" w:sz="5" w:space="0" w:color="000000"/>
            </w:tcBorders>
          </w:tcPr>
          <w:p>
            <w:pPr>
              <w:pStyle w:val="TableParagraph"/>
              <w:ind w:right="8"/>
              <w:jc w:val="right"/>
              <w:rPr>
                <w:sz w:val="13"/>
              </w:rPr>
            </w:pPr>
            <w:r>
              <w:rPr>
                <w:sz w:val="13"/>
              </w:rPr>
              <w:t>97.3</w:t>
            </w:r>
          </w:p>
        </w:tc>
      </w:tr>
      <w:tr>
        <w:trPr>
          <w:trHeight w:val="174" w:hRule="exact"/>
        </w:trPr>
        <w:tc>
          <w:tcPr>
            <w:tcW w:w="1214" w:type="dxa"/>
            <w:tcBorders>
              <w:top w:val="single" w:sz="5" w:space="0" w:color="000000"/>
              <w:bottom w:val="single" w:sz="5" w:space="0" w:color="000000"/>
              <w:right w:val="single" w:sz="5" w:space="0" w:color="000000"/>
            </w:tcBorders>
          </w:tcPr>
          <w:p>
            <w:pPr>
              <w:pStyle w:val="TableParagraph"/>
              <w:ind w:left="11"/>
              <w:rPr>
                <w:sz w:val="13"/>
              </w:rPr>
            </w:pPr>
            <w:r>
              <w:rPr>
                <w:sz w:val="13"/>
              </w:rPr>
              <w:t>Metepec</w:t>
            </w:r>
          </w:p>
        </w:tc>
        <w:tc>
          <w:tcPr>
            <w:tcW w:w="1188"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28546</w:t>
            </w:r>
          </w:p>
        </w:tc>
        <w:tc>
          <w:tcPr>
            <w:tcW w:w="1321"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98.0</w:t>
            </w:r>
          </w:p>
        </w:tc>
        <w:tc>
          <w:tcPr>
            <w:tcW w:w="1093"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43852</w:t>
            </w:r>
          </w:p>
        </w:tc>
        <w:tc>
          <w:tcPr>
            <w:tcW w:w="1483"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99.2</w:t>
            </w:r>
          </w:p>
        </w:tc>
        <w:tc>
          <w:tcPr>
            <w:tcW w:w="1234"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54915</w:t>
            </w:r>
          </w:p>
        </w:tc>
        <w:tc>
          <w:tcPr>
            <w:tcW w:w="1289" w:type="dxa"/>
            <w:tcBorders>
              <w:top w:val="single" w:sz="5" w:space="0" w:color="000000"/>
              <w:left w:val="single" w:sz="5" w:space="0" w:color="000000"/>
              <w:bottom w:val="single" w:sz="5" w:space="0" w:color="000000"/>
            </w:tcBorders>
          </w:tcPr>
          <w:p>
            <w:pPr>
              <w:pStyle w:val="TableParagraph"/>
              <w:ind w:right="8"/>
              <w:jc w:val="right"/>
              <w:rPr>
                <w:sz w:val="13"/>
              </w:rPr>
            </w:pPr>
            <w:r>
              <w:rPr>
                <w:sz w:val="13"/>
              </w:rPr>
              <w:t>97.0</w:t>
            </w:r>
          </w:p>
        </w:tc>
      </w:tr>
      <w:tr>
        <w:trPr>
          <w:trHeight w:val="173" w:hRule="exact"/>
        </w:trPr>
        <w:tc>
          <w:tcPr>
            <w:tcW w:w="1214" w:type="dxa"/>
            <w:tcBorders>
              <w:top w:val="single" w:sz="5" w:space="0" w:color="000000"/>
              <w:bottom w:val="single" w:sz="5" w:space="0" w:color="000000"/>
              <w:right w:val="single" w:sz="5" w:space="0" w:color="000000"/>
            </w:tcBorders>
          </w:tcPr>
          <w:p>
            <w:pPr>
              <w:pStyle w:val="TableParagraph"/>
              <w:ind w:left="11"/>
              <w:rPr>
                <w:sz w:val="13"/>
              </w:rPr>
            </w:pPr>
            <w:r>
              <w:rPr>
                <w:sz w:val="13"/>
              </w:rPr>
              <w:t>Mexicaltzingo</w:t>
            </w:r>
          </w:p>
        </w:tc>
        <w:tc>
          <w:tcPr>
            <w:tcW w:w="1188"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1276</w:t>
            </w:r>
          </w:p>
        </w:tc>
        <w:tc>
          <w:tcPr>
            <w:tcW w:w="1321"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96.4</w:t>
            </w:r>
          </w:p>
        </w:tc>
        <w:tc>
          <w:tcPr>
            <w:tcW w:w="1093"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1727</w:t>
            </w:r>
          </w:p>
        </w:tc>
        <w:tc>
          <w:tcPr>
            <w:tcW w:w="1483"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97.5</w:t>
            </w:r>
          </w:p>
        </w:tc>
        <w:tc>
          <w:tcPr>
            <w:tcW w:w="1234"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2622</w:t>
            </w:r>
          </w:p>
        </w:tc>
        <w:tc>
          <w:tcPr>
            <w:tcW w:w="1289" w:type="dxa"/>
            <w:tcBorders>
              <w:top w:val="single" w:sz="5" w:space="0" w:color="000000"/>
              <w:left w:val="single" w:sz="5" w:space="0" w:color="000000"/>
              <w:bottom w:val="single" w:sz="5" w:space="0" w:color="000000"/>
            </w:tcBorders>
          </w:tcPr>
          <w:p>
            <w:pPr>
              <w:pStyle w:val="TableParagraph"/>
              <w:ind w:right="8"/>
              <w:jc w:val="right"/>
              <w:rPr>
                <w:sz w:val="13"/>
              </w:rPr>
            </w:pPr>
            <w:r>
              <w:rPr>
                <w:sz w:val="13"/>
              </w:rPr>
              <w:t>97.5</w:t>
            </w:r>
          </w:p>
        </w:tc>
      </w:tr>
      <w:tr>
        <w:trPr>
          <w:trHeight w:val="173" w:hRule="exact"/>
        </w:trPr>
        <w:tc>
          <w:tcPr>
            <w:tcW w:w="1214" w:type="dxa"/>
            <w:tcBorders>
              <w:top w:val="single" w:sz="5" w:space="0" w:color="000000"/>
              <w:bottom w:val="single" w:sz="5" w:space="0" w:color="000000"/>
              <w:right w:val="single" w:sz="5" w:space="0" w:color="000000"/>
            </w:tcBorders>
          </w:tcPr>
          <w:p>
            <w:pPr>
              <w:pStyle w:val="TableParagraph"/>
              <w:ind w:left="11"/>
              <w:rPr>
                <w:sz w:val="13"/>
              </w:rPr>
            </w:pPr>
            <w:r>
              <w:rPr>
                <w:sz w:val="13"/>
              </w:rPr>
              <w:t>Ocoyoacac</w:t>
            </w:r>
          </w:p>
        </w:tc>
        <w:tc>
          <w:tcPr>
            <w:tcW w:w="1188"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6418</w:t>
            </w:r>
          </w:p>
        </w:tc>
        <w:tc>
          <w:tcPr>
            <w:tcW w:w="1321"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94.8</w:t>
            </w:r>
          </w:p>
        </w:tc>
        <w:tc>
          <w:tcPr>
            <w:tcW w:w="1093"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10099</w:t>
            </w:r>
          </w:p>
        </w:tc>
        <w:tc>
          <w:tcPr>
            <w:tcW w:w="1483"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98.1</w:t>
            </w:r>
          </w:p>
        </w:tc>
        <w:tc>
          <w:tcPr>
            <w:tcW w:w="1234"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13926</w:t>
            </w:r>
          </w:p>
        </w:tc>
        <w:tc>
          <w:tcPr>
            <w:tcW w:w="1289" w:type="dxa"/>
            <w:tcBorders>
              <w:top w:val="single" w:sz="5" w:space="0" w:color="000000"/>
              <w:left w:val="single" w:sz="5" w:space="0" w:color="000000"/>
              <w:bottom w:val="single" w:sz="5" w:space="0" w:color="000000"/>
            </w:tcBorders>
          </w:tcPr>
          <w:p>
            <w:pPr>
              <w:pStyle w:val="TableParagraph"/>
              <w:ind w:right="8"/>
              <w:jc w:val="right"/>
              <w:rPr>
                <w:sz w:val="13"/>
              </w:rPr>
            </w:pPr>
            <w:r>
              <w:rPr>
                <w:sz w:val="13"/>
              </w:rPr>
              <w:t>98.2</w:t>
            </w:r>
          </w:p>
        </w:tc>
      </w:tr>
      <w:tr>
        <w:trPr>
          <w:trHeight w:val="173" w:hRule="exact"/>
        </w:trPr>
        <w:tc>
          <w:tcPr>
            <w:tcW w:w="1214" w:type="dxa"/>
            <w:tcBorders>
              <w:top w:val="single" w:sz="5" w:space="0" w:color="000000"/>
              <w:bottom w:val="single" w:sz="5" w:space="0" w:color="000000"/>
              <w:right w:val="single" w:sz="5" w:space="0" w:color="000000"/>
            </w:tcBorders>
          </w:tcPr>
          <w:p>
            <w:pPr>
              <w:pStyle w:val="TableParagraph"/>
              <w:ind w:left="11"/>
              <w:rPr>
                <w:sz w:val="13"/>
              </w:rPr>
            </w:pPr>
            <w:r>
              <w:rPr>
                <w:sz w:val="13"/>
              </w:rPr>
              <w:t>Otzolotepec</w:t>
            </w:r>
          </w:p>
        </w:tc>
        <w:tc>
          <w:tcPr>
            <w:tcW w:w="1188"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6675</w:t>
            </w:r>
          </w:p>
        </w:tc>
        <w:tc>
          <w:tcPr>
            <w:tcW w:w="1321"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90.0</w:t>
            </w:r>
          </w:p>
        </w:tc>
        <w:tc>
          <w:tcPr>
            <w:tcW w:w="1093"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10713</w:t>
            </w:r>
          </w:p>
        </w:tc>
        <w:tc>
          <w:tcPr>
            <w:tcW w:w="1483"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97.8</w:t>
            </w:r>
          </w:p>
        </w:tc>
        <w:tc>
          <w:tcPr>
            <w:tcW w:w="1234"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16074</w:t>
            </w:r>
          </w:p>
        </w:tc>
        <w:tc>
          <w:tcPr>
            <w:tcW w:w="1289" w:type="dxa"/>
            <w:tcBorders>
              <w:top w:val="single" w:sz="5" w:space="0" w:color="000000"/>
              <w:left w:val="single" w:sz="5" w:space="0" w:color="000000"/>
              <w:bottom w:val="single" w:sz="5" w:space="0" w:color="000000"/>
            </w:tcBorders>
          </w:tcPr>
          <w:p>
            <w:pPr>
              <w:pStyle w:val="TableParagraph"/>
              <w:ind w:right="8"/>
              <w:jc w:val="right"/>
              <w:rPr>
                <w:sz w:val="13"/>
              </w:rPr>
            </w:pPr>
            <w:r>
              <w:rPr>
                <w:sz w:val="13"/>
              </w:rPr>
              <w:t>98.2</w:t>
            </w:r>
          </w:p>
        </w:tc>
      </w:tr>
      <w:tr>
        <w:trPr>
          <w:trHeight w:val="173" w:hRule="exact"/>
        </w:trPr>
        <w:tc>
          <w:tcPr>
            <w:tcW w:w="1214" w:type="dxa"/>
            <w:tcBorders>
              <w:top w:val="single" w:sz="5" w:space="0" w:color="000000"/>
              <w:bottom w:val="single" w:sz="5" w:space="0" w:color="000000"/>
              <w:right w:val="single" w:sz="5" w:space="0" w:color="000000"/>
            </w:tcBorders>
          </w:tcPr>
          <w:p>
            <w:pPr>
              <w:pStyle w:val="TableParagraph"/>
              <w:ind w:left="11"/>
              <w:rPr>
                <w:sz w:val="13"/>
              </w:rPr>
            </w:pPr>
            <w:r>
              <w:rPr>
                <w:sz w:val="13"/>
              </w:rPr>
              <w:t>Rayón</w:t>
            </w:r>
          </w:p>
        </w:tc>
        <w:tc>
          <w:tcPr>
            <w:tcW w:w="1188"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1172</w:t>
            </w:r>
          </w:p>
        </w:tc>
        <w:tc>
          <w:tcPr>
            <w:tcW w:w="1321"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97.4</w:t>
            </w:r>
          </w:p>
        </w:tc>
        <w:tc>
          <w:tcPr>
            <w:tcW w:w="1093"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1683</w:t>
            </w:r>
          </w:p>
        </w:tc>
        <w:tc>
          <w:tcPr>
            <w:tcW w:w="1483"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98.7</w:t>
            </w:r>
          </w:p>
        </w:tc>
        <w:tc>
          <w:tcPr>
            <w:tcW w:w="1234"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2834</w:t>
            </w:r>
          </w:p>
        </w:tc>
        <w:tc>
          <w:tcPr>
            <w:tcW w:w="1289" w:type="dxa"/>
            <w:tcBorders>
              <w:top w:val="single" w:sz="5" w:space="0" w:color="000000"/>
              <w:left w:val="single" w:sz="5" w:space="0" w:color="000000"/>
              <w:bottom w:val="single" w:sz="5" w:space="0" w:color="000000"/>
            </w:tcBorders>
          </w:tcPr>
          <w:p>
            <w:pPr>
              <w:pStyle w:val="TableParagraph"/>
              <w:ind w:right="8"/>
              <w:jc w:val="right"/>
              <w:rPr>
                <w:sz w:val="13"/>
              </w:rPr>
            </w:pPr>
            <w:r>
              <w:rPr>
                <w:sz w:val="13"/>
              </w:rPr>
              <w:t>99.2</w:t>
            </w:r>
          </w:p>
        </w:tc>
      </w:tr>
      <w:tr>
        <w:trPr>
          <w:trHeight w:val="173" w:hRule="exact"/>
        </w:trPr>
        <w:tc>
          <w:tcPr>
            <w:tcW w:w="1214" w:type="dxa"/>
            <w:tcBorders>
              <w:top w:val="single" w:sz="5" w:space="0" w:color="000000"/>
              <w:bottom w:val="single" w:sz="5" w:space="0" w:color="000000"/>
              <w:right w:val="single" w:sz="5" w:space="0" w:color="000000"/>
            </w:tcBorders>
          </w:tcPr>
          <w:p>
            <w:pPr>
              <w:pStyle w:val="TableParagraph"/>
              <w:ind w:left="11"/>
              <w:rPr>
                <w:sz w:val="13"/>
              </w:rPr>
            </w:pPr>
            <w:r>
              <w:rPr>
                <w:sz w:val="13"/>
              </w:rPr>
              <w:t>San Antonio la Isla</w:t>
            </w:r>
          </w:p>
        </w:tc>
        <w:tc>
          <w:tcPr>
            <w:tcW w:w="1188"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1203</w:t>
            </w:r>
          </w:p>
        </w:tc>
        <w:tc>
          <w:tcPr>
            <w:tcW w:w="1321"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96.6</w:t>
            </w:r>
          </w:p>
        </w:tc>
        <w:tc>
          <w:tcPr>
            <w:tcW w:w="1093"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1806</w:t>
            </w:r>
          </w:p>
        </w:tc>
        <w:tc>
          <w:tcPr>
            <w:tcW w:w="1483"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98.2</w:t>
            </w:r>
          </w:p>
        </w:tc>
        <w:tc>
          <w:tcPr>
            <w:tcW w:w="1234"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5551</w:t>
            </w:r>
          </w:p>
        </w:tc>
        <w:tc>
          <w:tcPr>
            <w:tcW w:w="1289" w:type="dxa"/>
            <w:tcBorders>
              <w:top w:val="single" w:sz="5" w:space="0" w:color="000000"/>
              <w:left w:val="single" w:sz="5" w:space="0" w:color="000000"/>
              <w:bottom w:val="single" w:sz="5" w:space="0" w:color="000000"/>
            </w:tcBorders>
          </w:tcPr>
          <w:p>
            <w:pPr>
              <w:pStyle w:val="TableParagraph"/>
              <w:ind w:right="8"/>
              <w:jc w:val="right"/>
              <w:rPr>
                <w:sz w:val="13"/>
              </w:rPr>
            </w:pPr>
            <w:r>
              <w:rPr>
                <w:sz w:val="13"/>
              </w:rPr>
              <w:t>96.4</w:t>
            </w:r>
          </w:p>
        </w:tc>
      </w:tr>
      <w:tr>
        <w:trPr>
          <w:trHeight w:val="173" w:hRule="exact"/>
        </w:trPr>
        <w:tc>
          <w:tcPr>
            <w:tcW w:w="1214" w:type="dxa"/>
            <w:tcBorders>
              <w:top w:val="single" w:sz="5" w:space="0" w:color="000000"/>
              <w:bottom w:val="single" w:sz="5" w:space="0" w:color="000000"/>
              <w:right w:val="single" w:sz="5" w:space="0" w:color="000000"/>
            </w:tcBorders>
          </w:tcPr>
          <w:p>
            <w:pPr>
              <w:pStyle w:val="TableParagraph"/>
              <w:ind w:left="11"/>
              <w:rPr>
                <w:sz w:val="13"/>
              </w:rPr>
            </w:pPr>
            <w:r>
              <w:rPr>
                <w:sz w:val="13"/>
              </w:rPr>
              <w:t>San Mateo Atenco</w:t>
            </w:r>
          </w:p>
        </w:tc>
        <w:tc>
          <w:tcPr>
            <w:tcW w:w="1188"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7139</w:t>
            </w:r>
          </w:p>
        </w:tc>
        <w:tc>
          <w:tcPr>
            <w:tcW w:w="1321"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95.6</w:t>
            </w:r>
          </w:p>
        </w:tc>
        <w:tc>
          <w:tcPr>
            <w:tcW w:w="1093"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11983</w:t>
            </w:r>
          </w:p>
        </w:tc>
        <w:tc>
          <w:tcPr>
            <w:tcW w:w="1483"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97.9</w:t>
            </w:r>
          </w:p>
        </w:tc>
        <w:tc>
          <w:tcPr>
            <w:tcW w:w="1234"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16118</w:t>
            </w:r>
          </w:p>
        </w:tc>
        <w:tc>
          <w:tcPr>
            <w:tcW w:w="1289" w:type="dxa"/>
            <w:tcBorders>
              <w:top w:val="single" w:sz="5" w:space="0" w:color="000000"/>
              <w:left w:val="single" w:sz="5" w:space="0" w:color="000000"/>
              <w:bottom w:val="single" w:sz="5" w:space="0" w:color="000000"/>
            </w:tcBorders>
          </w:tcPr>
          <w:p>
            <w:pPr>
              <w:pStyle w:val="TableParagraph"/>
              <w:ind w:right="8"/>
              <w:jc w:val="right"/>
              <w:rPr>
                <w:sz w:val="13"/>
              </w:rPr>
            </w:pPr>
            <w:r>
              <w:rPr>
                <w:sz w:val="13"/>
              </w:rPr>
              <w:t>96.4</w:t>
            </w:r>
          </w:p>
        </w:tc>
      </w:tr>
      <w:tr>
        <w:trPr>
          <w:trHeight w:val="173" w:hRule="exact"/>
        </w:trPr>
        <w:tc>
          <w:tcPr>
            <w:tcW w:w="1214" w:type="dxa"/>
            <w:tcBorders>
              <w:top w:val="single" w:sz="5" w:space="0" w:color="000000"/>
              <w:bottom w:val="single" w:sz="5" w:space="0" w:color="000000"/>
              <w:right w:val="single" w:sz="5" w:space="0" w:color="000000"/>
            </w:tcBorders>
          </w:tcPr>
          <w:p>
            <w:pPr>
              <w:pStyle w:val="TableParagraph"/>
              <w:ind w:left="11"/>
              <w:rPr>
                <w:sz w:val="13"/>
              </w:rPr>
            </w:pPr>
            <w:r>
              <w:rPr>
                <w:sz w:val="13"/>
              </w:rPr>
              <w:t>Temoaya</w:t>
            </w:r>
          </w:p>
        </w:tc>
        <w:tc>
          <w:tcPr>
            <w:tcW w:w="1188"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8200</w:t>
            </w:r>
          </w:p>
        </w:tc>
        <w:tc>
          <w:tcPr>
            <w:tcW w:w="1321"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87.6</w:t>
            </w:r>
          </w:p>
        </w:tc>
        <w:tc>
          <w:tcPr>
            <w:tcW w:w="1093"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12384</w:t>
            </w:r>
          </w:p>
        </w:tc>
        <w:tc>
          <w:tcPr>
            <w:tcW w:w="1483"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95.6</w:t>
            </w:r>
          </w:p>
        </w:tc>
        <w:tc>
          <w:tcPr>
            <w:tcW w:w="1234"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17982</w:t>
            </w:r>
          </w:p>
        </w:tc>
        <w:tc>
          <w:tcPr>
            <w:tcW w:w="1289" w:type="dxa"/>
            <w:tcBorders>
              <w:top w:val="single" w:sz="5" w:space="0" w:color="000000"/>
              <w:left w:val="single" w:sz="5" w:space="0" w:color="000000"/>
              <w:bottom w:val="single" w:sz="5" w:space="0" w:color="000000"/>
            </w:tcBorders>
          </w:tcPr>
          <w:p>
            <w:pPr>
              <w:pStyle w:val="TableParagraph"/>
              <w:ind w:right="8"/>
              <w:jc w:val="right"/>
              <w:rPr>
                <w:sz w:val="13"/>
              </w:rPr>
            </w:pPr>
            <w:r>
              <w:rPr>
                <w:sz w:val="13"/>
              </w:rPr>
              <w:t>97.4</w:t>
            </w:r>
          </w:p>
        </w:tc>
      </w:tr>
      <w:tr>
        <w:trPr>
          <w:trHeight w:val="173" w:hRule="exact"/>
        </w:trPr>
        <w:tc>
          <w:tcPr>
            <w:tcW w:w="1214" w:type="dxa"/>
            <w:tcBorders>
              <w:top w:val="single" w:sz="5" w:space="0" w:color="000000"/>
              <w:bottom w:val="single" w:sz="5" w:space="0" w:color="000000"/>
              <w:right w:val="single" w:sz="5" w:space="0" w:color="000000"/>
            </w:tcBorders>
          </w:tcPr>
          <w:p>
            <w:pPr>
              <w:pStyle w:val="TableParagraph"/>
              <w:ind w:left="11"/>
              <w:rPr>
                <w:sz w:val="13"/>
              </w:rPr>
            </w:pPr>
            <w:r>
              <w:rPr>
                <w:sz w:val="13"/>
              </w:rPr>
              <w:t>Toluca</w:t>
            </w:r>
          </w:p>
        </w:tc>
        <w:tc>
          <w:tcPr>
            <w:tcW w:w="1188"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92743</w:t>
            </w:r>
          </w:p>
        </w:tc>
        <w:tc>
          <w:tcPr>
            <w:tcW w:w="1321"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95.3</w:t>
            </w:r>
          </w:p>
        </w:tc>
        <w:tc>
          <w:tcPr>
            <w:tcW w:w="1093"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145649</w:t>
            </w:r>
          </w:p>
        </w:tc>
        <w:tc>
          <w:tcPr>
            <w:tcW w:w="1483"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98.7</w:t>
            </w:r>
          </w:p>
        </w:tc>
        <w:tc>
          <w:tcPr>
            <w:tcW w:w="1234"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199789</w:t>
            </w:r>
          </w:p>
        </w:tc>
        <w:tc>
          <w:tcPr>
            <w:tcW w:w="1289" w:type="dxa"/>
            <w:tcBorders>
              <w:top w:val="single" w:sz="5" w:space="0" w:color="000000"/>
              <w:left w:val="single" w:sz="5" w:space="0" w:color="000000"/>
              <w:bottom w:val="single" w:sz="5" w:space="0" w:color="000000"/>
            </w:tcBorders>
          </w:tcPr>
          <w:p>
            <w:pPr>
              <w:pStyle w:val="TableParagraph"/>
              <w:ind w:right="8"/>
              <w:jc w:val="right"/>
              <w:rPr>
                <w:sz w:val="13"/>
              </w:rPr>
            </w:pPr>
            <w:r>
              <w:rPr>
                <w:sz w:val="13"/>
              </w:rPr>
              <w:t>96.7</w:t>
            </w:r>
          </w:p>
        </w:tc>
      </w:tr>
      <w:tr>
        <w:trPr>
          <w:trHeight w:val="173" w:hRule="exact"/>
        </w:trPr>
        <w:tc>
          <w:tcPr>
            <w:tcW w:w="1214" w:type="dxa"/>
            <w:tcBorders>
              <w:top w:val="single" w:sz="5" w:space="0" w:color="000000"/>
              <w:bottom w:val="single" w:sz="5" w:space="0" w:color="000000"/>
              <w:right w:val="single" w:sz="5" w:space="0" w:color="000000"/>
            </w:tcBorders>
          </w:tcPr>
          <w:p>
            <w:pPr>
              <w:pStyle w:val="TableParagraph"/>
              <w:ind w:left="11"/>
              <w:rPr>
                <w:sz w:val="13"/>
              </w:rPr>
            </w:pPr>
            <w:r>
              <w:rPr>
                <w:sz w:val="13"/>
              </w:rPr>
              <w:t>Xonacatlán</w:t>
            </w:r>
          </w:p>
        </w:tc>
        <w:tc>
          <w:tcPr>
            <w:tcW w:w="1188"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4870</w:t>
            </w:r>
          </w:p>
        </w:tc>
        <w:tc>
          <w:tcPr>
            <w:tcW w:w="1321"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94.8</w:t>
            </w:r>
          </w:p>
        </w:tc>
        <w:tc>
          <w:tcPr>
            <w:tcW w:w="1093"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8106</w:t>
            </w:r>
          </w:p>
        </w:tc>
        <w:tc>
          <w:tcPr>
            <w:tcW w:w="1483" w:type="dxa"/>
            <w:tcBorders>
              <w:top w:val="single" w:sz="5" w:space="0" w:color="000000"/>
              <w:left w:val="single" w:sz="5" w:space="0" w:color="000000"/>
              <w:bottom w:val="single" w:sz="5" w:space="0" w:color="000000"/>
              <w:right w:val="single" w:sz="5" w:space="0" w:color="000000"/>
            </w:tcBorders>
          </w:tcPr>
          <w:p>
            <w:pPr>
              <w:pStyle w:val="TableParagraph"/>
              <w:ind w:right="14"/>
              <w:jc w:val="right"/>
              <w:rPr>
                <w:sz w:val="13"/>
              </w:rPr>
            </w:pPr>
            <w:r>
              <w:rPr>
                <w:sz w:val="13"/>
              </w:rPr>
              <w:t>98.2</w:t>
            </w:r>
          </w:p>
        </w:tc>
        <w:tc>
          <w:tcPr>
            <w:tcW w:w="1234" w:type="dxa"/>
            <w:tcBorders>
              <w:top w:val="single" w:sz="5" w:space="0" w:color="000000"/>
              <w:left w:val="single" w:sz="5" w:space="0" w:color="000000"/>
              <w:bottom w:val="single" w:sz="5" w:space="0" w:color="000000"/>
              <w:right w:val="single" w:sz="5" w:space="0" w:color="000000"/>
            </w:tcBorders>
          </w:tcPr>
          <w:p>
            <w:pPr>
              <w:pStyle w:val="TableParagraph"/>
              <w:ind w:right="15"/>
              <w:jc w:val="right"/>
              <w:rPr>
                <w:sz w:val="13"/>
              </w:rPr>
            </w:pPr>
            <w:r>
              <w:rPr>
                <w:sz w:val="13"/>
              </w:rPr>
              <w:t>9965</w:t>
            </w:r>
          </w:p>
        </w:tc>
        <w:tc>
          <w:tcPr>
            <w:tcW w:w="1289" w:type="dxa"/>
            <w:tcBorders>
              <w:top w:val="single" w:sz="5" w:space="0" w:color="000000"/>
              <w:left w:val="single" w:sz="5" w:space="0" w:color="000000"/>
              <w:bottom w:val="single" w:sz="5" w:space="0" w:color="000000"/>
            </w:tcBorders>
          </w:tcPr>
          <w:p>
            <w:pPr>
              <w:pStyle w:val="TableParagraph"/>
              <w:ind w:right="8"/>
              <w:jc w:val="right"/>
              <w:rPr>
                <w:sz w:val="13"/>
              </w:rPr>
            </w:pPr>
            <w:r>
              <w:rPr>
                <w:sz w:val="13"/>
              </w:rPr>
              <w:t>99.0</w:t>
            </w:r>
          </w:p>
        </w:tc>
      </w:tr>
      <w:tr>
        <w:trPr>
          <w:trHeight w:val="182" w:hRule="exact"/>
        </w:trPr>
        <w:tc>
          <w:tcPr>
            <w:tcW w:w="1214" w:type="dxa"/>
            <w:tcBorders>
              <w:top w:val="single" w:sz="5" w:space="0" w:color="000000"/>
              <w:bottom w:val="single" w:sz="9" w:space="0" w:color="000000"/>
              <w:right w:val="single" w:sz="5" w:space="0" w:color="000000"/>
            </w:tcBorders>
          </w:tcPr>
          <w:p>
            <w:pPr>
              <w:pStyle w:val="TableParagraph"/>
              <w:spacing w:line="156" w:lineRule="exact"/>
              <w:ind w:left="11"/>
              <w:rPr>
                <w:sz w:val="13"/>
              </w:rPr>
            </w:pPr>
            <w:r>
              <w:rPr>
                <w:sz w:val="13"/>
              </w:rPr>
              <w:t>Zinacantepec</w:t>
            </w:r>
          </w:p>
        </w:tc>
        <w:tc>
          <w:tcPr>
            <w:tcW w:w="1188" w:type="dxa"/>
            <w:tcBorders>
              <w:top w:val="single" w:sz="5" w:space="0" w:color="000000"/>
              <w:left w:val="single" w:sz="5" w:space="0" w:color="000000"/>
              <w:bottom w:val="single" w:sz="9" w:space="0" w:color="000000"/>
              <w:right w:val="single" w:sz="5" w:space="0" w:color="000000"/>
            </w:tcBorders>
          </w:tcPr>
          <w:p>
            <w:pPr>
              <w:pStyle w:val="TableParagraph"/>
              <w:spacing w:line="156" w:lineRule="exact"/>
              <w:ind w:right="15"/>
              <w:jc w:val="right"/>
              <w:rPr>
                <w:sz w:val="13"/>
              </w:rPr>
            </w:pPr>
            <w:r>
              <w:rPr>
                <w:sz w:val="13"/>
              </w:rPr>
              <w:t>1496</w:t>
            </w:r>
          </w:p>
        </w:tc>
        <w:tc>
          <w:tcPr>
            <w:tcW w:w="1321" w:type="dxa"/>
            <w:tcBorders>
              <w:top w:val="single" w:sz="5" w:space="0" w:color="000000"/>
              <w:left w:val="single" w:sz="5" w:space="0" w:color="000000"/>
              <w:bottom w:val="single" w:sz="9" w:space="0" w:color="000000"/>
              <w:right w:val="single" w:sz="5" w:space="0" w:color="000000"/>
            </w:tcBorders>
          </w:tcPr>
          <w:p>
            <w:pPr>
              <w:pStyle w:val="TableParagraph"/>
              <w:spacing w:line="156" w:lineRule="exact"/>
              <w:ind w:right="14"/>
              <w:jc w:val="right"/>
              <w:rPr>
                <w:sz w:val="13"/>
              </w:rPr>
            </w:pPr>
            <w:r>
              <w:rPr>
                <w:sz w:val="13"/>
              </w:rPr>
              <w:t>90.7</w:t>
            </w:r>
          </w:p>
        </w:tc>
        <w:tc>
          <w:tcPr>
            <w:tcW w:w="1093" w:type="dxa"/>
            <w:tcBorders>
              <w:top w:val="single" w:sz="5" w:space="0" w:color="000000"/>
              <w:left w:val="single" w:sz="5" w:space="0" w:color="000000"/>
              <w:bottom w:val="single" w:sz="9" w:space="0" w:color="000000"/>
              <w:right w:val="single" w:sz="5" w:space="0" w:color="000000"/>
            </w:tcBorders>
          </w:tcPr>
          <w:p>
            <w:pPr>
              <w:pStyle w:val="TableParagraph"/>
              <w:spacing w:line="156" w:lineRule="exact"/>
              <w:ind w:right="15"/>
              <w:jc w:val="right"/>
              <w:rPr>
                <w:sz w:val="13"/>
              </w:rPr>
            </w:pPr>
            <w:r>
              <w:rPr>
                <w:sz w:val="13"/>
              </w:rPr>
              <w:t>23639</w:t>
            </w:r>
          </w:p>
        </w:tc>
        <w:tc>
          <w:tcPr>
            <w:tcW w:w="1483" w:type="dxa"/>
            <w:tcBorders>
              <w:top w:val="single" w:sz="5" w:space="0" w:color="000000"/>
              <w:left w:val="single" w:sz="5" w:space="0" w:color="000000"/>
              <w:bottom w:val="single" w:sz="9" w:space="0" w:color="000000"/>
              <w:right w:val="single" w:sz="5" w:space="0" w:color="000000"/>
            </w:tcBorders>
          </w:tcPr>
          <w:p>
            <w:pPr>
              <w:pStyle w:val="TableParagraph"/>
              <w:spacing w:line="156" w:lineRule="exact"/>
              <w:ind w:right="14"/>
              <w:jc w:val="right"/>
              <w:rPr>
                <w:sz w:val="13"/>
              </w:rPr>
            </w:pPr>
            <w:r>
              <w:rPr>
                <w:sz w:val="13"/>
              </w:rPr>
              <w:t>96.1</w:t>
            </w:r>
          </w:p>
        </w:tc>
        <w:tc>
          <w:tcPr>
            <w:tcW w:w="1234" w:type="dxa"/>
            <w:tcBorders>
              <w:top w:val="single" w:sz="5" w:space="0" w:color="000000"/>
              <w:left w:val="single" w:sz="5" w:space="0" w:color="000000"/>
              <w:bottom w:val="single" w:sz="9" w:space="0" w:color="000000"/>
              <w:right w:val="single" w:sz="5" w:space="0" w:color="000000"/>
            </w:tcBorders>
          </w:tcPr>
          <w:p>
            <w:pPr>
              <w:pStyle w:val="TableParagraph"/>
              <w:spacing w:line="156" w:lineRule="exact"/>
              <w:ind w:right="15"/>
              <w:jc w:val="right"/>
              <w:rPr>
                <w:sz w:val="13"/>
              </w:rPr>
            </w:pPr>
            <w:r>
              <w:rPr>
                <w:sz w:val="13"/>
              </w:rPr>
              <w:t>37660</w:t>
            </w:r>
          </w:p>
        </w:tc>
        <w:tc>
          <w:tcPr>
            <w:tcW w:w="1289" w:type="dxa"/>
            <w:tcBorders>
              <w:top w:val="single" w:sz="5" w:space="0" w:color="000000"/>
              <w:left w:val="single" w:sz="5" w:space="0" w:color="000000"/>
              <w:bottom w:val="single" w:sz="9" w:space="0" w:color="000000"/>
            </w:tcBorders>
          </w:tcPr>
          <w:p>
            <w:pPr>
              <w:pStyle w:val="TableParagraph"/>
              <w:spacing w:line="156" w:lineRule="exact"/>
              <w:ind w:right="8"/>
              <w:jc w:val="right"/>
              <w:rPr>
                <w:sz w:val="13"/>
              </w:rPr>
            </w:pPr>
            <w:r>
              <w:rPr>
                <w:sz w:val="13"/>
              </w:rPr>
              <w:t>97.0</w:t>
            </w:r>
          </w:p>
        </w:tc>
      </w:tr>
      <w:tr>
        <w:trPr>
          <w:trHeight w:val="179" w:hRule="exact"/>
        </w:trPr>
        <w:tc>
          <w:tcPr>
            <w:tcW w:w="1214" w:type="dxa"/>
            <w:tcBorders>
              <w:top w:val="single" w:sz="9" w:space="0" w:color="000000"/>
              <w:right w:val="single" w:sz="5" w:space="0" w:color="000000"/>
            </w:tcBorders>
          </w:tcPr>
          <w:p>
            <w:pPr>
              <w:pStyle w:val="TableParagraph"/>
              <w:spacing w:line="151" w:lineRule="exact"/>
              <w:ind w:left="11"/>
              <w:rPr>
                <w:b/>
                <w:sz w:val="13"/>
              </w:rPr>
            </w:pPr>
            <w:r>
              <w:rPr>
                <w:b/>
                <w:sz w:val="13"/>
              </w:rPr>
              <w:t>Total ZMT</w:t>
            </w:r>
          </w:p>
        </w:tc>
        <w:tc>
          <w:tcPr>
            <w:tcW w:w="1188" w:type="dxa"/>
            <w:tcBorders>
              <w:top w:val="single" w:sz="9" w:space="0" w:color="000000"/>
              <w:left w:val="single" w:sz="5" w:space="0" w:color="000000"/>
              <w:right w:val="single" w:sz="5" w:space="0" w:color="000000"/>
            </w:tcBorders>
          </w:tcPr>
          <w:p>
            <w:pPr>
              <w:pStyle w:val="TableParagraph"/>
              <w:spacing w:line="151" w:lineRule="exact"/>
              <w:ind w:right="15"/>
              <w:jc w:val="right"/>
              <w:rPr>
                <w:sz w:val="13"/>
              </w:rPr>
            </w:pPr>
            <w:r>
              <w:rPr>
                <w:sz w:val="13"/>
              </w:rPr>
              <w:t>191559</w:t>
            </w:r>
          </w:p>
        </w:tc>
        <w:tc>
          <w:tcPr>
            <w:tcW w:w="1321" w:type="dxa"/>
            <w:tcBorders>
              <w:top w:val="single" w:sz="9" w:space="0" w:color="000000"/>
              <w:left w:val="single" w:sz="5" w:space="0" w:color="000000"/>
              <w:right w:val="single" w:sz="5" w:space="0" w:color="000000"/>
            </w:tcBorders>
          </w:tcPr>
          <w:p>
            <w:pPr>
              <w:pStyle w:val="TableParagraph"/>
              <w:spacing w:line="151" w:lineRule="exact"/>
              <w:ind w:right="14"/>
              <w:jc w:val="right"/>
              <w:rPr>
                <w:sz w:val="13"/>
              </w:rPr>
            </w:pPr>
            <w:r>
              <w:rPr>
                <w:sz w:val="13"/>
              </w:rPr>
              <w:t>93.6</w:t>
            </w:r>
          </w:p>
        </w:tc>
        <w:tc>
          <w:tcPr>
            <w:tcW w:w="1093" w:type="dxa"/>
            <w:tcBorders>
              <w:top w:val="single" w:sz="9" w:space="0" w:color="000000"/>
              <w:left w:val="single" w:sz="5" w:space="0" w:color="000000"/>
              <w:right w:val="single" w:sz="5" w:space="0" w:color="000000"/>
            </w:tcBorders>
          </w:tcPr>
          <w:p>
            <w:pPr>
              <w:pStyle w:val="TableParagraph"/>
              <w:spacing w:line="151" w:lineRule="exact"/>
              <w:ind w:right="15"/>
              <w:jc w:val="right"/>
              <w:rPr>
                <w:sz w:val="13"/>
              </w:rPr>
            </w:pPr>
            <w:r>
              <w:rPr>
                <w:sz w:val="13"/>
              </w:rPr>
              <w:t>322635</w:t>
            </w:r>
          </w:p>
        </w:tc>
        <w:tc>
          <w:tcPr>
            <w:tcW w:w="1483" w:type="dxa"/>
            <w:tcBorders>
              <w:top w:val="single" w:sz="9" w:space="0" w:color="000000"/>
              <w:left w:val="single" w:sz="5" w:space="0" w:color="000000"/>
              <w:right w:val="single" w:sz="5" w:space="0" w:color="000000"/>
            </w:tcBorders>
          </w:tcPr>
          <w:p>
            <w:pPr>
              <w:pStyle w:val="TableParagraph"/>
              <w:spacing w:line="151" w:lineRule="exact"/>
              <w:ind w:right="14"/>
              <w:jc w:val="right"/>
              <w:rPr>
                <w:sz w:val="13"/>
              </w:rPr>
            </w:pPr>
            <w:r>
              <w:rPr>
                <w:sz w:val="13"/>
              </w:rPr>
              <w:t>97.4</w:t>
            </w:r>
          </w:p>
        </w:tc>
        <w:tc>
          <w:tcPr>
            <w:tcW w:w="1234" w:type="dxa"/>
            <w:tcBorders>
              <w:top w:val="single" w:sz="9" w:space="0" w:color="000000"/>
              <w:left w:val="single" w:sz="5" w:space="0" w:color="000000"/>
              <w:right w:val="single" w:sz="5" w:space="0" w:color="000000"/>
            </w:tcBorders>
          </w:tcPr>
          <w:p>
            <w:pPr>
              <w:pStyle w:val="TableParagraph"/>
              <w:spacing w:line="151" w:lineRule="exact"/>
              <w:ind w:right="15"/>
              <w:jc w:val="right"/>
              <w:rPr>
                <w:sz w:val="13"/>
              </w:rPr>
            </w:pPr>
            <w:r>
              <w:rPr>
                <w:sz w:val="13"/>
              </w:rPr>
              <w:t>454739</w:t>
            </w:r>
          </w:p>
        </w:tc>
        <w:tc>
          <w:tcPr>
            <w:tcW w:w="1289" w:type="dxa"/>
            <w:tcBorders>
              <w:top w:val="single" w:sz="9" w:space="0" w:color="000000"/>
              <w:left w:val="single" w:sz="5" w:space="0" w:color="000000"/>
            </w:tcBorders>
          </w:tcPr>
          <w:p>
            <w:pPr>
              <w:pStyle w:val="TableParagraph"/>
              <w:spacing w:line="151" w:lineRule="exact"/>
              <w:ind w:right="8"/>
              <w:jc w:val="right"/>
              <w:rPr>
                <w:sz w:val="13"/>
              </w:rPr>
            </w:pPr>
            <w:r>
              <w:rPr>
                <w:sz w:val="13"/>
              </w:rPr>
              <w:t>97.5</w:t>
            </w:r>
          </w:p>
        </w:tc>
      </w:tr>
    </w:tbl>
    <w:p>
      <w:pPr>
        <w:spacing w:before="0"/>
        <w:ind w:left="80" w:right="122" w:firstLine="0"/>
        <w:jc w:val="center"/>
        <w:rPr>
          <w:sz w:val="20"/>
        </w:rPr>
      </w:pPr>
      <w:r>
        <w:rPr>
          <w:sz w:val="20"/>
        </w:rPr>
        <w:t>Fuente: Elaboración propia con base en los datos de los Censos de Población y Vivienda INEGI, 1990, 2000 y 2010.</w:t>
      </w:r>
    </w:p>
    <w:p>
      <w:pPr>
        <w:pStyle w:val="BodyText"/>
        <w:rPr>
          <w:sz w:val="20"/>
        </w:rPr>
      </w:pPr>
    </w:p>
    <w:p>
      <w:pPr>
        <w:pStyle w:val="BodyText"/>
        <w:rPr>
          <w:sz w:val="20"/>
        </w:rPr>
      </w:pPr>
    </w:p>
    <w:p>
      <w:pPr>
        <w:pStyle w:val="BodyText"/>
        <w:spacing w:line="360" w:lineRule="auto" w:before="153"/>
        <w:ind w:left="102" w:right="134"/>
        <w:jc w:val="both"/>
      </w:pPr>
      <w:r>
        <w:rPr/>
        <w:t>Para el año 2000 el municipio de Almoloya de Juárez registro el menor porcentaje con el 89.8 por ciento del servicio en las viviendas, los catorce municipios restantes superaban más del 95 por ciento del servicio, siendo Metepec el municipio que registro el mayor porcentaje del servicio con el 99.2 por ciento. El promedio de la </w:t>
      </w:r>
      <w:r>
        <w:rPr>
          <w:sz w:val="19"/>
        </w:rPr>
        <w:t>ZMT </w:t>
      </w:r>
      <w:r>
        <w:rPr/>
        <w:t>para el año 2000 fue de un 97.4 por ciento, incrementando </w:t>
      </w:r>
      <w:r>
        <w:rPr>
          <w:spacing w:val="64"/>
        </w:rPr>
        <w:t> </w:t>
      </w:r>
      <w:r>
        <w:rPr/>
        <w:t>un</w:t>
      </w:r>
    </w:p>
    <w:p>
      <w:pPr>
        <w:pStyle w:val="BodyText"/>
        <w:spacing w:before="5"/>
        <w:ind w:left="102"/>
        <w:jc w:val="both"/>
      </w:pPr>
      <w:r>
        <w:rPr/>
        <w:t>3.8 por ciento respecto a la década anterior.</w:t>
      </w:r>
    </w:p>
    <w:p>
      <w:pPr>
        <w:pStyle w:val="BodyText"/>
        <w:spacing w:before="2"/>
        <w:rPr>
          <w:sz w:val="29"/>
        </w:rPr>
      </w:pPr>
    </w:p>
    <w:p>
      <w:pPr>
        <w:pStyle w:val="BodyText"/>
        <w:ind w:left="102"/>
        <w:jc w:val="both"/>
      </w:pPr>
      <w:r>
        <w:rPr/>
        <w:t>Y en el año 2010 Almoloya de Juárez incrementó el servicio de energía eléctrica a</w:t>
      </w:r>
    </w:p>
    <w:p>
      <w:pPr>
        <w:pStyle w:val="BodyText"/>
        <w:spacing w:line="360" w:lineRule="auto" w:before="139"/>
        <w:ind w:left="102" w:right="135"/>
        <w:jc w:val="both"/>
      </w:pPr>
      <w:r>
        <w:rPr/>
        <w:t>96.1 por ciento, en el período analizado incrementó más del 20 por ciento, los municipios restantes superan el 96 por ciento del servicio, siendo el municipio  </w:t>
      </w:r>
      <w:r>
        <w:rPr>
          <w:spacing w:val="64"/>
        </w:rPr>
        <w:t> </w:t>
      </w:r>
      <w:r>
        <w:rPr/>
        <w:t>de</w:t>
      </w:r>
    </w:p>
    <w:p>
      <w:pPr>
        <w:spacing w:after="0" w:line="360" w:lineRule="auto"/>
        <w:jc w:val="both"/>
        <w:sectPr>
          <w:footerReference w:type="default" r:id="rId67"/>
          <w:pgSz w:w="12240" w:h="15840"/>
          <w:pgMar w:footer="1003" w:header="0" w:top="1360" w:bottom="1200" w:left="1600" w:right="1560"/>
          <w:pgNumType w:start="120"/>
        </w:sectPr>
      </w:pPr>
    </w:p>
    <w:p>
      <w:pPr>
        <w:pStyle w:val="BodyText"/>
        <w:spacing w:line="360" w:lineRule="auto" w:before="54"/>
        <w:ind w:left="102" w:right="138"/>
        <w:jc w:val="both"/>
      </w:pPr>
      <w:r>
        <w:rPr/>
        <w:t>Xonacatlán uno de los dos más altos con el 99 por ciento, mientras que el municipio de Rayón es el más alto registro el 99.2 por ciento. Mientras el promedio de la </w:t>
      </w:r>
      <w:r>
        <w:rPr>
          <w:sz w:val="19"/>
        </w:rPr>
        <w:t>ZMT </w:t>
      </w:r>
      <w:r>
        <w:rPr/>
        <w:t>para el año 2010 fue de un 97.5 por ciento, incrementando un 0.1 porcentual respecto a la década anterior (ver mapa no. 3).</w:t>
      </w:r>
    </w:p>
    <w:p>
      <w:pPr>
        <w:pStyle w:val="BodyText"/>
      </w:pPr>
    </w:p>
    <w:p>
      <w:pPr>
        <w:pStyle w:val="BodyText"/>
      </w:pPr>
    </w:p>
    <w:p>
      <w:pPr>
        <w:pStyle w:val="BodyText"/>
        <w:spacing w:before="1"/>
        <w:rPr>
          <w:sz w:val="23"/>
        </w:rPr>
      </w:pPr>
    </w:p>
    <w:p>
      <w:pPr>
        <w:spacing w:before="0" w:after="3"/>
        <w:ind w:left="375" w:right="413" w:firstLine="0"/>
        <w:jc w:val="center"/>
        <w:rPr>
          <w:sz w:val="20"/>
        </w:rPr>
      </w:pPr>
      <w:r>
        <w:rPr>
          <w:sz w:val="20"/>
        </w:rPr>
        <w:t>Mapa No. 3 Porcentaje de viviendas que contaron con servicio de energía eléctrica en la </w:t>
      </w:r>
      <w:r>
        <w:rPr>
          <w:sz w:val="16"/>
        </w:rPr>
        <w:t>ZMT</w:t>
      </w:r>
      <w:r>
        <w:rPr>
          <w:sz w:val="20"/>
        </w:rPr>
        <w:t>, 1990-2010.</w:t>
      </w:r>
    </w:p>
    <w:p>
      <w:pPr>
        <w:pStyle w:val="BodyText"/>
        <w:ind w:left="130"/>
        <w:rPr>
          <w:sz w:val="20"/>
        </w:rPr>
      </w:pPr>
      <w:r>
        <w:rPr>
          <w:sz w:val="20"/>
        </w:rPr>
        <w:drawing>
          <wp:inline distT="0" distB="0" distL="0" distR="0">
            <wp:extent cx="5532818" cy="3911441"/>
            <wp:effectExtent l="0" t="0" r="0" b="0"/>
            <wp:docPr id="15" name="image42.jpeg" descr=""/>
            <wp:cNvGraphicFramePr>
              <a:graphicFrameLocks noChangeAspect="1"/>
            </wp:cNvGraphicFramePr>
            <a:graphic>
              <a:graphicData uri="http://schemas.openxmlformats.org/drawingml/2006/picture">
                <pic:pic>
                  <pic:nvPicPr>
                    <pic:cNvPr id="16" name="image42.jpeg"/>
                    <pic:cNvPicPr/>
                  </pic:nvPicPr>
                  <pic:blipFill>
                    <a:blip r:embed="rId68" cstate="print"/>
                    <a:stretch>
                      <a:fillRect/>
                    </a:stretch>
                  </pic:blipFill>
                  <pic:spPr>
                    <a:xfrm>
                      <a:off x="0" y="0"/>
                      <a:ext cx="5532818" cy="3911441"/>
                    </a:xfrm>
                    <a:prstGeom prst="rect">
                      <a:avLst/>
                    </a:prstGeom>
                  </pic:spPr>
                </pic:pic>
              </a:graphicData>
            </a:graphic>
          </wp:inline>
        </w:drawing>
      </w:r>
      <w:r>
        <w:rPr>
          <w:sz w:val="20"/>
        </w:rPr>
      </w:r>
    </w:p>
    <w:p>
      <w:pPr>
        <w:spacing w:before="86"/>
        <w:ind w:left="80" w:right="122" w:firstLine="0"/>
        <w:jc w:val="center"/>
        <w:rPr>
          <w:sz w:val="20"/>
        </w:rPr>
      </w:pPr>
      <w:r>
        <w:rPr>
          <w:sz w:val="20"/>
        </w:rPr>
        <w:t>Fuente: Elaboración propia con base en los datos de los Censos de Población y Vivienda INEGI, 1990, 2000 y 2010.</w:t>
      </w:r>
    </w:p>
    <w:p>
      <w:pPr>
        <w:pStyle w:val="BodyText"/>
        <w:rPr>
          <w:sz w:val="20"/>
        </w:rPr>
      </w:pPr>
    </w:p>
    <w:p>
      <w:pPr>
        <w:pStyle w:val="BodyText"/>
        <w:rPr>
          <w:sz w:val="20"/>
        </w:rPr>
      </w:pPr>
    </w:p>
    <w:p>
      <w:pPr>
        <w:pStyle w:val="BodyText"/>
        <w:rPr>
          <w:sz w:val="20"/>
        </w:rPr>
      </w:pPr>
    </w:p>
    <w:p>
      <w:pPr>
        <w:pStyle w:val="BodyText"/>
        <w:spacing w:before="8"/>
        <w:rPr>
          <w:sz w:val="15"/>
        </w:rPr>
      </w:pPr>
    </w:p>
    <w:p>
      <w:pPr>
        <w:pStyle w:val="BodyText"/>
        <w:spacing w:line="360" w:lineRule="auto"/>
        <w:ind w:left="102" w:right="137"/>
        <w:jc w:val="both"/>
      </w:pPr>
      <w:r>
        <w:rPr/>
        <w:t>A lo que respecta el servicio de energía eléctrica se está dando progresivamente por la urbanización, ya que es el servicio con el que cuentan la mayoría de las viviendas, aunque faltan más de 12 mil viviendas en recibir este servicio por parte del Estado. A continuación  se analiza el servicio de drenaje.</w:t>
      </w:r>
    </w:p>
    <w:p>
      <w:pPr>
        <w:spacing w:after="0" w:line="360" w:lineRule="auto"/>
        <w:jc w:val="both"/>
        <w:sectPr>
          <w:pgSz w:w="12240" w:h="15840"/>
          <w:pgMar w:header="0" w:footer="1003" w:top="1360" w:bottom="1200" w:left="1600" w:right="1560"/>
        </w:sectPr>
      </w:pPr>
    </w:p>
    <w:p>
      <w:pPr>
        <w:pStyle w:val="ListParagraph"/>
        <w:numPr>
          <w:ilvl w:val="2"/>
          <w:numId w:val="19"/>
        </w:numPr>
        <w:tabs>
          <w:tab w:pos="643" w:val="left" w:leader="none"/>
        </w:tabs>
        <w:spacing w:line="240" w:lineRule="auto" w:before="56" w:after="0"/>
        <w:ind w:left="642" w:right="0" w:hanging="540"/>
        <w:jc w:val="both"/>
        <w:rPr>
          <w:rFonts w:ascii="Cambria"/>
          <w:b/>
          <w:sz w:val="22"/>
        </w:rPr>
      </w:pPr>
      <w:r>
        <w:rPr>
          <w:rFonts w:ascii="Cambria"/>
          <w:b/>
          <w:color w:val="4F81BC"/>
          <w:sz w:val="22"/>
        </w:rPr>
        <w:t>Servicio de</w:t>
      </w:r>
      <w:r>
        <w:rPr>
          <w:rFonts w:ascii="Cambria"/>
          <w:b/>
          <w:color w:val="4F81BC"/>
          <w:spacing w:val="-5"/>
          <w:sz w:val="22"/>
        </w:rPr>
        <w:t> </w:t>
      </w:r>
      <w:r>
        <w:rPr>
          <w:rFonts w:ascii="Cambria"/>
          <w:b/>
          <w:color w:val="4F81BC"/>
          <w:sz w:val="22"/>
        </w:rPr>
        <w:t>drenaje</w:t>
      </w:r>
    </w:p>
    <w:p>
      <w:pPr>
        <w:pStyle w:val="BodyText"/>
        <w:rPr>
          <w:rFonts w:ascii="Cambria"/>
          <w:b/>
          <w:sz w:val="22"/>
        </w:rPr>
      </w:pPr>
    </w:p>
    <w:p>
      <w:pPr>
        <w:pStyle w:val="BodyText"/>
        <w:spacing w:line="360" w:lineRule="auto" w:before="193"/>
        <w:ind w:left="102" w:right="136"/>
        <w:jc w:val="both"/>
      </w:pPr>
      <w:r>
        <w:rPr/>
        <w:t>Este servicio se denomina así ya que transporta los desechos líquidos de las viviendas, se denomina servicio de drenaje sanitario cuando existen tuberías dentro de las viviendas por las cuales se trasladan las aguas negras. Existen localidades en la zona metropolitana donde no se realiza la diferenciación entre el drenaje de la vivienda y el pluvial (lluvia), todo el material se recolecta o concentra en el mismo destino causando que todos los tipos de desechos se junten.</w:t>
      </w:r>
    </w:p>
    <w:p>
      <w:pPr>
        <w:pStyle w:val="BodyText"/>
        <w:spacing w:line="360" w:lineRule="auto" w:before="205"/>
        <w:ind w:left="102" w:right="137"/>
        <w:jc w:val="both"/>
      </w:pPr>
      <w:r>
        <w:rPr/>
        <w:t>Respecto a los resultados obtenidos se observa que en 1990 el municipio con menor servicio de drenaje fue Almoloya de Juárez con el 20.1 por ciento, Temoaya con el 23.3 por ciento y Otzolotepec con el 36.4 por ciento. Los municipios que registraron en su porcentaje de entre 60 y 90 por ciento de menor a mayor fueron los siguientes; Xonacatlán, Zinacantepec, San Mateo Atenco, Lerma, Calimaya, Ocoyoacac, Toluca, Rayón, San Antonio la Isla, Mexicaltzingo y Chapultepec (ver cuadro no. 13).</w:t>
      </w:r>
    </w:p>
    <w:p>
      <w:pPr>
        <w:pStyle w:val="BodyText"/>
      </w:pPr>
    </w:p>
    <w:p>
      <w:pPr>
        <w:spacing w:before="141"/>
        <w:ind w:left="87" w:right="122" w:firstLine="0"/>
        <w:jc w:val="center"/>
        <w:rPr>
          <w:sz w:val="20"/>
        </w:rPr>
      </w:pPr>
      <w:r>
        <w:rPr/>
        <w:pict>
          <v:shape style="position:absolute;margin-left:86.519997pt;margin-top:18.51988pt;width:442.4pt;height:168.15pt;mso-position-horizontal-relative:page;mso-position-vertical-relative:paragraph;z-index:3352" type="#_x0000_t202" filled="false" stroked="false">
            <v:textbox inset="0,0,0,0">
              <w:txbxContent>
                <w:tbl>
                  <w:tblPr>
                    <w:tblW w:w="0" w:type="auto"/>
                    <w:jc w:val="left"/>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228"/>
                    <w:gridCol w:w="1009"/>
                    <w:gridCol w:w="1567"/>
                    <w:gridCol w:w="1029"/>
                    <w:gridCol w:w="1526"/>
                    <w:gridCol w:w="979"/>
                    <w:gridCol w:w="1485"/>
                  </w:tblGrid>
                  <w:tr>
                    <w:trPr>
                      <w:trHeight w:val="172" w:hRule="exact"/>
                    </w:trPr>
                    <w:tc>
                      <w:tcPr>
                        <w:tcW w:w="1228" w:type="dxa"/>
                        <w:tcBorders>
                          <w:left w:val="single" w:sz="7" w:space="0" w:color="000000"/>
                          <w:bottom w:val="single" w:sz="5" w:space="0" w:color="000000"/>
                          <w:right w:val="single" w:sz="5" w:space="0" w:color="000000"/>
                        </w:tcBorders>
                        <w:shd w:val="clear" w:color="auto" w:fill="6F2F9F"/>
                      </w:tcPr>
                      <w:p>
                        <w:pPr>
                          <w:pStyle w:val="TableParagraph"/>
                          <w:spacing w:line="155" w:lineRule="exact"/>
                          <w:ind w:left="391"/>
                          <w:rPr>
                            <w:b/>
                            <w:sz w:val="13"/>
                          </w:rPr>
                        </w:pPr>
                        <w:r>
                          <w:rPr>
                            <w:b/>
                            <w:w w:val="105"/>
                            <w:sz w:val="13"/>
                          </w:rPr>
                          <w:t>Periodo</w:t>
                        </w:r>
                      </w:p>
                    </w:tc>
                    <w:tc>
                      <w:tcPr>
                        <w:tcW w:w="2575" w:type="dxa"/>
                        <w:gridSpan w:val="2"/>
                        <w:tcBorders>
                          <w:left w:val="single" w:sz="5" w:space="0" w:color="000000"/>
                          <w:bottom w:val="single" w:sz="5" w:space="0" w:color="000000"/>
                          <w:right w:val="single" w:sz="5" w:space="0" w:color="000000"/>
                        </w:tcBorders>
                        <w:shd w:val="clear" w:color="auto" w:fill="6F2F9F"/>
                      </w:tcPr>
                      <w:p>
                        <w:pPr>
                          <w:pStyle w:val="TableParagraph"/>
                          <w:spacing w:line="155" w:lineRule="exact"/>
                          <w:ind w:left="1124" w:right="1122"/>
                          <w:jc w:val="center"/>
                          <w:rPr>
                            <w:b/>
                            <w:sz w:val="13"/>
                          </w:rPr>
                        </w:pPr>
                        <w:r>
                          <w:rPr>
                            <w:b/>
                            <w:w w:val="105"/>
                            <w:sz w:val="13"/>
                          </w:rPr>
                          <w:t>1990</w:t>
                        </w:r>
                      </w:p>
                    </w:tc>
                    <w:tc>
                      <w:tcPr>
                        <w:tcW w:w="2555" w:type="dxa"/>
                        <w:gridSpan w:val="2"/>
                        <w:tcBorders>
                          <w:left w:val="single" w:sz="5" w:space="0" w:color="000000"/>
                          <w:bottom w:val="single" w:sz="5" w:space="0" w:color="000000"/>
                          <w:right w:val="single" w:sz="5" w:space="0" w:color="000000"/>
                        </w:tcBorders>
                        <w:shd w:val="clear" w:color="auto" w:fill="6F2F9F"/>
                      </w:tcPr>
                      <w:p>
                        <w:pPr>
                          <w:pStyle w:val="TableParagraph"/>
                          <w:spacing w:line="155" w:lineRule="exact"/>
                          <w:ind w:left="1113" w:right="1113"/>
                          <w:jc w:val="center"/>
                          <w:rPr>
                            <w:b/>
                            <w:sz w:val="13"/>
                          </w:rPr>
                        </w:pPr>
                        <w:r>
                          <w:rPr>
                            <w:b/>
                            <w:w w:val="105"/>
                            <w:sz w:val="13"/>
                          </w:rPr>
                          <w:t>2000</w:t>
                        </w:r>
                      </w:p>
                    </w:tc>
                    <w:tc>
                      <w:tcPr>
                        <w:tcW w:w="2464" w:type="dxa"/>
                        <w:gridSpan w:val="2"/>
                        <w:tcBorders>
                          <w:left w:val="single" w:sz="5" w:space="0" w:color="000000"/>
                          <w:bottom w:val="single" w:sz="5" w:space="0" w:color="000000"/>
                          <w:right w:val="single" w:sz="7" w:space="0" w:color="000000"/>
                        </w:tcBorders>
                        <w:shd w:val="clear" w:color="auto" w:fill="6F2F9F"/>
                      </w:tcPr>
                      <w:p>
                        <w:pPr>
                          <w:pStyle w:val="TableParagraph"/>
                          <w:spacing w:line="155" w:lineRule="exact"/>
                          <w:ind w:left="1068" w:right="1063"/>
                          <w:jc w:val="center"/>
                          <w:rPr>
                            <w:b/>
                            <w:sz w:val="13"/>
                          </w:rPr>
                        </w:pPr>
                        <w:r>
                          <w:rPr>
                            <w:b/>
                            <w:w w:val="105"/>
                            <w:sz w:val="13"/>
                          </w:rPr>
                          <w:t>2010</w:t>
                        </w:r>
                      </w:p>
                    </w:tc>
                  </w:tr>
                  <w:tr>
                    <w:trPr>
                      <w:trHeight w:val="351" w:hRule="exact"/>
                    </w:trPr>
                    <w:tc>
                      <w:tcPr>
                        <w:tcW w:w="1228" w:type="dxa"/>
                        <w:tcBorders>
                          <w:top w:val="single" w:sz="5" w:space="0" w:color="000000"/>
                          <w:left w:val="single" w:sz="7" w:space="0" w:color="000000"/>
                          <w:bottom w:val="single" w:sz="5" w:space="0" w:color="000000"/>
                          <w:right w:val="single" w:sz="5" w:space="0" w:color="000000"/>
                        </w:tcBorders>
                        <w:shd w:val="clear" w:color="auto" w:fill="6F2F9F"/>
                      </w:tcPr>
                      <w:p>
                        <w:pPr>
                          <w:pStyle w:val="TableParagraph"/>
                          <w:spacing w:before="86"/>
                          <w:ind w:left="324"/>
                          <w:rPr>
                            <w:b/>
                            <w:sz w:val="13"/>
                          </w:rPr>
                        </w:pPr>
                        <w:r>
                          <w:rPr>
                            <w:b/>
                            <w:w w:val="105"/>
                            <w:sz w:val="13"/>
                          </w:rPr>
                          <w:t>Municipio</w:t>
                        </w:r>
                      </w:p>
                    </w:tc>
                    <w:tc>
                      <w:tcPr>
                        <w:tcW w:w="1009" w:type="dxa"/>
                        <w:tcBorders>
                          <w:top w:val="single" w:sz="5" w:space="0" w:color="000000"/>
                          <w:left w:val="single" w:sz="5" w:space="0" w:color="000000"/>
                          <w:bottom w:val="single" w:sz="5" w:space="0" w:color="000000"/>
                          <w:right w:val="single" w:sz="5" w:space="0" w:color="000000"/>
                        </w:tcBorders>
                        <w:shd w:val="clear" w:color="auto" w:fill="6F2F9F"/>
                      </w:tcPr>
                      <w:p>
                        <w:pPr>
                          <w:pStyle w:val="TableParagraph"/>
                          <w:spacing w:line="266" w:lineRule="auto" w:before="4"/>
                          <w:ind w:left="222" w:hanging="152"/>
                          <w:rPr>
                            <w:b/>
                            <w:sz w:val="13"/>
                          </w:rPr>
                        </w:pPr>
                        <w:r>
                          <w:rPr>
                            <w:b/>
                            <w:w w:val="105"/>
                            <w:sz w:val="13"/>
                          </w:rPr>
                          <w:t>Total Viviendas habitadas</w:t>
                        </w:r>
                      </w:p>
                    </w:tc>
                    <w:tc>
                      <w:tcPr>
                        <w:tcW w:w="1567" w:type="dxa"/>
                        <w:tcBorders>
                          <w:top w:val="single" w:sz="5" w:space="0" w:color="000000"/>
                          <w:left w:val="single" w:sz="5" w:space="0" w:color="000000"/>
                          <w:bottom w:val="single" w:sz="5" w:space="0" w:color="000000"/>
                          <w:right w:val="single" w:sz="5" w:space="0" w:color="000000"/>
                        </w:tcBorders>
                        <w:shd w:val="clear" w:color="auto" w:fill="6F2F9F"/>
                      </w:tcPr>
                      <w:p>
                        <w:pPr>
                          <w:pStyle w:val="TableParagraph"/>
                          <w:spacing w:line="266" w:lineRule="auto" w:before="4"/>
                          <w:ind w:left="447" w:hanging="334"/>
                          <w:rPr>
                            <w:b/>
                            <w:sz w:val="13"/>
                          </w:rPr>
                        </w:pPr>
                        <w:r>
                          <w:rPr>
                            <w:b/>
                            <w:w w:val="105"/>
                            <w:sz w:val="13"/>
                          </w:rPr>
                          <w:t>Porcentaje de viviendas con drenaje</w:t>
                        </w:r>
                      </w:p>
                    </w:tc>
                    <w:tc>
                      <w:tcPr>
                        <w:tcW w:w="1029" w:type="dxa"/>
                        <w:tcBorders>
                          <w:top w:val="single" w:sz="5" w:space="0" w:color="000000"/>
                          <w:left w:val="single" w:sz="5" w:space="0" w:color="000000"/>
                          <w:bottom w:val="single" w:sz="5" w:space="0" w:color="000000"/>
                          <w:right w:val="single" w:sz="5" w:space="0" w:color="000000"/>
                        </w:tcBorders>
                        <w:shd w:val="clear" w:color="auto" w:fill="6F2F9F"/>
                      </w:tcPr>
                      <w:p>
                        <w:pPr>
                          <w:pStyle w:val="TableParagraph"/>
                          <w:spacing w:line="266" w:lineRule="auto" w:before="4"/>
                          <w:ind w:left="233" w:hanging="152"/>
                          <w:rPr>
                            <w:b/>
                            <w:sz w:val="13"/>
                          </w:rPr>
                        </w:pPr>
                        <w:r>
                          <w:rPr>
                            <w:b/>
                            <w:w w:val="105"/>
                            <w:sz w:val="13"/>
                          </w:rPr>
                          <w:t>Total Viviendas habitadas</w:t>
                        </w:r>
                      </w:p>
                    </w:tc>
                    <w:tc>
                      <w:tcPr>
                        <w:tcW w:w="1526" w:type="dxa"/>
                        <w:tcBorders>
                          <w:top w:val="single" w:sz="5" w:space="0" w:color="000000"/>
                          <w:left w:val="single" w:sz="5" w:space="0" w:color="000000"/>
                          <w:bottom w:val="single" w:sz="5" w:space="0" w:color="000000"/>
                          <w:right w:val="single" w:sz="5" w:space="0" w:color="000000"/>
                        </w:tcBorders>
                        <w:shd w:val="clear" w:color="auto" w:fill="6F2F9F"/>
                      </w:tcPr>
                      <w:p>
                        <w:pPr>
                          <w:pStyle w:val="TableParagraph"/>
                          <w:spacing w:line="266" w:lineRule="auto" w:before="4"/>
                          <w:ind w:left="426" w:hanging="334"/>
                          <w:rPr>
                            <w:b/>
                            <w:sz w:val="13"/>
                          </w:rPr>
                        </w:pPr>
                        <w:r>
                          <w:rPr>
                            <w:b/>
                            <w:w w:val="105"/>
                            <w:sz w:val="13"/>
                          </w:rPr>
                          <w:t>Porcentaje de viviendas con drenaje</w:t>
                        </w:r>
                      </w:p>
                    </w:tc>
                    <w:tc>
                      <w:tcPr>
                        <w:tcW w:w="979" w:type="dxa"/>
                        <w:tcBorders>
                          <w:top w:val="single" w:sz="5" w:space="0" w:color="000000"/>
                          <w:left w:val="single" w:sz="5" w:space="0" w:color="000000"/>
                          <w:bottom w:val="single" w:sz="5" w:space="0" w:color="000000"/>
                          <w:right w:val="single" w:sz="5" w:space="0" w:color="000000"/>
                        </w:tcBorders>
                        <w:shd w:val="clear" w:color="auto" w:fill="6F2F9F"/>
                      </w:tcPr>
                      <w:p>
                        <w:pPr>
                          <w:pStyle w:val="TableParagraph"/>
                          <w:spacing w:line="266" w:lineRule="auto" w:before="4"/>
                          <w:ind w:left="207" w:hanging="152"/>
                          <w:rPr>
                            <w:b/>
                            <w:sz w:val="13"/>
                          </w:rPr>
                        </w:pPr>
                        <w:r>
                          <w:rPr>
                            <w:b/>
                            <w:w w:val="105"/>
                            <w:sz w:val="13"/>
                          </w:rPr>
                          <w:t>Total Viviendas habitadas</w:t>
                        </w:r>
                      </w:p>
                    </w:tc>
                    <w:tc>
                      <w:tcPr>
                        <w:tcW w:w="1485" w:type="dxa"/>
                        <w:tcBorders>
                          <w:top w:val="single" w:sz="5" w:space="0" w:color="000000"/>
                          <w:left w:val="single" w:sz="5" w:space="0" w:color="000000"/>
                          <w:bottom w:val="single" w:sz="5" w:space="0" w:color="000000"/>
                          <w:right w:val="single" w:sz="5" w:space="0" w:color="000000"/>
                        </w:tcBorders>
                        <w:shd w:val="clear" w:color="auto" w:fill="6F2F9F"/>
                      </w:tcPr>
                      <w:p>
                        <w:pPr>
                          <w:pStyle w:val="TableParagraph"/>
                          <w:spacing w:line="266" w:lineRule="auto" w:before="4"/>
                          <w:ind w:left="409" w:hanging="334"/>
                          <w:rPr>
                            <w:b/>
                            <w:sz w:val="13"/>
                          </w:rPr>
                        </w:pPr>
                        <w:r>
                          <w:rPr>
                            <w:b/>
                            <w:w w:val="105"/>
                            <w:sz w:val="13"/>
                          </w:rPr>
                          <w:t>Porcentaje de viviendas con drenaje</w:t>
                        </w:r>
                      </w:p>
                    </w:tc>
                  </w:tr>
                  <w:tr>
                    <w:trPr>
                      <w:trHeight w:val="175" w:hRule="exact"/>
                    </w:trPr>
                    <w:tc>
                      <w:tcPr>
                        <w:tcW w:w="1228" w:type="dxa"/>
                        <w:tcBorders>
                          <w:top w:val="single" w:sz="5" w:space="0" w:color="000000"/>
                          <w:left w:val="single" w:sz="7" w:space="0" w:color="000000"/>
                          <w:bottom w:val="single" w:sz="5" w:space="0" w:color="000000"/>
                          <w:right w:val="single" w:sz="5" w:space="0" w:color="000000"/>
                        </w:tcBorders>
                      </w:tcPr>
                      <w:p>
                        <w:pPr>
                          <w:pStyle w:val="TableParagraph"/>
                          <w:spacing w:before="2"/>
                          <w:ind w:left="11"/>
                          <w:rPr>
                            <w:sz w:val="13"/>
                          </w:rPr>
                        </w:pPr>
                        <w:r>
                          <w:rPr>
                            <w:w w:val="105"/>
                            <w:sz w:val="13"/>
                          </w:rPr>
                          <w:t>Almoloya de Juárez</w:t>
                        </w:r>
                      </w:p>
                    </w:tc>
                    <w:tc>
                      <w:tcPr>
                        <w:tcW w:w="100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14723</w:t>
                        </w:r>
                      </w:p>
                    </w:tc>
                    <w:tc>
                      <w:tcPr>
                        <w:tcW w:w="1567"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20.1</w:t>
                        </w:r>
                      </w:p>
                    </w:tc>
                    <w:tc>
                      <w:tcPr>
                        <w:tcW w:w="102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21999</w:t>
                        </w:r>
                      </w:p>
                    </w:tc>
                    <w:tc>
                      <w:tcPr>
                        <w:tcW w:w="1526"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39.6</w:t>
                        </w:r>
                      </w:p>
                    </w:tc>
                    <w:tc>
                      <w:tcPr>
                        <w:tcW w:w="97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32840</w:t>
                        </w:r>
                      </w:p>
                    </w:tc>
                    <w:tc>
                      <w:tcPr>
                        <w:tcW w:w="1485" w:type="dxa"/>
                        <w:tcBorders>
                          <w:top w:val="single" w:sz="5" w:space="0" w:color="000000"/>
                          <w:left w:val="single" w:sz="5" w:space="0" w:color="000000"/>
                          <w:bottom w:val="single" w:sz="5" w:space="0" w:color="000000"/>
                          <w:right w:val="single" w:sz="7" w:space="0" w:color="000000"/>
                        </w:tcBorders>
                      </w:tcPr>
                      <w:p>
                        <w:pPr>
                          <w:pStyle w:val="TableParagraph"/>
                          <w:spacing w:before="2"/>
                          <w:ind w:right="9"/>
                          <w:jc w:val="right"/>
                          <w:rPr>
                            <w:sz w:val="13"/>
                          </w:rPr>
                        </w:pPr>
                        <w:r>
                          <w:rPr>
                            <w:sz w:val="13"/>
                          </w:rPr>
                          <w:t>71.5</w:t>
                        </w:r>
                      </w:p>
                    </w:tc>
                  </w:tr>
                  <w:tr>
                    <w:trPr>
                      <w:trHeight w:val="176" w:hRule="exact"/>
                    </w:trPr>
                    <w:tc>
                      <w:tcPr>
                        <w:tcW w:w="1228" w:type="dxa"/>
                        <w:tcBorders>
                          <w:top w:val="single" w:sz="5" w:space="0" w:color="000000"/>
                          <w:left w:val="single" w:sz="7" w:space="0" w:color="000000"/>
                          <w:bottom w:val="single" w:sz="5" w:space="0" w:color="000000"/>
                          <w:right w:val="single" w:sz="5" w:space="0" w:color="000000"/>
                        </w:tcBorders>
                      </w:tcPr>
                      <w:p>
                        <w:pPr>
                          <w:pStyle w:val="TableParagraph"/>
                          <w:spacing w:before="2"/>
                          <w:ind w:left="11"/>
                          <w:rPr>
                            <w:sz w:val="13"/>
                          </w:rPr>
                        </w:pPr>
                        <w:r>
                          <w:rPr>
                            <w:w w:val="105"/>
                            <w:sz w:val="13"/>
                          </w:rPr>
                          <w:t>Calimaya</w:t>
                        </w:r>
                      </w:p>
                    </w:tc>
                    <w:tc>
                      <w:tcPr>
                        <w:tcW w:w="100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4473</w:t>
                        </w:r>
                      </w:p>
                    </w:tc>
                    <w:tc>
                      <w:tcPr>
                        <w:tcW w:w="1567"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70.2</w:t>
                        </w:r>
                      </w:p>
                    </w:tc>
                    <w:tc>
                      <w:tcPr>
                        <w:tcW w:w="102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7153</w:t>
                        </w:r>
                      </w:p>
                    </w:tc>
                    <w:tc>
                      <w:tcPr>
                        <w:tcW w:w="1526"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89.6</w:t>
                        </w:r>
                      </w:p>
                    </w:tc>
                    <w:tc>
                      <w:tcPr>
                        <w:tcW w:w="97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10694</w:t>
                        </w:r>
                      </w:p>
                    </w:tc>
                    <w:tc>
                      <w:tcPr>
                        <w:tcW w:w="1485" w:type="dxa"/>
                        <w:tcBorders>
                          <w:top w:val="single" w:sz="5" w:space="0" w:color="000000"/>
                          <w:left w:val="single" w:sz="5" w:space="0" w:color="000000"/>
                          <w:bottom w:val="single" w:sz="5" w:space="0" w:color="000000"/>
                          <w:right w:val="single" w:sz="7" w:space="0" w:color="000000"/>
                        </w:tcBorders>
                      </w:tcPr>
                      <w:p>
                        <w:pPr>
                          <w:pStyle w:val="TableParagraph"/>
                          <w:spacing w:before="2"/>
                          <w:ind w:right="9"/>
                          <w:jc w:val="right"/>
                          <w:rPr>
                            <w:sz w:val="13"/>
                          </w:rPr>
                        </w:pPr>
                        <w:r>
                          <w:rPr>
                            <w:sz w:val="13"/>
                          </w:rPr>
                          <w:t>96.2</w:t>
                        </w:r>
                      </w:p>
                    </w:tc>
                  </w:tr>
                  <w:tr>
                    <w:trPr>
                      <w:trHeight w:val="175" w:hRule="exact"/>
                    </w:trPr>
                    <w:tc>
                      <w:tcPr>
                        <w:tcW w:w="1228" w:type="dxa"/>
                        <w:tcBorders>
                          <w:top w:val="single" w:sz="5" w:space="0" w:color="000000"/>
                          <w:left w:val="single" w:sz="7" w:space="0" w:color="000000"/>
                          <w:bottom w:val="single" w:sz="5" w:space="0" w:color="000000"/>
                          <w:right w:val="single" w:sz="5" w:space="0" w:color="000000"/>
                        </w:tcBorders>
                      </w:tcPr>
                      <w:p>
                        <w:pPr>
                          <w:pStyle w:val="TableParagraph"/>
                          <w:spacing w:before="2"/>
                          <w:ind w:left="11"/>
                          <w:rPr>
                            <w:sz w:val="13"/>
                          </w:rPr>
                        </w:pPr>
                        <w:r>
                          <w:rPr>
                            <w:w w:val="105"/>
                            <w:sz w:val="13"/>
                          </w:rPr>
                          <w:t>Chapultepec</w:t>
                        </w:r>
                      </w:p>
                    </w:tc>
                    <w:tc>
                      <w:tcPr>
                        <w:tcW w:w="100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612</w:t>
                        </w:r>
                      </w:p>
                    </w:tc>
                    <w:tc>
                      <w:tcPr>
                        <w:tcW w:w="1567"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89.4</w:t>
                        </w:r>
                      </w:p>
                    </w:tc>
                    <w:tc>
                      <w:tcPr>
                        <w:tcW w:w="102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1183</w:t>
                        </w:r>
                      </w:p>
                    </w:tc>
                    <w:tc>
                      <w:tcPr>
                        <w:tcW w:w="1526"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90.6</w:t>
                        </w:r>
                      </w:p>
                    </w:tc>
                    <w:tc>
                      <w:tcPr>
                        <w:tcW w:w="97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2420</w:t>
                        </w:r>
                      </w:p>
                    </w:tc>
                    <w:tc>
                      <w:tcPr>
                        <w:tcW w:w="1485" w:type="dxa"/>
                        <w:tcBorders>
                          <w:top w:val="single" w:sz="5" w:space="0" w:color="000000"/>
                          <w:left w:val="single" w:sz="5" w:space="0" w:color="000000"/>
                          <w:bottom w:val="single" w:sz="5" w:space="0" w:color="000000"/>
                          <w:right w:val="single" w:sz="7" w:space="0" w:color="000000"/>
                        </w:tcBorders>
                      </w:tcPr>
                      <w:p>
                        <w:pPr>
                          <w:pStyle w:val="TableParagraph"/>
                          <w:spacing w:before="2"/>
                          <w:ind w:right="9"/>
                          <w:jc w:val="right"/>
                          <w:rPr>
                            <w:sz w:val="13"/>
                          </w:rPr>
                        </w:pPr>
                        <w:r>
                          <w:rPr>
                            <w:sz w:val="13"/>
                          </w:rPr>
                          <w:t>96.6</w:t>
                        </w:r>
                      </w:p>
                    </w:tc>
                  </w:tr>
                  <w:tr>
                    <w:trPr>
                      <w:trHeight w:val="176" w:hRule="exact"/>
                    </w:trPr>
                    <w:tc>
                      <w:tcPr>
                        <w:tcW w:w="1228" w:type="dxa"/>
                        <w:tcBorders>
                          <w:top w:val="single" w:sz="5" w:space="0" w:color="000000"/>
                          <w:left w:val="single" w:sz="7" w:space="0" w:color="000000"/>
                          <w:bottom w:val="single" w:sz="5" w:space="0" w:color="000000"/>
                          <w:right w:val="single" w:sz="5" w:space="0" w:color="000000"/>
                        </w:tcBorders>
                      </w:tcPr>
                      <w:p>
                        <w:pPr>
                          <w:pStyle w:val="TableParagraph"/>
                          <w:spacing w:before="2"/>
                          <w:ind w:left="11"/>
                          <w:rPr>
                            <w:sz w:val="13"/>
                          </w:rPr>
                        </w:pPr>
                        <w:r>
                          <w:rPr>
                            <w:w w:val="105"/>
                            <w:sz w:val="13"/>
                          </w:rPr>
                          <w:t>Lerma</w:t>
                        </w:r>
                      </w:p>
                    </w:tc>
                    <w:tc>
                      <w:tcPr>
                        <w:tcW w:w="100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12013</w:t>
                        </w:r>
                      </w:p>
                    </w:tc>
                    <w:tc>
                      <w:tcPr>
                        <w:tcW w:w="1567"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66.7</w:t>
                        </w:r>
                      </w:p>
                    </w:tc>
                    <w:tc>
                      <w:tcPr>
                        <w:tcW w:w="102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20659</w:t>
                        </w:r>
                      </w:p>
                    </w:tc>
                    <w:tc>
                      <w:tcPr>
                        <w:tcW w:w="1526"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84.1</w:t>
                        </w:r>
                      </w:p>
                    </w:tc>
                    <w:tc>
                      <w:tcPr>
                        <w:tcW w:w="97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31349</w:t>
                        </w:r>
                      </w:p>
                    </w:tc>
                    <w:tc>
                      <w:tcPr>
                        <w:tcW w:w="1485" w:type="dxa"/>
                        <w:tcBorders>
                          <w:top w:val="single" w:sz="5" w:space="0" w:color="000000"/>
                          <w:left w:val="single" w:sz="5" w:space="0" w:color="000000"/>
                          <w:bottom w:val="single" w:sz="5" w:space="0" w:color="000000"/>
                          <w:right w:val="single" w:sz="7" w:space="0" w:color="000000"/>
                        </w:tcBorders>
                      </w:tcPr>
                      <w:p>
                        <w:pPr>
                          <w:pStyle w:val="TableParagraph"/>
                          <w:spacing w:before="2"/>
                          <w:ind w:right="9"/>
                          <w:jc w:val="right"/>
                          <w:rPr>
                            <w:sz w:val="13"/>
                          </w:rPr>
                        </w:pPr>
                        <w:r>
                          <w:rPr>
                            <w:sz w:val="13"/>
                          </w:rPr>
                          <w:t>93.8</w:t>
                        </w:r>
                      </w:p>
                    </w:tc>
                  </w:tr>
                  <w:tr>
                    <w:trPr>
                      <w:trHeight w:val="175" w:hRule="exact"/>
                    </w:trPr>
                    <w:tc>
                      <w:tcPr>
                        <w:tcW w:w="1228" w:type="dxa"/>
                        <w:tcBorders>
                          <w:top w:val="single" w:sz="5" w:space="0" w:color="000000"/>
                          <w:left w:val="single" w:sz="7" w:space="0" w:color="000000"/>
                          <w:bottom w:val="single" w:sz="5" w:space="0" w:color="000000"/>
                          <w:right w:val="single" w:sz="5" w:space="0" w:color="000000"/>
                        </w:tcBorders>
                      </w:tcPr>
                      <w:p>
                        <w:pPr>
                          <w:pStyle w:val="TableParagraph"/>
                          <w:spacing w:before="2"/>
                          <w:ind w:left="11"/>
                          <w:rPr>
                            <w:sz w:val="13"/>
                          </w:rPr>
                        </w:pPr>
                        <w:r>
                          <w:rPr>
                            <w:w w:val="105"/>
                            <w:sz w:val="13"/>
                          </w:rPr>
                          <w:t>Metepec</w:t>
                        </w:r>
                      </w:p>
                    </w:tc>
                    <w:tc>
                      <w:tcPr>
                        <w:tcW w:w="100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28546</w:t>
                        </w:r>
                      </w:p>
                    </w:tc>
                    <w:tc>
                      <w:tcPr>
                        <w:tcW w:w="1567"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92.1</w:t>
                        </w:r>
                      </w:p>
                    </w:tc>
                    <w:tc>
                      <w:tcPr>
                        <w:tcW w:w="102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43852</w:t>
                        </w:r>
                      </w:p>
                    </w:tc>
                    <w:tc>
                      <w:tcPr>
                        <w:tcW w:w="1526"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97.5</w:t>
                        </w:r>
                      </w:p>
                    </w:tc>
                    <w:tc>
                      <w:tcPr>
                        <w:tcW w:w="97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54915</w:t>
                        </w:r>
                      </w:p>
                    </w:tc>
                    <w:tc>
                      <w:tcPr>
                        <w:tcW w:w="1485" w:type="dxa"/>
                        <w:tcBorders>
                          <w:top w:val="single" w:sz="5" w:space="0" w:color="000000"/>
                          <w:left w:val="single" w:sz="5" w:space="0" w:color="000000"/>
                          <w:bottom w:val="single" w:sz="5" w:space="0" w:color="000000"/>
                          <w:right w:val="single" w:sz="7" w:space="0" w:color="000000"/>
                        </w:tcBorders>
                      </w:tcPr>
                      <w:p>
                        <w:pPr>
                          <w:pStyle w:val="TableParagraph"/>
                          <w:spacing w:before="2"/>
                          <w:ind w:right="9"/>
                          <w:jc w:val="right"/>
                          <w:rPr>
                            <w:sz w:val="13"/>
                          </w:rPr>
                        </w:pPr>
                        <w:r>
                          <w:rPr>
                            <w:sz w:val="13"/>
                          </w:rPr>
                          <w:t>96.1</w:t>
                        </w:r>
                      </w:p>
                    </w:tc>
                  </w:tr>
                  <w:tr>
                    <w:trPr>
                      <w:trHeight w:val="176" w:hRule="exact"/>
                    </w:trPr>
                    <w:tc>
                      <w:tcPr>
                        <w:tcW w:w="1228" w:type="dxa"/>
                        <w:tcBorders>
                          <w:top w:val="single" w:sz="5" w:space="0" w:color="000000"/>
                          <w:left w:val="single" w:sz="7" w:space="0" w:color="000000"/>
                          <w:bottom w:val="single" w:sz="5" w:space="0" w:color="000000"/>
                          <w:right w:val="single" w:sz="5" w:space="0" w:color="000000"/>
                        </w:tcBorders>
                      </w:tcPr>
                      <w:p>
                        <w:pPr>
                          <w:pStyle w:val="TableParagraph"/>
                          <w:spacing w:before="2"/>
                          <w:ind w:left="11"/>
                          <w:rPr>
                            <w:sz w:val="13"/>
                          </w:rPr>
                        </w:pPr>
                        <w:r>
                          <w:rPr>
                            <w:w w:val="105"/>
                            <w:sz w:val="13"/>
                          </w:rPr>
                          <w:t>Mexicaltzingo</w:t>
                        </w:r>
                      </w:p>
                    </w:tc>
                    <w:tc>
                      <w:tcPr>
                        <w:tcW w:w="100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1276</w:t>
                        </w:r>
                      </w:p>
                    </w:tc>
                    <w:tc>
                      <w:tcPr>
                        <w:tcW w:w="1567"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86.7</w:t>
                        </w:r>
                      </w:p>
                    </w:tc>
                    <w:tc>
                      <w:tcPr>
                        <w:tcW w:w="102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1727</w:t>
                        </w:r>
                      </w:p>
                    </w:tc>
                    <w:tc>
                      <w:tcPr>
                        <w:tcW w:w="1526"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91.9</w:t>
                        </w:r>
                      </w:p>
                    </w:tc>
                    <w:tc>
                      <w:tcPr>
                        <w:tcW w:w="97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2622</w:t>
                        </w:r>
                      </w:p>
                    </w:tc>
                    <w:tc>
                      <w:tcPr>
                        <w:tcW w:w="1485" w:type="dxa"/>
                        <w:tcBorders>
                          <w:top w:val="single" w:sz="5" w:space="0" w:color="000000"/>
                          <w:left w:val="single" w:sz="5" w:space="0" w:color="000000"/>
                          <w:bottom w:val="single" w:sz="5" w:space="0" w:color="000000"/>
                          <w:right w:val="single" w:sz="7" w:space="0" w:color="000000"/>
                        </w:tcBorders>
                      </w:tcPr>
                      <w:p>
                        <w:pPr>
                          <w:pStyle w:val="TableParagraph"/>
                          <w:spacing w:before="2"/>
                          <w:ind w:right="9"/>
                          <w:jc w:val="right"/>
                          <w:rPr>
                            <w:sz w:val="13"/>
                          </w:rPr>
                        </w:pPr>
                        <w:r>
                          <w:rPr>
                            <w:sz w:val="13"/>
                          </w:rPr>
                          <w:t>96.0</w:t>
                        </w:r>
                      </w:p>
                    </w:tc>
                  </w:tr>
                  <w:tr>
                    <w:trPr>
                      <w:trHeight w:val="175" w:hRule="exact"/>
                    </w:trPr>
                    <w:tc>
                      <w:tcPr>
                        <w:tcW w:w="1228" w:type="dxa"/>
                        <w:tcBorders>
                          <w:top w:val="single" w:sz="5" w:space="0" w:color="000000"/>
                          <w:left w:val="single" w:sz="7" w:space="0" w:color="000000"/>
                          <w:bottom w:val="single" w:sz="5" w:space="0" w:color="000000"/>
                          <w:right w:val="single" w:sz="5" w:space="0" w:color="000000"/>
                        </w:tcBorders>
                      </w:tcPr>
                      <w:p>
                        <w:pPr>
                          <w:pStyle w:val="TableParagraph"/>
                          <w:spacing w:before="2"/>
                          <w:ind w:left="11"/>
                          <w:rPr>
                            <w:sz w:val="13"/>
                          </w:rPr>
                        </w:pPr>
                        <w:r>
                          <w:rPr>
                            <w:w w:val="105"/>
                            <w:sz w:val="13"/>
                          </w:rPr>
                          <w:t>Ocoyoacac</w:t>
                        </w:r>
                      </w:p>
                    </w:tc>
                    <w:tc>
                      <w:tcPr>
                        <w:tcW w:w="100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6418</w:t>
                        </w:r>
                      </w:p>
                    </w:tc>
                    <w:tc>
                      <w:tcPr>
                        <w:tcW w:w="1567"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77.4</w:t>
                        </w:r>
                      </w:p>
                    </w:tc>
                    <w:tc>
                      <w:tcPr>
                        <w:tcW w:w="102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10099</w:t>
                        </w:r>
                      </w:p>
                    </w:tc>
                    <w:tc>
                      <w:tcPr>
                        <w:tcW w:w="1526"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91.3</w:t>
                        </w:r>
                      </w:p>
                    </w:tc>
                    <w:tc>
                      <w:tcPr>
                        <w:tcW w:w="97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13926</w:t>
                        </w:r>
                      </w:p>
                    </w:tc>
                    <w:tc>
                      <w:tcPr>
                        <w:tcW w:w="1485" w:type="dxa"/>
                        <w:tcBorders>
                          <w:top w:val="single" w:sz="5" w:space="0" w:color="000000"/>
                          <w:left w:val="single" w:sz="5" w:space="0" w:color="000000"/>
                          <w:bottom w:val="single" w:sz="5" w:space="0" w:color="000000"/>
                          <w:right w:val="single" w:sz="7" w:space="0" w:color="000000"/>
                        </w:tcBorders>
                      </w:tcPr>
                      <w:p>
                        <w:pPr>
                          <w:pStyle w:val="TableParagraph"/>
                          <w:spacing w:before="2"/>
                          <w:ind w:right="9"/>
                          <w:jc w:val="right"/>
                          <w:rPr>
                            <w:sz w:val="13"/>
                          </w:rPr>
                        </w:pPr>
                        <w:r>
                          <w:rPr>
                            <w:sz w:val="13"/>
                          </w:rPr>
                          <w:t>96.9</w:t>
                        </w:r>
                      </w:p>
                    </w:tc>
                  </w:tr>
                  <w:tr>
                    <w:trPr>
                      <w:trHeight w:val="176" w:hRule="exact"/>
                    </w:trPr>
                    <w:tc>
                      <w:tcPr>
                        <w:tcW w:w="1228" w:type="dxa"/>
                        <w:tcBorders>
                          <w:top w:val="single" w:sz="5" w:space="0" w:color="000000"/>
                          <w:left w:val="single" w:sz="7" w:space="0" w:color="000000"/>
                          <w:bottom w:val="single" w:sz="5" w:space="0" w:color="000000"/>
                          <w:right w:val="single" w:sz="5" w:space="0" w:color="000000"/>
                        </w:tcBorders>
                      </w:tcPr>
                      <w:p>
                        <w:pPr>
                          <w:pStyle w:val="TableParagraph"/>
                          <w:spacing w:before="2"/>
                          <w:ind w:left="11"/>
                          <w:rPr>
                            <w:sz w:val="13"/>
                          </w:rPr>
                        </w:pPr>
                        <w:r>
                          <w:rPr>
                            <w:w w:val="105"/>
                            <w:sz w:val="13"/>
                          </w:rPr>
                          <w:t>Otzolotepec</w:t>
                        </w:r>
                      </w:p>
                    </w:tc>
                    <w:tc>
                      <w:tcPr>
                        <w:tcW w:w="100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6675</w:t>
                        </w:r>
                      </w:p>
                    </w:tc>
                    <w:tc>
                      <w:tcPr>
                        <w:tcW w:w="1567"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36.4</w:t>
                        </w:r>
                      </w:p>
                    </w:tc>
                    <w:tc>
                      <w:tcPr>
                        <w:tcW w:w="102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10713</w:t>
                        </w:r>
                      </w:p>
                    </w:tc>
                    <w:tc>
                      <w:tcPr>
                        <w:tcW w:w="1526"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64.9</w:t>
                        </w:r>
                      </w:p>
                    </w:tc>
                    <w:tc>
                      <w:tcPr>
                        <w:tcW w:w="97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16074</w:t>
                        </w:r>
                      </w:p>
                    </w:tc>
                    <w:tc>
                      <w:tcPr>
                        <w:tcW w:w="1485" w:type="dxa"/>
                        <w:tcBorders>
                          <w:top w:val="single" w:sz="5" w:space="0" w:color="000000"/>
                          <w:left w:val="single" w:sz="5" w:space="0" w:color="000000"/>
                          <w:bottom w:val="single" w:sz="5" w:space="0" w:color="000000"/>
                          <w:right w:val="single" w:sz="7" w:space="0" w:color="000000"/>
                        </w:tcBorders>
                      </w:tcPr>
                      <w:p>
                        <w:pPr>
                          <w:pStyle w:val="TableParagraph"/>
                          <w:spacing w:before="2"/>
                          <w:ind w:right="9"/>
                          <w:jc w:val="right"/>
                          <w:rPr>
                            <w:sz w:val="13"/>
                          </w:rPr>
                        </w:pPr>
                        <w:r>
                          <w:rPr>
                            <w:sz w:val="13"/>
                          </w:rPr>
                          <w:t>83.6</w:t>
                        </w:r>
                      </w:p>
                    </w:tc>
                  </w:tr>
                  <w:tr>
                    <w:trPr>
                      <w:trHeight w:val="176" w:hRule="exact"/>
                    </w:trPr>
                    <w:tc>
                      <w:tcPr>
                        <w:tcW w:w="1228" w:type="dxa"/>
                        <w:tcBorders>
                          <w:top w:val="single" w:sz="5" w:space="0" w:color="000000"/>
                          <w:left w:val="single" w:sz="7" w:space="0" w:color="000000"/>
                          <w:bottom w:val="single" w:sz="5" w:space="0" w:color="000000"/>
                          <w:right w:val="single" w:sz="5" w:space="0" w:color="000000"/>
                        </w:tcBorders>
                      </w:tcPr>
                      <w:p>
                        <w:pPr>
                          <w:pStyle w:val="TableParagraph"/>
                          <w:spacing w:before="2"/>
                          <w:ind w:left="11"/>
                          <w:rPr>
                            <w:sz w:val="13"/>
                          </w:rPr>
                        </w:pPr>
                        <w:r>
                          <w:rPr>
                            <w:w w:val="105"/>
                            <w:sz w:val="13"/>
                          </w:rPr>
                          <w:t>Rayón</w:t>
                        </w:r>
                      </w:p>
                    </w:tc>
                    <w:tc>
                      <w:tcPr>
                        <w:tcW w:w="100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1172</w:t>
                        </w:r>
                      </w:p>
                    </w:tc>
                    <w:tc>
                      <w:tcPr>
                        <w:tcW w:w="1567"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80.9</w:t>
                        </w:r>
                      </w:p>
                    </w:tc>
                    <w:tc>
                      <w:tcPr>
                        <w:tcW w:w="102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1683</w:t>
                        </w:r>
                      </w:p>
                    </w:tc>
                    <w:tc>
                      <w:tcPr>
                        <w:tcW w:w="1526"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93.0</w:t>
                        </w:r>
                      </w:p>
                    </w:tc>
                    <w:tc>
                      <w:tcPr>
                        <w:tcW w:w="97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2834</w:t>
                        </w:r>
                      </w:p>
                    </w:tc>
                    <w:tc>
                      <w:tcPr>
                        <w:tcW w:w="1485" w:type="dxa"/>
                        <w:tcBorders>
                          <w:top w:val="single" w:sz="5" w:space="0" w:color="000000"/>
                          <w:left w:val="single" w:sz="5" w:space="0" w:color="000000"/>
                          <w:bottom w:val="single" w:sz="5" w:space="0" w:color="000000"/>
                          <w:right w:val="single" w:sz="7" w:space="0" w:color="000000"/>
                        </w:tcBorders>
                      </w:tcPr>
                      <w:p>
                        <w:pPr>
                          <w:pStyle w:val="TableParagraph"/>
                          <w:spacing w:before="2"/>
                          <w:ind w:right="9"/>
                          <w:jc w:val="right"/>
                          <w:rPr>
                            <w:sz w:val="13"/>
                          </w:rPr>
                        </w:pPr>
                        <w:r>
                          <w:rPr>
                            <w:sz w:val="13"/>
                          </w:rPr>
                          <w:t>98.0</w:t>
                        </w:r>
                      </w:p>
                    </w:tc>
                  </w:tr>
                  <w:tr>
                    <w:trPr>
                      <w:trHeight w:val="175" w:hRule="exact"/>
                    </w:trPr>
                    <w:tc>
                      <w:tcPr>
                        <w:tcW w:w="1228" w:type="dxa"/>
                        <w:tcBorders>
                          <w:top w:val="single" w:sz="5" w:space="0" w:color="000000"/>
                          <w:left w:val="single" w:sz="7" w:space="0" w:color="000000"/>
                          <w:bottom w:val="single" w:sz="5" w:space="0" w:color="000000"/>
                          <w:right w:val="single" w:sz="5" w:space="0" w:color="000000"/>
                        </w:tcBorders>
                      </w:tcPr>
                      <w:p>
                        <w:pPr>
                          <w:pStyle w:val="TableParagraph"/>
                          <w:spacing w:before="2"/>
                          <w:ind w:left="11"/>
                          <w:rPr>
                            <w:sz w:val="13"/>
                          </w:rPr>
                        </w:pPr>
                        <w:r>
                          <w:rPr>
                            <w:w w:val="105"/>
                            <w:sz w:val="13"/>
                          </w:rPr>
                          <w:t>San Antonio la Isla</w:t>
                        </w:r>
                      </w:p>
                    </w:tc>
                    <w:tc>
                      <w:tcPr>
                        <w:tcW w:w="100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1203</w:t>
                        </w:r>
                      </w:p>
                    </w:tc>
                    <w:tc>
                      <w:tcPr>
                        <w:tcW w:w="1567"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82.9</w:t>
                        </w:r>
                      </w:p>
                    </w:tc>
                    <w:tc>
                      <w:tcPr>
                        <w:tcW w:w="102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1806</w:t>
                        </w:r>
                      </w:p>
                    </w:tc>
                    <w:tc>
                      <w:tcPr>
                        <w:tcW w:w="1526"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94.3</w:t>
                        </w:r>
                      </w:p>
                    </w:tc>
                    <w:tc>
                      <w:tcPr>
                        <w:tcW w:w="97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5551</w:t>
                        </w:r>
                      </w:p>
                    </w:tc>
                    <w:tc>
                      <w:tcPr>
                        <w:tcW w:w="1485" w:type="dxa"/>
                        <w:tcBorders>
                          <w:top w:val="single" w:sz="5" w:space="0" w:color="000000"/>
                          <w:left w:val="single" w:sz="5" w:space="0" w:color="000000"/>
                          <w:bottom w:val="single" w:sz="5" w:space="0" w:color="000000"/>
                          <w:right w:val="single" w:sz="7" w:space="0" w:color="000000"/>
                        </w:tcBorders>
                      </w:tcPr>
                      <w:p>
                        <w:pPr>
                          <w:pStyle w:val="TableParagraph"/>
                          <w:spacing w:before="2"/>
                          <w:ind w:right="9"/>
                          <w:jc w:val="right"/>
                          <w:rPr>
                            <w:sz w:val="13"/>
                          </w:rPr>
                        </w:pPr>
                        <w:r>
                          <w:rPr>
                            <w:sz w:val="13"/>
                          </w:rPr>
                          <w:t>96.1</w:t>
                        </w:r>
                      </w:p>
                    </w:tc>
                  </w:tr>
                  <w:tr>
                    <w:trPr>
                      <w:trHeight w:val="176" w:hRule="exact"/>
                    </w:trPr>
                    <w:tc>
                      <w:tcPr>
                        <w:tcW w:w="1228" w:type="dxa"/>
                        <w:tcBorders>
                          <w:top w:val="single" w:sz="5" w:space="0" w:color="000000"/>
                          <w:left w:val="single" w:sz="7" w:space="0" w:color="000000"/>
                          <w:bottom w:val="single" w:sz="5" w:space="0" w:color="000000"/>
                          <w:right w:val="single" w:sz="5" w:space="0" w:color="000000"/>
                        </w:tcBorders>
                      </w:tcPr>
                      <w:p>
                        <w:pPr>
                          <w:pStyle w:val="TableParagraph"/>
                          <w:spacing w:before="2"/>
                          <w:ind w:left="11"/>
                          <w:rPr>
                            <w:sz w:val="13"/>
                          </w:rPr>
                        </w:pPr>
                        <w:r>
                          <w:rPr>
                            <w:w w:val="105"/>
                            <w:sz w:val="13"/>
                          </w:rPr>
                          <w:t>San Mateo Atenco</w:t>
                        </w:r>
                      </w:p>
                    </w:tc>
                    <w:tc>
                      <w:tcPr>
                        <w:tcW w:w="100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7139</w:t>
                        </w:r>
                      </w:p>
                    </w:tc>
                    <w:tc>
                      <w:tcPr>
                        <w:tcW w:w="1567"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65.4</w:t>
                        </w:r>
                      </w:p>
                    </w:tc>
                    <w:tc>
                      <w:tcPr>
                        <w:tcW w:w="102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11983</w:t>
                        </w:r>
                      </w:p>
                    </w:tc>
                    <w:tc>
                      <w:tcPr>
                        <w:tcW w:w="1526"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88.2</w:t>
                        </w:r>
                      </w:p>
                    </w:tc>
                    <w:tc>
                      <w:tcPr>
                        <w:tcW w:w="97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16118</w:t>
                        </w:r>
                      </w:p>
                    </w:tc>
                    <w:tc>
                      <w:tcPr>
                        <w:tcW w:w="1485" w:type="dxa"/>
                        <w:tcBorders>
                          <w:top w:val="single" w:sz="5" w:space="0" w:color="000000"/>
                          <w:left w:val="single" w:sz="5" w:space="0" w:color="000000"/>
                          <w:bottom w:val="single" w:sz="5" w:space="0" w:color="000000"/>
                          <w:right w:val="single" w:sz="7" w:space="0" w:color="000000"/>
                        </w:tcBorders>
                      </w:tcPr>
                      <w:p>
                        <w:pPr>
                          <w:pStyle w:val="TableParagraph"/>
                          <w:spacing w:before="2"/>
                          <w:ind w:right="9"/>
                          <w:jc w:val="right"/>
                          <w:rPr>
                            <w:sz w:val="13"/>
                          </w:rPr>
                        </w:pPr>
                        <w:r>
                          <w:rPr>
                            <w:sz w:val="13"/>
                          </w:rPr>
                          <w:t>94.9</w:t>
                        </w:r>
                      </w:p>
                    </w:tc>
                  </w:tr>
                  <w:tr>
                    <w:trPr>
                      <w:trHeight w:val="175" w:hRule="exact"/>
                    </w:trPr>
                    <w:tc>
                      <w:tcPr>
                        <w:tcW w:w="1228" w:type="dxa"/>
                        <w:tcBorders>
                          <w:top w:val="single" w:sz="5" w:space="0" w:color="000000"/>
                          <w:left w:val="single" w:sz="7" w:space="0" w:color="000000"/>
                          <w:bottom w:val="single" w:sz="5" w:space="0" w:color="000000"/>
                          <w:right w:val="single" w:sz="5" w:space="0" w:color="000000"/>
                        </w:tcBorders>
                      </w:tcPr>
                      <w:p>
                        <w:pPr>
                          <w:pStyle w:val="TableParagraph"/>
                          <w:spacing w:before="2"/>
                          <w:ind w:left="11"/>
                          <w:rPr>
                            <w:sz w:val="13"/>
                          </w:rPr>
                        </w:pPr>
                        <w:r>
                          <w:rPr>
                            <w:w w:val="105"/>
                            <w:sz w:val="13"/>
                          </w:rPr>
                          <w:t>Temoaya</w:t>
                        </w:r>
                      </w:p>
                    </w:tc>
                    <w:tc>
                      <w:tcPr>
                        <w:tcW w:w="100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8200</w:t>
                        </w:r>
                      </w:p>
                    </w:tc>
                    <w:tc>
                      <w:tcPr>
                        <w:tcW w:w="1567"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23.3</w:t>
                        </w:r>
                      </w:p>
                    </w:tc>
                    <w:tc>
                      <w:tcPr>
                        <w:tcW w:w="102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12384</w:t>
                        </w:r>
                      </w:p>
                    </w:tc>
                    <w:tc>
                      <w:tcPr>
                        <w:tcW w:w="1526"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46.7</w:t>
                        </w:r>
                      </w:p>
                    </w:tc>
                    <w:tc>
                      <w:tcPr>
                        <w:tcW w:w="97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17982</w:t>
                        </w:r>
                      </w:p>
                    </w:tc>
                    <w:tc>
                      <w:tcPr>
                        <w:tcW w:w="1485" w:type="dxa"/>
                        <w:tcBorders>
                          <w:top w:val="single" w:sz="5" w:space="0" w:color="000000"/>
                          <w:left w:val="single" w:sz="5" w:space="0" w:color="000000"/>
                          <w:bottom w:val="single" w:sz="5" w:space="0" w:color="000000"/>
                          <w:right w:val="single" w:sz="7" w:space="0" w:color="000000"/>
                        </w:tcBorders>
                      </w:tcPr>
                      <w:p>
                        <w:pPr>
                          <w:pStyle w:val="TableParagraph"/>
                          <w:spacing w:before="2"/>
                          <w:ind w:right="9"/>
                          <w:jc w:val="right"/>
                          <w:rPr>
                            <w:sz w:val="13"/>
                          </w:rPr>
                        </w:pPr>
                        <w:r>
                          <w:rPr>
                            <w:sz w:val="13"/>
                          </w:rPr>
                          <w:t>82.6</w:t>
                        </w:r>
                      </w:p>
                    </w:tc>
                  </w:tr>
                  <w:tr>
                    <w:trPr>
                      <w:trHeight w:val="176" w:hRule="exact"/>
                    </w:trPr>
                    <w:tc>
                      <w:tcPr>
                        <w:tcW w:w="1228" w:type="dxa"/>
                        <w:tcBorders>
                          <w:top w:val="single" w:sz="5" w:space="0" w:color="000000"/>
                          <w:left w:val="single" w:sz="7" w:space="0" w:color="000000"/>
                          <w:bottom w:val="single" w:sz="5" w:space="0" w:color="000000"/>
                          <w:right w:val="single" w:sz="5" w:space="0" w:color="000000"/>
                        </w:tcBorders>
                      </w:tcPr>
                      <w:p>
                        <w:pPr>
                          <w:pStyle w:val="TableParagraph"/>
                          <w:spacing w:before="2"/>
                          <w:ind w:left="11"/>
                          <w:rPr>
                            <w:sz w:val="13"/>
                          </w:rPr>
                        </w:pPr>
                        <w:r>
                          <w:rPr>
                            <w:w w:val="105"/>
                            <w:sz w:val="13"/>
                          </w:rPr>
                          <w:t>Toluca</w:t>
                        </w:r>
                      </w:p>
                    </w:tc>
                    <w:tc>
                      <w:tcPr>
                        <w:tcW w:w="100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92743</w:t>
                        </w:r>
                      </w:p>
                    </w:tc>
                    <w:tc>
                      <w:tcPr>
                        <w:tcW w:w="1567"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78.6</w:t>
                        </w:r>
                      </w:p>
                    </w:tc>
                    <w:tc>
                      <w:tcPr>
                        <w:tcW w:w="102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145649</w:t>
                        </w:r>
                      </w:p>
                    </w:tc>
                    <w:tc>
                      <w:tcPr>
                        <w:tcW w:w="1526"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88.2</w:t>
                        </w:r>
                      </w:p>
                    </w:tc>
                    <w:tc>
                      <w:tcPr>
                        <w:tcW w:w="97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199789</w:t>
                        </w:r>
                      </w:p>
                    </w:tc>
                    <w:tc>
                      <w:tcPr>
                        <w:tcW w:w="1485" w:type="dxa"/>
                        <w:tcBorders>
                          <w:top w:val="single" w:sz="5" w:space="0" w:color="000000"/>
                          <w:left w:val="single" w:sz="5" w:space="0" w:color="000000"/>
                          <w:bottom w:val="single" w:sz="5" w:space="0" w:color="000000"/>
                          <w:right w:val="single" w:sz="7" w:space="0" w:color="000000"/>
                        </w:tcBorders>
                      </w:tcPr>
                      <w:p>
                        <w:pPr>
                          <w:pStyle w:val="TableParagraph"/>
                          <w:spacing w:before="2"/>
                          <w:ind w:right="9"/>
                          <w:jc w:val="right"/>
                          <w:rPr>
                            <w:sz w:val="13"/>
                          </w:rPr>
                        </w:pPr>
                        <w:r>
                          <w:rPr>
                            <w:sz w:val="13"/>
                          </w:rPr>
                          <w:t>93.6</w:t>
                        </w:r>
                      </w:p>
                    </w:tc>
                  </w:tr>
                  <w:tr>
                    <w:trPr>
                      <w:trHeight w:val="175" w:hRule="exact"/>
                    </w:trPr>
                    <w:tc>
                      <w:tcPr>
                        <w:tcW w:w="1228" w:type="dxa"/>
                        <w:tcBorders>
                          <w:top w:val="single" w:sz="5" w:space="0" w:color="000000"/>
                          <w:left w:val="single" w:sz="7" w:space="0" w:color="000000"/>
                          <w:bottom w:val="single" w:sz="5" w:space="0" w:color="000000"/>
                          <w:right w:val="single" w:sz="5" w:space="0" w:color="000000"/>
                        </w:tcBorders>
                      </w:tcPr>
                      <w:p>
                        <w:pPr>
                          <w:pStyle w:val="TableParagraph"/>
                          <w:spacing w:before="2"/>
                          <w:ind w:left="11"/>
                          <w:rPr>
                            <w:sz w:val="13"/>
                          </w:rPr>
                        </w:pPr>
                        <w:r>
                          <w:rPr>
                            <w:w w:val="105"/>
                            <w:sz w:val="13"/>
                          </w:rPr>
                          <w:t>Xonacatlán</w:t>
                        </w:r>
                      </w:p>
                    </w:tc>
                    <w:tc>
                      <w:tcPr>
                        <w:tcW w:w="100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4870</w:t>
                        </w:r>
                      </w:p>
                    </w:tc>
                    <w:tc>
                      <w:tcPr>
                        <w:tcW w:w="1567"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60.6</w:t>
                        </w:r>
                      </w:p>
                    </w:tc>
                    <w:tc>
                      <w:tcPr>
                        <w:tcW w:w="102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8106</w:t>
                        </w:r>
                      </w:p>
                    </w:tc>
                    <w:tc>
                      <w:tcPr>
                        <w:tcW w:w="1526" w:type="dxa"/>
                        <w:tcBorders>
                          <w:top w:val="single" w:sz="5" w:space="0" w:color="000000"/>
                          <w:left w:val="single" w:sz="5" w:space="0" w:color="000000"/>
                          <w:bottom w:val="single" w:sz="5" w:space="0" w:color="000000"/>
                          <w:right w:val="single" w:sz="5" w:space="0" w:color="000000"/>
                        </w:tcBorders>
                      </w:tcPr>
                      <w:p>
                        <w:pPr>
                          <w:pStyle w:val="TableParagraph"/>
                          <w:spacing w:before="2"/>
                          <w:ind w:right="14"/>
                          <w:jc w:val="right"/>
                          <w:rPr>
                            <w:sz w:val="13"/>
                          </w:rPr>
                        </w:pPr>
                        <w:r>
                          <w:rPr>
                            <w:sz w:val="13"/>
                          </w:rPr>
                          <w:t>74.0</w:t>
                        </w:r>
                      </w:p>
                    </w:tc>
                    <w:tc>
                      <w:tcPr>
                        <w:tcW w:w="979" w:type="dxa"/>
                        <w:tcBorders>
                          <w:top w:val="single" w:sz="5" w:space="0" w:color="000000"/>
                          <w:left w:val="single" w:sz="5" w:space="0" w:color="000000"/>
                          <w:bottom w:val="single" w:sz="5" w:space="0" w:color="000000"/>
                          <w:right w:val="single" w:sz="5" w:space="0" w:color="000000"/>
                        </w:tcBorders>
                      </w:tcPr>
                      <w:p>
                        <w:pPr>
                          <w:pStyle w:val="TableParagraph"/>
                          <w:spacing w:before="2"/>
                          <w:ind w:right="15"/>
                          <w:jc w:val="right"/>
                          <w:rPr>
                            <w:sz w:val="13"/>
                          </w:rPr>
                        </w:pPr>
                        <w:r>
                          <w:rPr>
                            <w:sz w:val="13"/>
                          </w:rPr>
                          <w:t>9965</w:t>
                        </w:r>
                      </w:p>
                    </w:tc>
                    <w:tc>
                      <w:tcPr>
                        <w:tcW w:w="1485" w:type="dxa"/>
                        <w:tcBorders>
                          <w:top w:val="single" w:sz="5" w:space="0" w:color="000000"/>
                          <w:left w:val="single" w:sz="5" w:space="0" w:color="000000"/>
                          <w:bottom w:val="single" w:sz="5" w:space="0" w:color="000000"/>
                          <w:right w:val="single" w:sz="7" w:space="0" w:color="000000"/>
                        </w:tcBorders>
                      </w:tcPr>
                      <w:p>
                        <w:pPr>
                          <w:pStyle w:val="TableParagraph"/>
                          <w:spacing w:before="2"/>
                          <w:ind w:right="9"/>
                          <w:jc w:val="right"/>
                          <w:rPr>
                            <w:sz w:val="13"/>
                          </w:rPr>
                        </w:pPr>
                        <w:r>
                          <w:rPr>
                            <w:sz w:val="13"/>
                          </w:rPr>
                          <w:t>91.0</w:t>
                        </w:r>
                      </w:p>
                    </w:tc>
                  </w:tr>
                  <w:tr>
                    <w:trPr>
                      <w:trHeight w:val="184" w:hRule="exact"/>
                    </w:trPr>
                    <w:tc>
                      <w:tcPr>
                        <w:tcW w:w="1228" w:type="dxa"/>
                        <w:tcBorders>
                          <w:top w:val="single" w:sz="5" w:space="0" w:color="000000"/>
                          <w:left w:val="single" w:sz="7" w:space="0" w:color="000000"/>
                          <w:bottom w:val="single" w:sz="9" w:space="0" w:color="000000"/>
                          <w:right w:val="single" w:sz="5" w:space="0" w:color="000000"/>
                        </w:tcBorders>
                      </w:tcPr>
                      <w:p>
                        <w:pPr>
                          <w:pStyle w:val="TableParagraph"/>
                          <w:spacing w:line="158" w:lineRule="exact"/>
                          <w:ind w:left="11"/>
                          <w:rPr>
                            <w:sz w:val="13"/>
                          </w:rPr>
                        </w:pPr>
                        <w:r>
                          <w:rPr>
                            <w:w w:val="105"/>
                            <w:sz w:val="13"/>
                          </w:rPr>
                          <w:t>Zinacantepec</w:t>
                        </w:r>
                      </w:p>
                    </w:tc>
                    <w:tc>
                      <w:tcPr>
                        <w:tcW w:w="1009" w:type="dxa"/>
                        <w:tcBorders>
                          <w:top w:val="single" w:sz="5" w:space="0" w:color="000000"/>
                          <w:left w:val="single" w:sz="5" w:space="0" w:color="000000"/>
                          <w:bottom w:val="single" w:sz="9" w:space="0" w:color="000000"/>
                          <w:right w:val="single" w:sz="5" w:space="0" w:color="000000"/>
                        </w:tcBorders>
                      </w:tcPr>
                      <w:p>
                        <w:pPr>
                          <w:pStyle w:val="TableParagraph"/>
                          <w:spacing w:line="158" w:lineRule="exact"/>
                          <w:ind w:right="15"/>
                          <w:jc w:val="right"/>
                          <w:rPr>
                            <w:sz w:val="13"/>
                          </w:rPr>
                        </w:pPr>
                        <w:r>
                          <w:rPr>
                            <w:sz w:val="13"/>
                          </w:rPr>
                          <w:t>1496</w:t>
                        </w:r>
                      </w:p>
                    </w:tc>
                    <w:tc>
                      <w:tcPr>
                        <w:tcW w:w="1567" w:type="dxa"/>
                        <w:tcBorders>
                          <w:top w:val="single" w:sz="5" w:space="0" w:color="000000"/>
                          <w:left w:val="single" w:sz="5" w:space="0" w:color="000000"/>
                          <w:bottom w:val="single" w:sz="9" w:space="0" w:color="000000"/>
                          <w:right w:val="single" w:sz="5" w:space="0" w:color="000000"/>
                        </w:tcBorders>
                      </w:tcPr>
                      <w:p>
                        <w:pPr>
                          <w:pStyle w:val="TableParagraph"/>
                          <w:spacing w:line="158" w:lineRule="exact"/>
                          <w:ind w:right="14"/>
                          <w:jc w:val="right"/>
                          <w:rPr>
                            <w:sz w:val="13"/>
                          </w:rPr>
                        </w:pPr>
                        <w:r>
                          <w:rPr>
                            <w:sz w:val="13"/>
                          </w:rPr>
                          <w:t>62.3</w:t>
                        </w:r>
                      </w:p>
                    </w:tc>
                    <w:tc>
                      <w:tcPr>
                        <w:tcW w:w="1029" w:type="dxa"/>
                        <w:tcBorders>
                          <w:top w:val="single" w:sz="5" w:space="0" w:color="000000"/>
                          <w:left w:val="single" w:sz="5" w:space="0" w:color="000000"/>
                          <w:bottom w:val="single" w:sz="9" w:space="0" w:color="000000"/>
                          <w:right w:val="single" w:sz="5" w:space="0" w:color="000000"/>
                        </w:tcBorders>
                      </w:tcPr>
                      <w:p>
                        <w:pPr>
                          <w:pStyle w:val="TableParagraph"/>
                          <w:spacing w:line="158" w:lineRule="exact"/>
                          <w:ind w:right="15"/>
                          <w:jc w:val="right"/>
                          <w:rPr>
                            <w:sz w:val="13"/>
                          </w:rPr>
                        </w:pPr>
                        <w:r>
                          <w:rPr>
                            <w:sz w:val="13"/>
                          </w:rPr>
                          <w:t>23639</w:t>
                        </w:r>
                      </w:p>
                    </w:tc>
                    <w:tc>
                      <w:tcPr>
                        <w:tcW w:w="1526" w:type="dxa"/>
                        <w:tcBorders>
                          <w:top w:val="single" w:sz="5" w:space="0" w:color="000000"/>
                          <w:left w:val="single" w:sz="5" w:space="0" w:color="000000"/>
                          <w:bottom w:val="single" w:sz="9" w:space="0" w:color="000000"/>
                          <w:right w:val="single" w:sz="5" w:space="0" w:color="000000"/>
                        </w:tcBorders>
                      </w:tcPr>
                      <w:p>
                        <w:pPr>
                          <w:pStyle w:val="TableParagraph"/>
                          <w:spacing w:line="158" w:lineRule="exact"/>
                          <w:ind w:right="14"/>
                          <w:jc w:val="right"/>
                          <w:rPr>
                            <w:sz w:val="13"/>
                          </w:rPr>
                        </w:pPr>
                        <w:r>
                          <w:rPr>
                            <w:sz w:val="13"/>
                          </w:rPr>
                          <w:t>76.9</w:t>
                        </w:r>
                      </w:p>
                    </w:tc>
                    <w:tc>
                      <w:tcPr>
                        <w:tcW w:w="979" w:type="dxa"/>
                        <w:tcBorders>
                          <w:top w:val="single" w:sz="5" w:space="0" w:color="000000"/>
                          <w:left w:val="single" w:sz="5" w:space="0" w:color="000000"/>
                          <w:bottom w:val="single" w:sz="9" w:space="0" w:color="000000"/>
                          <w:right w:val="single" w:sz="5" w:space="0" w:color="000000"/>
                        </w:tcBorders>
                      </w:tcPr>
                      <w:p>
                        <w:pPr>
                          <w:pStyle w:val="TableParagraph"/>
                          <w:spacing w:line="158" w:lineRule="exact"/>
                          <w:ind w:right="15"/>
                          <w:jc w:val="right"/>
                          <w:rPr>
                            <w:sz w:val="13"/>
                          </w:rPr>
                        </w:pPr>
                        <w:r>
                          <w:rPr>
                            <w:sz w:val="13"/>
                          </w:rPr>
                          <w:t>37660</w:t>
                        </w:r>
                      </w:p>
                    </w:tc>
                    <w:tc>
                      <w:tcPr>
                        <w:tcW w:w="1485" w:type="dxa"/>
                        <w:tcBorders>
                          <w:top w:val="single" w:sz="5" w:space="0" w:color="000000"/>
                          <w:left w:val="single" w:sz="5" w:space="0" w:color="000000"/>
                          <w:bottom w:val="single" w:sz="9" w:space="0" w:color="000000"/>
                          <w:right w:val="single" w:sz="7" w:space="0" w:color="000000"/>
                        </w:tcBorders>
                      </w:tcPr>
                      <w:p>
                        <w:pPr>
                          <w:pStyle w:val="TableParagraph"/>
                          <w:spacing w:line="158" w:lineRule="exact"/>
                          <w:ind w:right="9"/>
                          <w:jc w:val="right"/>
                          <w:rPr>
                            <w:sz w:val="13"/>
                          </w:rPr>
                        </w:pPr>
                        <w:r>
                          <w:rPr>
                            <w:sz w:val="13"/>
                          </w:rPr>
                          <w:t>91.3</w:t>
                        </w:r>
                      </w:p>
                    </w:tc>
                  </w:tr>
                  <w:tr>
                    <w:trPr>
                      <w:trHeight w:val="181" w:hRule="exact"/>
                    </w:trPr>
                    <w:tc>
                      <w:tcPr>
                        <w:tcW w:w="1228" w:type="dxa"/>
                        <w:tcBorders>
                          <w:top w:val="single" w:sz="9" w:space="0" w:color="000000"/>
                          <w:left w:val="single" w:sz="7" w:space="0" w:color="000000"/>
                          <w:bottom w:val="single" w:sz="7" w:space="0" w:color="000000"/>
                          <w:right w:val="single" w:sz="5" w:space="0" w:color="000000"/>
                        </w:tcBorders>
                      </w:tcPr>
                      <w:p>
                        <w:pPr>
                          <w:pStyle w:val="TableParagraph"/>
                          <w:spacing w:line="152" w:lineRule="exact"/>
                          <w:ind w:left="11"/>
                          <w:rPr>
                            <w:b/>
                            <w:sz w:val="13"/>
                          </w:rPr>
                        </w:pPr>
                        <w:r>
                          <w:rPr>
                            <w:b/>
                            <w:w w:val="105"/>
                            <w:sz w:val="13"/>
                          </w:rPr>
                          <w:t>Total ZMT</w:t>
                        </w:r>
                      </w:p>
                    </w:tc>
                    <w:tc>
                      <w:tcPr>
                        <w:tcW w:w="1009" w:type="dxa"/>
                        <w:tcBorders>
                          <w:top w:val="single" w:sz="9" w:space="0" w:color="000000"/>
                          <w:left w:val="single" w:sz="5" w:space="0" w:color="000000"/>
                          <w:bottom w:val="single" w:sz="7" w:space="0" w:color="000000"/>
                          <w:right w:val="single" w:sz="5" w:space="0" w:color="000000"/>
                        </w:tcBorders>
                      </w:tcPr>
                      <w:p>
                        <w:pPr>
                          <w:pStyle w:val="TableParagraph"/>
                          <w:spacing w:line="152" w:lineRule="exact"/>
                          <w:ind w:right="15"/>
                          <w:jc w:val="right"/>
                          <w:rPr>
                            <w:sz w:val="13"/>
                          </w:rPr>
                        </w:pPr>
                        <w:r>
                          <w:rPr>
                            <w:sz w:val="13"/>
                          </w:rPr>
                          <w:t>191559</w:t>
                        </w:r>
                      </w:p>
                    </w:tc>
                    <w:tc>
                      <w:tcPr>
                        <w:tcW w:w="1567" w:type="dxa"/>
                        <w:tcBorders>
                          <w:top w:val="single" w:sz="9" w:space="0" w:color="000000"/>
                          <w:left w:val="single" w:sz="5" w:space="0" w:color="000000"/>
                          <w:bottom w:val="single" w:sz="7" w:space="0" w:color="000000"/>
                          <w:right w:val="single" w:sz="5" w:space="0" w:color="000000"/>
                        </w:tcBorders>
                      </w:tcPr>
                      <w:p>
                        <w:pPr>
                          <w:pStyle w:val="TableParagraph"/>
                          <w:spacing w:line="152" w:lineRule="exact"/>
                          <w:ind w:right="14"/>
                          <w:jc w:val="right"/>
                          <w:rPr>
                            <w:sz w:val="13"/>
                          </w:rPr>
                        </w:pPr>
                        <w:r>
                          <w:rPr>
                            <w:sz w:val="13"/>
                          </w:rPr>
                          <w:t>66.2</w:t>
                        </w:r>
                      </w:p>
                    </w:tc>
                    <w:tc>
                      <w:tcPr>
                        <w:tcW w:w="1029" w:type="dxa"/>
                        <w:tcBorders>
                          <w:top w:val="single" w:sz="9" w:space="0" w:color="000000"/>
                          <w:left w:val="single" w:sz="5" w:space="0" w:color="000000"/>
                          <w:bottom w:val="single" w:sz="7" w:space="0" w:color="000000"/>
                          <w:right w:val="single" w:sz="5" w:space="0" w:color="000000"/>
                        </w:tcBorders>
                      </w:tcPr>
                      <w:p>
                        <w:pPr>
                          <w:pStyle w:val="TableParagraph"/>
                          <w:spacing w:line="152" w:lineRule="exact"/>
                          <w:ind w:right="15"/>
                          <w:jc w:val="right"/>
                          <w:rPr>
                            <w:sz w:val="13"/>
                          </w:rPr>
                        </w:pPr>
                        <w:r>
                          <w:rPr>
                            <w:sz w:val="13"/>
                          </w:rPr>
                          <w:t>322635</w:t>
                        </w:r>
                      </w:p>
                    </w:tc>
                    <w:tc>
                      <w:tcPr>
                        <w:tcW w:w="1526" w:type="dxa"/>
                        <w:tcBorders>
                          <w:top w:val="single" w:sz="9" w:space="0" w:color="000000"/>
                          <w:left w:val="single" w:sz="5" w:space="0" w:color="000000"/>
                          <w:bottom w:val="single" w:sz="7" w:space="0" w:color="000000"/>
                          <w:right w:val="single" w:sz="5" w:space="0" w:color="000000"/>
                        </w:tcBorders>
                      </w:tcPr>
                      <w:p>
                        <w:pPr>
                          <w:pStyle w:val="TableParagraph"/>
                          <w:spacing w:line="152" w:lineRule="exact"/>
                          <w:ind w:right="14"/>
                          <w:jc w:val="right"/>
                          <w:rPr>
                            <w:sz w:val="13"/>
                          </w:rPr>
                        </w:pPr>
                        <w:r>
                          <w:rPr>
                            <w:sz w:val="13"/>
                          </w:rPr>
                          <w:t>80.7</w:t>
                        </w:r>
                      </w:p>
                    </w:tc>
                    <w:tc>
                      <w:tcPr>
                        <w:tcW w:w="979" w:type="dxa"/>
                        <w:tcBorders>
                          <w:top w:val="single" w:sz="9" w:space="0" w:color="000000"/>
                          <w:left w:val="single" w:sz="5" w:space="0" w:color="000000"/>
                          <w:bottom w:val="single" w:sz="7" w:space="0" w:color="000000"/>
                          <w:right w:val="single" w:sz="5" w:space="0" w:color="000000"/>
                        </w:tcBorders>
                      </w:tcPr>
                      <w:p>
                        <w:pPr>
                          <w:pStyle w:val="TableParagraph"/>
                          <w:spacing w:line="152" w:lineRule="exact"/>
                          <w:ind w:right="15"/>
                          <w:jc w:val="right"/>
                          <w:rPr>
                            <w:sz w:val="13"/>
                          </w:rPr>
                        </w:pPr>
                        <w:r>
                          <w:rPr>
                            <w:sz w:val="13"/>
                          </w:rPr>
                          <w:t>454739</w:t>
                        </w:r>
                      </w:p>
                    </w:tc>
                    <w:tc>
                      <w:tcPr>
                        <w:tcW w:w="1485" w:type="dxa"/>
                        <w:tcBorders>
                          <w:top w:val="single" w:sz="9" w:space="0" w:color="000000"/>
                          <w:left w:val="single" w:sz="5" w:space="0" w:color="000000"/>
                          <w:bottom w:val="single" w:sz="7" w:space="0" w:color="000000"/>
                          <w:right w:val="single" w:sz="7" w:space="0" w:color="000000"/>
                        </w:tcBorders>
                      </w:tcPr>
                      <w:p>
                        <w:pPr>
                          <w:pStyle w:val="TableParagraph"/>
                          <w:spacing w:line="152" w:lineRule="exact"/>
                          <w:ind w:right="9"/>
                          <w:jc w:val="right"/>
                          <w:rPr>
                            <w:sz w:val="13"/>
                          </w:rPr>
                        </w:pPr>
                        <w:r>
                          <w:rPr>
                            <w:sz w:val="13"/>
                          </w:rPr>
                          <w:t>91.9</w:t>
                        </w:r>
                      </w:p>
                    </w:tc>
                  </w:tr>
                </w:tbl>
                <w:p>
                  <w:pPr>
                    <w:pStyle w:val="BodyText"/>
                  </w:pPr>
                </w:p>
              </w:txbxContent>
            </v:textbox>
            <w10:wrap type="none"/>
          </v:shape>
        </w:pict>
      </w:r>
      <w:r>
        <w:rPr>
          <w:sz w:val="20"/>
        </w:rPr>
        <w:t>Cuadro No. 13 Viviendas que contaron con servicio de drenaje en la </w:t>
      </w:r>
      <w:r>
        <w:rPr>
          <w:sz w:val="16"/>
        </w:rPr>
        <w:t>ZMT</w:t>
      </w:r>
      <w:r>
        <w:rPr>
          <w:sz w:val="20"/>
        </w:rPr>
        <w:t>, 1990-2010.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41"/>
        <w:ind w:left="80" w:right="122" w:firstLine="0"/>
        <w:jc w:val="center"/>
        <w:rPr>
          <w:sz w:val="20"/>
        </w:rPr>
      </w:pPr>
      <w:r>
        <w:rPr>
          <w:sz w:val="20"/>
        </w:rPr>
        <w:t>Fuente: Elaboración propia con base en los datos de los Censos de Población y Vivienda INEGI, 1990, 2000 y 2010.</w:t>
      </w:r>
    </w:p>
    <w:p>
      <w:pPr>
        <w:pStyle w:val="BodyText"/>
        <w:rPr>
          <w:sz w:val="20"/>
        </w:rPr>
      </w:pPr>
    </w:p>
    <w:p>
      <w:pPr>
        <w:pStyle w:val="BodyText"/>
        <w:rPr>
          <w:sz w:val="16"/>
        </w:rPr>
      </w:pPr>
    </w:p>
    <w:p>
      <w:pPr>
        <w:pStyle w:val="BodyText"/>
        <w:spacing w:line="360" w:lineRule="auto"/>
        <w:ind w:left="102" w:right="140"/>
        <w:jc w:val="both"/>
      </w:pPr>
      <w:r>
        <w:rPr/>
        <w:t>Mientras que el municipio de Metepec fue el más alto porcentaje con el 92.1 por ciento del servicio de drenaje. El promedio de la </w:t>
      </w:r>
      <w:r>
        <w:rPr>
          <w:sz w:val="19"/>
        </w:rPr>
        <w:t>ZMT </w:t>
      </w:r>
      <w:r>
        <w:rPr/>
        <w:t>para el año 1990 de este servicio en las viviendas fue de 66.2 por ciento.</w:t>
      </w:r>
    </w:p>
    <w:p>
      <w:pPr>
        <w:spacing w:after="0" w:line="360" w:lineRule="auto"/>
        <w:jc w:val="both"/>
        <w:sectPr>
          <w:pgSz w:w="12240" w:h="15840"/>
          <w:pgMar w:header="0" w:footer="1003" w:top="1360" w:bottom="1200" w:left="1600" w:right="1560"/>
        </w:sectPr>
      </w:pPr>
    </w:p>
    <w:p>
      <w:pPr>
        <w:pStyle w:val="BodyText"/>
        <w:spacing w:line="360" w:lineRule="auto" w:before="54"/>
        <w:ind w:left="102" w:right="118"/>
        <w:jc w:val="both"/>
      </w:pPr>
      <w:r>
        <w:rPr/>
        <w:t>Para el año 2000 el municipio con menor servicio de drenaje fue Almoloya de Juárez con el 39.6 por ciento, Temoaya registró el 46.7 por ciento. Los municipios que registraron este servicio entre 60 a 90 por ciento fueron; Otzolotepec, Xonacatlán, Zinacantepec, Lerma, San Mateo Atenco y Toluca respectivamente.</w:t>
      </w:r>
    </w:p>
    <w:p>
      <w:pPr>
        <w:pStyle w:val="BodyText"/>
      </w:pPr>
    </w:p>
    <w:p>
      <w:pPr>
        <w:pStyle w:val="BodyText"/>
        <w:spacing w:line="360" w:lineRule="auto" w:before="142"/>
        <w:ind w:left="102" w:right="118"/>
        <w:jc w:val="both"/>
      </w:pPr>
      <w:r>
        <w:rPr/>
        <w:t>Y los municipios que registraron más del 90 por ciento del servicio son: Chapultepec, Ocoyoacac, Mexicaltzingo, Rayón, San Antonio la Isla respectivamente, el municipio de Metepec registro el mayor porcentaje 97.5 por ciento superando así el promedio de la </w:t>
      </w:r>
      <w:r>
        <w:rPr>
          <w:sz w:val="19"/>
        </w:rPr>
        <w:t>ZMT </w:t>
      </w:r>
      <w:r>
        <w:rPr/>
        <w:t>que fue del 80.7 por ciento incrementando un 14.5 por ciento respecto a una década anterior.</w:t>
      </w:r>
    </w:p>
    <w:p>
      <w:pPr>
        <w:pStyle w:val="BodyText"/>
      </w:pPr>
    </w:p>
    <w:p>
      <w:pPr>
        <w:pStyle w:val="BodyText"/>
        <w:spacing w:line="360" w:lineRule="auto" w:before="142"/>
        <w:ind w:left="102" w:right="118"/>
        <w:jc w:val="both"/>
      </w:pPr>
      <w:r>
        <w:rPr/>
        <w:t>Respecto al año 2010 los municipios con menor promedio del servicio de drenaje fueron Almoloya de Juárez con el 71.5 por ciento, Temoaya con el 82.6 por ciento y Otzolotepec con el 83.6 por ciento (ver mapa no.</w:t>
      </w:r>
      <w:r>
        <w:rPr>
          <w:spacing w:val="-14"/>
        </w:rPr>
        <w:t> </w:t>
      </w:r>
      <w:r>
        <w:rPr/>
        <w:t>4).</w:t>
      </w:r>
    </w:p>
    <w:p>
      <w:pPr>
        <w:pStyle w:val="BodyText"/>
      </w:pPr>
    </w:p>
    <w:p>
      <w:pPr>
        <w:pStyle w:val="BodyText"/>
        <w:spacing w:line="360" w:lineRule="auto" w:before="142"/>
        <w:ind w:left="102" w:right="116"/>
        <w:jc w:val="both"/>
      </w:pPr>
      <w:r>
        <w:rPr/>
        <w:t>El resto de los municipios registraron un promedio mayor a 91 por ciento, siendo Rayón el municipio que registro el mayor promedio 98 por ciento de este servicio de drenaje en las viviendas. El promedio de la </w:t>
      </w:r>
      <w:r>
        <w:rPr>
          <w:sz w:val="19"/>
        </w:rPr>
        <w:t>ZMT </w:t>
      </w:r>
      <w:r>
        <w:rPr/>
        <w:t>que fue del 91.9 por ciento incrementando un 11.2 por ciento respecto a una década anterior.</w:t>
      </w:r>
    </w:p>
    <w:p>
      <w:pPr>
        <w:pStyle w:val="BodyText"/>
      </w:pPr>
    </w:p>
    <w:p>
      <w:pPr>
        <w:pStyle w:val="BodyText"/>
        <w:spacing w:line="360" w:lineRule="auto" w:before="142"/>
        <w:ind w:left="102" w:right="116"/>
        <w:jc w:val="both"/>
      </w:pPr>
      <w:r>
        <w:rPr/>
        <w:t>Es decir,  Almoloya de Juárez es el municipio que presenta riesgo sanitario para  su población ya que más de 9 mil viviendas no cuentan con servicio de drenaje considerado como de saneamiento, sería bueno contar con información más específica sobre las viviendas para focalizar la falta de este servicio, desafortunadamente no es un objetivo de esta investigación, pero se queda como prioridad para investigaciones futuras sobre el</w:t>
      </w:r>
      <w:r>
        <w:rPr>
          <w:spacing w:val="-18"/>
        </w:rPr>
        <w:t> </w:t>
      </w:r>
      <w:r>
        <w:rPr/>
        <w:t>tema.</w:t>
      </w:r>
    </w:p>
    <w:p>
      <w:pPr>
        <w:spacing w:after="0" w:line="360" w:lineRule="auto"/>
        <w:jc w:val="both"/>
        <w:sectPr>
          <w:pgSz w:w="12240" w:h="15840"/>
          <w:pgMar w:header="0" w:footer="1003" w:top="1360" w:bottom="1200" w:left="1600" w:right="1580"/>
        </w:sectPr>
      </w:pPr>
    </w:p>
    <w:p>
      <w:pPr>
        <w:spacing w:before="53" w:after="3"/>
        <w:ind w:left="234" w:right="214" w:hanging="15"/>
        <w:jc w:val="left"/>
        <w:rPr>
          <w:sz w:val="20"/>
        </w:rPr>
      </w:pPr>
      <w:r>
        <w:rPr>
          <w:sz w:val="20"/>
        </w:rPr>
        <w:t>Mapa No. 4 Porcentaje de viviendas que contaron con servicio de drenaje en la </w:t>
      </w:r>
      <w:r>
        <w:rPr>
          <w:sz w:val="16"/>
        </w:rPr>
        <w:t>ZMT</w:t>
      </w:r>
      <w:r>
        <w:rPr>
          <w:sz w:val="20"/>
        </w:rPr>
        <w:t>, 1990-2010.</w:t>
      </w:r>
    </w:p>
    <w:p>
      <w:pPr>
        <w:pStyle w:val="BodyText"/>
        <w:ind w:left="130"/>
        <w:rPr>
          <w:sz w:val="20"/>
        </w:rPr>
      </w:pPr>
      <w:r>
        <w:rPr>
          <w:sz w:val="20"/>
        </w:rPr>
        <w:drawing>
          <wp:inline distT="0" distB="0" distL="0" distR="0">
            <wp:extent cx="5530693" cy="3911441"/>
            <wp:effectExtent l="0" t="0" r="0" b="0"/>
            <wp:docPr id="17" name="image43.jpeg" descr=""/>
            <wp:cNvGraphicFramePr>
              <a:graphicFrameLocks noChangeAspect="1"/>
            </wp:cNvGraphicFramePr>
            <a:graphic>
              <a:graphicData uri="http://schemas.openxmlformats.org/drawingml/2006/picture">
                <pic:pic>
                  <pic:nvPicPr>
                    <pic:cNvPr id="18" name="image43.jpeg"/>
                    <pic:cNvPicPr/>
                  </pic:nvPicPr>
                  <pic:blipFill>
                    <a:blip r:embed="rId69" cstate="print"/>
                    <a:stretch>
                      <a:fillRect/>
                    </a:stretch>
                  </pic:blipFill>
                  <pic:spPr>
                    <a:xfrm>
                      <a:off x="0" y="0"/>
                      <a:ext cx="5530693" cy="3911441"/>
                    </a:xfrm>
                    <a:prstGeom prst="rect">
                      <a:avLst/>
                    </a:prstGeom>
                  </pic:spPr>
                </pic:pic>
              </a:graphicData>
            </a:graphic>
          </wp:inline>
        </w:drawing>
      </w:r>
      <w:r>
        <w:rPr>
          <w:sz w:val="20"/>
        </w:rPr>
      </w:r>
    </w:p>
    <w:p>
      <w:pPr>
        <w:spacing w:before="88"/>
        <w:ind w:left="3664" w:right="214" w:hanging="3431"/>
        <w:jc w:val="left"/>
        <w:rPr>
          <w:sz w:val="20"/>
        </w:rPr>
      </w:pPr>
      <w:r>
        <w:rPr>
          <w:sz w:val="20"/>
        </w:rPr>
        <w:t>Fuente: Elaboración propia con base en los datos de los Censos de Población y Vivienda INEGI, 1990, 2000 y 2010.</w:t>
      </w:r>
    </w:p>
    <w:p>
      <w:pPr>
        <w:pStyle w:val="BodyText"/>
        <w:rPr>
          <w:sz w:val="20"/>
        </w:rPr>
      </w:pPr>
    </w:p>
    <w:p>
      <w:pPr>
        <w:pStyle w:val="BodyText"/>
        <w:rPr>
          <w:sz w:val="20"/>
        </w:rPr>
      </w:pPr>
    </w:p>
    <w:p>
      <w:pPr>
        <w:pStyle w:val="BodyText"/>
        <w:spacing w:before="2"/>
        <w:rPr>
          <w:sz w:val="20"/>
        </w:rPr>
      </w:pPr>
    </w:p>
    <w:p>
      <w:pPr>
        <w:pStyle w:val="BodyText"/>
        <w:spacing w:line="360" w:lineRule="auto"/>
        <w:ind w:left="102" w:right="138"/>
        <w:jc w:val="both"/>
      </w:pPr>
      <w:r>
        <w:rPr/>
        <w:t>Este servicio de drenaje en las viviendas además de ser un servicio  público básico, está estrechamente ligado con un servicio de salud, ya que los habitantes de las viviendas que no cuentan con este servicio, están expuestos  potencialmente a adquirir alguna enfermedad por la contaminación de aguas subterráneas, o por vías respiratorias. Son cuestiones de saneamiento de las viviendas como contar con sanitario o excusado en las viviendas lo cual se analiza a</w:t>
      </w:r>
      <w:r>
        <w:rPr>
          <w:spacing w:val="-5"/>
        </w:rPr>
        <w:t> </w:t>
      </w:r>
      <w:r>
        <w:rPr/>
        <w:t>continuación.</w:t>
      </w:r>
    </w:p>
    <w:p>
      <w:pPr>
        <w:pStyle w:val="ListParagraph"/>
        <w:numPr>
          <w:ilvl w:val="2"/>
          <w:numId w:val="19"/>
        </w:numPr>
        <w:tabs>
          <w:tab w:pos="642" w:val="left" w:leader="none"/>
        </w:tabs>
        <w:spacing w:line="240" w:lineRule="auto" w:before="203" w:after="0"/>
        <w:ind w:left="642" w:right="0" w:hanging="540"/>
        <w:jc w:val="both"/>
        <w:rPr>
          <w:rFonts w:ascii="Cambria"/>
          <w:b/>
          <w:sz w:val="22"/>
        </w:rPr>
      </w:pPr>
      <w:r>
        <w:rPr>
          <w:rFonts w:ascii="Cambria"/>
          <w:b/>
          <w:color w:val="4F81BC"/>
          <w:sz w:val="22"/>
        </w:rPr>
        <w:t>Vivienda con sanitario o</w:t>
      </w:r>
      <w:r>
        <w:rPr>
          <w:rFonts w:ascii="Cambria"/>
          <w:b/>
          <w:color w:val="4F81BC"/>
          <w:spacing w:val="-14"/>
          <w:sz w:val="22"/>
        </w:rPr>
        <w:t> </w:t>
      </w:r>
      <w:r>
        <w:rPr>
          <w:rFonts w:ascii="Cambria"/>
          <w:b/>
          <w:color w:val="4F81BC"/>
          <w:sz w:val="22"/>
        </w:rPr>
        <w:t>excusado</w:t>
      </w:r>
    </w:p>
    <w:p>
      <w:pPr>
        <w:pStyle w:val="BodyText"/>
        <w:rPr>
          <w:rFonts w:ascii="Cambria"/>
          <w:b/>
          <w:sz w:val="22"/>
        </w:rPr>
      </w:pPr>
    </w:p>
    <w:p>
      <w:pPr>
        <w:pStyle w:val="BodyText"/>
        <w:rPr>
          <w:rFonts w:ascii="Cambria"/>
          <w:b/>
          <w:sz w:val="22"/>
        </w:rPr>
      </w:pPr>
    </w:p>
    <w:p>
      <w:pPr>
        <w:pStyle w:val="BodyText"/>
        <w:spacing w:line="360" w:lineRule="auto" w:before="160"/>
        <w:ind w:left="102" w:right="140"/>
        <w:jc w:val="both"/>
      </w:pPr>
      <w:r>
        <w:rPr/>
        <w:t>Se le conoce como sanitario, excusado, retrete o inodoro al elemento sanitario utilizado para recoger y evacuar los excrementos y la orina de los seres humanos con una instalación de saneamiento al servicio de drenaje, mediante un sistema</w:t>
      </w:r>
    </w:p>
    <w:p>
      <w:pPr>
        <w:spacing w:after="0" w:line="360" w:lineRule="auto"/>
        <w:jc w:val="both"/>
        <w:sectPr>
          <w:pgSz w:w="12240" w:h="15840"/>
          <w:pgMar w:header="0" w:footer="1003" w:top="1360" w:bottom="1200" w:left="1600" w:right="1560"/>
        </w:sectPr>
      </w:pPr>
    </w:p>
    <w:p>
      <w:pPr>
        <w:pStyle w:val="BodyText"/>
        <w:spacing w:line="360" w:lineRule="auto" w:before="54"/>
        <w:ind w:left="102" w:right="146"/>
        <w:jc w:val="both"/>
      </w:pPr>
      <w:r>
        <w:rPr/>
        <w:t>de acueducto de agua limpia, da salida de olores desagradables de las viviendas hacia un colector o alcantarilla colectora denominado alcantarillado público.</w:t>
      </w:r>
    </w:p>
    <w:p>
      <w:pPr>
        <w:pStyle w:val="BodyText"/>
        <w:spacing w:line="360" w:lineRule="auto" w:before="204"/>
        <w:ind w:left="102" w:right="135"/>
        <w:jc w:val="both"/>
      </w:pPr>
      <w:r>
        <w:rPr/>
        <w:t>Con base en los datos del censo del año 2000 se puede decir que las viviendas con menor porcentaje de sanitario fue el municipio de Temoaya con el 46.8, Almoloya de Juárez con el 47.9 por ciento esto quiere decir que menos de la mitad contaban con este elemento en las viviendas, el municipio de Otzolotepec registró el 68.1 por ciento y Zinacantepec el 79.3 por ciento (ver cuadro no. 14).</w:t>
      </w:r>
    </w:p>
    <w:p>
      <w:pPr>
        <w:spacing w:before="201" w:after="3"/>
        <w:ind w:left="87" w:right="122" w:firstLine="0"/>
        <w:jc w:val="center"/>
        <w:rPr>
          <w:sz w:val="20"/>
        </w:rPr>
      </w:pPr>
      <w:r>
        <w:rPr>
          <w:sz w:val="20"/>
        </w:rPr>
        <w:t>Cuadro No. 14 Viviendas que contaron con sanitario o excusado en la </w:t>
      </w:r>
      <w:r>
        <w:rPr>
          <w:sz w:val="16"/>
        </w:rPr>
        <w:t>ZMT</w:t>
      </w:r>
      <w:r>
        <w:rPr>
          <w:sz w:val="20"/>
        </w:rPr>
        <w:t>, 2000-2010.</w:t>
      </w:r>
    </w:p>
    <w:tbl>
      <w:tblPr>
        <w:tblW w:w="0" w:type="auto"/>
        <w:jc w:val="left"/>
        <w:tblInd w:w="130" w:type="dxa"/>
        <w:tblBorders>
          <w:top w:val="single" w:sz="9" w:space="0" w:color="000000"/>
          <w:left w:val="single" w:sz="9" w:space="0" w:color="000000"/>
          <w:bottom w:val="single" w:sz="9" w:space="0" w:color="000000"/>
          <w:right w:val="single" w:sz="9" w:space="0" w:color="000000"/>
          <w:insideH w:val="single" w:sz="9" w:space="0" w:color="000000"/>
          <w:insideV w:val="single" w:sz="9" w:space="0" w:color="000000"/>
        </w:tblBorders>
        <w:tblLayout w:type="fixed"/>
        <w:tblCellMar>
          <w:top w:w="0" w:type="dxa"/>
          <w:left w:w="0" w:type="dxa"/>
          <w:bottom w:w="0" w:type="dxa"/>
          <w:right w:w="0" w:type="dxa"/>
        </w:tblCellMar>
        <w:tblLook w:val="01E0"/>
      </w:tblPr>
      <w:tblGrid>
        <w:gridCol w:w="1624"/>
        <w:gridCol w:w="1462"/>
        <w:gridCol w:w="2135"/>
        <w:gridCol w:w="1423"/>
        <w:gridCol w:w="2170"/>
      </w:tblGrid>
      <w:tr>
        <w:trPr>
          <w:trHeight w:val="228" w:hRule="exact"/>
        </w:trPr>
        <w:tc>
          <w:tcPr>
            <w:tcW w:w="1624" w:type="dxa"/>
            <w:tcBorders>
              <w:left w:val="single" w:sz="9" w:space="0" w:color="000000"/>
              <w:bottom w:val="single" w:sz="6" w:space="0" w:color="000000"/>
              <w:right w:val="single" w:sz="6" w:space="0" w:color="000000"/>
            </w:tcBorders>
            <w:shd w:val="clear" w:color="auto" w:fill="FFC000"/>
          </w:tcPr>
          <w:p>
            <w:pPr>
              <w:pStyle w:val="TableParagraph"/>
              <w:spacing w:line="204" w:lineRule="exact"/>
              <w:ind w:left="518"/>
              <w:rPr>
                <w:b/>
                <w:sz w:val="17"/>
              </w:rPr>
            </w:pPr>
            <w:r>
              <w:rPr>
                <w:b/>
                <w:w w:val="105"/>
                <w:sz w:val="17"/>
              </w:rPr>
              <w:t>Periodo</w:t>
            </w:r>
          </w:p>
        </w:tc>
        <w:tc>
          <w:tcPr>
            <w:tcW w:w="3597" w:type="dxa"/>
            <w:gridSpan w:val="2"/>
            <w:tcBorders>
              <w:left w:val="single" w:sz="6" w:space="0" w:color="000000"/>
              <w:bottom w:val="single" w:sz="6" w:space="0" w:color="000000"/>
              <w:right w:val="single" w:sz="6" w:space="0" w:color="000000"/>
            </w:tcBorders>
            <w:shd w:val="clear" w:color="auto" w:fill="FFC000"/>
          </w:tcPr>
          <w:p>
            <w:pPr>
              <w:pStyle w:val="TableParagraph"/>
              <w:spacing w:line="204" w:lineRule="exact"/>
              <w:ind w:left="1589" w:right="1589"/>
              <w:jc w:val="center"/>
              <w:rPr>
                <w:b/>
                <w:sz w:val="17"/>
              </w:rPr>
            </w:pPr>
            <w:r>
              <w:rPr>
                <w:b/>
                <w:w w:val="105"/>
                <w:sz w:val="17"/>
              </w:rPr>
              <w:t>2000</w:t>
            </w:r>
          </w:p>
        </w:tc>
        <w:tc>
          <w:tcPr>
            <w:tcW w:w="3593" w:type="dxa"/>
            <w:gridSpan w:val="2"/>
            <w:tcBorders>
              <w:left w:val="single" w:sz="6" w:space="0" w:color="000000"/>
              <w:bottom w:val="single" w:sz="6" w:space="0" w:color="000000"/>
              <w:right w:val="single" w:sz="9" w:space="0" w:color="000000"/>
            </w:tcBorders>
            <w:shd w:val="clear" w:color="auto" w:fill="FFC000"/>
          </w:tcPr>
          <w:p>
            <w:pPr>
              <w:pStyle w:val="TableParagraph"/>
              <w:spacing w:line="204" w:lineRule="exact"/>
              <w:ind w:left="1589" w:right="1582"/>
              <w:jc w:val="center"/>
              <w:rPr>
                <w:b/>
                <w:sz w:val="17"/>
              </w:rPr>
            </w:pPr>
            <w:r>
              <w:rPr>
                <w:b/>
                <w:w w:val="105"/>
                <w:sz w:val="17"/>
              </w:rPr>
              <w:t>2010</w:t>
            </w:r>
          </w:p>
        </w:tc>
      </w:tr>
      <w:tr>
        <w:trPr>
          <w:trHeight w:val="464" w:hRule="exact"/>
        </w:trPr>
        <w:tc>
          <w:tcPr>
            <w:tcW w:w="1624" w:type="dxa"/>
            <w:tcBorders>
              <w:top w:val="single" w:sz="6" w:space="0" w:color="000000"/>
              <w:left w:val="single" w:sz="9" w:space="0" w:color="000000"/>
              <w:bottom w:val="single" w:sz="6" w:space="0" w:color="000000"/>
              <w:right w:val="single" w:sz="6" w:space="0" w:color="000000"/>
            </w:tcBorders>
            <w:shd w:val="clear" w:color="auto" w:fill="FFC000"/>
          </w:tcPr>
          <w:p>
            <w:pPr>
              <w:pStyle w:val="TableParagraph"/>
              <w:spacing w:before="116"/>
              <w:ind w:left="429"/>
              <w:rPr>
                <w:b/>
                <w:sz w:val="17"/>
              </w:rPr>
            </w:pPr>
            <w:r>
              <w:rPr>
                <w:b/>
                <w:w w:val="105"/>
                <w:sz w:val="17"/>
              </w:rPr>
              <w:t>Municipio</w:t>
            </w:r>
          </w:p>
        </w:tc>
        <w:tc>
          <w:tcPr>
            <w:tcW w:w="1462" w:type="dxa"/>
            <w:tcBorders>
              <w:top w:val="single" w:sz="6" w:space="0" w:color="000000"/>
              <w:left w:val="single" w:sz="6" w:space="0" w:color="000000"/>
              <w:bottom w:val="single" w:sz="6" w:space="0" w:color="000000"/>
              <w:right w:val="single" w:sz="6" w:space="0" w:color="000000"/>
            </w:tcBorders>
            <w:shd w:val="clear" w:color="auto" w:fill="FFC000"/>
          </w:tcPr>
          <w:p>
            <w:pPr>
              <w:pStyle w:val="TableParagraph"/>
              <w:spacing w:line="268" w:lineRule="auto" w:before="8"/>
              <w:ind w:left="359" w:hanging="201"/>
              <w:rPr>
                <w:b/>
                <w:sz w:val="17"/>
              </w:rPr>
            </w:pPr>
            <w:r>
              <w:rPr>
                <w:b/>
                <w:w w:val="105"/>
                <w:sz w:val="17"/>
              </w:rPr>
              <w:t>Total Viviendas habitadas</w:t>
            </w:r>
          </w:p>
        </w:tc>
        <w:tc>
          <w:tcPr>
            <w:tcW w:w="2135" w:type="dxa"/>
            <w:tcBorders>
              <w:top w:val="single" w:sz="6" w:space="0" w:color="000000"/>
              <w:left w:val="single" w:sz="6" w:space="0" w:color="000000"/>
              <w:bottom w:val="single" w:sz="6" w:space="0" w:color="000000"/>
              <w:right w:val="single" w:sz="6" w:space="0" w:color="000000"/>
            </w:tcBorders>
            <w:shd w:val="clear" w:color="auto" w:fill="FFC000"/>
          </w:tcPr>
          <w:p>
            <w:pPr>
              <w:pStyle w:val="TableParagraph"/>
              <w:spacing w:line="268" w:lineRule="auto" w:before="8"/>
              <w:ind w:left="738" w:right="-2" w:hanging="708"/>
              <w:rPr>
                <w:b/>
                <w:sz w:val="17"/>
              </w:rPr>
            </w:pPr>
            <w:r>
              <w:rPr>
                <w:b/>
                <w:w w:val="105"/>
                <w:sz w:val="17"/>
              </w:rPr>
              <w:t>Porcentaje de viviendas con sanitario</w:t>
            </w:r>
          </w:p>
        </w:tc>
        <w:tc>
          <w:tcPr>
            <w:tcW w:w="1423" w:type="dxa"/>
            <w:tcBorders>
              <w:top w:val="single" w:sz="6" w:space="0" w:color="000000"/>
              <w:left w:val="single" w:sz="6" w:space="0" w:color="000000"/>
              <w:bottom w:val="single" w:sz="6" w:space="0" w:color="000000"/>
              <w:right w:val="single" w:sz="6" w:space="0" w:color="000000"/>
            </w:tcBorders>
            <w:shd w:val="clear" w:color="auto" w:fill="FFC000"/>
          </w:tcPr>
          <w:p>
            <w:pPr>
              <w:pStyle w:val="TableParagraph"/>
              <w:spacing w:line="268" w:lineRule="auto" w:before="8"/>
              <w:ind w:left="340" w:hanging="201"/>
              <w:rPr>
                <w:b/>
                <w:sz w:val="17"/>
              </w:rPr>
            </w:pPr>
            <w:r>
              <w:rPr>
                <w:b/>
                <w:w w:val="105"/>
                <w:sz w:val="17"/>
              </w:rPr>
              <w:t>Total Viviendas habitadas</w:t>
            </w:r>
          </w:p>
        </w:tc>
        <w:tc>
          <w:tcPr>
            <w:tcW w:w="2170" w:type="dxa"/>
            <w:tcBorders>
              <w:top w:val="single" w:sz="6" w:space="0" w:color="000000"/>
              <w:left w:val="single" w:sz="6" w:space="0" w:color="000000"/>
              <w:bottom w:val="single" w:sz="6" w:space="0" w:color="000000"/>
              <w:right w:val="single" w:sz="6" w:space="0" w:color="000000"/>
            </w:tcBorders>
            <w:shd w:val="clear" w:color="auto" w:fill="FFC000"/>
          </w:tcPr>
          <w:p>
            <w:pPr>
              <w:pStyle w:val="TableParagraph"/>
              <w:spacing w:line="268" w:lineRule="auto" w:before="8"/>
              <w:ind w:left="757" w:right="14" w:hanging="708"/>
              <w:rPr>
                <w:b/>
                <w:sz w:val="17"/>
              </w:rPr>
            </w:pPr>
            <w:r>
              <w:rPr>
                <w:b/>
                <w:w w:val="105"/>
                <w:sz w:val="17"/>
              </w:rPr>
              <w:t>Porcentaje de viviendas con sanitario</w:t>
            </w:r>
          </w:p>
        </w:tc>
      </w:tr>
      <w:tr>
        <w:trPr>
          <w:trHeight w:val="232" w:hRule="exact"/>
        </w:trPr>
        <w:tc>
          <w:tcPr>
            <w:tcW w:w="1624" w:type="dxa"/>
            <w:tcBorders>
              <w:top w:val="single" w:sz="6" w:space="0" w:color="000000"/>
              <w:left w:val="single" w:sz="9" w:space="0" w:color="000000"/>
              <w:bottom w:val="single" w:sz="6" w:space="0" w:color="000000"/>
              <w:right w:val="single" w:sz="6" w:space="0" w:color="000000"/>
            </w:tcBorders>
          </w:tcPr>
          <w:p>
            <w:pPr>
              <w:pStyle w:val="TableParagraph"/>
              <w:spacing w:before="4"/>
              <w:ind w:left="15"/>
              <w:rPr>
                <w:sz w:val="17"/>
              </w:rPr>
            </w:pPr>
            <w:r>
              <w:rPr>
                <w:w w:val="105"/>
                <w:sz w:val="17"/>
              </w:rPr>
              <w:t>Almoloya de Juárez</w:t>
            </w:r>
          </w:p>
        </w:tc>
        <w:tc>
          <w:tcPr>
            <w:tcW w:w="1462"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21999</w:t>
            </w:r>
          </w:p>
        </w:tc>
        <w:tc>
          <w:tcPr>
            <w:tcW w:w="2135" w:type="dxa"/>
            <w:tcBorders>
              <w:top w:val="single" w:sz="6" w:space="0" w:color="000000"/>
              <w:left w:val="single" w:sz="6" w:space="0" w:color="000000"/>
              <w:bottom w:val="single" w:sz="6" w:space="0" w:color="000000"/>
              <w:right w:val="single" w:sz="6" w:space="0" w:color="000000"/>
            </w:tcBorders>
          </w:tcPr>
          <w:p>
            <w:pPr>
              <w:pStyle w:val="TableParagraph"/>
              <w:spacing w:before="4"/>
              <w:ind w:right="20"/>
              <w:jc w:val="right"/>
              <w:rPr>
                <w:sz w:val="17"/>
              </w:rPr>
            </w:pPr>
            <w:r>
              <w:rPr>
                <w:sz w:val="17"/>
              </w:rPr>
              <w:t>47.9</w:t>
            </w:r>
          </w:p>
        </w:tc>
        <w:tc>
          <w:tcPr>
            <w:tcW w:w="1423"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32840</w:t>
            </w:r>
          </w:p>
        </w:tc>
        <w:tc>
          <w:tcPr>
            <w:tcW w:w="2170" w:type="dxa"/>
            <w:tcBorders>
              <w:top w:val="single" w:sz="6" w:space="0" w:color="000000"/>
              <w:left w:val="single" w:sz="6" w:space="0" w:color="000000"/>
              <w:bottom w:val="single" w:sz="6" w:space="0" w:color="000000"/>
              <w:right w:val="single" w:sz="9" w:space="0" w:color="000000"/>
            </w:tcBorders>
          </w:tcPr>
          <w:p>
            <w:pPr>
              <w:pStyle w:val="TableParagraph"/>
              <w:spacing w:before="4"/>
              <w:ind w:right="12"/>
              <w:jc w:val="right"/>
              <w:rPr>
                <w:sz w:val="17"/>
              </w:rPr>
            </w:pPr>
            <w:r>
              <w:rPr>
                <w:sz w:val="17"/>
              </w:rPr>
              <w:t>77.7</w:t>
            </w:r>
          </w:p>
        </w:tc>
      </w:tr>
      <w:tr>
        <w:trPr>
          <w:trHeight w:val="232" w:hRule="exact"/>
        </w:trPr>
        <w:tc>
          <w:tcPr>
            <w:tcW w:w="1624" w:type="dxa"/>
            <w:tcBorders>
              <w:top w:val="single" w:sz="6" w:space="0" w:color="000000"/>
              <w:left w:val="single" w:sz="9" w:space="0" w:color="000000"/>
              <w:bottom w:val="single" w:sz="6" w:space="0" w:color="000000"/>
              <w:right w:val="single" w:sz="6" w:space="0" w:color="000000"/>
            </w:tcBorders>
          </w:tcPr>
          <w:p>
            <w:pPr>
              <w:pStyle w:val="TableParagraph"/>
              <w:spacing w:before="4"/>
              <w:ind w:left="15"/>
              <w:rPr>
                <w:sz w:val="17"/>
              </w:rPr>
            </w:pPr>
            <w:r>
              <w:rPr>
                <w:w w:val="105"/>
                <w:sz w:val="17"/>
              </w:rPr>
              <w:t>Calimaya</w:t>
            </w:r>
          </w:p>
        </w:tc>
        <w:tc>
          <w:tcPr>
            <w:tcW w:w="1462"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7153</w:t>
            </w:r>
          </w:p>
        </w:tc>
        <w:tc>
          <w:tcPr>
            <w:tcW w:w="2135" w:type="dxa"/>
            <w:tcBorders>
              <w:top w:val="single" w:sz="6" w:space="0" w:color="000000"/>
              <w:left w:val="single" w:sz="6" w:space="0" w:color="000000"/>
              <w:bottom w:val="single" w:sz="6" w:space="0" w:color="000000"/>
              <w:right w:val="single" w:sz="6" w:space="0" w:color="000000"/>
            </w:tcBorders>
          </w:tcPr>
          <w:p>
            <w:pPr>
              <w:pStyle w:val="TableParagraph"/>
              <w:spacing w:before="4"/>
              <w:ind w:right="20"/>
              <w:jc w:val="right"/>
              <w:rPr>
                <w:sz w:val="17"/>
              </w:rPr>
            </w:pPr>
            <w:r>
              <w:rPr>
                <w:sz w:val="17"/>
              </w:rPr>
              <w:t>87.1</w:t>
            </w:r>
          </w:p>
        </w:tc>
        <w:tc>
          <w:tcPr>
            <w:tcW w:w="1423"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10694</w:t>
            </w:r>
          </w:p>
        </w:tc>
        <w:tc>
          <w:tcPr>
            <w:tcW w:w="2170" w:type="dxa"/>
            <w:tcBorders>
              <w:top w:val="single" w:sz="6" w:space="0" w:color="000000"/>
              <w:left w:val="single" w:sz="6" w:space="0" w:color="000000"/>
              <w:bottom w:val="single" w:sz="6" w:space="0" w:color="000000"/>
              <w:right w:val="single" w:sz="9" w:space="0" w:color="000000"/>
            </w:tcBorders>
          </w:tcPr>
          <w:p>
            <w:pPr>
              <w:pStyle w:val="TableParagraph"/>
              <w:spacing w:before="4"/>
              <w:ind w:right="12"/>
              <w:jc w:val="right"/>
              <w:rPr>
                <w:sz w:val="17"/>
              </w:rPr>
            </w:pPr>
            <w:r>
              <w:rPr>
                <w:sz w:val="17"/>
              </w:rPr>
              <w:t>95.7</w:t>
            </w:r>
          </w:p>
        </w:tc>
      </w:tr>
      <w:tr>
        <w:trPr>
          <w:trHeight w:val="232" w:hRule="exact"/>
        </w:trPr>
        <w:tc>
          <w:tcPr>
            <w:tcW w:w="1624" w:type="dxa"/>
            <w:tcBorders>
              <w:top w:val="single" w:sz="6" w:space="0" w:color="000000"/>
              <w:left w:val="single" w:sz="9" w:space="0" w:color="000000"/>
              <w:bottom w:val="single" w:sz="6" w:space="0" w:color="000000"/>
              <w:right w:val="single" w:sz="6" w:space="0" w:color="000000"/>
            </w:tcBorders>
          </w:tcPr>
          <w:p>
            <w:pPr>
              <w:pStyle w:val="TableParagraph"/>
              <w:spacing w:before="4"/>
              <w:ind w:left="15"/>
              <w:rPr>
                <w:sz w:val="17"/>
              </w:rPr>
            </w:pPr>
            <w:r>
              <w:rPr>
                <w:w w:val="105"/>
                <w:sz w:val="17"/>
              </w:rPr>
              <w:t>Chapultepec</w:t>
            </w:r>
          </w:p>
        </w:tc>
        <w:tc>
          <w:tcPr>
            <w:tcW w:w="1462"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1183</w:t>
            </w:r>
          </w:p>
        </w:tc>
        <w:tc>
          <w:tcPr>
            <w:tcW w:w="2135" w:type="dxa"/>
            <w:tcBorders>
              <w:top w:val="single" w:sz="6" w:space="0" w:color="000000"/>
              <w:left w:val="single" w:sz="6" w:space="0" w:color="000000"/>
              <w:bottom w:val="single" w:sz="6" w:space="0" w:color="000000"/>
              <w:right w:val="single" w:sz="6" w:space="0" w:color="000000"/>
            </w:tcBorders>
          </w:tcPr>
          <w:p>
            <w:pPr>
              <w:pStyle w:val="TableParagraph"/>
              <w:spacing w:before="4"/>
              <w:ind w:right="20"/>
              <w:jc w:val="right"/>
              <w:rPr>
                <w:sz w:val="17"/>
              </w:rPr>
            </w:pPr>
            <w:r>
              <w:rPr>
                <w:sz w:val="17"/>
              </w:rPr>
              <w:t>85.5</w:t>
            </w:r>
          </w:p>
        </w:tc>
        <w:tc>
          <w:tcPr>
            <w:tcW w:w="1423"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2420</w:t>
            </w:r>
          </w:p>
        </w:tc>
        <w:tc>
          <w:tcPr>
            <w:tcW w:w="2170" w:type="dxa"/>
            <w:tcBorders>
              <w:top w:val="single" w:sz="6" w:space="0" w:color="000000"/>
              <w:left w:val="single" w:sz="6" w:space="0" w:color="000000"/>
              <w:bottom w:val="single" w:sz="6" w:space="0" w:color="000000"/>
              <w:right w:val="single" w:sz="9" w:space="0" w:color="000000"/>
            </w:tcBorders>
          </w:tcPr>
          <w:p>
            <w:pPr>
              <w:pStyle w:val="TableParagraph"/>
              <w:spacing w:before="4"/>
              <w:ind w:right="12"/>
              <w:jc w:val="right"/>
              <w:rPr>
                <w:sz w:val="17"/>
              </w:rPr>
            </w:pPr>
            <w:r>
              <w:rPr>
                <w:sz w:val="17"/>
              </w:rPr>
              <w:t>97.4</w:t>
            </w:r>
          </w:p>
        </w:tc>
      </w:tr>
      <w:tr>
        <w:trPr>
          <w:trHeight w:val="232" w:hRule="exact"/>
        </w:trPr>
        <w:tc>
          <w:tcPr>
            <w:tcW w:w="1624" w:type="dxa"/>
            <w:tcBorders>
              <w:top w:val="single" w:sz="6" w:space="0" w:color="000000"/>
              <w:left w:val="single" w:sz="9" w:space="0" w:color="000000"/>
              <w:bottom w:val="single" w:sz="6" w:space="0" w:color="000000"/>
              <w:right w:val="single" w:sz="6" w:space="0" w:color="000000"/>
            </w:tcBorders>
          </w:tcPr>
          <w:p>
            <w:pPr>
              <w:pStyle w:val="TableParagraph"/>
              <w:spacing w:before="5"/>
              <w:ind w:left="15"/>
              <w:rPr>
                <w:sz w:val="17"/>
              </w:rPr>
            </w:pPr>
            <w:r>
              <w:rPr>
                <w:w w:val="105"/>
                <w:sz w:val="17"/>
              </w:rPr>
              <w:t>Lerma</w:t>
            </w:r>
          </w:p>
        </w:tc>
        <w:tc>
          <w:tcPr>
            <w:tcW w:w="1462" w:type="dxa"/>
            <w:tcBorders>
              <w:top w:val="single" w:sz="6" w:space="0" w:color="000000"/>
              <w:left w:val="single" w:sz="6" w:space="0" w:color="000000"/>
              <w:bottom w:val="single" w:sz="6" w:space="0" w:color="000000"/>
              <w:right w:val="single" w:sz="6" w:space="0" w:color="000000"/>
            </w:tcBorders>
          </w:tcPr>
          <w:p>
            <w:pPr>
              <w:pStyle w:val="TableParagraph"/>
              <w:spacing w:before="5"/>
              <w:ind w:right="21"/>
              <w:jc w:val="right"/>
              <w:rPr>
                <w:sz w:val="17"/>
              </w:rPr>
            </w:pPr>
            <w:r>
              <w:rPr>
                <w:sz w:val="17"/>
              </w:rPr>
              <w:t>20659</w:t>
            </w:r>
          </w:p>
        </w:tc>
        <w:tc>
          <w:tcPr>
            <w:tcW w:w="2135" w:type="dxa"/>
            <w:tcBorders>
              <w:top w:val="single" w:sz="6" w:space="0" w:color="000000"/>
              <w:left w:val="single" w:sz="6" w:space="0" w:color="000000"/>
              <w:bottom w:val="single" w:sz="6" w:space="0" w:color="000000"/>
              <w:right w:val="single" w:sz="6" w:space="0" w:color="000000"/>
            </w:tcBorders>
          </w:tcPr>
          <w:p>
            <w:pPr>
              <w:pStyle w:val="TableParagraph"/>
              <w:spacing w:before="5"/>
              <w:ind w:right="20"/>
              <w:jc w:val="right"/>
              <w:rPr>
                <w:sz w:val="17"/>
              </w:rPr>
            </w:pPr>
            <w:r>
              <w:rPr>
                <w:sz w:val="17"/>
              </w:rPr>
              <w:t>87.5</w:t>
            </w:r>
          </w:p>
        </w:tc>
        <w:tc>
          <w:tcPr>
            <w:tcW w:w="1423" w:type="dxa"/>
            <w:tcBorders>
              <w:top w:val="single" w:sz="6" w:space="0" w:color="000000"/>
              <w:left w:val="single" w:sz="6" w:space="0" w:color="000000"/>
              <w:bottom w:val="single" w:sz="6" w:space="0" w:color="000000"/>
              <w:right w:val="single" w:sz="6" w:space="0" w:color="000000"/>
            </w:tcBorders>
          </w:tcPr>
          <w:p>
            <w:pPr>
              <w:pStyle w:val="TableParagraph"/>
              <w:spacing w:before="5"/>
              <w:ind w:right="21"/>
              <w:jc w:val="right"/>
              <w:rPr>
                <w:sz w:val="17"/>
              </w:rPr>
            </w:pPr>
            <w:r>
              <w:rPr>
                <w:sz w:val="17"/>
              </w:rPr>
              <w:t>31349</w:t>
            </w:r>
          </w:p>
        </w:tc>
        <w:tc>
          <w:tcPr>
            <w:tcW w:w="2170" w:type="dxa"/>
            <w:tcBorders>
              <w:top w:val="single" w:sz="6" w:space="0" w:color="000000"/>
              <w:left w:val="single" w:sz="6" w:space="0" w:color="000000"/>
              <w:bottom w:val="single" w:sz="6" w:space="0" w:color="000000"/>
              <w:right w:val="single" w:sz="9" w:space="0" w:color="000000"/>
            </w:tcBorders>
          </w:tcPr>
          <w:p>
            <w:pPr>
              <w:pStyle w:val="TableParagraph"/>
              <w:spacing w:before="5"/>
              <w:ind w:right="12"/>
              <w:jc w:val="right"/>
              <w:rPr>
                <w:sz w:val="17"/>
              </w:rPr>
            </w:pPr>
            <w:r>
              <w:rPr>
                <w:sz w:val="17"/>
              </w:rPr>
              <w:t>95.0</w:t>
            </w:r>
          </w:p>
        </w:tc>
      </w:tr>
      <w:tr>
        <w:trPr>
          <w:trHeight w:val="232" w:hRule="exact"/>
        </w:trPr>
        <w:tc>
          <w:tcPr>
            <w:tcW w:w="1624" w:type="dxa"/>
            <w:tcBorders>
              <w:top w:val="single" w:sz="6" w:space="0" w:color="000000"/>
              <w:left w:val="single" w:sz="9" w:space="0" w:color="000000"/>
              <w:bottom w:val="single" w:sz="6" w:space="0" w:color="000000"/>
              <w:right w:val="single" w:sz="6" w:space="0" w:color="000000"/>
            </w:tcBorders>
          </w:tcPr>
          <w:p>
            <w:pPr>
              <w:pStyle w:val="TableParagraph"/>
              <w:spacing w:before="4"/>
              <w:ind w:left="15"/>
              <w:rPr>
                <w:sz w:val="17"/>
              </w:rPr>
            </w:pPr>
            <w:r>
              <w:rPr>
                <w:w w:val="105"/>
                <w:sz w:val="17"/>
              </w:rPr>
              <w:t>Metepec</w:t>
            </w:r>
          </w:p>
        </w:tc>
        <w:tc>
          <w:tcPr>
            <w:tcW w:w="1462"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43852</w:t>
            </w:r>
          </w:p>
        </w:tc>
        <w:tc>
          <w:tcPr>
            <w:tcW w:w="2135" w:type="dxa"/>
            <w:tcBorders>
              <w:top w:val="single" w:sz="6" w:space="0" w:color="000000"/>
              <w:left w:val="single" w:sz="6" w:space="0" w:color="000000"/>
              <w:bottom w:val="single" w:sz="6" w:space="0" w:color="000000"/>
              <w:right w:val="single" w:sz="6" w:space="0" w:color="000000"/>
            </w:tcBorders>
          </w:tcPr>
          <w:p>
            <w:pPr>
              <w:pStyle w:val="TableParagraph"/>
              <w:spacing w:before="4"/>
              <w:ind w:right="20"/>
              <w:jc w:val="right"/>
              <w:rPr>
                <w:sz w:val="17"/>
              </w:rPr>
            </w:pPr>
            <w:r>
              <w:rPr>
                <w:sz w:val="17"/>
              </w:rPr>
              <w:t>95.1</w:t>
            </w:r>
          </w:p>
        </w:tc>
        <w:tc>
          <w:tcPr>
            <w:tcW w:w="1423"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54915</w:t>
            </w:r>
          </w:p>
        </w:tc>
        <w:tc>
          <w:tcPr>
            <w:tcW w:w="2170" w:type="dxa"/>
            <w:tcBorders>
              <w:top w:val="single" w:sz="6" w:space="0" w:color="000000"/>
              <w:left w:val="single" w:sz="6" w:space="0" w:color="000000"/>
              <w:bottom w:val="single" w:sz="6" w:space="0" w:color="000000"/>
              <w:right w:val="single" w:sz="9" w:space="0" w:color="000000"/>
            </w:tcBorders>
          </w:tcPr>
          <w:p>
            <w:pPr>
              <w:pStyle w:val="TableParagraph"/>
              <w:spacing w:before="4"/>
              <w:ind w:right="12"/>
              <w:jc w:val="right"/>
              <w:rPr>
                <w:sz w:val="17"/>
              </w:rPr>
            </w:pPr>
            <w:r>
              <w:rPr>
                <w:sz w:val="17"/>
              </w:rPr>
              <w:t>96.4</w:t>
            </w:r>
          </w:p>
        </w:tc>
      </w:tr>
      <w:tr>
        <w:trPr>
          <w:trHeight w:val="232" w:hRule="exact"/>
        </w:trPr>
        <w:tc>
          <w:tcPr>
            <w:tcW w:w="1624" w:type="dxa"/>
            <w:tcBorders>
              <w:top w:val="single" w:sz="6" w:space="0" w:color="000000"/>
              <w:left w:val="single" w:sz="9" w:space="0" w:color="000000"/>
              <w:bottom w:val="single" w:sz="6" w:space="0" w:color="000000"/>
              <w:right w:val="single" w:sz="6" w:space="0" w:color="000000"/>
            </w:tcBorders>
          </w:tcPr>
          <w:p>
            <w:pPr>
              <w:pStyle w:val="TableParagraph"/>
              <w:spacing w:before="4"/>
              <w:ind w:left="15"/>
              <w:rPr>
                <w:sz w:val="17"/>
              </w:rPr>
            </w:pPr>
            <w:r>
              <w:rPr>
                <w:w w:val="105"/>
                <w:sz w:val="17"/>
              </w:rPr>
              <w:t>Mexicaltzingo</w:t>
            </w:r>
          </w:p>
        </w:tc>
        <w:tc>
          <w:tcPr>
            <w:tcW w:w="1462"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1727</w:t>
            </w:r>
          </w:p>
        </w:tc>
        <w:tc>
          <w:tcPr>
            <w:tcW w:w="2135" w:type="dxa"/>
            <w:tcBorders>
              <w:top w:val="single" w:sz="6" w:space="0" w:color="000000"/>
              <w:left w:val="single" w:sz="6" w:space="0" w:color="000000"/>
              <w:bottom w:val="single" w:sz="6" w:space="0" w:color="000000"/>
              <w:right w:val="single" w:sz="6" w:space="0" w:color="000000"/>
            </w:tcBorders>
          </w:tcPr>
          <w:p>
            <w:pPr>
              <w:pStyle w:val="TableParagraph"/>
              <w:spacing w:before="4"/>
              <w:ind w:right="20"/>
              <w:jc w:val="right"/>
              <w:rPr>
                <w:sz w:val="17"/>
              </w:rPr>
            </w:pPr>
            <w:r>
              <w:rPr>
                <w:sz w:val="17"/>
              </w:rPr>
              <w:t>89.3</w:t>
            </w:r>
          </w:p>
        </w:tc>
        <w:tc>
          <w:tcPr>
            <w:tcW w:w="1423"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2622</w:t>
            </w:r>
          </w:p>
        </w:tc>
        <w:tc>
          <w:tcPr>
            <w:tcW w:w="2170" w:type="dxa"/>
            <w:tcBorders>
              <w:top w:val="single" w:sz="6" w:space="0" w:color="000000"/>
              <w:left w:val="single" w:sz="6" w:space="0" w:color="000000"/>
              <w:bottom w:val="single" w:sz="6" w:space="0" w:color="000000"/>
              <w:right w:val="single" w:sz="9" w:space="0" w:color="000000"/>
            </w:tcBorders>
          </w:tcPr>
          <w:p>
            <w:pPr>
              <w:pStyle w:val="TableParagraph"/>
              <w:spacing w:before="4"/>
              <w:ind w:right="12"/>
              <w:jc w:val="right"/>
              <w:rPr>
                <w:sz w:val="17"/>
              </w:rPr>
            </w:pPr>
            <w:r>
              <w:rPr>
                <w:sz w:val="17"/>
              </w:rPr>
              <w:t>96.5</w:t>
            </w:r>
          </w:p>
        </w:tc>
      </w:tr>
      <w:tr>
        <w:trPr>
          <w:trHeight w:val="232" w:hRule="exact"/>
        </w:trPr>
        <w:tc>
          <w:tcPr>
            <w:tcW w:w="1624" w:type="dxa"/>
            <w:tcBorders>
              <w:top w:val="single" w:sz="6" w:space="0" w:color="000000"/>
              <w:left w:val="single" w:sz="9" w:space="0" w:color="000000"/>
              <w:bottom w:val="single" w:sz="6" w:space="0" w:color="000000"/>
              <w:right w:val="single" w:sz="6" w:space="0" w:color="000000"/>
            </w:tcBorders>
          </w:tcPr>
          <w:p>
            <w:pPr>
              <w:pStyle w:val="TableParagraph"/>
              <w:spacing w:before="4"/>
              <w:ind w:left="15"/>
              <w:rPr>
                <w:sz w:val="17"/>
              </w:rPr>
            </w:pPr>
            <w:r>
              <w:rPr>
                <w:w w:val="105"/>
                <w:sz w:val="17"/>
              </w:rPr>
              <w:t>Ocoyoacac</w:t>
            </w:r>
          </w:p>
        </w:tc>
        <w:tc>
          <w:tcPr>
            <w:tcW w:w="1462"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10099</w:t>
            </w:r>
          </w:p>
        </w:tc>
        <w:tc>
          <w:tcPr>
            <w:tcW w:w="2135" w:type="dxa"/>
            <w:tcBorders>
              <w:top w:val="single" w:sz="6" w:space="0" w:color="000000"/>
              <w:left w:val="single" w:sz="6" w:space="0" w:color="000000"/>
              <w:bottom w:val="single" w:sz="6" w:space="0" w:color="000000"/>
              <w:right w:val="single" w:sz="6" w:space="0" w:color="000000"/>
            </w:tcBorders>
          </w:tcPr>
          <w:p>
            <w:pPr>
              <w:pStyle w:val="TableParagraph"/>
              <w:spacing w:before="4"/>
              <w:ind w:right="20"/>
              <w:jc w:val="right"/>
              <w:rPr>
                <w:sz w:val="17"/>
              </w:rPr>
            </w:pPr>
            <w:r>
              <w:rPr>
                <w:sz w:val="17"/>
              </w:rPr>
              <w:t>89.0</w:t>
            </w:r>
          </w:p>
        </w:tc>
        <w:tc>
          <w:tcPr>
            <w:tcW w:w="1423"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13926</w:t>
            </w:r>
          </w:p>
        </w:tc>
        <w:tc>
          <w:tcPr>
            <w:tcW w:w="2170" w:type="dxa"/>
            <w:tcBorders>
              <w:top w:val="single" w:sz="6" w:space="0" w:color="000000"/>
              <w:left w:val="single" w:sz="6" w:space="0" w:color="000000"/>
              <w:bottom w:val="single" w:sz="6" w:space="0" w:color="000000"/>
              <w:right w:val="single" w:sz="9" w:space="0" w:color="000000"/>
            </w:tcBorders>
          </w:tcPr>
          <w:p>
            <w:pPr>
              <w:pStyle w:val="TableParagraph"/>
              <w:spacing w:before="4"/>
              <w:ind w:right="12"/>
              <w:jc w:val="right"/>
              <w:rPr>
                <w:sz w:val="17"/>
              </w:rPr>
            </w:pPr>
            <w:r>
              <w:rPr>
                <w:sz w:val="17"/>
              </w:rPr>
              <w:t>97.0</w:t>
            </w:r>
          </w:p>
        </w:tc>
      </w:tr>
      <w:tr>
        <w:trPr>
          <w:trHeight w:val="232" w:hRule="exact"/>
        </w:trPr>
        <w:tc>
          <w:tcPr>
            <w:tcW w:w="1624" w:type="dxa"/>
            <w:tcBorders>
              <w:top w:val="single" w:sz="6" w:space="0" w:color="000000"/>
              <w:left w:val="single" w:sz="9" w:space="0" w:color="000000"/>
              <w:bottom w:val="single" w:sz="6" w:space="0" w:color="000000"/>
              <w:right w:val="single" w:sz="6" w:space="0" w:color="000000"/>
            </w:tcBorders>
          </w:tcPr>
          <w:p>
            <w:pPr>
              <w:pStyle w:val="TableParagraph"/>
              <w:spacing w:before="4"/>
              <w:ind w:left="15"/>
              <w:rPr>
                <w:sz w:val="17"/>
              </w:rPr>
            </w:pPr>
            <w:r>
              <w:rPr>
                <w:w w:val="105"/>
                <w:sz w:val="17"/>
              </w:rPr>
              <w:t>Otzolotepec</w:t>
            </w:r>
          </w:p>
        </w:tc>
        <w:tc>
          <w:tcPr>
            <w:tcW w:w="1462"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10713</w:t>
            </w:r>
          </w:p>
        </w:tc>
        <w:tc>
          <w:tcPr>
            <w:tcW w:w="2135" w:type="dxa"/>
            <w:tcBorders>
              <w:top w:val="single" w:sz="6" w:space="0" w:color="000000"/>
              <w:left w:val="single" w:sz="6" w:space="0" w:color="000000"/>
              <w:bottom w:val="single" w:sz="6" w:space="0" w:color="000000"/>
              <w:right w:val="single" w:sz="6" w:space="0" w:color="000000"/>
            </w:tcBorders>
          </w:tcPr>
          <w:p>
            <w:pPr>
              <w:pStyle w:val="TableParagraph"/>
              <w:spacing w:before="4"/>
              <w:ind w:right="20"/>
              <w:jc w:val="right"/>
              <w:rPr>
                <w:sz w:val="17"/>
              </w:rPr>
            </w:pPr>
            <w:r>
              <w:rPr>
                <w:sz w:val="17"/>
              </w:rPr>
              <w:t>68.1</w:t>
            </w:r>
          </w:p>
        </w:tc>
        <w:tc>
          <w:tcPr>
            <w:tcW w:w="1423"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16074</w:t>
            </w:r>
          </w:p>
        </w:tc>
        <w:tc>
          <w:tcPr>
            <w:tcW w:w="2170" w:type="dxa"/>
            <w:tcBorders>
              <w:top w:val="single" w:sz="6" w:space="0" w:color="000000"/>
              <w:left w:val="single" w:sz="6" w:space="0" w:color="000000"/>
              <w:bottom w:val="single" w:sz="6" w:space="0" w:color="000000"/>
              <w:right w:val="single" w:sz="9" w:space="0" w:color="000000"/>
            </w:tcBorders>
          </w:tcPr>
          <w:p>
            <w:pPr>
              <w:pStyle w:val="TableParagraph"/>
              <w:spacing w:before="4"/>
              <w:ind w:right="12"/>
              <w:jc w:val="right"/>
              <w:rPr>
                <w:sz w:val="17"/>
              </w:rPr>
            </w:pPr>
            <w:r>
              <w:rPr>
                <w:sz w:val="17"/>
              </w:rPr>
              <w:t>87.8</w:t>
            </w:r>
          </w:p>
        </w:tc>
      </w:tr>
      <w:tr>
        <w:trPr>
          <w:trHeight w:val="232" w:hRule="exact"/>
        </w:trPr>
        <w:tc>
          <w:tcPr>
            <w:tcW w:w="1624" w:type="dxa"/>
            <w:tcBorders>
              <w:top w:val="single" w:sz="6" w:space="0" w:color="000000"/>
              <w:left w:val="single" w:sz="9" w:space="0" w:color="000000"/>
              <w:bottom w:val="single" w:sz="6" w:space="0" w:color="000000"/>
              <w:right w:val="single" w:sz="6" w:space="0" w:color="000000"/>
            </w:tcBorders>
          </w:tcPr>
          <w:p>
            <w:pPr>
              <w:pStyle w:val="TableParagraph"/>
              <w:spacing w:before="4"/>
              <w:ind w:left="15"/>
              <w:rPr>
                <w:sz w:val="17"/>
              </w:rPr>
            </w:pPr>
            <w:r>
              <w:rPr>
                <w:w w:val="105"/>
                <w:sz w:val="17"/>
              </w:rPr>
              <w:t>Rayón</w:t>
            </w:r>
          </w:p>
        </w:tc>
        <w:tc>
          <w:tcPr>
            <w:tcW w:w="1462"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1683</w:t>
            </w:r>
          </w:p>
        </w:tc>
        <w:tc>
          <w:tcPr>
            <w:tcW w:w="2135" w:type="dxa"/>
            <w:tcBorders>
              <w:top w:val="single" w:sz="6" w:space="0" w:color="000000"/>
              <w:left w:val="single" w:sz="6" w:space="0" w:color="000000"/>
              <w:bottom w:val="single" w:sz="6" w:space="0" w:color="000000"/>
              <w:right w:val="single" w:sz="6" w:space="0" w:color="000000"/>
            </w:tcBorders>
          </w:tcPr>
          <w:p>
            <w:pPr>
              <w:pStyle w:val="TableParagraph"/>
              <w:spacing w:before="4"/>
              <w:ind w:right="20"/>
              <w:jc w:val="right"/>
              <w:rPr>
                <w:sz w:val="17"/>
              </w:rPr>
            </w:pPr>
            <w:r>
              <w:rPr>
                <w:sz w:val="17"/>
              </w:rPr>
              <w:t>92.3</w:t>
            </w:r>
          </w:p>
        </w:tc>
        <w:tc>
          <w:tcPr>
            <w:tcW w:w="1423"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2834</w:t>
            </w:r>
          </w:p>
        </w:tc>
        <w:tc>
          <w:tcPr>
            <w:tcW w:w="2170" w:type="dxa"/>
            <w:tcBorders>
              <w:top w:val="single" w:sz="6" w:space="0" w:color="000000"/>
              <w:left w:val="single" w:sz="6" w:space="0" w:color="000000"/>
              <w:bottom w:val="single" w:sz="6" w:space="0" w:color="000000"/>
              <w:right w:val="single" w:sz="9" w:space="0" w:color="000000"/>
            </w:tcBorders>
          </w:tcPr>
          <w:p>
            <w:pPr>
              <w:pStyle w:val="TableParagraph"/>
              <w:spacing w:before="4"/>
              <w:ind w:right="12"/>
              <w:jc w:val="right"/>
              <w:rPr>
                <w:sz w:val="17"/>
              </w:rPr>
            </w:pPr>
            <w:r>
              <w:rPr>
                <w:sz w:val="17"/>
              </w:rPr>
              <w:t>98.7</w:t>
            </w:r>
          </w:p>
        </w:tc>
      </w:tr>
      <w:tr>
        <w:trPr>
          <w:trHeight w:val="232" w:hRule="exact"/>
        </w:trPr>
        <w:tc>
          <w:tcPr>
            <w:tcW w:w="1624" w:type="dxa"/>
            <w:tcBorders>
              <w:top w:val="single" w:sz="6" w:space="0" w:color="000000"/>
              <w:left w:val="single" w:sz="9" w:space="0" w:color="000000"/>
              <w:bottom w:val="single" w:sz="6" w:space="0" w:color="000000"/>
              <w:right w:val="single" w:sz="6" w:space="0" w:color="000000"/>
            </w:tcBorders>
          </w:tcPr>
          <w:p>
            <w:pPr>
              <w:pStyle w:val="TableParagraph"/>
              <w:spacing w:before="4"/>
              <w:ind w:left="15"/>
              <w:rPr>
                <w:sz w:val="17"/>
              </w:rPr>
            </w:pPr>
            <w:r>
              <w:rPr>
                <w:w w:val="105"/>
                <w:sz w:val="17"/>
              </w:rPr>
              <w:t>San Antonio la Isla</w:t>
            </w:r>
          </w:p>
        </w:tc>
        <w:tc>
          <w:tcPr>
            <w:tcW w:w="1462"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1806</w:t>
            </w:r>
          </w:p>
        </w:tc>
        <w:tc>
          <w:tcPr>
            <w:tcW w:w="2135" w:type="dxa"/>
            <w:tcBorders>
              <w:top w:val="single" w:sz="6" w:space="0" w:color="000000"/>
              <w:left w:val="single" w:sz="6" w:space="0" w:color="000000"/>
              <w:bottom w:val="single" w:sz="6" w:space="0" w:color="000000"/>
              <w:right w:val="single" w:sz="6" w:space="0" w:color="000000"/>
            </w:tcBorders>
          </w:tcPr>
          <w:p>
            <w:pPr>
              <w:pStyle w:val="TableParagraph"/>
              <w:spacing w:before="4"/>
              <w:ind w:right="20"/>
              <w:jc w:val="right"/>
              <w:rPr>
                <w:sz w:val="17"/>
              </w:rPr>
            </w:pPr>
            <w:r>
              <w:rPr>
                <w:sz w:val="17"/>
              </w:rPr>
              <w:t>91.2</w:t>
            </w:r>
          </w:p>
        </w:tc>
        <w:tc>
          <w:tcPr>
            <w:tcW w:w="1423"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5551</w:t>
            </w:r>
          </w:p>
        </w:tc>
        <w:tc>
          <w:tcPr>
            <w:tcW w:w="2170" w:type="dxa"/>
            <w:tcBorders>
              <w:top w:val="single" w:sz="6" w:space="0" w:color="000000"/>
              <w:left w:val="single" w:sz="6" w:space="0" w:color="000000"/>
              <w:bottom w:val="single" w:sz="6" w:space="0" w:color="000000"/>
              <w:right w:val="single" w:sz="9" w:space="0" w:color="000000"/>
            </w:tcBorders>
          </w:tcPr>
          <w:p>
            <w:pPr>
              <w:pStyle w:val="TableParagraph"/>
              <w:spacing w:before="4"/>
              <w:ind w:right="12"/>
              <w:jc w:val="right"/>
              <w:rPr>
                <w:sz w:val="17"/>
              </w:rPr>
            </w:pPr>
            <w:r>
              <w:rPr>
                <w:sz w:val="17"/>
              </w:rPr>
              <w:t>95.8</w:t>
            </w:r>
          </w:p>
        </w:tc>
      </w:tr>
      <w:tr>
        <w:trPr>
          <w:trHeight w:val="232" w:hRule="exact"/>
        </w:trPr>
        <w:tc>
          <w:tcPr>
            <w:tcW w:w="1624" w:type="dxa"/>
            <w:tcBorders>
              <w:top w:val="single" w:sz="6" w:space="0" w:color="000000"/>
              <w:left w:val="single" w:sz="9" w:space="0" w:color="000000"/>
              <w:bottom w:val="single" w:sz="6" w:space="0" w:color="000000"/>
              <w:right w:val="single" w:sz="6" w:space="0" w:color="000000"/>
            </w:tcBorders>
          </w:tcPr>
          <w:p>
            <w:pPr>
              <w:pStyle w:val="TableParagraph"/>
              <w:spacing w:before="4"/>
              <w:ind w:left="15"/>
              <w:rPr>
                <w:sz w:val="17"/>
              </w:rPr>
            </w:pPr>
            <w:r>
              <w:rPr>
                <w:w w:val="105"/>
                <w:sz w:val="17"/>
              </w:rPr>
              <w:t>San Mateo Atenco</w:t>
            </w:r>
          </w:p>
        </w:tc>
        <w:tc>
          <w:tcPr>
            <w:tcW w:w="1462"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11983</w:t>
            </w:r>
          </w:p>
        </w:tc>
        <w:tc>
          <w:tcPr>
            <w:tcW w:w="2135" w:type="dxa"/>
            <w:tcBorders>
              <w:top w:val="single" w:sz="6" w:space="0" w:color="000000"/>
              <w:left w:val="single" w:sz="6" w:space="0" w:color="000000"/>
              <w:bottom w:val="single" w:sz="6" w:space="0" w:color="000000"/>
              <w:right w:val="single" w:sz="6" w:space="0" w:color="000000"/>
            </w:tcBorders>
          </w:tcPr>
          <w:p>
            <w:pPr>
              <w:pStyle w:val="TableParagraph"/>
              <w:spacing w:before="4"/>
              <w:ind w:right="20"/>
              <w:jc w:val="right"/>
              <w:rPr>
                <w:sz w:val="17"/>
              </w:rPr>
            </w:pPr>
            <w:r>
              <w:rPr>
                <w:sz w:val="17"/>
              </w:rPr>
              <w:t>87.4</w:t>
            </w:r>
          </w:p>
        </w:tc>
        <w:tc>
          <w:tcPr>
            <w:tcW w:w="1423"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16118</w:t>
            </w:r>
          </w:p>
        </w:tc>
        <w:tc>
          <w:tcPr>
            <w:tcW w:w="2170" w:type="dxa"/>
            <w:tcBorders>
              <w:top w:val="single" w:sz="6" w:space="0" w:color="000000"/>
              <w:left w:val="single" w:sz="6" w:space="0" w:color="000000"/>
              <w:bottom w:val="single" w:sz="6" w:space="0" w:color="000000"/>
              <w:right w:val="single" w:sz="9" w:space="0" w:color="000000"/>
            </w:tcBorders>
          </w:tcPr>
          <w:p>
            <w:pPr>
              <w:pStyle w:val="TableParagraph"/>
              <w:spacing w:before="4"/>
              <w:ind w:right="12"/>
              <w:jc w:val="right"/>
              <w:rPr>
                <w:sz w:val="17"/>
              </w:rPr>
            </w:pPr>
            <w:r>
              <w:rPr>
                <w:sz w:val="17"/>
              </w:rPr>
              <w:t>94.9</w:t>
            </w:r>
          </w:p>
        </w:tc>
      </w:tr>
      <w:tr>
        <w:trPr>
          <w:trHeight w:val="232" w:hRule="exact"/>
        </w:trPr>
        <w:tc>
          <w:tcPr>
            <w:tcW w:w="1624" w:type="dxa"/>
            <w:tcBorders>
              <w:top w:val="single" w:sz="6" w:space="0" w:color="000000"/>
              <w:left w:val="single" w:sz="9" w:space="0" w:color="000000"/>
              <w:bottom w:val="single" w:sz="6" w:space="0" w:color="000000"/>
              <w:right w:val="single" w:sz="6" w:space="0" w:color="000000"/>
            </w:tcBorders>
          </w:tcPr>
          <w:p>
            <w:pPr>
              <w:pStyle w:val="TableParagraph"/>
              <w:spacing w:before="4"/>
              <w:ind w:left="15"/>
              <w:rPr>
                <w:sz w:val="17"/>
              </w:rPr>
            </w:pPr>
            <w:r>
              <w:rPr>
                <w:w w:val="105"/>
                <w:sz w:val="17"/>
              </w:rPr>
              <w:t>Temoaya</w:t>
            </w:r>
          </w:p>
        </w:tc>
        <w:tc>
          <w:tcPr>
            <w:tcW w:w="1462"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12384</w:t>
            </w:r>
          </w:p>
        </w:tc>
        <w:tc>
          <w:tcPr>
            <w:tcW w:w="2135" w:type="dxa"/>
            <w:tcBorders>
              <w:top w:val="single" w:sz="6" w:space="0" w:color="000000"/>
              <w:left w:val="single" w:sz="6" w:space="0" w:color="000000"/>
              <w:bottom w:val="single" w:sz="6" w:space="0" w:color="000000"/>
              <w:right w:val="single" w:sz="6" w:space="0" w:color="000000"/>
            </w:tcBorders>
          </w:tcPr>
          <w:p>
            <w:pPr>
              <w:pStyle w:val="TableParagraph"/>
              <w:spacing w:before="4"/>
              <w:ind w:right="20"/>
              <w:jc w:val="right"/>
              <w:rPr>
                <w:sz w:val="17"/>
              </w:rPr>
            </w:pPr>
            <w:r>
              <w:rPr>
                <w:sz w:val="17"/>
              </w:rPr>
              <w:t>46.8</w:t>
            </w:r>
          </w:p>
        </w:tc>
        <w:tc>
          <w:tcPr>
            <w:tcW w:w="1423"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17982</w:t>
            </w:r>
          </w:p>
        </w:tc>
        <w:tc>
          <w:tcPr>
            <w:tcW w:w="2170" w:type="dxa"/>
            <w:tcBorders>
              <w:top w:val="single" w:sz="6" w:space="0" w:color="000000"/>
              <w:left w:val="single" w:sz="6" w:space="0" w:color="000000"/>
              <w:bottom w:val="single" w:sz="6" w:space="0" w:color="000000"/>
              <w:right w:val="single" w:sz="9" w:space="0" w:color="000000"/>
            </w:tcBorders>
          </w:tcPr>
          <w:p>
            <w:pPr>
              <w:pStyle w:val="TableParagraph"/>
              <w:spacing w:before="4"/>
              <w:ind w:right="12"/>
              <w:jc w:val="right"/>
              <w:rPr>
                <w:sz w:val="17"/>
              </w:rPr>
            </w:pPr>
            <w:r>
              <w:rPr>
                <w:sz w:val="17"/>
              </w:rPr>
              <w:t>84.4</w:t>
            </w:r>
          </w:p>
        </w:tc>
      </w:tr>
      <w:tr>
        <w:trPr>
          <w:trHeight w:val="232" w:hRule="exact"/>
        </w:trPr>
        <w:tc>
          <w:tcPr>
            <w:tcW w:w="1624" w:type="dxa"/>
            <w:tcBorders>
              <w:top w:val="single" w:sz="6" w:space="0" w:color="000000"/>
              <w:left w:val="single" w:sz="9" w:space="0" w:color="000000"/>
              <w:bottom w:val="single" w:sz="6" w:space="0" w:color="000000"/>
              <w:right w:val="single" w:sz="6" w:space="0" w:color="000000"/>
            </w:tcBorders>
          </w:tcPr>
          <w:p>
            <w:pPr>
              <w:pStyle w:val="TableParagraph"/>
              <w:spacing w:before="4"/>
              <w:ind w:left="15"/>
              <w:rPr>
                <w:sz w:val="17"/>
              </w:rPr>
            </w:pPr>
            <w:r>
              <w:rPr>
                <w:w w:val="105"/>
                <w:sz w:val="17"/>
              </w:rPr>
              <w:t>Toluca</w:t>
            </w:r>
          </w:p>
        </w:tc>
        <w:tc>
          <w:tcPr>
            <w:tcW w:w="1462"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145649</w:t>
            </w:r>
          </w:p>
        </w:tc>
        <w:tc>
          <w:tcPr>
            <w:tcW w:w="2135" w:type="dxa"/>
            <w:tcBorders>
              <w:top w:val="single" w:sz="6" w:space="0" w:color="000000"/>
              <w:left w:val="single" w:sz="6" w:space="0" w:color="000000"/>
              <w:bottom w:val="single" w:sz="6" w:space="0" w:color="000000"/>
              <w:right w:val="single" w:sz="6" w:space="0" w:color="000000"/>
            </w:tcBorders>
          </w:tcPr>
          <w:p>
            <w:pPr>
              <w:pStyle w:val="TableParagraph"/>
              <w:spacing w:before="4"/>
              <w:ind w:right="20"/>
              <w:jc w:val="right"/>
              <w:rPr>
                <w:sz w:val="17"/>
              </w:rPr>
            </w:pPr>
            <w:r>
              <w:rPr>
                <w:sz w:val="17"/>
              </w:rPr>
              <w:t>87.3</w:t>
            </w:r>
          </w:p>
        </w:tc>
        <w:tc>
          <w:tcPr>
            <w:tcW w:w="1423"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199789</w:t>
            </w:r>
          </w:p>
        </w:tc>
        <w:tc>
          <w:tcPr>
            <w:tcW w:w="2170" w:type="dxa"/>
            <w:tcBorders>
              <w:top w:val="single" w:sz="6" w:space="0" w:color="000000"/>
              <w:left w:val="single" w:sz="6" w:space="0" w:color="000000"/>
              <w:bottom w:val="single" w:sz="6" w:space="0" w:color="000000"/>
              <w:right w:val="single" w:sz="9" w:space="0" w:color="000000"/>
            </w:tcBorders>
          </w:tcPr>
          <w:p>
            <w:pPr>
              <w:pStyle w:val="TableParagraph"/>
              <w:spacing w:before="4"/>
              <w:ind w:right="12"/>
              <w:jc w:val="right"/>
              <w:rPr>
                <w:sz w:val="17"/>
              </w:rPr>
            </w:pPr>
            <w:r>
              <w:rPr>
                <w:sz w:val="17"/>
              </w:rPr>
              <w:t>94.9</w:t>
            </w:r>
          </w:p>
        </w:tc>
      </w:tr>
      <w:tr>
        <w:trPr>
          <w:trHeight w:val="232" w:hRule="exact"/>
        </w:trPr>
        <w:tc>
          <w:tcPr>
            <w:tcW w:w="1624" w:type="dxa"/>
            <w:tcBorders>
              <w:top w:val="single" w:sz="6" w:space="0" w:color="000000"/>
              <w:left w:val="single" w:sz="9" w:space="0" w:color="000000"/>
              <w:bottom w:val="single" w:sz="6" w:space="0" w:color="000000"/>
              <w:right w:val="single" w:sz="6" w:space="0" w:color="000000"/>
            </w:tcBorders>
          </w:tcPr>
          <w:p>
            <w:pPr>
              <w:pStyle w:val="TableParagraph"/>
              <w:spacing w:before="4"/>
              <w:ind w:left="15"/>
              <w:rPr>
                <w:sz w:val="17"/>
              </w:rPr>
            </w:pPr>
            <w:r>
              <w:rPr>
                <w:w w:val="105"/>
                <w:sz w:val="17"/>
              </w:rPr>
              <w:t>Xonacatlán</w:t>
            </w:r>
          </w:p>
        </w:tc>
        <w:tc>
          <w:tcPr>
            <w:tcW w:w="1462"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8106</w:t>
            </w:r>
          </w:p>
        </w:tc>
        <w:tc>
          <w:tcPr>
            <w:tcW w:w="2135" w:type="dxa"/>
            <w:tcBorders>
              <w:top w:val="single" w:sz="6" w:space="0" w:color="000000"/>
              <w:left w:val="single" w:sz="6" w:space="0" w:color="000000"/>
              <w:bottom w:val="single" w:sz="6" w:space="0" w:color="000000"/>
              <w:right w:val="single" w:sz="6" w:space="0" w:color="000000"/>
            </w:tcBorders>
          </w:tcPr>
          <w:p>
            <w:pPr>
              <w:pStyle w:val="TableParagraph"/>
              <w:spacing w:before="4"/>
              <w:ind w:right="20"/>
              <w:jc w:val="right"/>
              <w:rPr>
                <w:sz w:val="17"/>
              </w:rPr>
            </w:pPr>
            <w:r>
              <w:rPr>
                <w:sz w:val="17"/>
              </w:rPr>
              <w:t>81.4</w:t>
            </w:r>
          </w:p>
        </w:tc>
        <w:tc>
          <w:tcPr>
            <w:tcW w:w="1423" w:type="dxa"/>
            <w:tcBorders>
              <w:top w:val="single" w:sz="6" w:space="0" w:color="000000"/>
              <w:left w:val="single" w:sz="6" w:space="0" w:color="000000"/>
              <w:bottom w:val="single" w:sz="6" w:space="0" w:color="000000"/>
              <w:right w:val="single" w:sz="6" w:space="0" w:color="000000"/>
            </w:tcBorders>
          </w:tcPr>
          <w:p>
            <w:pPr>
              <w:pStyle w:val="TableParagraph"/>
              <w:spacing w:before="4"/>
              <w:ind w:right="21"/>
              <w:jc w:val="right"/>
              <w:rPr>
                <w:sz w:val="17"/>
              </w:rPr>
            </w:pPr>
            <w:r>
              <w:rPr>
                <w:sz w:val="17"/>
              </w:rPr>
              <w:t>9965</w:t>
            </w:r>
          </w:p>
        </w:tc>
        <w:tc>
          <w:tcPr>
            <w:tcW w:w="2170" w:type="dxa"/>
            <w:tcBorders>
              <w:top w:val="single" w:sz="6" w:space="0" w:color="000000"/>
              <w:left w:val="single" w:sz="6" w:space="0" w:color="000000"/>
              <w:bottom w:val="single" w:sz="6" w:space="0" w:color="000000"/>
              <w:right w:val="single" w:sz="9" w:space="0" w:color="000000"/>
            </w:tcBorders>
          </w:tcPr>
          <w:p>
            <w:pPr>
              <w:pStyle w:val="TableParagraph"/>
              <w:spacing w:before="4"/>
              <w:ind w:right="12"/>
              <w:jc w:val="right"/>
              <w:rPr>
                <w:sz w:val="17"/>
              </w:rPr>
            </w:pPr>
            <w:r>
              <w:rPr>
                <w:sz w:val="17"/>
              </w:rPr>
              <w:t>95.0</w:t>
            </w:r>
          </w:p>
        </w:tc>
      </w:tr>
      <w:tr>
        <w:trPr>
          <w:trHeight w:val="244" w:hRule="exact"/>
        </w:trPr>
        <w:tc>
          <w:tcPr>
            <w:tcW w:w="1624" w:type="dxa"/>
            <w:tcBorders>
              <w:top w:val="single" w:sz="6" w:space="0" w:color="000000"/>
              <w:left w:val="single" w:sz="9" w:space="0" w:color="000000"/>
              <w:bottom w:val="single" w:sz="12" w:space="0" w:color="000000"/>
              <w:right w:val="single" w:sz="6" w:space="0" w:color="000000"/>
            </w:tcBorders>
          </w:tcPr>
          <w:p>
            <w:pPr>
              <w:pStyle w:val="TableParagraph"/>
              <w:spacing w:before="1"/>
              <w:ind w:left="15"/>
              <w:rPr>
                <w:sz w:val="17"/>
              </w:rPr>
            </w:pPr>
            <w:r>
              <w:rPr>
                <w:w w:val="105"/>
                <w:sz w:val="17"/>
              </w:rPr>
              <w:t>Zinacantepec</w:t>
            </w:r>
          </w:p>
        </w:tc>
        <w:tc>
          <w:tcPr>
            <w:tcW w:w="1462" w:type="dxa"/>
            <w:tcBorders>
              <w:top w:val="single" w:sz="6" w:space="0" w:color="000000"/>
              <w:left w:val="single" w:sz="6" w:space="0" w:color="000000"/>
              <w:bottom w:val="single" w:sz="12" w:space="0" w:color="000000"/>
              <w:right w:val="single" w:sz="6" w:space="0" w:color="000000"/>
            </w:tcBorders>
          </w:tcPr>
          <w:p>
            <w:pPr>
              <w:pStyle w:val="TableParagraph"/>
              <w:spacing w:before="1"/>
              <w:ind w:right="21"/>
              <w:jc w:val="right"/>
              <w:rPr>
                <w:sz w:val="17"/>
              </w:rPr>
            </w:pPr>
            <w:r>
              <w:rPr>
                <w:sz w:val="17"/>
              </w:rPr>
              <w:t>23639</w:t>
            </w:r>
          </w:p>
        </w:tc>
        <w:tc>
          <w:tcPr>
            <w:tcW w:w="2135" w:type="dxa"/>
            <w:tcBorders>
              <w:top w:val="single" w:sz="6" w:space="0" w:color="000000"/>
              <w:left w:val="single" w:sz="6" w:space="0" w:color="000000"/>
              <w:bottom w:val="single" w:sz="12" w:space="0" w:color="000000"/>
              <w:right w:val="single" w:sz="6" w:space="0" w:color="000000"/>
            </w:tcBorders>
          </w:tcPr>
          <w:p>
            <w:pPr>
              <w:pStyle w:val="TableParagraph"/>
              <w:spacing w:before="1"/>
              <w:ind w:right="20"/>
              <w:jc w:val="right"/>
              <w:rPr>
                <w:sz w:val="17"/>
              </w:rPr>
            </w:pPr>
            <w:r>
              <w:rPr>
                <w:sz w:val="17"/>
              </w:rPr>
              <w:t>79.3</w:t>
            </w:r>
          </w:p>
        </w:tc>
        <w:tc>
          <w:tcPr>
            <w:tcW w:w="1423" w:type="dxa"/>
            <w:tcBorders>
              <w:top w:val="single" w:sz="6" w:space="0" w:color="000000"/>
              <w:left w:val="single" w:sz="6" w:space="0" w:color="000000"/>
              <w:bottom w:val="single" w:sz="12" w:space="0" w:color="000000"/>
              <w:right w:val="single" w:sz="6" w:space="0" w:color="000000"/>
            </w:tcBorders>
          </w:tcPr>
          <w:p>
            <w:pPr>
              <w:pStyle w:val="TableParagraph"/>
              <w:spacing w:before="1"/>
              <w:ind w:right="21"/>
              <w:jc w:val="right"/>
              <w:rPr>
                <w:sz w:val="17"/>
              </w:rPr>
            </w:pPr>
            <w:r>
              <w:rPr>
                <w:sz w:val="17"/>
              </w:rPr>
              <w:t>37660</w:t>
            </w:r>
          </w:p>
        </w:tc>
        <w:tc>
          <w:tcPr>
            <w:tcW w:w="2170" w:type="dxa"/>
            <w:tcBorders>
              <w:top w:val="single" w:sz="6" w:space="0" w:color="000000"/>
              <w:left w:val="single" w:sz="6" w:space="0" w:color="000000"/>
              <w:bottom w:val="single" w:sz="12" w:space="0" w:color="000000"/>
              <w:right w:val="single" w:sz="9" w:space="0" w:color="000000"/>
            </w:tcBorders>
          </w:tcPr>
          <w:p>
            <w:pPr>
              <w:pStyle w:val="TableParagraph"/>
              <w:spacing w:before="1"/>
              <w:ind w:right="12"/>
              <w:jc w:val="right"/>
              <w:rPr>
                <w:sz w:val="17"/>
              </w:rPr>
            </w:pPr>
            <w:r>
              <w:rPr>
                <w:sz w:val="17"/>
              </w:rPr>
              <w:t>93.5</w:t>
            </w:r>
          </w:p>
        </w:tc>
      </w:tr>
      <w:tr>
        <w:trPr>
          <w:trHeight w:val="240" w:hRule="exact"/>
        </w:trPr>
        <w:tc>
          <w:tcPr>
            <w:tcW w:w="1624" w:type="dxa"/>
            <w:tcBorders>
              <w:top w:val="single" w:sz="12" w:space="0" w:color="000000"/>
              <w:left w:val="single" w:sz="9" w:space="0" w:color="000000"/>
              <w:bottom w:val="single" w:sz="9" w:space="0" w:color="000000"/>
              <w:right w:val="single" w:sz="6" w:space="0" w:color="000000"/>
            </w:tcBorders>
          </w:tcPr>
          <w:p>
            <w:pPr>
              <w:pStyle w:val="TableParagraph"/>
              <w:spacing w:line="200" w:lineRule="exact"/>
              <w:ind w:left="15"/>
              <w:rPr>
                <w:b/>
                <w:sz w:val="17"/>
              </w:rPr>
            </w:pPr>
            <w:r>
              <w:rPr>
                <w:b/>
                <w:w w:val="105"/>
                <w:sz w:val="17"/>
              </w:rPr>
              <w:t>Total ZMT</w:t>
            </w:r>
          </w:p>
        </w:tc>
        <w:tc>
          <w:tcPr>
            <w:tcW w:w="1462" w:type="dxa"/>
            <w:tcBorders>
              <w:top w:val="single" w:sz="12" w:space="0" w:color="000000"/>
              <w:left w:val="single" w:sz="6" w:space="0" w:color="000000"/>
              <w:bottom w:val="single" w:sz="9" w:space="0" w:color="000000"/>
              <w:right w:val="single" w:sz="6" w:space="0" w:color="000000"/>
            </w:tcBorders>
          </w:tcPr>
          <w:p>
            <w:pPr>
              <w:pStyle w:val="TableParagraph"/>
              <w:spacing w:line="200" w:lineRule="exact"/>
              <w:ind w:right="21"/>
              <w:jc w:val="right"/>
              <w:rPr>
                <w:sz w:val="17"/>
              </w:rPr>
            </w:pPr>
            <w:r>
              <w:rPr>
                <w:sz w:val="17"/>
              </w:rPr>
              <w:t>322635</w:t>
            </w:r>
          </w:p>
        </w:tc>
        <w:tc>
          <w:tcPr>
            <w:tcW w:w="2135" w:type="dxa"/>
            <w:tcBorders>
              <w:top w:val="single" w:sz="12" w:space="0" w:color="000000"/>
              <w:left w:val="single" w:sz="6" w:space="0" w:color="000000"/>
              <w:bottom w:val="single" w:sz="9" w:space="0" w:color="000000"/>
              <w:right w:val="single" w:sz="6" w:space="0" w:color="000000"/>
            </w:tcBorders>
          </w:tcPr>
          <w:p>
            <w:pPr>
              <w:pStyle w:val="TableParagraph"/>
              <w:spacing w:line="200" w:lineRule="exact"/>
              <w:ind w:right="20"/>
              <w:jc w:val="right"/>
              <w:rPr>
                <w:sz w:val="17"/>
              </w:rPr>
            </w:pPr>
            <w:r>
              <w:rPr>
                <w:sz w:val="17"/>
              </w:rPr>
              <w:t>81.0</w:t>
            </w:r>
          </w:p>
        </w:tc>
        <w:tc>
          <w:tcPr>
            <w:tcW w:w="1423" w:type="dxa"/>
            <w:tcBorders>
              <w:top w:val="single" w:sz="12" w:space="0" w:color="000000"/>
              <w:left w:val="single" w:sz="6" w:space="0" w:color="000000"/>
              <w:bottom w:val="single" w:sz="9" w:space="0" w:color="000000"/>
              <w:right w:val="single" w:sz="6" w:space="0" w:color="000000"/>
            </w:tcBorders>
          </w:tcPr>
          <w:p>
            <w:pPr>
              <w:pStyle w:val="TableParagraph"/>
              <w:spacing w:line="200" w:lineRule="exact"/>
              <w:ind w:right="21"/>
              <w:jc w:val="right"/>
              <w:rPr>
                <w:sz w:val="17"/>
              </w:rPr>
            </w:pPr>
            <w:r>
              <w:rPr>
                <w:sz w:val="17"/>
              </w:rPr>
              <w:t>454739</w:t>
            </w:r>
          </w:p>
        </w:tc>
        <w:tc>
          <w:tcPr>
            <w:tcW w:w="2170" w:type="dxa"/>
            <w:tcBorders>
              <w:top w:val="single" w:sz="12" w:space="0" w:color="000000"/>
              <w:left w:val="single" w:sz="6" w:space="0" w:color="000000"/>
              <w:bottom w:val="single" w:sz="9" w:space="0" w:color="000000"/>
              <w:right w:val="single" w:sz="9" w:space="0" w:color="000000"/>
            </w:tcBorders>
          </w:tcPr>
          <w:p>
            <w:pPr>
              <w:pStyle w:val="TableParagraph"/>
              <w:spacing w:line="200" w:lineRule="exact"/>
              <w:ind w:right="12"/>
              <w:jc w:val="right"/>
              <w:rPr>
                <w:sz w:val="17"/>
              </w:rPr>
            </w:pPr>
            <w:r>
              <w:rPr>
                <w:sz w:val="17"/>
              </w:rPr>
              <w:t>93.4</w:t>
            </w:r>
          </w:p>
        </w:tc>
      </w:tr>
    </w:tbl>
    <w:p>
      <w:pPr>
        <w:spacing w:before="0"/>
        <w:ind w:left="80" w:right="122" w:firstLine="0"/>
        <w:jc w:val="center"/>
        <w:rPr>
          <w:sz w:val="20"/>
        </w:rPr>
      </w:pPr>
      <w:r>
        <w:rPr>
          <w:sz w:val="20"/>
        </w:rPr>
        <w:t>Fuente: Elaboración propia con base en los datos de los Censos de Población y Vivienda INEGI, 2000 y 2010.</w:t>
      </w:r>
    </w:p>
    <w:p>
      <w:pPr>
        <w:pStyle w:val="BodyText"/>
        <w:rPr>
          <w:sz w:val="20"/>
        </w:rPr>
      </w:pPr>
    </w:p>
    <w:p>
      <w:pPr>
        <w:pStyle w:val="BodyText"/>
        <w:spacing w:before="7"/>
        <w:rPr>
          <w:sz w:val="26"/>
        </w:rPr>
      </w:pPr>
    </w:p>
    <w:p>
      <w:pPr>
        <w:pStyle w:val="BodyText"/>
        <w:spacing w:line="360" w:lineRule="auto"/>
        <w:ind w:left="102" w:right="137"/>
        <w:jc w:val="both"/>
      </w:pPr>
      <w:r>
        <w:rPr/>
        <w:t>El resto de los municipios que integran la </w:t>
      </w:r>
      <w:r>
        <w:rPr>
          <w:sz w:val="19"/>
        </w:rPr>
        <w:t>ZMT </w:t>
      </w:r>
      <w:r>
        <w:rPr/>
        <w:t>registraron más del 81 por ciento de sanitario en las viviendas, siendo Metepec con el mayor porcentaje de 95.1 por ciento. El promedio de la </w:t>
      </w:r>
      <w:r>
        <w:rPr>
          <w:sz w:val="19"/>
        </w:rPr>
        <w:t>ZMT </w:t>
      </w:r>
      <w:r>
        <w:rPr/>
        <w:t>en el año 2000 fue del 81 por ciento.</w:t>
      </w:r>
    </w:p>
    <w:p>
      <w:pPr>
        <w:pStyle w:val="BodyText"/>
        <w:spacing w:line="360" w:lineRule="auto" w:before="205"/>
        <w:ind w:left="102" w:right="137"/>
        <w:jc w:val="both"/>
      </w:pPr>
      <w:r>
        <w:rPr/>
        <w:t>Una década después en el año 2010, Almoloya de Juárez registra un 77.7 por ciento siendo el municipio con menores sanitarios o excusados en las viviendas, Temoaya registró 84.4 por ciento y Otzolotepec el 87.8 por ciento. Los municipios restantes registraron más del 93 por ciento, siendo Rayón el municipio que registró el mayor promedio con el 98.7 por ciento. El promedio de la </w:t>
      </w:r>
      <w:r>
        <w:rPr>
          <w:sz w:val="19"/>
        </w:rPr>
        <w:t>ZMT </w:t>
      </w:r>
      <w:r>
        <w:rPr/>
        <w:t>fue de 93.5 por ciento incrementando más del 12 por ciento (ver mapa no. 5).</w:t>
      </w:r>
    </w:p>
    <w:p>
      <w:pPr>
        <w:spacing w:after="0" w:line="360" w:lineRule="auto"/>
        <w:jc w:val="both"/>
        <w:sectPr>
          <w:pgSz w:w="12240" w:h="15840"/>
          <w:pgMar w:header="0" w:footer="1003" w:top="1360" w:bottom="1200" w:left="1600" w:right="1560"/>
        </w:sectPr>
      </w:pPr>
    </w:p>
    <w:p>
      <w:pPr>
        <w:spacing w:before="53" w:after="3"/>
        <w:ind w:left="85" w:right="122" w:firstLine="0"/>
        <w:jc w:val="center"/>
        <w:rPr>
          <w:sz w:val="20"/>
        </w:rPr>
      </w:pPr>
      <w:r>
        <w:rPr>
          <w:sz w:val="20"/>
        </w:rPr>
        <w:t>Mapa No. 5 Porcentaje de viviendas que contaron con servicio de sanitario en la </w:t>
      </w:r>
      <w:r>
        <w:rPr>
          <w:sz w:val="16"/>
        </w:rPr>
        <w:t>ZMT</w:t>
      </w:r>
      <w:r>
        <w:rPr>
          <w:sz w:val="20"/>
        </w:rPr>
        <w:t>, 2000-2010.</w:t>
      </w:r>
    </w:p>
    <w:p>
      <w:pPr>
        <w:pStyle w:val="BodyText"/>
        <w:ind w:left="130"/>
        <w:rPr>
          <w:sz w:val="20"/>
        </w:rPr>
      </w:pPr>
      <w:r>
        <w:rPr>
          <w:sz w:val="20"/>
        </w:rPr>
        <w:drawing>
          <wp:inline distT="0" distB="0" distL="0" distR="0">
            <wp:extent cx="5530693" cy="3911441"/>
            <wp:effectExtent l="0" t="0" r="0" b="0"/>
            <wp:docPr id="19" name="image44.jpeg" descr=""/>
            <wp:cNvGraphicFramePr>
              <a:graphicFrameLocks noChangeAspect="1"/>
            </wp:cNvGraphicFramePr>
            <a:graphic>
              <a:graphicData uri="http://schemas.openxmlformats.org/drawingml/2006/picture">
                <pic:pic>
                  <pic:nvPicPr>
                    <pic:cNvPr id="20" name="image44.jpeg"/>
                    <pic:cNvPicPr/>
                  </pic:nvPicPr>
                  <pic:blipFill>
                    <a:blip r:embed="rId70" cstate="print"/>
                    <a:stretch>
                      <a:fillRect/>
                    </a:stretch>
                  </pic:blipFill>
                  <pic:spPr>
                    <a:xfrm>
                      <a:off x="0" y="0"/>
                      <a:ext cx="5530693" cy="3911441"/>
                    </a:xfrm>
                    <a:prstGeom prst="rect">
                      <a:avLst/>
                    </a:prstGeom>
                  </pic:spPr>
                </pic:pic>
              </a:graphicData>
            </a:graphic>
          </wp:inline>
        </w:drawing>
      </w:r>
      <w:r>
        <w:rPr>
          <w:sz w:val="20"/>
        </w:rPr>
      </w:r>
    </w:p>
    <w:p>
      <w:pPr>
        <w:spacing w:before="88"/>
        <w:ind w:left="84" w:right="122" w:firstLine="0"/>
        <w:jc w:val="center"/>
        <w:rPr>
          <w:sz w:val="20"/>
        </w:rPr>
      </w:pPr>
      <w:r>
        <w:rPr>
          <w:sz w:val="20"/>
        </w:rPr>
        <w:t>Fuente: Elaboración propia con base en los datos de los Censos de Población y Vivienda INEGI, 2000 y 2010.</w:t>
      </w:r>
    </w:p>
    <w:p>
      <w:pPr>
        <w:pStyle w:val="BodyText"/>
        <w:spacing w:before="5"/>
        <w:rPr>
          <w:sz w:val="17"/>
        </w:rPr>
      </w:pPr>
    </w:p>
    <w:p>
      <w:pPr>
        <w:pStyle w:val="BodyText"/>
        <w:spacing w:line="360" w:lineRule="auto"/>
        <w:ind w:left="102" w:right="139"/>
        <w:jc w:val="both"/>
      </w:pPr>
      <w:r>
        <w:rPr/>
        <w:t>A manera de conclusión de los servicios públicos con los que cuentan las viviendas en la </w:t>
      </w:r>
      <w:r>
        <w:rPr>
          <w:sz w:val="19"/>
        </w:rPr>
        <w:t>ZMT</w:t>
      </w:r>
      <w:r>
        <w:rPr/>
        <w:t>, a nivel municipal se puede decir que el municipio de Almoloya de Juárez durante el periodo analizado fue el que registro menor servicio de agua, debido a que sus localidades están más dispersas, aunque una fortaleza para el municipio es que es colindante del municipio de Toluca, por lo cual el Estado tiene la oportunidad de cubrir con este servicio a los</w:t>
      </w:r>
      <w:r>
        <w:rPr>
          <w:spacing w:val="-18"/>
        </w:rPr>
        <w:t> </w:t>
      </w:r>
      <w:r>
        <w:rPr/>
        <w:t>habitantes.</w:t>
      </w:r>
    </w:p>
    <w:p>
      <w:pPr>
        <w:pStyle w:val="BodyText"/>
        <w:spacing w:line="360" w:lineRule="auto" w:before="204"/>
        <w:ind w:left="102" w:right="137"/>
        <w:jc w:val="both"/>
      </w:pPr>
      <w:r>
        <w:rPr/>
        <w:t>Mientras el municipio de San Mateo Atenco en el 2010 registró 71 por ciento del servicio de agua en las viviendas, esto quiere decir que más de una cuarta parte de sus viviendas no cuentan con dicho servicio. En contraste el municipio de Rayón fue el que registró el mayor porcentaje de viviendas con servicio de agua con más del 96 por</w:t>
      </w:r>
      <w:r>
        <w:rPr>
          <w:spacing w:val="-9"/>
        </w:rPr>
        <w:t> </w:t>
      </w:r>
      <w:r>
        <w:rPr/>
        <w:t>ciento.</w:t>
      </w:r>
    </w:p>
    <w:p>
      <w:pPr>
        <w:pStyle w:val="BodyText"/>
        <w:spacing w:line="360" w:lineRule="auto" w:before="204"/>
        <w:ind w:left="102" w:right="135"/>
        <w:jc w:val="both"/>
      </w:pPr>
      <w:r>
        <w:rPr/>
        <w:t>A lo que corresponde al servicio de energía eléctrica en las viviendas el municipio de Almoloya de Juárez en 1990 fue el que contaba con menor con 75 por ciento,</w:t>
      </w:r>
    </w:p>
    <w:p>
      <w:pPr>
        <w:spacing w:after="0" w:line="360" w:lineRule="auto"/>
        <w:jc w:val="both"/>
        <w:sectPr>
          <w:pgSz w:w="12240" w:h="15840"/>
          <w:pgMar w:header="0" w:footer="1003" w:top="1360" w:bottom="1200" w:left="1600" w:right="1560"/>
        </w:sectPr>
      </w:pPr>
    </w:p>
    <w:p>
      <w:pPr>
        <w:pStyle w:val="BodyText"/>
        <w:spacing w:line="360" w:lineRule="auto" w:before="54"/>
        <w:ind w:left="102" w:right="115"/>
        <w:jc w:val="both"/>
      </w:pPr>
      <w:r>
        <w:rPr/>
        <w:t>Temoaya contaba con el 87 por ciento, ya para el año 2010 todos los municipios que integran la zona metropolitana registraban más del 96 por ciento, siendo el municipio de Rayón el que registró el mayor porcentaje con el 99.2 por ciento.</w:t>
      </w:r>
    </w:p>
    <w:p>
      <w:pPr>
        <w:pStyle w:val="BodyText"/>
        <w:spacing w:line="360" w:lineRule="auto" w:before="204"/>
        <w:ind w:left="102" w:right="115"/>
        <w:jc w:val="both"/>
      </w:pPr>
      <w:r>
        <w:rPr/>
        <w:t>Respecto al servicio de drenaje en las viviendas en 1990, los municipios de Almoloya de Juárez, Temoaya y Otzolotepec, son los que registraron los menores porcentajes 20, 23 y 36 por ciento respectivamente. De igual manera para el 2010, fueron los mismos tres municipios los que registraron los menores porcentajes de drenaje en las viviendas, con 71, 82 y 83 por ciento respectivamente. El resto de los municipios registraron más de 91 por ciento, siendo Rayón el municipio con el mayor porcentaje con el 98 por ciento.</w:t>
      </w:r>
    </w:p>
    <w:p>
      <w:pPr>
        <w:pStyle w:val="BodyText"/>
        <w:spacing w:line="360" w:lineRule="auto" w:before="204"/>
        <w:ind w:left="102" w:right="119"/>
        <w:jc w:val="both"/>
      </w:pPr>
      <w:r>
        <w:rPr/>
        <w:t>Finalmente las viviendas que cuentan con sanitario o excusado dentro de sus viviendas, en el 2000 Temoaya y Almoloya de Juárez registraron los menores porcentajes con 46 y 47 por ciento respectivamente. Para el 2010 Almoloya de Juárez es el municipio con menor número de sanitarios en las viviendas con el 77 por ciento, caso contrario el municipio de Rayón que registró más de 98 por ciento.</w:t>
      </w:r>
    </w:p>
    <w:p>
      <w:pPr>
        <w:pStyle w:val="BodyText"/>
        <w:spacing w:line="360" w:lineRule="auto" w:before="204"/>
        <w:ind w:left="102" w:right="121"/>
        <w:jc w:val="both"/>
      </w:pPr>
      <w:r>
        <w:rPr/>
        <w:t>En términos porcentuales el municipio con la menor habitabilidad relacionada con los servicios públicos es el municipio de Almoloya de Juárez, mientras que Rayón cuenta con la mayor habitabilidad, más adelante se realiza la evaluación de la habitabilidad por medio de los servicios públicos, materiales de construcción y los bienes de las viviendas en estudio.</w:t>
      </w:r>
    </w:p>
    <w:p>
      <w:pPr>
        <w:pStyle w:val="BodyText"/>
      </w:pPr>
    </w:p>
    <w:p>
      <w:pPr>
        <w:pStyle w:val="BodyText"/>
      </w:pPr>
    </w:p>
    <w:p>
      <w:pPr>
        <w:pStyle w:val="BodyText"/>
        <w:spacing w:before="2"/>
        <w:rPr>
          <w:sz w:val="23"/>
        </w:rPr>
      </w:pPr>
    </w:p>
    <w:p>
      <w:pPr>
        <w:pStyle w:val="Heading3"/>
        <w:numPr>
          <w:ilvl w:val="1"/>
          <w:numId w:val="20"/>
        </w:numPr>
        <w:tabs>
          <w:tab w:pos="587" w:val="left" w:leader="none"/>
        </w:tabs>
        <w:spacing w:line="240" w:lineRule="auto" w:before="0" w:after="0"/>
        <w:ind w:left="586" w:right="0" w:hanging="484"/>
        <w:jc w:val="both"/>
      </w:pPr>
      <w:bookmarkStart w:name="_TOC_250011" w:id="23"/>
      <w:r>
        <w:rPr>
          <w:color w:val="4F81BC"/>
        </w:rPr>
        <w:t>Materiales de</w:t>
      </w:r>
      <w:r>
        <w:rPr>
          <w:color w:val="4F81BC"/>
          <w:spacing w:val="-14"/>
        </w:rPr>
        <w:t> </w:t>
      </w:r>
      <w:bookmarkEnd w:id="23"/>
      <w:r>
        <w:rPr>
          <w:color w:val="4F81BC"/>
        </w:rPr>
        <w:t>construcción</w:t>
      </w:r>
    </w:p>
    <w:p>
      <w:pPr>
        <w:pStyle w:val="BodyText"/>
        <w:rPr>
          <w:rFonts w:ascii="Cambria"/>
          <w:b/>
          <w:sz w:val="26"/>
        </w:rPr>
      </w:pPr>
    </w:p>
    <w:p>
      <w:pPr>
        <w:pStyle w:val="BodyText"/>
        <w:spacing w:before="7"/>
        <w:rPr>
          <w:rFonts w:ascii="Cambria"/>
          <w:b/>
          <w:sz w:val="23"/>
        </w:rPr>
      </w:pPr>
    </w:p>
    <w:p>
      <w:pPr>
        <w:pStyle w:val="BodyText"/>
        <w:spacing w:line="360" w:lineRule="auto"/>
        <w:ind w:left="102" w:right="125"/>
        <w:jc w:val="both"/>
      </w:pPr>
      <w:r>
        <w:rPr/>
        <w:t>Mientras que los materiales de construcción de las viviendas son la materia prima empleada en la construcción de las mismas, deben tener la característica de ser duraderos y acordes al lugar geográfico donde se desean emplear.</w:t>
      </w:r>
    </w:p>
    <w:p>
      <w:pPr>
        <w:pStyle w:val="BodyText"/>
        <w:spacing w:line="360" w:lineRule="auto" w:before="204"/>
        <w:ind w:left="102" w:right="127"/>
        <w:jc w:val="both"/>
      </w:pPr>
      <w:r>
        <w:rPr/>
        <w:t>Hoy en día se deben emplear materiales de construcción afectando el medio ambiente lo menos posible, es de aquí la idea que para evaluar la habitabilidad de</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pPr>
      <w:r>
        <w:rPr/>
        <w:t>las viviendas en la zona metropolitana en estudio, la construcción de la vivienda debe distinguir dos dimensiones; una cualitativa (bienestar de vida) y cuantitativa (déficit habitacional, materiales de construcción de las viviendas), la segunda es la que se analiza en esta investigación.</w:t>
      </w:r>
    </w:p>
    <w:p>
      <w:pPr>
        <w:pStyle w:val="BodyText"/>
        <w:spacing w:line="360" w:lineRule="auto" w:before="204"/>
        <w:ind w:left="102" w:right="117"/>
        <w:jc w:val="both"/>
      </w:pPr>
      <w:r>
        <w:rPr/>
        <w:t>La construcción de las viviendas consume en promedio un 50 por ciento de todos los recursos naturales, generando gran cantidad de residuos. Los materiales de la vivienda deben ser controlados y supervisados por las autoridades correspondientes, ya que con un mejor manejo de los materiales accesibles y resistentes, sin perder de vista el medio ambiente, la economía y la sociedad para que sean sostenibles (Arcas, 2011).</w:t>
      </w:r>
    </w:p>
    <w:p>
      <w:pPr>
        <w:pStyle w:val="BodyText"/>
        <w:spacing w:line="360" w:lineRule="auto" w:before="204"/>
        <w:ind w:left="102" w:right="116"/>
        <w:jc w:val="both"/>
      </w:pPr>
      <w:r>
        <w:rPr/>
        <w:t>En el transcurso del tiempo, se ha originado un cambio en el proceso de la obtención de los materiales para la construcción de la vivienda en la </w:t>
      </w:r>
      <w:r>
        <w:rPr>
          <w:sz w:val="19"/>
        </w:rPr>
        <w:t>ZMT</w:t>
      </w:r>
      <w:r>
        <w:rPr/>
        <w:t>, ya que décadas anteriores las sociedades rurales y semiurbanas obtenían los materiales de construcción de su entorno más próximo impactando el medio ambiente.</w:t>
      </w:r>
    </w:p>
    <w:p>
      <w:pPr>
        <w:pStyle w:val="BodyText"/>
        <w:spacing w:line="360" w:lineRule="auto" w:before="204"/>
        <w:ind w:left="102" w:right="116"/>
        <w:jc w:val="both"/>
      </w:pPr>
      <w:r>
        <w:rPr/>
        <w:t>Analizando los materiales de construcción con los que cuentan las viviendas en la </w:t>
      </w:r>
      <w:r>
        <w:rPr>
          <w:sz w:val="19"/>
        </w:rPr>
        <w:t>ZMT </w:t>
      </w:r>
      <w:r>
        <w:rPr/>
        <w:t>principalmente se analizan las viviendas que sus techos están construidos con o lámina de cartón o materiales de desecho en la siguiente sección, además de  las viviendas que están construidas con diferentes materiales de</w:t>
      </w:r>
      <w:r>
        <w:rPr>
          <w:spacing w:val="-28"/>
        </w:rPr>
        <w:t> </w:t>
      </w:r>
      <w:r>
        <w:rPr/>
        <w:t>construcción.</w:t>
      </w:r>
    </w:p>
    <w:p>
      <w:pPr>
        <w:pStyle w:val="ListParagraph"/>
        <w:numPr>
          <w:ilvl w:val="2"/>
          <w:numId w:val="20"/>
        </w:numPr>
        <w:tabs>
          <w:tab w:pos="643" w:val="left" w:leader="none"/>
        </w:tabs>
        <w:spacing w:line="240" w:lineRule="auto" w:before="203" w:after="0"/>
        <w:ind w:left="642" w:right="0" w:hanging="540"/>
        <w:jc w:val="both"/>
        <w:rPr>
          <w:rFonts w:ascii="Cambria"/>
          <w:b/>
          <w:sz w:val="22"/>
        </w:rPr>
      </w:pPr>
      <w:r>
        <w:rPr>
          <w:rFonts w:ascii="Cambria"/>
          <w:b/>
          <w:color w:val="4F81BC"/>
          <w:sz w:val="22"/>
        </w:rPr>
        <w:t>Techo de las</w:t>
      </w:r>
      <w:r>
        <w:rPr>
          <w:rFonts w:ascii="Cambria"/>
          <w:b/>
          <w:color w:val="4F81BC"/>
          <w:spacing w:val="-7"/>
          <w:sz w:val="22"/>
        </w:rPr>
        <w:t> </w:t>
      </w:r>
      <w:r>
        <w:rPr>
          <w:rFonts w:ascii="Cambria"/>
          <w:b/>
          <w:color w:val="4F81BC"/>
          <w:sz w:val="22"/>
        </w:rPr>
        <w:t>viviendas</w:t>
      </w:r>
    </w:p>
    <w:p>
      <w:pPr>
        <w:pStyle w:val="BodyText"/>
        <w:rPr>
          <w:rFonts w:ascii="Cambria"/>
          <w:b/>
          <w:sz w:val="22"/>
        </w:rPr>
      </w:pPr>
    </w:p>
    <w:p>
      <w:pPr>
        <w:pStyle w:val="BodyText"/>
        <w:rPr>
          <w:rFonts w:ascii="Cambria"/>
          <w:b/>
          <w:sz w:val="22"/>
        </w:rPr>
      </w:pPr>
    </w:p>
    <w:p>
      <w:pPr>
        <w:pStyle w:val="BodyText"/>
        <w:spacing w:line="360" w:lineRule="auto" w:before="136"/>
        <w:ind w:left="102" w:right="116"/>
        <w:jc w:val="both"/>
      </w:pPr>
      <w:r>
        <w:rPr/>
        <w:t>Cuando se analizan los materiales de construcción de las viviendas en esta zona metropolitana, se comienza con el techo o cubierta de las viviendas ya que es el elemento a nuestra consideración más indispensable de la vivienda, el techo debe emplear materiales accesibles y resistentes, sin dejar de lado la parte social, económica y el medio ambiente.</w:t>
      </w:r>
    </w:p>
    <w:p>
      <w:pPr>
        <w:pStyle w:val="BodyText"/>
        <w:spacing w:line="360" w:lineRule="auto" w:before="204"/>
        <w:ind w:left="102" w:right="116"/>
        <w:jc w:val="both"/>
      </w:pPr>
      <w:r>
        <w:rPr/>
        <w:t>Temoaya, Otzolotepec, Xonacatlán, San Antonio la Isla y Lerma en 1990, son los municipios que cuenta con el 18, 17, 16, 10 y 9 por ciento respectivamente de sus viviendas que el techo de las viviendas está construido con materiales de lámina de cartón o desechos, las cuales las hace vulnerables a los cambios climáticos</w:t>
      </w:r>
    </w:p>
    <w:p>
      <w:pPr>
        <w:spacing w:after="0" w:line="360" w:lineRule="auto"/>
        <w:jc w:val="both"/>
        <w:sectPr>
          <w:pgSz w:w="12240" w:h="15840"/>
          <w:pgMar w:header="0" w:footer="1003" w:top="1360" w:bottom="1200" w:left="1600" w:right="1580"/>
        </w:sectPr>
      </w:pPr>
    </w:p>
    <w:p>
      <w:pPr>
        <w:pStyle w:val="BodyText"/>
        <w:spacing w:line="360" w:lineRule="auto" w:before="54"/>
        <w:ind w:left="102" w:right="120"/>
        <w:jc w:val="both"/>
      </w:pPr>
      <w:r>
        <w:rPr/>
        <w:t>como lluvia, calor, frío, aire, mientras el municipio de Metepec solo el 2.9 por ciento sus viviendas están construidas con este tipo de material (ver gráfica no.</w:t>
      </w:r>
      <w:r>
        <w:rPr>
          <w:spacing w:val="-20"/>
        </w:rPr>
        <w:t> </w:t>
      </w:r>
      <w:r>
        <w:rPr/>
        <w:t>3).</w:t>
      </w:r>
    </w:p>
    <w:p>
      <w:pPr>
        <w:pStyle w:val="BodyText"/>
      </w:pPr>
    </w:p>
    <w:p>
      <w:pPr>
        <w:spacing w:before="203" w:after="13"/>
        <w:ind w:left="196" w:right="216" w:firstLine="0"/>
        <w:jc w:val="center"/>
        <w:rPr>
          <w:sz w:val="20"/>
        </w:rPr>
      </w:pPr>
      <w:r>
        <w:rPr/>
        <w:pict>
          <v:group style="position:absolute;margin-left:119.547569pt;margin-top:69.833885pt;width:400pt;height:128.65pt;mso-position-horizontal-relative:page;mso-position-vertical-relative:paragraph;z-index:-334048" coordorigin="2391,1397" coordsize="8000,2573">
            <v:shape style="position:absolute;left:968;top:10091;width:10621;height:690" coordorigin="968,10091" coordsize="10621,690" path="m2453,3706l10384,3706m2453,3449l10384,3449m2453,3191l10384,3191e" filled="false" stroked="true" strokeweight=".559557pt" strokecolor="#858585">
              <v:path arrowok="t"/>
            </v:shape>
            <v:shape style="position:absolute;left:2492;top:3130;width:291;height:830" type="#_x0000_t75" stroked="false">
              <v:imagedata r:id="rId71" o:title=""/>
            </v:shape>
            <v:line style="position:absolute" from="2453,2934" to="10384,2934" stroked="true" strokeweight=".558987pt" strokecolor="#858585"/>
            <v:shape style="position:absolute;left:3019;top:2962;width:291;height:997" type="#_x0000_t75" stroked="false">
              <v:imagedata r:id="rId72" o:title=""/>
            </v:shape>
            <v:shape style="position:absolute;left:3556;top:3018;width:280;height:941" type="#_x0000_t75" stroked="false">
              <v:imagedata r:id="rId73" o:title=""/>
            </v:shape>
            <v:shape style="position:absolute;left:4083;top:2761;width:280;height:1199" type="#_x0000_t75" stroked="false">
              <v:imagedata r:id="rId74" o:title=""/>
            </v:shape>
            <v:shape style="position:absolute;left:4609;top:3544;width:291;height:416" type="#_x0000_t75" stroked="false">
              <v:imagedata r:id="rId75" o:title=""/>
            </v:shape>
            <v:shape style="position:absolute;left:5136;top:3354;width:291;height:606" type="#_x0000_t75" stroked="false">
              <v:imagedata r:id="rId76" o:title=""/>
            </v:shape>
            <v:shape style="position:absolute;left:5662;top:3041;width:291;height:919" type="#_x0000_t75" stroked="false">
              <v:imagedata r:id="rId77" o:title=""/>
            </v:shape>
            <v:shape style="position:absolute;left:968;top:8036;width:10621;height:1365" coordorigin="968,8036" coordsize="10621,1365" path="m2453,2677l10384,2677m2453,2431l10384,2431m2453,2174l10384,2174m2453,1917l10384,1917m2453,1660l10384,1660e" filled="false" stroked="true" strokeweight=".559557pt" strokecolor="#858585">
              <v:path arrowok="t"/>
            </v:shape>
            <v:shape style="position:absolute;left:6200;top:1733;width:280;height:2227" type="#_x0000_t75" stroked="false">
              <v:imagedata r:id="rId78" o:title=""/>
            </v:shape>
            <v:shape style="position:absolute;left:6727;top:2962;width:280;height:997" type="#_x0000_t75" stroked="false">
              <v:imagedata r:id="rId79" o:title=""/>
            </v:shape>
            <v:shape style="position:absolute;left:7253;top:2549;width:291;height:1411" type="#_x0000_t75" stroked="false">
              <v:imagedata r:id="rId80" o:title=""/>
            </v:shape>
            <v:shape style="position:absolute;left:7780;top:3264;width:291;height:696" type="#_x0000_t75" stroked="false">
              <v:imagedata r:id="rId81" o:title=""/>
            </v:shape>
            <v:shape style="position:absolute;left:8317;top:1587;width:280;height:2372" type="#_x0000_t75" stroked="false">
              <v:imagedata r:id="rId82" o:title=""/>
            </v:shape>
            <v:shape style="position:absolute;left:8844;top:3298;width:280;height:662" type="#_x0000_t75" stroked="false">
              <v:imagedata r:id="rId83" o:title=""/>
            </v:shape>
            <v:shape style="position:absolute;left:9371;top:1788;width:291;height:2171" type="#_x0000_t75" stroked="false">
              <v:imagedata r:id="rId84" o:title=""/>
            </v:shape>
            <v:shape style="position:absolute;left:9897;top:3052;width:291;height:908" type="#_x0000_t75" stroked="false">
              <v:imagedata r:id="rId85" o:title=""/>
            </v:shape>
            <v:shape style="position:absolute;left:2649;top:3376;width:280;height:584" type="#_x0000_t75" stroked="false">
              <v:imagedata r:id="rId86" o:title=""/>
            </v:shape>
            <v:shape style="position:absolute;left:3176;top:3197;width:280;height:763" type="#_x0000_t75" stroked="false">
              <v:imagedata r:id="rId87" o:title=""/>
            </v:shape>
            <v:shape style="position:absolute;left:3702;top:3387;width:291;height:573" type="#_x0000_t75" stroked="false">
              <v:imagedata r:id="rId88" o:title=""/>
            </v:shape>
            <v:shape style="position:absolute;left:4229;top:3342;width:291;height:617" type="#_x0000_t75" stroked="false">
              <v:imagedata r:id="rId89" o:title=""/>
            </v:shape>
            <v:shape style="position:absolute;left:4766;top:3778;width:280;height:181" type="#_x0000_t75" stroked="false">
              <v:imagedata r:id="rId90" o:title=""/>
            </v:shape>
            <v:shape style="position:absolute;left:5293;top:3655;width:280;height:304" type="#_x0000_t75" stroked="false">
              <v:imagedata r:id="rId91" o:title=""/>
            </v:shape>
            <v:shape style="position:absolute;left:5819;top:3499;width:280;height:461" type="#_x0000_t75" stroked="false">
              <v:imagedata r:id="rId92" o:title=""/>
            </v:shape>
            <v:shape style="position:absolute;left:6346;top:2135;width:291;height:1825" type="#_x0000_t75" stroked="false">
              <v:imagedata r:id="rId93" o:title=""/>
            </v:shape>
            <v:shape style="position:absolute;left:6872;top:3488;width:291;height:472" type="#_x0000_t75" stroked="false">
              <v:imagedata r:id="rId94" o:title=""/>
            </v:shape>
            <v:shape style="position:absolute;left:7410;top:3499;width:280;height:461" type="#_x0000_t75" stroked="false">
              <v:imagedata r:id="rId92" o:title=""/>
            </v:shape>
            <v:shape style="position:absolute;left:7937;top:3555;width:280;height:405" type="#_x0000_t75" stroked="false">
              <v:imagedata r:id="rId95" o:title=""/>
            </v:shape>
            <v:shape style="position:absolute;left:8463;top:2347;width:291;height:1612" type="#_x0000_t75" stroked="false">
              <v:imagedata r:id="rId96" o:title=""/>
            </v:shape>
            <v:shape style="position:absolute;left:8990;top:3622;width:291;height:338" type="#_x0000_t75" stroked="false">
              <v:imagedata r:id="rId97" o:title=""/>
            </v:shape>
            <v:shape style="position:absolute;left:9527;top:2549;width:280;height:1411" type="#_x0000_t75" stroked="false">
              <v:imagedata r:id="rId98" o:title=""/>
            </v:shape>
            <v:shape style="position:absolute;left:10054;top:3253;width:280;height:707" type="#_x0000_t75" stroked="false">
              <v:imagedata r:id="rId99" o:title=""/>
            </v:shape>
            <v:shape style="position:absolute;left:2526;top:3141;width:213;height:816" type="#_x0000_t75" stroked="false">
              <v:imagedata r:id="rId100" o:title=""/>
            </v:shape>
            <v:shape style="position:absolute;left:3052;top:2974;width:213;height:984" type="#_x0000_t75" stroked="false">
              <v:imagedata r:id="rId101" o:title=""/>
            </v:shape>
            <v:shape style="position:absolute;left:3590;top:3029;width:202;height:928" type="#_x0000_t75" stroked="false">
              <v:imagedata r:id="rId102" o:title=""/>
            </v:shape>
            <v:shape style="position:absolute;left:4117;top:2772;width:202;height:1185" type="#_x0000_t75" stroked="false">
              <v:imagedata r:id="rId103" o:title=""/>
            </v:shape>
            <v:shape style="position:absolute;left:4643;top:3555;width:213;height:402" type="#_x0000_t75" stroked="false">
              <v:imagedata r:id="rId104" o:title=""/>
            </v:shape>
            <v:shape style="position:absolute;left:5170;top:3365;width:213;height:593" type="#_x0000_t75" stroked="false">
              <v:imagedata r:id="rId105" o:title=""/>
            </v:shape>
            <v:shape style="position:absolute;left:5696;top:3052;width:213;height:906" type="#_x0000_t75" stroked="false">
              <v:imagedata r:id="rId106" o:title=""/>
            </v:shape>
            <v:shape style="position:absolute;left:6234;top:1744;width:202;height:2214" type="#_x0000_t75" stroked="false">
              <v:imagedata r:id="rId107" o:title=""/>
            </v:shape>
            <v:shape style="position:absolute;left:6760;top:2974;width:202;height:984" type="#_x0000_t75" stroked="false">
              <v:imagedata r:id="rId108" o:title=""/>
            </v:shape>
            <v:shape style="position:absolute;left:7287;top:2560;width:213;height:1397" type="#_x0000_t75" stroked="false">
              <v:imagedata r:id="rId109" o:title=""/>
            </v:shape>
            <v:shape style="position:absolute;left:7813;top:3275;width:213;height:682" type="#_x0000_t75" stroked="false">
              <v:imagedata r:id="rId110" o:title=""/>
            </v:shape>
            <v:shape style="position:absolute;left:8351;top:1598;width:202;height:2359" type="#_x0000_t75" stroked="false">
              <v:imagedata r:id="rId111" o:title=""/>
            </v:shape>
            <v:shape style="position:absolute;left:8878;top:3309;width:202;height:648" type="#_x0000_t75" stroked="false">
              <v:imagedata r:id="rId112" o:title=""/>
            </v:shape>
            <v:shape style="position:absolute;left:9404;top:1800;width:213;height:2158" type="#_x0000_t75" stroked="false">
              <v:imagedata r:id="rId113" o:title=""/>
            </v:shape>
            <v:shape style="position:absolute;left:9931;top:3063;width:213;height:894" type="#_x0000_t75" stroked="false">
              <v:imagedata r:id="rId114" o:title=""/>
            </v:shape>
            <v:shape style="position:absolute;left:2683;top:3387;width:202;height:570" type="#_x0000_t75" stroked="false">
              <v:imagedata r:id="rId115" o:title=""/>
            </v:shape>
            <v:shape style="position:absolute;left:3209;top:3208;width:202;height:749" type="#_x0000_t75" stroked="false">
              <v:imagedata r:id="rId116" o:title=""/>
            </v:shape>
            <v:shape style="position:absolute;left:3736;top:3398;width:213;height:559" type="#_x0000_t75" stroked="false">
              <v:imagedata r:id="rId117" o:title=""/>
            </v:shape>
            <v:shape style="position:absolute;left:4262;top:3354;width:213;height:604" type="#_x0000_t75" stroked="false">
              <v:imagedata r:id="rId118" o:title=""/>
            </v:shape>
            <v:shape style="position:absolute;left:4800;top:3790;width:202;height:168" type="#_x0000_t75" stroked="false">
              <v:imagedata r:id="rId119" o:title=""/>
            </v:shape>
            <v:shape style="position:absolute;left:5326;top:3667;width:202;height:291" type="#_x0000_t75" stroked="false">
              <v:imagedata r:id="rId120" o:title=""/>
            </v:shape>
            <v:shape style="position:absolute;left:5853;top:3510;width:202;height:447" type="#_x0000_t75" stroked="false">
              <v:imagedata r:id="rId121" o:title=""/>
            </v:shape>
            <v:shape style="position:absolute;left:6379;top:2146;width:213;height:1811" type="#_x0000_t75" stroked="false">
              <v:imagedata r:id="rId122" o:title=""/>
            </v:shape>
            <v:shape style="position:absolute;left:6906;top:3499;width:213;height:458" type="#_x0000_t75" stroked="false">
              <v:imagedata r:id="rId123" o:title=""/>
            </v:shape>
            <v:shape style="position:absolute;left:7444;top:3510;width:202;height:447" type="#_x0000_t75" stroked="false">
              <v:imagedata r:id="rId124" o:title=""/>
            </v:shape>
            <v:shape style="position:absolute;left:7970;top:3566;width:202;height:391" type="#_x0000_t75" stroked="false">
              <v:imagedata r:id="rId125" o:title=""/>
            </v:shape>
            <v:shape style="position:absolute;left:8497;top:2359;width:213;height:1599" type="#_x0000_t75" stroked="false">
              <v:imagedata r:id="rId126" o:title=""/>
            </v:shape>
            <v:shape style="position:absolute;left:9023;top:3633;width:213;height:324" type="#_x0000_t75" stroked="false">
              <v:imagedata r:id="rId127" o:title=""/>
            </v:shape>
            <v:shape style="position:absolute;left:9561;top:2560;width:202;height:1397" type="#_x0000_t75" stroked="false">
              <v:imagedata r:id="rId128" o:title=""/>
            </v:shape>
            <v:shape style="position:absolute;left:10087;top:3264;width:202;height:693" type="#_x0000_t75" stroked="false">
              <v:imagedata r:id="rId129" o:title=""/>
            </v:shape>
            <v:shape style="position:absolute;left:893;top:7691;width:10696;height:3435" coordorigin="893,7691" coordsize="10696,3435" path="m2453,1403l10384,1403m2453,3963l2453,1403m2397,3963l2453,3963m2397,3706l2453,3706m2397,3449l2453,3449m2397,3191l2453,3191m2397,2934l2453,2934m2397,2677l2453,2677m2397,2431l2453,2431m2397,2174l2453,2174m2397,1917l2453,1917m2397,1660l2453,1660m2397,1403l2453,1403m2453,3963l10384,3963e" filled="false" stroked="true" strokeweight=".559557pt" strokecolor="#858585">
              <v:path arrowok="t"/>
            </v:shape>
            <w10:wrap type="none"/>
          </v:group>
        </w:pict>
      </w:r>
      <w:r>
        <w:rPr>
          <w:sz w:val="20"/>
        </w:rPr>
        <w:t>Gráfica No. 3 Viviendas de la </w:t>
      </w:r>
      <w:r>
        <w:rPr>
          <w:sz w:val="16"/>
        </w:rPr>
        <w:t>ZMT</w:t>
      </w:r>
      <w:r>
        <w:rPr>
          <w:sz w:val="20"/>
        </w:rPr>
        <w:t>, con techo de lámina, cartón o desechos, 1990-2000.</w:t>
      </w:r>
    </w:p>
    <w:p>
      <w:pPr>
        <w:pStyle w:val="BodyText"/>
        <w:ind w:left="141"/>
        <w:rPr>
          <w:sz w:val="20"/>
        </w:rPr>
      </w:pPr>
      <w:r>
        <w:rPr>
          <w:sz w:val="20"/>
        </w:rPr>
        <w:pict>
          <v:group style="width:440.9pt;height:257.2pt;mso-position-horizontal-relative:char;mso-position-vertical-relative:line" coordorigin="0,0" coordsize="8818,5144">
            <v:shape style="position:absolute;left:2269;top:3723;width:318;height:292" type="#_x0000_t75" stroked="false">
              <v:imagedata r:id="rId130" o:title=""/>
            </v:shape>
            <v:shape style="position:absolute;left:6;top:6;width:8806;height:5132" type="#_x0000_t202" filled="false" stroked="true" strokeweight=".559836pt" strokecolor="#858585">
              <v:textbox inset="0,0,0,0">
                <w:txbxContent>
                  <w:p>
                    <w:pPr>
                      <w:spacing w:line="324" w:lineRule="exact" w:before="99"/>
                      <w:ind w:left="1246" w:right="1256" w:firstLine="0"/>
                      <w:jc w:val="center"/>
                      <w:rPr>
                        <w:rFonts w:ascii="Calibri" w:hAnsi="Calibri"/>
                        <w:b/>
                        <w:sz w:val="27"/>
                      </w:rPr>
                    </w:pPr>
                    <w:r>
                      <w:rPr>
                        <w:rFonts w:ascii="Calibri" w:hAnsi="Calibri"/>
                        <w:b/>
                        <w:sz w:val="27"/>
                      </w:rPr>
                      <w:t>Viviendas de la ZMT que su techo es de lamina, cartón o desechos.</w:t>
                    </w:r>
                  </w:p>
                  <w:p>
                    <w:pPr>
                      <w:spacing w:before="110"/>
                      <w:ind w:left="290" w:right="0" w:firstLine="0"/>
                      <w:jc w:val="left"/>
                      <w:rPr>
                        <w:rFonts w:ascii="Calibri"/>
                        <w:sz w:val="14"/>
                      </w:rPr>
                    </w:pPr>
                    <w:r>
                      <w:rPr>
                        <w:rFonts w:ascii="Calibri"/>
                        <w:w w:val="105"/>
                        <w:sz w:val="14"/>
                      </w:rPr>
                      <w:t>20.0</w:t>
                    </w:r>
                  </w:p>
                  <w:p>
                    <w:pPr>
                      <w:spacing w:before="85"/>
                      <w:ind w:left="290" w:right="0" w:firstLine="0"/>
                      <w:jc w:val="left"/>
                      <w:rPr>
                        <w:rFonts w:ascii="Calibri"/>
                        <w:sz w:val="14"/>
                      </w:rPr>
                    </w:pPr>
                    <w:r>
                      <w:rPr>
                        <w:rFonts w:ascii="Calibri"/>
                        <w:w w:val="105"/>
                        <w:sz w:val="14"/>
                      </w:rPr>
                      <w:t>18.0</w:t>
                    </w:r>
                  </w:p>
                  <w:p>
                    <w:pPr>
                      <w:spacing w:before="85"/>
                      <w:ind w:left="290" w:right="0" w:firstLine="0"/>
                      <w:jc w:val="left"/>
                      <w:rPr>
                        <w:rFonts w:ascii="Calibri"/>
                        <w:sz w:val="14"/>
                      </w:rPr>
                    </w:pPr>
                    <w:r>
                      <w:rPr>
                        <w:rFonts w:ascii="Calibri"/>
                        <w:w w:val="105"/>
                        <w:sz w:val="14"/>
                      </w:rPr>
                      <w:t>16.0</w:t>
                    </w:r>
                  </w:p>
                  <w:p>
                    <w:pPr>
                      <w:spacing w:before="85"/>
                      <w:ind w:left="290" w:right="0" w:firstLine="0"/>
                      <w:jc w:val="left"/>
                      <w:rPr>
                        <w:rFonts w:ascii="Calibri"/>
                        <w:sz w:val="14"/>
                      </w:rPr>
                    </w:pPr>
                    <w:r>
                      <w:rPr>
                        <w:rFonts w:ascii="Calibri"/>
                        <w:w w:val="105"/>
                        <w:sz w:val="14"/>
                      </w:rPr>
                      <w:t>14.0</w:t>
                    </w:r>
                  </w:p>
                  <w:p>
                    <w:pPr>
                      <w:spacing w:before="85"/>
                      <w:ind w:left="290" w:right="0" w:firstLine="0"/>
                      <w:jc w:val="left"/>
                      <w:rPr>
                        <w:rFonts w:ascii="Calibri"/>
                        <w:sz w:val="14"/>
                      </w:rPr>
                    </w:pPr>
                    <w:r>
                      <w:rPr>
                        <w:rFonts w:ascii="Calibri"/>
                        <w:w w:val="105"/>
                        <w:sz w:val="14"/>
                      </w:rPr>
                      <w:t>12.0</w:t>
                    </w:r>
                  </w:p>
                  <w:p>
                    <w:pPr>
                      <w:spacing w:before="85"/>
                      <w:ind w:left="290" w:right="0" w:firstLine="0"/>
                      <w:jc w:val="left"/>
                      <w:rPr>
                        <w:rFonts w:ascii="Calibri"/>
                        <w:sz w:val="14"/>
                      </w:rPr>
                    </w:pPr>
                    <w:r>
                      <w:rPr>
                        <w:rFonts w:ascii="Calibri"/>
                        <w:w w:val="105"/>
                        <w:sz w:val="14"/>
                      </w:rPr>
                      <w:t>10.0</w:t>
                    </w:r>
                  </w:p>
                  <w:p>
                    <w:pPr>
                      <w:spacing w:before="85"/>
                      <w:ind w:left="361" w:right="0" w:firstLine="0"/>
                      <w:jc w:val="left"/>
                      <w:rPr>
                        <w:rFonts w:ascii="Calibri"/>
                        <w:sz w:val="14"/>
                      </w:rPr>
                    </w:pPr>
                    <w:r>
                      <w:rPr>
                        <w:rFonts w:ascii="Calibri"/>
                        <w:w w:val="105"/>
                        <w:sz w:val="14"/>
                      </w:rPr>
                      <w:t>8.0</w:t>
                    </w:r>
                  </w:p>
                  <w:p>
                    <w:pPr>
                      <w:spacing w:before="85"/>
                      <w:ind w:left="361" w:right="0" w:firstLine="0"/>
                      <w:jc w:val="left"/>
                      <w:rPr>
                        <w:rFonts w:ascii="Calibri"/>
                        <w:sz w:val="14"/>
                      </w:rPr>
                    </w:pPr>
                    <w:r>
                      <w:rPr>
                        <w:rFonts w:ascii="Calibri"/>
                        <w:w w:val="105"/>
                        <w:sz w:val="14"/>
                      </w:rPr>
                      <w:t>6.0</w:t>
                    </w:r>
                  </w:p>
                  <w:p>
                    <w:pPr>
                      <w:spacing w:before="85"/>
                      <w:ind w:left="361" w:right="0" w:firstLine="0"/>
                      <w:jc w:val="left"/>
                      <w:rPr>
                        <w:rFonts w:ascii="Calibri"/>
                        <w:sz w:val="14"/>
                      </w:rPr>
                    </w:pPr>
                    <w:r>
                      <w:rPr>
                        <w:rFonts w:ascii="Calibri"/>
                        <w:w w:val="105"/>
                        <w:sz w:val="14"/>
                      </w:rPr>
                      <w:t>4.0</w:t>
                    </w:r>
                  </w:p>
                  <w:p>
                    <w:pPr>
                      <w:spacing w:before="85"/>
                      <w:ind w:left="361" w:right="0" w:firstLine="0"/>
                      <w:jc w:val="left"/>
                      <w:rPr>
                        <w:rFonts w:ascii="Calibri"/>
                        <w:sz w:val="14"/>
                      </w:rPr>
                    </w:pPr>
                    <w:r>
                      <w:rPr>
                        <w:rFonts w:ascii="Calibri"/>
                        <w:w w:val="105"/>
                        <w:sz w:val="14"/>
                      </w:rPr>
                      <w:t>2.0</w:t>
                    </w:r>
                  </w:p>
                  <w:p>
                    <w:pPr>
                      <w:spacing w:before="85"/>
                      <w:ind w:left="361" w:right="0" w:firstLine="0"/>
                      <w:jc w:val="left"/>
                      <w:rPr>
                        <w:rFonts w:ascii="Calibri"/>
                        <w:sz w:val="14"/>
                      </w:rPr>
                    </w:pPr>
                    <w:r>
                      <w:rPr>
                        <w:rFonts w:ascii="Calibri"/>
                        <w:w w:val="105"/>
                        <w:sz w:val="14"/>
                      </w:rPr>
                      <w:t>0.0</w:t>
                    </w:r>
                  </w:p>
                  <w:p>
                    <w:pPr>
                      <w:spacing w:line="240" w:lineRule="auto" w:before="7" w:after="1"/>
                      <w:rPr>
                        <w:sz w:val="9"/>
                      </w:rPr>
                    </w:pPr>
                  </w:p>
                  <w:p>
                    <w:pPr>
                      <w:tabs>
                        <w:tab w:pos="2674" w:val="left" w:leader="none"/>
                      </w:tabs>
                      <w:spacing w:line="240" w:lineRule="auto"/>
                      <w:ind w:left="128" w:right="0" w:firstLine="0"/>
                      <w:rPr>
                        <w:sz w:val="20"/>
                      </w:rPr>
                    </w:pPr>
                    <w:r>
                      <w:rPr>
                        <w:sz w:val="20"/>
                      </w:rPr>
                      <w:drawing>
                        <wp:inline distT="0" distB="0" distL="0" distR="0">
                          <wp:extent cx="547102" cy="547687"/>
                          <wp:effectExtent l="0" t="0" r="0" b="0"/>
                          <wp:docPr id="21" name="image105.png" descr=""/>
                          <wp:cNvGraphicFramePr>
                            <a:graphicFrameLocks noChangeAspect="1"/>
                          </wp:cNvGraphicFramePr>
                          <a:graphic>
                            <a:graphicData uri="http://schemas.openxmlformats.org/drawingml/2006/picture">
                              <pic:pic>
                                <pic:nvPicPr>
                                  <pic:cNvPr id="22" name="image105.png"/>
                                  <pic:cNvPicPr/>
                                </pic:nvPicPr>
                                <pic:blipFill>
                                  <a:blip r:embed="rId131" cstate="print"/>
                                  <a:stretch>
                                    <a:fillRect/>
                                  </a:stretch>
                                </pic:blipFill>
                                <pic:spPr>
                                  <a:xfrm>
                                    <a:off x="0" y="0"/>
                                    <a:ext cx="547102" cy="547687"/>
                                  </a:xfrm>
                                  <a:prstGeom prst="rect">
                                    <a:avLst/>
                                  </a:prstGeom>
                                </pic:spPr>
                              </pic:pic>
                            </a:graphicData>
                          </a:graphic>
                        </wp:inline>
                      </w:drawing>
                    </w:r>
                    <w:r>
                      <w:rPr>
                        <w:sz w:val="20"/>
                      </w:rPr>
                    </w:r>
                    <w:r>
                      <w:rPr>
                        <w:rFonts w:ascii="Times New Roman"/>
                        <w:spacing w:val="63"/>
                        <w:sz w:val="20"/>
                      </w:rPr>
                      <w:t> </w:t>
                    </w:r>
                    <w:r>
                      <w:rPr>
                        <w:spacing w:val="63"/>
                        <w:position w:val="31"/>
                        <w:sz w:val="20"/>
                      </w:rPr>
                      <w:drawing>
                        <wp:inline distT="0" distB="0" distL="0" distR="0">
                          <wp:extent cx="597488" cy="352425"/>
                          <wp:effectExtent l="0" t="0" r="0" b="0"/>
                          <wp:docPr id="23" name="image106.png" descr=""/>
                          <wp:cNvGraphicFramePr>
                            <a:graphicFrameLocks noChangeAspect="1"/>
                          </wp:cNvGraphicFramePr>
                          <a:graphic>
                            <a:graphicData uri="http://schemas.openxmlformats.org/drawingml/2006/picture">
                              <pic:pic>
                                <pic:nvPicPr>
                                  <pic:cNvPr id="24" name="image106.png"/>
                                  <pic:cNvPicPr/>
                                </pic:nvPicPr>
                                <pic:blipFill>
                                  <a:blip r:embed="rId132" cstate="print"/>
                                  <a:stretch>
                                    <a:fillRect/>
                                  </a:stretch>
                                </pic:blipFill>
                                <pic:spPr>
                                  <a:xfrm>
                                    <a:off x="0" y="0"/>
                                    <a:ext cx="597488" cy="352425"/>
                                  </a:xfrm>
                                  <a:prstGeom prst="rect">
                                    <a:avLst/>
                                  </a:prstGeom>
                                </pic:spPr>
                              </pic:pic>
                            </a:graphicData>
                          </a:graphic>
                        </wp:inline>
                      </w:drawing>
                    </w:r>
                    <w:r>
                      <w:rPr>
                        <w:spacing w:val="63"/>
                        <w:position w:val="31"/>
                        <w:sz w:val="20"/>
                      </w:rPr>
                    </w:r>
                    <w:r>
                      <w:rPr>
                        <w:spacing w:val="63"/>
                        <w:position w:val="31"/>
                        <w:sz w:val="20"/>
                      </w:rPr>
                      <w:tab/>
                    </w:r>
                    <w:r>
                      <w:rPr>
                        <w:spacing w:val="63"/>
                        <w:position w:val="24"/>
                        <w:sz w:val="20"/>
                      </w:rPr>
                      <w:drawing>
                        <wp:inline distT="0" distB="0" distL="0" distR="0">
                          <wp:extent cx="1279902" cy="395287"/>
                          <wp:effectExtent l="0" t="0" r="0" b="0"/>
                          <wp:docPr id="25" name="image107.png" descr=""/>
                          <wp:cNvGraphicFramePr>
                            <a:graphicFrameLocks noChangeAspect="1"/>
                          </wp:cNvGraphicFramePr>
                          <a:graphic>
                            <a:graphicData uri="http://schemas.openxmlformats.org/drawingml/2006/picture">
                              <pic:pic>
                                <pic:nvPicPr>
                                  <pic:cNvPr id="26" name="image107.png"/>
                                  <pic:cNvPicPr/>
                                </pic:nvPicPr>
                                <pic:blipFill>
                                  <a:blip r:embed="rId133" cstate="print"/>
                                  <a:stretch>
                                    <a:fillRect/>
                                  </a:stretch>
                                </pic:blipFill>
                                <pic:spPr>
                                  <a:xfrm>
                                    <a:off x="0" y="0"/>
                                    <a:ext cx="1279902" cy="395287"/>
                                  </a:xfrm>
                                  <a:prstGeom prst="rect">
                                    <a:avLst/>
                                  </a:prstGeom>
                                </pic:spPr>
                              </pic:pic>
                            </a:graphicData>
                          </a:graphic>
                        </wp:inline>
                      </w:drawing>
                    </w:r>
                    <w:r>
                      <w:rPr>
                        <w:spacing w:val="63"/>
                        <w:position w:val="24"/>
                        <w:sz w:val="20"/>
                      </w:rPr>
                    </w:r>
                  </w:p>
                  <w:p>
                    <w:pPr>
                      <w:spacing w:line="240" w:lineRule="auto" w:before="0"/>
                      <w:rPr>
                        <w:sz w:val="14"/>
                      </w:rPr>
                    </w:pPr>
                  </w:p>
                  <w:p>
                    <w:pPr>
                      <w:spacing w:before="86"/>
                      <w:ind w:left="1246" w:right="1219" w:firstLine="0"/>
                      <w:jc w:val="center"/>
                      <w:rPr>
                        <w:rFonts w:ascii="Calibri"/>
                        <w:sz w:val="14"/>
                      </w:rPr>
                    </w:pPr>
                    <w:r>
                      <w:rPr/>
                      <w:drawing>
                        <wp:inline distT="0" distB="0" distL="0" distR="0">
                          <wp:extent cx="93058" cy="92868"/>
                          <wp:effectExtent l="0" t="0" r="0" b="0"/>
                          <wp:docPr id="27" name="image108.png" descr=""/>
                          <wp:cNvGraphicFramePr>
                            <a:graphicFrameLocks noChangeAspect="1"/>
                          </wp:cNvGraphicFramePr>
                          <a:graphic>
                            <a:graphicData uri="http://schemas.openxmlformats.org/drawingml/2006/picture">
                              <pic:pic>
                                <pic:nvPicPr>
                                  <pic:cNvPr id="28" name="image108.png"/>
                                  <pic:cNvPicPr/>
                                </pic:nvPicPr>
                                <pic:blipFill>
                                  <a:blip r:embed="rId134" cstate="print"/>
                                  <a:stretch>
                                    <a:fillRect/>
                                  </a:stretch>
                                </pic:blipFill>
                                <pic:spPr>
                                  <a:xfrm>
                                    <a:off x="0" y="0"/>
                                    <a:ext cx="93058" cy="92868"/>
                                  </a:xfrm>
                                  <a:prstGeom prst="rect">
                                    <a:avLst/>
                                  </a:prstGeom>
                                </pic:spPr>
                              </pic:pic>
                            </a:graphicData>
                          </a:graphic>
                        </wp:inline>
                      </w:drawing>
                    </w:r>
                    <w:r>
                      <w:rPr/>
                    </w:r>
                    <w:r>
                      <w:rPr>
                        <w:rFonts w:ascii="Calibri"/>
                        <w:w w:val="105"/>
                        <w:position w:val="1"/>
                        <w:sz w:val="14"/>
                      </w:rPr>
                      <w:t>1990</w:t>
                    </w:r>
                    <w:r>
                      <w:rPr>
                        <w:rFonts w:ascii="Calibri"/>
                        <w:spacing w:val="33"/>
                        <w:w w:val="105"/>
                        <w:position w:val="1"/>
                        <w:sz w:val="14"/>
                      </w:rPr>
                      <w:t> </w:t>
                    </w:r>
                    <w:r>
                      <w:rPr>
                        <w:rFonts w:ascii="Calibri"/>
                        <w:spacing w:val="-6"/>
                        <w:sz w:val="14"/>
                      </w:rPr>
                      <w:drawing>
                        <wp:inline distT="0" distB="0" distL="0" distR="0">
                          <wp:extent cx="93058" cy="92868"/>
                          <wp:effectExtent l="0" t="0" r="0" b="0"/>
                          <wp:docPr id="29" name="image109.png" descr=""/>
                          <wp:cNvGraphicFramePr>
                            <a:graphicFrameLocks noChangeAspect="1"/>
                          </wp:cNvGraphicFramePr>
                          <a:graphic>
                            <a:graphicData uri="http://schemas.openxmlformats.org/drawingml/2006/picture">
                              <pic:pic>
                                <pic:nvPicPr>
                                  <pic:cNvPr id="30" name="image109.png"/>
                                  <pic:cNvPicPr/>
                                </pic:nvPicPr>
                                <pic:blipFill>
                                  <a:blip r:embed="rId135" cstate="print"/>
                                  <a:stretch>
                                    <a:fillRect/>
                                  </a:stretch>
                                </pic:blipFill>
                                <pic:spPr>
                                  <a:xfrm>
                                    <a:off x="0" y="0"/>
                                    <a:ext cx="93058" cy="92868"/>
                                  </a:xfrm>
                                  <a:prstGeom prst="rect">
                                    <a:avLst/>
                                  </a:prstGeom>
                                </pic:spPr>
                              </pic:pic>
                            </a:graphicData>
                          </a:graphic>
                        </wp:inline>
                      </w:drawing>
                    </w:r>
                    <w:r>
                      <w:rPr>
                        <w:rFonts w:ascii="Calibri"/>
                        <w:spacing w:val="-6"/>
                        <w:sz w:val="14"/>
                      </w:rPr>
                    </w:r>
                    <w:r>
                      <w:rPr>
                        <w:rFonts w:ascii="Calibri"/>
                        <w:spacing w:val="4"/>
                        <w:w w:val="105"/>
                        <w:position w:val="1"/>
                        <w:sz w:val="14"/>
                      </w:rPr>
                      <w:t>2000</w:t>
                    </w:r>
                  </w:p>
                </w:txbxContent>
              </v:textbox>
              <w10:wrap type="none"/>
            </v:shape>
          </v:group>
        </w:pict>
      </w:r>
      <w:r>
        <w:rPr>
          <w:sz w:val="20"/>
        </w:rPr>
      </w:r>
    </w:p>
    <w:p>
      <w:pPr>
        <w:spacing w:before="0"/>
        <w:ind w:left="193" w:right="215" w:firstLine="0"/>
        <w:jc w:val="center"/>
        <w:rPr>
          <w:sz w:val="20"/>
        </w:rPr>
      </w:pPr>
      <w:r>
        <w:rPr/>
        <w:pict>
          <v:group style="position:absolute;margin-left:333.252319pt;margin-top:-71.36644pt;width:94.45pt;height:40.3pt;mso-position-horizontal-relative:page;mso-position-vertical-relative:paragraph;z-index:-334024" coordorigin="6665,-1427" coordsize="1889,806">
            <v:shape style="position:absolute;left:6665;top:-1427;width:307;height:282" type="#_x0000_t75" stroked="false">
              <v:imagedata r:id="rId136" o:title=""/>
            </v:shape>
            <v:shape style="position:absolute;left:6684;top:-1427;width:1870;height:805" type="#_x0000_t75" stroked="false">
              <v:imagedata r:id="rId137" o:title=""/>
            </v:shape>
            <w10:wrap type="none"/>
          </v:group>
        </w:pict>
      </w:r>
      <w:r>
        <w:rPr/>
        <w:pict>
          <v:group style="position:absolute;margin-left:437.846771pt;margin-top:-71.566185pt;width:69.25pt;height:30.05pt;mso-position-horizontal-relative:page;mso-position-vertical-relative:paragraph;z-index:-334000" coordorigin="8757,-1431" coordsize="1385,601">
            <v:shape style="position:absolute;left:8757;top:-1431;width:334;height:289" type="#_x0000_t75" stroked="false">
              <v:imagedata r:id="rId138" o:title=""/>
            </v:shape>
            <v:shape style="position:absolute;left:9095;top:-1430;width:1046;height:599" type="#_x0000_t75" stroked="false">
              <v:imagedata r:id="rId139" o:title=""/>
            </v:shape>
            <w10:wrap type="none"/>
          </v:group>
        </w:pict>
      </w:r>
      <w:r>
        <w:rPr>
          <w:sz w:val="20"/>
        </w:rPr>
        <w:t>Fuente: Elaboración propia con base en los datos de los Censos de Población y Vivienda INEGI, 1990 y 2000.</w:t>
      </w:r>
    </w:p>
    <w:p>
      <w:pPr>
        <w:pStyle w:val="BodyText"/>
        <w:spacing w:before="1"/>
      </w:pPr>
    </w:p>
    <w:p>
      <w:pPr>
        <w:pStyle w:val="BodyText"/>
        <w:spacing w:line="360" w:lineRule="auto"/>
        <w:ind w:left="102" w:right="125"/>
        <w:jc w:val="both"/>
      </w:pPr>
      <w:r>
        <w:rPr/>
        <w:t>Para el año 2000 los municipios de Otzolotepec, Temoaya y Xonacatlán son los municipios los que mayor porcentaje cuentan con techos con materiales construidos con lámina, cartón o desechos con el 13, 12 y 10 por ciento, por el contrario el municipio de Metepec solo el 1 por ciento el techo está construido con este tipo de materiales (ver mapa no. 6).</w:t>
      </w:r>
    </w:p>
    <w:p>
      <w:pPr>
        <w:pStyle w:val="BodyText"/>
        <w:spacing w:line="360" w:lineRule="auto" w:before="204"/>
        <w:ind w:left="102" w:right="116"/>
        <w:jc w:val="both"/>
      </w:pPr>
      <w:r>
        <w:rPr/>
        <w:t>Existe un corte de información ya que el censo de población y vivienda del año 2010 no levanto esta pregunta, con esta información faltante se hubiera contrastado si los techos de las viviendas mejoraron o se quedaron en los mismos porcentajes que los arrojados para el año 2000.</w:t>
      </w:r>
    </w:p>
    <w:p>
      <w:pPr>
        <w:spacing w:after="0" w:line="360" w:lineRule="auto"/>
        <w:jc w:val="both"/>
        <w:sectPr>
          <w:pgSz w:w="12240" w:h="15840"/>
          <w:pgMar w:header="0" w:footer="1003" w:top="1360" w:bottom="1200" w:left="1600" w:right="1580"/>
        </w:sectPr>
      </w:pPr>
    </w:p>
    <w:p>
      <w:pPr>
        <w:pStyle w:val="BodyText"/>
        <w:spacing w:line="360" w:lineRule="auto" w:before="54"/>
        <w:ind w:left="102" w:right="135"/>
        <w:jc w:val="both"/>
      </w:pPr>
      <w:r>
        <w:rPr/>
        <w:t>Ojalá que los resultados de la encuesta intercensal del 2015 realizada por el </w:t>
      </w:r>
      <w:r>
        <w:rPr>
          <w:sz w:val="19"/>
        </w:rPr>
        <w:t>INEGI</w:t>
      </w:r>
      <w:r>
        <w:rPr/>
        <w:t>, contenga esta pregunta para responder la pregunta respecto a los techos de las viviendas y darnos cuenta del panorama en el que se encuentra el objeto de estudio de esta investigación.</w:t>
      </w:r>
    </w:p>
    <w:p>
      <w:pPr>
        <w:pStyle w:val="BodyText"/>
      </w:pPr>
    </w:p>
    <w:p>
      <w:pPr>
        <w:spacing w:before="141" w:after="3"/>
        <w:ind w:left="87" w:right="122" w:firstLine="0"/>
        <w:jc w:val="center"/>
        <w:rPr>
          <w:sz w:val="20"/>
        </w:rPr>
      </w:pPr>
      <w:r>
        <w:rPr>
          <w:sz w:val="20"/>
        </w:rPr>
        <w:t>Mapa No. 6 Porcentaje de viviendas con techo de lámina, cartón o desechos en la </w:t>
      </w:r>
      <w:r>
        <w:rPr>
          <w:sz w:val="16"/>
        </w:rPr>
        <w:t>ZMT</w:t>
      </w:r>
      <w:r>
        <w:rPr>
          <w:sz w:val="20"/>
        </w:rPr>
        <w:t>, 1990-2000.</w:t>
      </w:r>
    </w:p>
    <w:p>
      <w:pPr>
        <w:pStyle w:val="BodyText"/>
        <w:ind w:left="130"/>
        <w:rPr>
          <w:sz w:val="20"/>
        </w:rPr>
      </w:pPr>
      <w:r>
        <w:rPr>
          <w:sz w:val="20"/>
        </w:rPr>
        <w:drawing>
          <wp:inline distT="0" distB="0" distL="0" distR="0">
            <wp:extent cx="5532818" cy="3911441"/>
            <wp:effectExtent l="0" t="0" r="0" b="0"/>
            <wp:docPr id="31" name="image114.jpeg" descr=""/>
            <wp:cNvGraphicFramePr>
              <a:graphicFrameLocks noChangeAspect="1"/>
            </wp:cNvGraphicFramePr>
            <a:graphic>
              <a:graphicData uri="http://schemas.openxmlformats.org/drawingml/2006/picture">
                <pic:pic>
                  <pic:nvPicPr>
                    <pic:cNvPr id="32" name="image114.jpeg"/>
                    <pic:cNvPicPr/>
                  </pic:nvPicPr>
                  <pic:blipFill>
                    <a:blip r:embed="rId141" cstate="print"/>
                    <a:stretch>
                      <a:fillRect/>
                    </a:stretch>
                  </pic:blipFill>
                  <pic:spPr>
                    <a:xfrm>
                      <a:off x="0" y="0"/>
                      <a:ext cx="5532818" cy="3911441"/>
                    </a:xfrm>
                    <a:prstGeom prst="rect">
                      <a:avLst/>
                    </a:prstGeom>
                  </pic:spPr>
                </pic:pic>
              </a:graphicData>
            </a:graphic>
          </wp:inline>
        </w:drawing>
      </w:r>
      <w:r>
        <w:rPr>
          <w:sz w:val="20"/>
        </w:rPr>
      </w:r>
    </w:p>
    <w:p>
      <w:pPr>
        <w:spacing w:line="242" w:lineRule="auto" w:before="86"/>
        <w:ind w:left="80" w:right="122" w:firstLine="0"/>
        <w:jc w:val="center"/>
        <w:rPr>
          <w:sz w:val="20"/>
        </w:rPr>
      </w:pPr>
      <w:r>
        <w:rPr>
          <w:sz w:val="20"/>
        </w:rPr>
        <w:t>Fuente: Elaboración propia con base en los datos de los Censos de Población y Vivienda INEGI, 1990 y 2000.</w:t>
      </w:r>
    </w:p>
    <w:p>
      <w:pPr>
        <w:pStyle w:val="BodyText"/>
        <w:rPr>
          <w:sz w:val="20"/>
        </w:rPr>
      </w:pPr>
    </w:p>
    <w:p>
      <w:pPr>
        <w:pStyle w:val="BodyText"/>
        <w:rPr>
          <w:sz w:val="20"/>
        </w:rPr>
      </w:pPr>
    </w:p>
    <w:p>
      <w:pPr>
        <w:pStyle w:val="BodyText"/>
        <w:spacing w:line="360" w:lineRule="auto" w:before="148"/>
        <w:ind w:left="102" w:right="139"/>
        <w:jc w:val="both"/>
      </w:pPr>
      <w:r>
        <w:rPr/>
        <w:t>Los datos nos muestran que los municipios de Temoaya, Otzolotepec y  Xonacatlán más del 10 por ciento de sus viviendas contaban en el 2000  con techos vulnerables a los cambios climáticos, además de poner en riesgo a la población que las habita en contraer enfermedades. Respecto a los materiales de las paredes de las viviendas se analizan</w:t>
      </w:r>
      <w:r>
        <w:rPr>
          <w:spacing w:val="-25"/>
        </w:rPr>
        <w:t> </w:t>
      </w:r>
      <w:r>
        <w:rPr/>
        <w:t>enseguida.</w:t>
      </w:r>
    </w:p>
    <w:p>
      <w:pPr>
        <w:spacing w:after="0" w:line="360" w:lineRule="auto"/>
        <w:jc w:val="both"/>
        <w:sectPr>
          <w:footerReference w:type="default" r:id="rId140"/>
          <w:pgSz w:w="12240" w:h="15840"/>
          <w:pgMar w:footer="1003" w:header="0" w:top="1360" w:bottom="1200" w:left="1600" w:right="1560"/>
          <w:pgNumType w:start="130"/>
        </w:sectPr>
      </w:pPr>
    </w:p>
    <w:p>
      <w:pPr>
        <w:pStyle w:val="ListParagraph"/>
        <w:numPr>
          <w:ilvl w:val="2"/>
          <w:numId w:val="20"/>
        </w:numPr>
        <w:tabs>
          <w:tab w:pos="642" w:val="left" w:leader="none"/>
        </w:tabs>
        <w:spacing w:line="240" w:lineRule="auto" w:before="56" w:after="0"/>
        <w:ind w:left="642" w:right="0" w:hanging="540"/>
        <w:jc w:val="both"/>
        <w:rPr>
          <w:rFonts w:ascii="Cambria"/>
          <w:b/>
          <w:sz w:val="22"/>
        </w:rPr>
      </w:pPr>
      <w:r>
        <w:rPr>
          <w:rFonts w:ascii="Cambria"/>
          <w:b/>
          <w:color w:val="4F81BC"/>
          <w:sz w:val="22"/>
        </w:rPr>
        <w:t>Paredes de las</w:t>
      </w:r>
      <w:r>
        <w:rPr>
          <w:rFonts w:ascii="Cambria"/>
          <w:b/>
          <w:color w:val="4F81BC"/>
          <w:spacing w:val="-4"/>
          <w:sz w:val="22"/>
        </w:rPr>
        <w:t> </w:t>
      </w:r>
      <w:r>
        <w:rPr>
          <w:rFonts w:ascii="Cambria"/>
          <w:b/>
          <w:color w:val="4F81BC"/>
          <w:sz w:val="22"/>
        </w:rPr>
        <w:t>viviendas</w:t>
      </w:r>
    </w:p>
    <w:p>
      <w:pPr>
        <w:pStyle w:val="BodyText"/>
        <w:rPr>
          <w:rFonts w:ascii="Cambria"/>
          <w:b/>
          <w:sz w:val="22"/>
        </w:rPr>
      </w:pPr>
    </w:p>
    <w:p>
      <w:pPr>
        <w:pStyle w:val="BodyText"/>
        <w:spacing w:before="1"/>
        <w:rPr>
          <w:rFonts w:ascii="Cambria"/>
          <w:b/>
          <w:sz w:val="27"/>
        </w:rPr>
      </w:pPr>
    </w:p>
    <w:p>
      <w:pPr>
        <w:pStyle w:val="BodyText"/>
        <w:spacing w:line="360" w:lineRule="auto"/>
        <w:ind w:left="102" w:right="115"/>
        <w:jc w:val="both"/>
      </w:pPr>
      <w:r>
        <w:rPr/>
        <w:t>En lo que respecta a los materiales precarios como lamina de cartón y desechos, con los que están construidas las paredes de las viviendas en la </w:t>
      </w:r>
      <w:r>
        <w:rPr>
          <w:sz w:val="19"/>
        </w:rPr>
        <w:t>ZMT </w:t>
      </w:r>
      <w:r>
        <w:rPr/>
        <w:t>los porcentajes son bajos ya que en 1990 el municipio de San Antonio la Isla registró el 1.3 por ciento, de este tipo de material, mientras que Mexicaltzingo, Temoaya y Xonacatlán registraron el 1.1 por ciento (ver gráfica no. 4).</w:t>
      </w:r>
    </w:p>
    <w:p>
      <w:pPr>
        <w:pStyle w:val="BodyText"/>
      </w:pPr>
    </w:p>
    <w:p>
      <w:pPr>
        <w:spacing w:before="156" w:after="13"/>
        <w:ind w:left="193" w:right="210" w:firstLine="0"/>
        <w:jc w:val="center"/>
        <w:rPr>
          <w:sz w:val="20"/>
        </w:rPr>
      </w:pPr>
      <w:r>
        <w:rPr>
          <w:sz w:val="20"/>
        </w:rPr>
        <w:t>Gráfica No. 4 Viviendas de la </w:t>
      </w:r>
      <w:r>
        <w:rPr>
          <w:sz w:val="16"/>
        </w:rPr>
        <w:t>ZMT</w:t>
      </w:r>
      <w:r>
        <w:rPr>
          <w:sz w:val="20"/>
        </w:rPr>
        <w:t>, con paredes de lámina, cartón o desechos, 1990-2000.</w:t>
      </w:r>
    </w:p>
    <w:p>
      <w:pPr>
        <w:pStyle w:val="BodyText"/>
        <w:ind w:left="141"/>
        <w:rPr>
          <w:sz w:val="20"/>
        </w:rPr>
      </w:pPr>
      <w:r>
        <w:rPr>
          <w:sz w:val="20"/>
        </w:rPr>
        <w:pict>
          <v:group style="width:440.75pt;height:267.2pt;mso-position-horizontal-relative:char;mso-position-vertical-relative:line" coordorigin="0,0" coordsize="8815,5344">
            <v:shape style="position:absolute;left:887;top:1342;width:6947;height:2672" type="#_x0000_t75" stroked="false">
              <v:imagedata r:id="rId142" o:title=""/>
            </v:shape>
            <v:shape style="position:absolute;left:277;top:4206;width:1791;height:898" type="#_x0000_t75" stroked="false">
              <v:imagedata r:id="rId143" o:title=""/>
            </v:shape>
            <v:shape style="position:absolute;left:2193;top:4209;width:332;height:305" type="#_x0000_t75" stroked="false">
              <v:imagedata r:id="rId144" o:title=""/>
            </v:shape>
            <v:shape style="position:absolute;left:2527;top:4202;width:1792;height:648" type="#_x0000_t75" stroked="false">
              <v:imagedata r:id="rId145" o:title=""/>
            </v:shape>
            <v:shape style="position:absolute;left:4455;top:4212;width:320;height:294" type="#_x0000_t75" stroked="false">
              <v:imagedata r:id="rId146" o:title=""/>
            </v:shape>
            <v:shape style="position:absolute;left:4374;top:4212;width:1747;height:840" type="#_x0000_t75" stroked="false">
              <v:imagedata r:id="rId147" o:title=""/>
            </v:shape>
            <v:shape style="position:absolute;left:6231;top:4208;width:348;height:302" type="#_x0000_t75" stroked="false">
              <v:imagedata r:id="rId148" o:title=""/>
            </v:shape>
            <v:shape style="position:absolute;left:6482;top:4209;width:989;height:625" type="#_x0000_t75" stroked="false">
              <v:imagedata r:id="rId149" o:title=""/>
            </v:shape>
            <v:shape style="position:absolute;left:8173;top:3033;width:140;height:140" type="#_x0000_t75" stroked="false">
              <v:imagedata r:id="rId150" o:title=""/>
            </v:shape>
            <v:shape style="position:absolute;left:8173;top:3313;width:140;height:140" type="#_x0000_t75" stroked="false">
              <v:imagedata r:id="rId151" o:title=""/>
            </v:shape>
            <v:rect style="position:absolute;left:6;top:6;width:8803;height:5332" filled="false" stroked="true" strokeweight=".584021pt" strokecolor="#858585"/>
            <v:shape style="position:absolute;left:1093;top:176;width:6621;height:959" type="#_x0000_t202" filled="false" stroked="false">
              <v:textbox inset="0,0,0,0">
                <w:txbxContent>
                  <w:p>
                    <w:pPr>
                      <w:spacing w:line="284" w:lineRule="exact" w:before="0"/>
                      <w:ind w:left="1052" w:right="0" w:firstLine="0"/>
                      <w:jc w:val="left"/>
                      <w:rPr>
                        <w:rFonts w:ascii="Calibri"/>
                        <w:b/>
                        <w:sz w:val="28"/>
                      </w:rPr>
                    </w:pPr>
                    <w:r>
                      <w:rPr>
                        <w:rFonts w:ascii="Calibri"/>
                        <w:b/>
                        <w:sz w:val="28"/>
                      </w:rPr>
                      <w:t>Paredes  construidas con materiales de</w:t>
                    </w:r>
                  </w:p>
                  <w:p>
                    <w:pPr>
                      <w:spacing w:line="237" w:lineRule="auto" w:before="1"/>
                      <w:ind w:left="3027" w:right="0" w:hanging="3028"/>
                      <w:jc w:val="left"/>
                      <w:rPr>
                        <w:rFonts w:ascii="Calibri" w:hAnsi="Calibri"/>
                        <w:b/>
                        <w:sz w:val="28"/>
                      </w:rPr>
                    </w:pPr>
                    <w:r>
                      <w:rPr>
                        <w:rFonts w:ascii="Calibri" w:hAnsi="Calibri"/>
                        <w:b/>
                        <w:sz w:val="28"/>
                      </w:rPr>
                      <w:t>desecho, lámina, cartón de las viviendas en la </w:t>
                    </w:r>
                    <w:r>
                      <w:rPr>
                        <w:rFonts w:ascii="Calibri" w:hAnsi="Calibri"/>
                        <w:b/>
                        <w:spacing w:val="-4"/>
                        <w:sz w:val="28"/>
                      </w:rPr>
                      <w:t>ZMT,</w:t>
                    </w:r>
                    <w:r>
                      <w:rPr>
                        <w:rFonts w:ascii="Calibri" w:hAnsi="Calibri"/>
                        <w:b/>
                        <w:spacing w:val="-39"/>
                        <w:sz w:val="28"/>
                      </w:rPr>
                      <w:t> </w:t>
                    </w:r>
                    <w:r>
                      <w:rPr>
                        <w:rFonts w:ascii="Calibri" w:hAnsi="Calibri"/>
                        <w:b/>
                        <w:spacing w:val="-3"/>
                        <w:sz w:val="28"/>
                      </w:rPr>
                      <w:t>1990- </w:t>
                    </w:r>
                    <w:r>
                      <w:rPr>
                        <w:rFonts w:ascii="Calibri" w:hAnsi="Calibri"/>
                        <w:b/>
                        <w:sz w:val="28"/>
                      </w:rPr>
                      <w:t>2000</w:t>
                    </w:r>
                  </w:p>
                </w:txbxContent>
              </v:textbox>
              <w10:wrap type="none"/>
            </v:shape>
            <v:shape style="position:absolute;left:573;top:1416;width:194;height:1955" type="#_x0000_t202" filled="false" stroked="false">
              <v:textbox inset="0,0,0,0">
                <w:txbxContent>
                  <w:p>
                    <w:pPr>
                      <w:spacing w:line="154" w:lineRule="exact" w:before="0"/>
                      <w:ind w:left="0" w:right="-16" w:firstLine="0"/>
                      <w:jc w:val="left"/>
                      <w:rPr>
                        <w:rFonts w:ascii="Calibri"/>
                        <w:sz w:val="15"/>
                      </w:rPr>
                    </w:pPr>
                    <w:r>
                      <w:rPr>
                        <w:rFonts w:ascii="Calibri"/>
                        <w:sz w:val="15"/>
                      </w:rPr>
                      <w:t>1.4</w:t>
                    </w:r>
                  </w:p>
                  <w:p>
                    <w:pPr>
                      <w:spacing w:line="240" w:lineRule="auto" w:before="4"/>
                      <w:rPr>
                        <w:sz w:val="15"/>
                      </w:rPr>
                    </w:pPr>
                  </w:p>
                  <w:p>
                    <w:pPr>
                      <w:spacing w:before="1"/>
                      <w:ind w:left="0" w:right="-16" w:firstLine="0"/>
                      <w:jc w:val="left"/>
                      <w:rPr>
                        <w:rFonts w:ascii="Calibri"/>
                        <w:sz w:val="15"/>
                      </w:rPr>
                    </w:pPr>
                    <w:r>
                      <w:rPr>
                        <w:rFonts w:ascii="Calibri"/>
                        <w:sz w:val="15"/>
                      </w:rPr>
                      <w:t>1.2</w:t>
                    </w:r>
                  </w:p>
                  <w:p>
                    <w:pPr>
                      <w:spacing w:line="240" w:lineRule="auto" w:before="4"/>
                      <w:rPr>
                        <w:sz w:val="15"/>
                      </w:rPr>
                    </w:pPr>
                  </w:p>
                  <w:p>
                    <w:pPr>
                      <w:spacing w:before="1"/>
                      <w:ind w:left="0" w:right="-16" w:firstLine="0"/>
                      <w:jc w:val="left"/>
                      <w:rPr>
                        <w:rFonts w:ascii="Calibri"/>
                        <w:sz w:val="15"/>
                      </w:rPr>
                    </w:pPr>
                    <w:r>
                      <w:rPr>
                        <w:rFonts w:ascii="Calibri"/>
                        <w:sz w:val="15"/>
                      </w:rPr>
                      <w:t>1.0</w:t>
                    </w:r>
                  </w:p>
                  <w:p>
                    <w:pPr>
                      <w:spacing w:line="240" w:lineRule="auto" w:before="4"/>
                      <w:rPr>
                        <w:sz w:val="15"/>
                      </w:rPr>
                    </w:pPr>
                  </w:p>
                  <w:p>
                    <w:pPr>
                      <w:spacing w:before="1"/>
                      <w:ind w:left="0" w:right="-16" w:firstLine="0"/>
                      <w:jc w:val="left"/>
                      <w:rPr>
                        <w:rFonts w:ascii="Calibri"/>
                        <w:sz w:val="15"/>
                      </w:rPr>
                    </w:pPr>
                    <w:r>
                      <w:rPr>
                        <w:rFonts w:ascii="Calibri"/>
                        <w:sz w:val="15"/>
                      </w:rPr>
                      <w:t>0.8</w:t>
                    </w:r>
                  </w:p>
                  <w:p>
                    <w:pPr>
                      <w:spacing w:line="240" w:lineRule="auto" w:before="4"/>
                      <w:rPr>
                        <w:sz w:val="15"/>
                      </w:rPr>
                    </w:pPr>
                  </w:p>
                  <w:p>
                    <w:pPr>
                      <w:spacing w:before="0"/>
                      <w:ind w:left="0" w:right="-16" w:firstLine="0"/>
                      <w:jc w:val="left"/>
                      <w:rPr>
                        <w:rFonts w:ascii="Calibri"/>
                        <w:sz w:val="15"/>
                      </w:rPr>
                    </w:pPr>
                    <w:r>
                      <w:rPr>
                        <w:rFonts w:ascii="Calibri"/>
                        <w:sz w:val="15"/>
                      </w:rPr>
                      <w:t>0.6</w:t>
                    </w:r>
                  </w:p>
                  <w:p>
                    <w:pPr>
                      <w:spacing w:line="240" w:lineRule="auto" w:before="4"/>
                      <w:rPr>
                        <w:sz w:val="15"/>
                      </w:rPr>
                    </w:pPr>
                  </w:p>
                  <w:p>
                    <w:pPr>
                      <w:spacing w:line="181" w:lineRule="exact" w:before="1"/>
                      <w:ind w:left="0" w:right="-16" w:firstLine="0"/>
                      <w:jc w:val="left"/>
                      <w:rPr>
                        <w:rFonts w:ascii="Calibri"/>
                        <w:sz w:val="15"/>
                      </w:rPr>
                    </w:pPr>
                    <w:r>
                      <w:rPr>
                        <w:rFonts w:ascii="Calibri"/>
                        <w:sz w:val="15"/>
                      </w:rPr>
                      <w:t>0.4</w:t>
                    </w:r>
                  </w:p>
                </w:txbxContent>
              </v:textbox>
              <w10:wrap type="none"/>
            </v:shape>
            <v:shape style="position:absolute;left:8341;top:3049;width:329;height:434" type="#_x0000_t202" filled="false" stroked="false">
              <v:textbox inset="0,0,0,0">
                <w:txbxContent>
                  <w:p>
                    <w:pPr>
                      <w:spacing w:line="154" w:lineRule="exact" w:before="0"/>
                      <w:ind w:left="0" w:right="0" w:firstLine="0"/>
                      <w:jc w:val="left"/>
                      <w:rPr>
                        <w:rFonts w:ascii="Calibri"/>
                        <w:sz w:val="15"/>
                      </w:rPr>
                    </w:pPr>
                    <w:r>
                      <w:rPr>
                        <w:rFonts w:ascii="Calibri"/>
                        <w:sz w:val="15"/>
                      </w:rPr>
                      <w:t>1990</w:t>
                    </w:r>
                  </w:p>
                  <w:p>
                    <w:pPr>
                      <w:spacing w:line="181" w:lineRule="exact" w:before="98"/>
                      <w:ind w:left="0" w:right="0" w:firstLine="0"/>
                      <w:jc w:val="left"/>
                      <w:rPr>
                        <w:rFonts w:ascii="Calibri"/>
                        <w:sz w:val="15"/>
                      </w:rPr>
                    </w:pPr>
                    <w:r>
                      <w:rPr>
                        <w:rFonts w:ascii="Calibri"/>
                        <w:sz w:val="15"/>
                      </w:rPr>
                      <w:t>2000</w:t>
                    </w:r>
                  </w:p>
                </w:txbxContent>
              </v:textbox>
              <w10:wrap type="none"/>
            </v:shape>
            <v:shape style="position:absolute;left:573;top:3578;width:194;height:513" type="#_x0000_t202" filled="false" stroked="false">
              <v:textbox inset="0,0,0,0">
                <w:txbxContent>
                  <w:p>
                    <w:pPr>
                      <w:spacing w:line="154" w:lineRule="exact" w:before="0"/>
                      <w:ind w:left="0" w:right="-16" w:firstLine="0"/>
                      <w:jc w:val="left"/>
                      <w:rPr>
                        <w:rFonts w:ascii="Calibri"/>
                        <w:sz w:val="15"/>
                      </w:rPr>
                    </w:pPr>
                    <w:r>
                      <w:rPr>
                        <w:rFonts w:ascii="Calibri"/>
                        <w:sz w:val="15"/>
                      </w:rPr>
                      <w:t>0.2</w:t>
                    </w:r>
                  </w:p>
                  <w:p>
                    <w:pPr>
                      <w:spacing w:line="240" w:lineRule="auto" w:before="4"/>
                      <w:rPr>
                        <w:sz w:val="15"/>
                      </w:rPr>
                    </w:pPr>
                  </w:p>
                  <w:p>
                    <w:pPr>
                      <w:spacing w:line="181" w:lineRule="exact" w:before="1"/>
                      <w:ind w:left="0" w:right="-16" w:firstLine="0"/>
                      <w:jc w:val="left"/>
                      <w:rPr>
                        <w:rFonts w:ascii="Calibri"/>
                        <w:sz w:val="15"/>
                      </w:rPr>
                    </w:pPr>
                    <w:r>
                      <w:rPr>
                        <w:rFonts w:ascii="Calibri"/>
                        <w:sz w:val="15"/>
                      </w:rPr>
                      <w:t>0.0</w:t>
                    </w:r>
                  </w:p>
                </w:txbxContent>
              </v:textbox>
              <w10:wrap type="none"/>
            </v:shape>
          </v:group>
        </w:pict>
      </w:r>
      <w:r>
        <w:rPr>
          <w:sz w:val="20"/>
        </w:rPr>
      </w:r>
    </w:p>
    <w:p>
      <w:pPr>
        <w:spacing w:before="0"/>
        <w:ind w:left="193" w:right="215" w:firstLine="0"/>
        <w:jc w:val="center"/>
        <w:rPr>
          <w:sz w:val="20"/>
        </w:rPr>
      </w:pPr>
      <w:r>
        <w:rPr>
          <w:sz w:val="20"/>
        </w:rPr>
        <w:t>Fuente: Elaboración propia con base en los datos de los Censos de Población y Vivienda INEGI, 1990 y 2000.</w:t>
      </w:r>
    </w:p>
    <w:p>
      <w:pPr>
        <w:pStyle w:val="BodyText"/>
        <w:rPr>
          <w:sz w:val="20"/>
        </w:rPr>
      </w:pPr>
    </w:p>
    <w:p>
      <w:pPr>
        <w:pStyle w:val="BodyText"/>
        <w:rPr>
          <w:sz w:val="20"/>
        </w:rPr>
      </w:pPr>
    </w:p>
    <w:p>
      <w:pPr>
        <w:pStyle w:val="BodyText"/>
        <w:spacing w:line="360" w:lineRule="auto" w:before="156"/>
        <w:ind w:left="102" w:right="125"/>
        <w:jc w:val="both"/>
      </w:pPr>
      <w:r>
        <w:rPr/>
        <w:t>Mientras que para el año 2000 los municipios de Mexicaltzingo y San Mateo Atenco solo registraron el 0.1 por ciento de las paredes de las viviendas con estas características. Se observa que el Mexicaltzingo fue el municipio que disminuyó un</w:t>
      </w:r>
    </w:p>
    <w:p>
      <w:pPr>
        <w:pStyle w:val="BodyText"/>
        <w:spacing w:line="360" w:lineRule="auto" w:before="2"/>
        <w:ind w:left="102" w:right="124"/>
        <w:jc w:val="both"/>
      </w:pPr>
      <w:r>
        <w:rPr/>
        <w:t>1.0 por ciento respecto a la década anterior lo cual fue en beneficio de las viviendas, y mejora la calidad de vida de sus moradores (ver mapa no. 7).</w:t>
      </w:r>
    </w:p>
    <w:p>
      <w:pPr>
        <w:spacing w:after="0" w:line="360" w:lineRule="auto"/>
        <w:jc w:val="both"/>
        <w:sectPr>
          <w:pgSz w:w="12240" w:h="15840"/>
          <w:pgMar w:header="0" w:footer="1003" w:top="1360" w:bottom="1200" w:left="1600" w:right="1580"/>
        </w:sectPr>
      </w:pPr>
    </w:p>
    <w:p>
      <w:pPr>
        <w:pStyle w:val="BodyText"/>
        <w:spacing w:line="360" w:lineRule="auto" w:before="54"/>
        <w:ind w:left="122" w:right="136"/>
        <w:jc w:val="both"/>
      </w:pPr>
      <w:r>
        <w:rPr/>
        <w:t>Encontramos que la mayoría de las paredes de las viviendas en la </w:t>
      </w:r>
      <w:r>
        <w:rPr>
          <w:sz w:val="19"/>
        </w:rPr>
        <w:t>ZMT</w:t>
      </w:r>
      <w:r>
        <w:rPr/>
        <w:t>, están construidas con materiales duraderos y resistentes como tabique, tabicón y block principalmente, mientras que las paredes de las viviendas antiguas están construidas con adobe</w:t>
      </w:r>
      <w:r>
        <w:rPr>
          <w:position w:val="8"/>
          <w:sz w:val="16"/>
        </w:rPr>
        <w:t>16 </w:t>
      </w:r>
      <w:r>
        <w:rPr/>
        <w:t>ya que era el material accesible y económico en ocasiones producido por los mismos</w:t>
      </w:r>
      <w:r>
        <w:rPr>
          <w:spacing w:val="-18"/>
        </w:rPr>
        <w:t> </w:t>
      </w:r>
      <w:r>
        <w:rPr/>
        <w:t>moradores.</w:t>
      </w:r>
    </w:p>
    <w:p>
      <w:pPr>
        <w:pStyle w:val="BodyText"/>
      </w:pPr>
    </w:p>
    <w:p>
      <w:pPr>
        <w:spacing w:before="141" w:after="3"/>
        <w:ind w:left="233" w:right="252" w:firstLine="0"/>
        <w:jc w:val="center"/>
        <w:rPr>
          <w:sz w:val="20"/>
        </w:rPr>
      </w:pPr>
      <w:r>
        <w:rPr>
          <w:sz w:val="20"/>
        </w:rPr>
        <w:t>Mapa No. 7 Porcentaje de viviendas con paredes de lámina, cartón o desechos en la </w:t>
      </w:r>
      <w:r>
        <w:rPr>
          <w:sz w:val="16"/>
        </w:rPr>
        <w:t>ZMT</w:t>
      </w:r>
      <w:r>
        <w:rPr>
          <w:sz w:val="20"/>
        </w:rPr>
        <w:t>, 1990- 2000.</w:t>
      </w:r>
    </w:p>
    <w:p>
      <w:pPr>
        <w:pStyle w:val="BodyText"/>
        <w:ind w:left="150"/>
        <w:rPr>
          <w:sz w:val="20"/>
        </w:rPr>
      </w:pPr>
      <w:r>
        <w:rPr>
          <w:sz w:val="20"/>
        </w:rPr>
        <w:drawing>
          <wp:inline distT="0" distB="0" distL="0" distR="0">
            <wp:extent cx="5532818" cy="3911441"/>
            <wp:effectExtent l="0" t="0" r="0" b="0"/>
            <wp:docPr id="33" name="image125.jpeg" descr=""/>
            <wp:cNvGraphicFramePr>
              <a:graphicFrameLocks noChangeAspect="1"/>
            </wp:cNvGraphicFramePr>
            <a:graphic>
              <a:graphicData uri="http://schemas.openxmlformats.org/drawingml/2006/picture">
                <pic:pic>
                  <pic:nvPicPr>
                    <pic:cNvPr id="34" name="image125.jpeg"/>
                    <pic:cNvPicPr/>
                  </pic:nvPicPr>
                  <pic:blipFill>
                    <a:blip r:embed="rId152" cstate="print"/>
                    <a:stretch>
                      <a:fillRect/>
                    </a:stretch>
                  </pic:blipFill>
                  <pic:spPr>
                    <a:xfrm>
                      <a:off x="0" y="0"/>
                      <a:ext cx="5532818" cy="3911441"/>
                    </a:xfrm>
                    <a:prstGeom prst="rect">
                      <a:avLst/>
                    </a:prstGeom>
                  </pic:spPr>
                </pic:pic>
              </a:graphicData>
            </a:graphic>
          </wp:inline>
        </w:drawing>
      </w:r>
      <w:r>
        <w:rPr>
          <w:sz w:val="20"/>
        </w:rPr>
      </w:r>
    </w:p>
    <w:p>
      <w:pPr>
        <w:spacing w:line="242" w:lineRule="auto" w:before="86"/>
        <w:ind w:left="233" w:right="255" w:firstLine="0"/>
        <w:jc w:val="center"/>
        <w:rPr>
          <w:sz w:val="20"/>
        </w:rPr>
      </w:pPr>
      <w:r>
        <w:rPr>
          <w:sz w:val="20"/>
        </w:rPr>
        <w:t>Fuente: Elaboración propia con base en los datos de los Censos de Población y Vivienda INEGI, 1990 y 2000.</w:t>
      </w:r>
    </w:p>
    <w:p>
      <w:pPr>
        <w:pStyle w:val="BodyText"/>
        <w:rPr>
          <w:sz w:val="20"/>
        </w:rPr>
      </w:pPr>
    </w:p>
    <w:p>
      <w:pPr>
        <w:pStyle w:val="BodyText"/>
        <w:rPr>
          <w:sz w:val="20"/>
        </w:rPr>
      </w:pPr>
    </w:p>
    <w:p>
      <w:pPr>
        <w:pStyle w:val="BodyText"/>
        <w:spacing w:line="360" w:lineRule="auto" w:before="151"/>
        <w:ind w:left="122" w:right="143"/>
        <w:jc w:val="both"/>
      </w:pPr>
      <w:r>
        <w:rPr/>
        <w:pict>
          <v:line style="position:absolute;mso-position-horizontal-relative:page;mso-position-vertical-relative:paragraph;z-index:3616;mso-wrap-distance-left:0;mso-wrap-distance-right:0" from="85.103996pt,114.385849pt" to="229.123996pt,114.385849pt" stroked="true" strokeweight=".84003pt" strokecolor="#000000">
            <w10:wrap type="topAndBottom"/>
          </v:line>
        </w:pict>
      </w:r>
      <w:r>
        <w:rPr/>
        <w:t>Los municipios de Temoaya, San Antonio la Isla y Rayón más del .5 por ciento las paredes de sus viviendas están construidas con materiales lamina, cartón o desechos, las cuales las hace vulnerables principalmente a fenómenos naturales como terremotos, la lluvia, el calor. En el siguiente apartado se analiza el piso de tierra con el cuentan las viviendas.</w:t>
      </w:r>
    </w:p>
    <w:p>
      <w:pPr>
        <w:spacing w:before="74"/>
        <w:ind w:left="122" w:right="214" w:firstLine="0"/>
        <w:jc w:val="left"/>
        <w:rPr>
          <w:rFonts w:ascii="Calibri" w:hAnsi="Calibri"/>
          <w:sz w:val="20"/>
        </w:rPr>
      </w:pPr>
      <w:r>
        <w:rPr>
          <w:rFonts w:ascii="Calibri" w:hAnsi="Calibri"/>
          <w:position w:val="7"/>
          <w:sz w:val="13"/>
        </w:rPr>
        <w:t>16 </w:t>
      </w:r>
      <w:r>
        <w:rPr>
          <w:rFonts w:ascii="Calibri" w:hAnsi="Calibri"/>
          <w:sz w:val="20"/>
        </w:rPr>
        <w:t>Pieza para la construcción conformada de una masa de barro (arcilla y arena) mezclada con paja en forma de ladrillo. Utilizada para la construcción de paredes y muros de las viviendas.</w:t>
      </w:r>
    </w:p>
    <w:p>
      <w:pPr>
        <w:spacing w:after="0"/>
        <w:jc w:val="left"/>
        <w:rPr>
          <w:rFonts w:ascii="Calibri" w:hAnsi="Calibri"/>
          <w:sz w:val="20"/>
        </w:rPr>
        <w:sectPr>
          <w:pgSz w:w="12240" w:h="15840"/>
          <w:pgMar w:header="0" w:footer="1003" w:top="1360" w:bottom="1200" w:left="1580" w:right="1560"/>
        </w:sectPr>
      </w:pPr>
    </w:p>
    <w:p>
      <w:pPr>
        <w:pStyle w:val="ListParagraph"/>
        <w:numPr>
          <w:ilvl w:val="2"/>
          <w:numId w:val="21"/>
        </w:numPr>
        <w:tabs>
          <w:tab w:pos="643" w:val="left" w:leader="none"/>
        </w:tabs>
        <w:spacing w:line="240" w:lineRule="auto" w:before="56" w:after="0"/>
        <w:ind w:left="642" w:right="0" w:hanging="540"/>
        <w:jc w:val="both"/>
        <w:rPr>
          <w:rFonts w:ascii="Cambria"/>
          <w:b/>
          <w:sz w:val="22"/>
        </w:rPr>
      </w:pPr>
      <w:r>
        <w:rPr>
          <w:rFonts w:ascii="Cambria"/>
          <w:b/>
          <w:color w:val="4F81BC"/>
          <w:sz w:val="22"/>
        </w:rPr>
        <w:t>Piso de tierra de las</w:t>
      </w:r>
      <w:r>
        <w:rPr>
          <w:rFonts w:ascii="Cambria"/>
          <w:b/>
          <w:color w:val="4F81BC"/>
          <w:spacing w:val="-7"/>
          <w:sz w:val="22"/>
        </w:rPr>
        <w:t> </w:t>
      </w:r>
      <w:r>
        <w:rPr>
          <w:rFonts w:ascii="Cambria"/>
          <w:b/>
          <w:color w:val="4F81BC"/>
          <w:sz w:val="22"/>
        </w:rPr>
        <w:t>viviendas</w:t>
      </w:r>
    </w:p>
    <w:p>
      <w:pPr>
        <w:pStyle w:val="BodyText"/>
        <w:rPr>
          <w:rFonts w:ascii="Cambria"/>
          <w:b/>
          <w:sz w:val="22"/>
        </w:rPr>
      </w:pPr>
    </w:p>
    <w:p>
      <w:pPr>
        <w:pStyle w:val="BodyText"/>
        <w:spacing w:before="1"/>
        <w:rPr>
          <w:rFonts w:ascii="Cambria"/>
          <w:b/>
          <w:sz w:val="28"/>
        </w:rPr>
      </w:pPr>
    </w:p>
    <w:p>
      <w:pPr>
        <w:pStyle w:val="BodyText"/>
        <w:spacing w:line="360" w:lineRule="auto"/>
        <w:ind w:left="102" w:right="115"/>
        <w:jc w:val="both"/>
      </w:pPr>
      <w:r>
        <w:rPr/>
        <w:t>Las viviendas que cuentan con piso de tierra están consideradas como condiciones de pobreza ubicadas principalmente en zonas marginadas.  El gobierno federal ha tomado acciones como la sustitución de pisos de tierra por un piso de concreto, a través de la Secretaría de Desarrollo Social (</w:t>
      </w:r>
      <w:r>
        <w:rPr>
          <w:sz w:val="19"/>
        </w:rPr>
        <w:t>SEDESOL</w:t>
      </w:r>
      <w:r>
        <w:rPr/>
        <w:t>), en el marco del </w:t>
      </w:r>
      <w:r>
        <w:rPr>
          <w:sz w:val="19"/>
        </w:rPr>
        <w:t>PND</w:t>
      </w:r>
      <w:r>
        <w:rPr/>
        <w:t>, el gobierno federal lanzó en 2008 la estrategia </w:t>
      </w:r>
      <w:r>
        <w:rPr>
          <w:i/>
        </w:rPr>
        <w:t>Vivir Mejor</w:t>
      </w:r>
      <w:r>
        <w:rPr/>
        <w:t>, encaminada hacia un mismo objetivo: el Desarrollo Humano Sustentable, donde encontramos en la primera línea de acción lo referente a la vivienda, que menciona:</w:t>
      </w:r>
    </w:p>
    <w:p>
      <w:pPr>
        <w:pStyle w:val="BodyText"/>
      </w:pPr>
    </w:p>
    <w:p>
      <w:pPr>
        <w:pStyle w:val="ListParagraph"/>
        <w:numPr>
          <w:ilvl w:val="3"/>
          <w:numId w:val="21"/>
        </w:numPr>
        <w:tabs>
          <w:tab w:pos="821" w:val="left" w:leader="none"/>
          <w:tab w:pos="822" w:val="left" w:leader="none"/>
        </w:tabs>
        <w:spacing w:line="350" w:lineRule="auto" w:before="142" w:after="0"/>
        <w:ind w:left="822" w:right="126" w:hanging="360"/>
        <w:jc w:val="left"/>
        <w:rPr>
          <w:sz w:val="24"/>
        </w:rPr>
      </w:pPr>
      <w:r>
        <w:rPr>
          <w:sz w:val="24"/>
        </w:rPr>
        <w:t>Continuar desarrollando las capacidades de los mexicanos en materia de salud, educación, vivienda y</w:t>
      </w:r>
      <w:r>
        <w:rPr>
          <w:spacing w:val="-13"/>
          <w:sz w:val="24"/>
        </w:rPr>
        <w:t> </w:t>
      </w:r>
      <w:r>
        <w:rPr>
          <w:sz w:val="24"/>
        </w:rPr>
        <w:t>alimentación.</w:t>
      </w:r>
    </w:p>
    <w:p>
      <w:pPr>
        <w:pStyle w:val="BodyText"/>
      </w:pPr>
    </w:p>
    <w:p>
      <w:pPr>
        <w:pStyle w:val="BodyText"/>
        <w:spacing w:line="360" w:lineRule="auto" w:before="152"/>
        <w:ind w:left="102" w:right="112"/>
        <w:jc w:val="both"/>
      </w:pPr>
      <w:r>
        <w:rPr/>
        <w:t>Contar con una vivienda con piso firme, cemento u otro recubrimiento es un soporte para el patrimonio familiar, ya que es el espacio básico para el desarrollo de los integrantes que radican en ella. Ya que fortalece la salud, calidad de vida y seguridad para quienes la habitan.</w:t>
      </w:r>
    </w:p>
    <w:p>
      <w:pPr>
        <w:pStyle w:val="BodyText"/>
      </w:pPr>
    </w:p>
    <w:p>
      <w:pPr>
        <w:pStyle w:val="BodyText"/>
        <w:spacing w:line="360" w:lineRule="auto" w:before="142"/>
        <w:ind w:left="102" w:right="118"/>
        <w:jc w:val="both"/>
      </w:pPr>
      <w:r>
        <w:rPr/>
        <w:t>Que las viviendas tengan un piso de cemento representa un mejoramiento del entorno interior de las viviendas, además de un incremento del valor de este patrimonio de las familias de escasos recursos, también de los impactos positivos en la salud de los niños, adultos mayores, mejorando la calidad de vida de los moradores.</w:t>
      </w:r>
    </w:p>
    <w:p>
      <w:pPr>
        <w:pStyle w:val="BodyText"/>
      </w:pPr>
    </w:p>
    <w:p>
      <w:pPr>
        <w:pStyle w:val="BodyText"/>
        <w:spacing w:line="360" w:lineRule="auto" w:before="142"/>
        <w:ind w:left="102" w:right="119"/>
        <w:jc w:val="both"/>
      </w:pPr>
      <w:r>
        <w:rPr/>
        <w:t>Está demostrado que contar con piso firme dentro de las viviendas disminuyen los problemas de la piel, contribuye a reducir enfermedades gastrointestinales como: la diarrea, parasitosis intestinal, hepatitis, salmonella y fiebre tifoidea, varias de las cuales provocan cuadros agudos de anemia, sobre todo en niños (Cordero,</w:t>
      </w:r>
      <w:r>
        <w:rPr>
          <w:spacing w:val="-32"/>
        </w:rPr>
        <w:t> </w:t>
      </w:r>
      <w:r>
        <w:rPr/>
        <w:t>2009).</w:t>
      </w:r>
    </w:p>
    <w:p>
      <w:pPr>
        <w:spacing w:after="0" w:line="360" w:lineRule="auto"/>
        <w:jc w:val="both"/>
        <w:sectPr>
          <w:pgSz w:w="12240" w:h="15840"/>
          <w:pgMar w:header="0" w:footer="1003" w:top="1360" w:bottom="1200" w:left="1600" w:right="1580"/>
        </w:sectPr>
      </w:pPr>
    </w:p>
    <w:p>
      <w:pPr>
        <w:pStyle w:val="BodyText"/>
        <w:spacing w:line="360" w:lineRule="auto" w:before="54"/>
        <w:ind w:left="102" w:right="119"/>
        <w:jc w:val="both"/>
      </w:pPr>
      <w:r>
        <w:rPr/>
        <w:t>Se debe tomar en cuenta que a nivel nacional todos los municipios cuentan con viviendas con piso de tierra aunque por mínimo que sea el porcentaje, en la </w:t>
      </w:r>
      <w:r>
        <w:rPr>
          <w:sz w:val="19"/>
        </w:rPr>
        <w:t>ZMT </w:t>
      </w:r>
      <w:r>
        <w:rPr/>
        <w:t>encontramos para 1990, el municipio de Temoaya era el que contaba con más del</w:t>
      </w:r>
    </w:p>
    <w:p>
      <w:pPr>
        <w:pStyle w:val="BodyText"/>
        <w:spacing w:line="360" w:lineRule="auto" w:before="5"/>
        <w:ind w:left="102" w:right="124"/>
        <w:jc w:val="both"/>
      </w:pPr>
      <w:r>
        <w:rPr/>
        <w:t>51 por ciento de sus viviendas tenían piso de tierra, Almoloya de Juárez y Otzolotepec con más del 40 por ciento, San Antonio la Isla más del 35 por ciento, el municipio de Metepec fue el que registro solo el 6.9 por ciento de sus viviendas con piso de tierra (ver gráfica no. 5).</w:t>
      </w:r>
    </w:p>
    <w:p>
      <w:pPr>
        <w:pStyle w:val="BodyText"/>
      </w:pPr>
    </w:p>
    <w:p>
      <w:pPr>
        <w:spacing w:before="141" w:after="14"/>
        <w:ind w:left="198" w:right="216" w:firstLine="0"/>
        <w:jc w:val="center"/>
        <w:rPr>
          <w:sz w:val="20"/>
        </w:rPr>
      </w:pPr>
      <w:r>
        <w:rPr/>
        <w:pict>
          <v:group style="position:absolute;margin-left:116.092285pt;margin-top:46.790585pt;width:404.25pt;height:135.4pt;mso-position-horizontal-relative:page;mso-position-vertical-relative:paragraph;z-index:-333784" coordorigin="2322,936" coordsize="8085,2708">
            <v:shape style="position:absolute;left:908;top:6313;width:12286;height:2055" coordorigin="908,6313" coordsize="12286,2055" path="m2327,3185l10401,3185m2327,2742l10401,2742m2327,2289l10401,2289m2327,1837l10401,1837e" filled="false" stroked="true" strokeweight=".492568pt" strokecolor="#858585">
              <v:path arrowok="t"/>
            </v:shape>
            <v:shape style="position:absolute;left:2361;top:1625;width:237;height:2010" type="#_x0000_t75" stroked="false">
              <v:imagedata r:id="rId153" o:title=""/>
            </v:shape>
            <v:shape style="position:absolute;left:2894;top:2442;width:237;height:1193" type="#_x0000_t75" stroked="false">
              <v:imagedata r:id="rId154" o:title=""/>
            </v:shape>
            <v:shape style="position:absolute;left:3436;top:3023;width:237;height:612" type="#_x0000_t75" stroked="false">
              <v:imagedata r:id="rId155" o:title=""/>
            </v:shape>
            <v:shape style="position:absolute;left:3968;top:2816;width:237;height:819" type="#_x0000_t75" stroked="false">
              <v:imagedata r:id="rId156" o:title=""/>
            </v:shape>
            <v:shape style="position:absolute;left:4511;top:3289;width:237;height:347" type="#_x0000_t75" stroked="false">
              <v:imagedata r:id="rId157" o:title=""/>
            </v:shape>
            <v:shape style="position:absolute;left:5053;top:2806;width:237;height:829" type="#_x0000_t75" stroked="false">
              <v:imagedata r:id="rId158" o:title=""/>
            </v:shape>
            <v:shape style="position:absolute;left:5585;top:2954;width:237;height:681" type="#_x0000_t75" stroked="false">
              <v:imagedata r:id="rId159" o:title=""/>
            </v:shape>
            <v:shape style="position:absolute;left:6127;top:1743;width:237;height:1892" type="#_x0000_t75" stroked="false">
              <v:imagedata r:id="rId160" o:title=""/>
            </v:shape>
            <v:shape style="position:absolute;left:6660;top:2531;width:237;height:1105" type="#_x0000_t75" stroked="false">
              <v:imagedata r:id="rId161" o:title=""/>
            </v:shape>
            <v:shape style="position:absolute;left:7202;top:2009;width:237;height:1626" type="#_x0000_t75" stroked="false">
              <v:imagedata r:id="rId162" o:title=""/>
            </v:shape>
            <v:shape style="position:absolute;left:7734;top:2993;width:246;height:642" type="#_x0000_t75" stroked="false">
              <v:imagedata r:id="rId163" o:title=""/>
            </v:shape>
            <v:line style="position:absolute" from="2327,1394" to="10401,1394" stroked="true" strokeweight=".492206pt" strokecolor="#858585"/>
            <v:shape style="position:absolute;left:8277;top:1280;width:237;height:2355" type="#_x0000_t75" stroked="false">
              <v:imagedata r:id="rId164" o:title=""/>
            </v:shape>
            <v:shape style="position:absolute;left:8819;top:3052;width:237;height:583" type="#_x0000_t75" stroked="false">
              <v:imagedata r:id="rId165" o:title=""/>
            </v:shape>
            <v:shape style="position:absolute;left:9351;top:2354;width:237;height:1282" type="#_x0000_t75" stroked="false">
              <v:imagedata r:id="rId166" o:title=""/>
            </v:shape>
            <v:shape style="position:absolute;left:9893;top:2393;width:237;height:1242" type="#_x0000_t75" stroked="false">
              <v:imagedata r:id="rId167" o:title=""/>
            </v:shape>
            <v:shape style="position:absolute;left:2480;top:2521;width:237;height:1114" type="#_x0000_t75" stroked="false">
              <v:imagedata r:id="rId168" o:title=""/>
            </v:shape>
            <v:shape style="position:absolute;left:3012;top:2984;width:237;height:652" type="#_x0000_t75" stroked="false">
              <v:imagedata r:id="rId169" o:title=""/>
            </v:shape>
            <v:shape style="position:absolute;left:3554;top:3338;width:237;height:297" type="#_x0000_t75" stroked="false">
              <v:imagedata r:id="rId170" o:title=""/>
            </v:shape>
            <v:shape style="position:absolute;left:4087;top:3259;width:246;height:376" type="#_x0000_t75" stroked="false">
              <v:imagedata r:id="rId171" o:title=""/>
            </v:shape>
            <v:shape style="position:absolute;left:4629;top:3446;width:237;height:189" type="#_x0000_t75" stroked="false">
              <v:imagedata r:id="rId172" o:title=""/>
            </v:shape>
            <v:shape style="position:absolute;left:5171;top:3269;width:237;height:366" type="#_x0000_t75" stroked="false">
              <v:imagedata r:id="rId173" o:title=""/>
            </v:shape>
            <v:shape style="position:absolute;left:5703;top:3318;width:237;height:317" type="#_x0000_t75" stroked="false">
              <v:imagedata r:id="rId174" o:title=""/>
            </v:shape>
            <v:shape style="position:absolute;left:6246;top:2600;width:237;height:1036" type="#_x0000_t75" stroked="false">
              <v:imagedata r:id="rId175" o:title=""/>
            </v:shape>
            <v:shape style="position:absolute;left:6778;top:3121;width:246;height:514" type="#_x0000_t75" stroked="false">
              <v:imagedata r:id="rId86" o:title=""/>
            </v:shape>
            <v:shape style="position:absolute;left:7320;top:2944;width:237;height:691" type="#_x0000_t75" stroked="false">
              <v:imagedata r:id="rId176" o:title=""/>
            </v:shape>
            <v:shape style="position:absolute;left:7862;top:3308;width:237;height:327" type="#_x0000_t75" stroked="false">
              <v:imagedata r:id="rId177" o:title=""/>
            </v:shape>
            <v:shape style="position:absolute;left:8395;top:1911;width:237;height:1725" type="#_x0000_t75" stroked="false">
              <v:imagedata r:id="rId178" o:title=""/>
            </v:shape>
            <v:shape style="position:absolute;left:8937;top:3308;width:237;height:327" type="#_x0000_t75" stroked="false">
              <v:imagedata r:id="rId177" o:title=""/>
            </v:shape>
            <v:shape style="position:absolute;left:9469;top:3003;width:246;height:632" type="#_x0000_t75" stroked="false">
              <v:imagedata r:id="rId179" o:title=""/>
            </v:shape>
            <v:shape style="position:absolute;left:10012;top:2915;width:237;height:721" type="#_x0000_t75" stroked="false">
              <v:imagedata r:id="rId180" o:title=""/>
            </v:shape>
            <v:shape style="position:absolute;left:2598;top:3190;width:237;height:445" type="#_x0000_t75" stroked="false">
              <v:imagedata r:id="rId181" o:title=""/>
            </v:shape>
            <v:shape style="position:absolute;left:3130;top:3259;width:246;height:376" type="#_x0000_t75" stroked="false">
              <v:imagedata r:id="rId171" o:title=""/>
            </v:shape>
            <v:shape style="position:absolute;left:3673;top:3427;width:237;height:209" type="#_x0000_t75" stroked="false">
              <v:imagedata r:id="rId182" o:title=""/>
            </v:shape>
            <v:shape style="position:absolute;left:4215;top:3318;width:237;height:317" type="#_x0000_t75" stroked="false">
              <v:imagedata r:id="rId174" o:title=""/>
            </v:shape>
            <v:shape style="position:absolute;left:4747;top:3358;width:237;height:278" type="#_x0000_t75" stroked="false">
              <v:imagedata r:id="rId183" o:title=""/>
            </v:shape>
            <v:shape style="position:absolute;left:5289;top:3348;width:237;height:288" type="#_x0000_t75" stroked="false">
              <v:imagedata r:id="rId184" o:title=""/>
            </v:shape>
            <v:shape style="position:absolute;left:5822;top:3377;width:246;height:258" type="#_x0000_t75" stroked="false">
              <v:imagedata r:id="rId185" o:title=""/>
            </v:shape>
            <v:shape style="position:absolute;left:6364;top:3013;width:237;height:622" type="#_x0000_t75" stroked="false">
              <v:imagedata r:id="rId186" o:title=""/>
            </v:shape>
            <v:shape style="position:absolute;left:6906;top:3417;width:237;height:219" type="#_x0000_t75" stroked="false">
              <v:imagedata r:id="rId187" o:title=""/>
            </v:shape>
            <v:shape style="position:absolute;left:7439;top:3279;width:237;height:356" type="#_x0000_t75" stroked="false">
              <v:imagedata r:id="rId188" o:title=""/>
            </v:shape>
            <v:shape style="position:absolute;left:7981;top:3348;width:237;height:288" type="#_x0000_t75" stroked="false">
              <v:imagedata r:id="rId184" o:title=""/>
            </v:shape>
            <v:shape style="position:absolute;left:8513;top:2915;width:237;height:721" type="#_x0000_t75" stroked="false">
              <v:imagedata r:id="rId180" o:title=""/>
            </v:shape>
            <v:shape style="position:absolute;left:9055;top:3328;width:237;height:307" type="#_x0000_t75" stroked="false">
              <v:imagedata r:id="rId189" o:title=""/>
            </v:shape>
            <v:shape style="position:absolute;left:9598;top:3299;width:237;height:337" type="#_x0000_t75" stroked="false">
              <v:imagedata r:id="rId190" o:title=""/>
            </v:shape>
            <v:shape style="position:absolute;left:10130;top:3239;width:237;height:396" type="#_x0000_t75" stroked="false">
              <v:imagedata r:id="rId191" o:title=""/>
            </v:shape>
            <v:shape style="position:absolute;left:2391;top:1635;width:168;height:1998" type="#_x0000_t75" stroked="false">
              <v:imagedata r:id="rId192" o:title=""/>
            </v:shape>
            <v:shape style="position:absolute;left:2923;top:2452;width:168;height:1181" type="#_x0000_t75" stroked="false">
              <v:imagedata r:id="rId193" o:title=""/>
            </v:shape>
            <v:shape style="position:absolute;left:3466;top:3033;width:168;height:600" type="#_x0000_t75" stroked="false">
              <v:imagedata r:id="rId194" o:title=""/>
            </v:shape>
            <v:shape style="position:absolute;left:3998;top:2826;width:168;height:807" type="#_x0000_t75" stroked="false">
              <v:imagedata r:id="rId195" o:title=""/>
            </v:shape>
            <v:shape style="position:absolute;left:4540;top:3299;width:168;height:335" type="#_x0000_t75" stroked="false">
              <v:imagedata r:id="rId196" o:title=""/>
            </v:shape>
            <v:shape style="position:absolute;left:5082;top:2816;width:168;height:817" type="#_x0000_t75" stroked="false">
              <v:imagedata r:id="rId197" o:title=""/>
            </v:shape>
            <v:shape style="position:absolute;left:5615;top:2964;width:168;height:669" type="#_x0000_t75" stroked="false">
              <v:imagedata r:id="rId198" o:title=""/>
            </v:shape>
            <v:shape style="position:absolute;left:6157;top:1753;width:168;height:1880" type="#_x0000_t75" stroked="false">
              <v:imagedata r:id="rId199" o:title=""/>
            </v:shape>
            <v:shape style="position:absolute;left:6689;top:2541;width:168;height:1093" type="#_x0000_t75" stroked="false">
              <v:imagedata r:id="rId200" o:title=""/>
            </v:shape>
            <v:shape style="position:absolute;left:7232;top:2019;width:168;height:1614" type="#_x0000_t75" stroked="false">
              <v:imagedata r:id="rId201" o:title=""/>
            </v:shape>
            <v:shape style="position:absolute;left:7764;top:3003;width:177;height:630" type="#_x0000_t75" stroked="false">
              <v:imagedata r:id="rId202" o:title=""/>
            </v:shape>
            <v:shape style="position:absolute;left:8306;top:1290;width:168;height:2343" type="#_x0000_t75" stroked="false">
              <v:imagedata r:id="rId203" o:title=""/>
            </v:shape>
            <v:shape style="position:absolute;left:8848;top:3062;width:168;height:571" type="#_x0000_t75" stroked="false">
              <v:imagedata r:id="rId204" o:title=""/>
            </v:shape>
            <v:shape style="position:absolute;left:9381;top:2363;width:168;height:1270" type="#_x0000_t75" stroked="false">
              <v:imagedata r:id="rId205" o:title=""/>
            </v:shape>
            <v:shape style="position:absolute;left:9923;top:2403;width:168;height:1231" type="#_x0000_t75" stroked="false">
              <v:imagedata r:id="rId206" o:title=""/>
            </v:shape>
            <v:shape style="position:absolute;left:2509;top:2531;width:168;height:1103" type="#_x0000_t75" stroked="false">
              <v:imagedata r:id="rId207" o:title=""/>
            </v:shape>
            <v:shape style="position:absolute;left:3042;top:2993;width:168;height:640" type="#_x0000_t75" stroked="false">
              <v:imagedata r:id="rId208" o:title=""/>
            </v:shape>
            <v:shape style="position:absolute;left:3584;top:3348;width:168;height:285" type="#_x0000_t75" stroked="false">
              <v:imagedata r:id="rId209" o:title=""/>
            </v:shape>
            <v:shape style="position:absolute;left:4116;top:3269;width:177;height:364" type="#_x0000_t75" stroked="false">
              <v:imagedata r:id="rId210" o:title=""/>
            </v:shape>
            <v:shape style="position:absolute;left:4658;top:3456;width:168;height:177" type="#_x0000_t75" stroked="false">
              <v:imagedata r:id="rId211" o:title=""/>
            </v:shape>
            <v:shape style="position:absolute;left:5201;top:3279;width:168;height:354" type="#_x0000_t75" stroked="false">
              <v:imagedata r:id="rId212" o:title=""/>
            </v:shape>
            <v:shape style="position:absolute;left:5733;top:3328;width:168;height:305" type="#_x0000_t75" stroked="false">
              <v:imagedata r:id="rId213" o:title=""/>
            </v:shape>
            <v:shape style="position:absolute;left:6275;top:2609;width:168;height:1024" type="#_x0000_t75" stroked="false">
              <v:imagedata r:id="rId214" o:title=""/>
            </v:shape>
            <v:shape style="position:absolute;left:6808;top:3131;width:177;height:502" type="#_x0000_t75" stroked="false">
              <v:imagedata r:id="rId215" o:title=""/>
            </v:shape>
            <v:shape style="position:absolute;left:7350;top:2954;width:168;height:679" type="#_x0000_t75" stroked="false">
              <v:imagedata r:id="rId216" o:title=""/>
            </v:shape>
            <v:shape style="position:absolute;left:7892;top:3318;width:168;height:315" type="#_x0000_t75" stroked="false">
              <v:imagedata r:id="rId217" o:title=""/>
            </v:shape>
            <v:shape style="position:absolute;left:8424;top:1920;width:168;height:1713" type="#_x0000_t75" stroked="false">
              <v:imagedata r:id="rId218" o:title=""/>
            </v:shape>
            <v:shape style="position:absolute;left:8967;top:3318;width:168;height:315" type="#_x0000_t75" stroked="false">
              <v:imagedata r:id="rId219" o:title=""/>
            </v:shape>
            <v:shape style="position:absolute;left:9499;top:3013;width:177;height:620" type="#_x0000_t75" stroked="false">
              <v:imagedata r:id="rId220" o:title=""/>
            </v:shape>
            <v:shape style="position:absolute;left:10041;top:2924;width:168;height:709" type="#_x0000_t75" stroked="false">
              <v:imagedata r:id="rId221" o:title=""/>
            </v:shape>
            <v:shape style="position:absolute;left:2628;top:3200;width:168;height:433" type="#_x0000_t75" stroked="false">
              <v:imagedata r:id="rId222" o:title=""/>
            </v:shape>
            <v:shape style="position:absolute;left:3160;top:3269;width:177;height:364" type="#_x0000_t75" stroked="false">
              <v:imagedata r:id="rId223" o:title=""/>
            </v:shape>
            <v:shape style="position:absolute;left:3702;top:3436;width:168;height:197" type="#_x0000_t75" stroked="false">
              <v:imagedata r:id="rId224" o:title=""/>
            </v:shape>
            <v:shape style="position:absolute;left:4244;top:3328;width:168;height:305" type="#_x0000_t75" stroked="false">
              <v:imagedata r:id="rId225" o:title=""/>
            </v:shape>
            <v:shape style="position:absolute;left:4777;top:3367;width:168;height:266" type="#_x0000_t75" stroked="false">
              <v:imagedata r:id="rId226" o:title=""/>
            </v:shape>
            <v:shape style="position:absolute;left:5319;top:3358;width:168;height:276" type="#_x0000_t75" stroked="false">
              <v:imagedata r:id="rId227" o:title=""/>
            </v:shape>
            <v:shape style="position:absolute;left:5851;top:3387;width:177;height:246" type="#_x0000_t75" stroked="false">
              <v:imagedata r:id="rId228" o:title=""/>
            </v:shape>
            <v:shape style="position:absolute;left:6394;top:3023;width:168;height:610" type="#_x0000_t75" stroked="false">
              <v:imagedata r:id="rId229" o:title=""/>
            </v:shape>
            <v:shape style="position:absolute;left:6936;top:3427;width:168;height:207" type="#_x0000_t75" stroked="false">
              <v:imagedata r:id="rId230" o:title=""/>
            </v:shape>
            <v:shape style="position:absolute;left:7468;top:3289;width:168;height:345" type="#_x0000_t75" stroked="false">
              <v:imagedata r:id="rId231" o:title=""/>
            </v:shape>
            <v:shape style="position:absolute;left:8010;top:3358;width:168;height:276" type="#_x0000_t75" stroked="false">
              <v:imagedata r:id="rId232" o:title=""/>
            </v:shape>
            <v:shape style="position:absolute;left:8543;top:2924;width:168;height:709" type="#_x0000_t75" stroked="false">
              <v:imagedata r:id="rId233" o:title=""/>
            </v:shape>
            <v:shape style="position:absolute;left:9085;top:3338;width:168;height:295" type="#_x0000_t75" stroked="false">
              <v:imagedata r:id="rId234" o:title=""/>
            </v:shape>
            <v:shape style="position:absolute;left:9627;top:3308;width:168;height:325" type="#_x0000_t75" stroked="false">
              <v:imagedata r:id="rId235" o:title=""/>
            </v:shape>
            <v:shape style="position:absolute;left:10160;top:3249;width:168;height:384" type="#_x0000_t75" stroked="false">
              <v:imagedata r:id="rId236" o:title=""/>
            </v:shape>
            <v:shape style="position:absolute;left:908;top:4948;width:12286;height:4110" coordorigin="908,4948" coordsize="12286,4110" path="m2327,941l10401,941m2327,3638l2327,941m2327,3638l10401,3638e" filled="false" stroked="true" strokeweight=".492568pt" strokecolor="#858585">
              <v:path arrowok="t"/>
            </v:shape>
            <w10:wrap type="none"/>
          </v:group>
        </w:pict>
      </w:r>
      <w:r>
        <w:rPr>
          <w:sz w:val="20"/>
        </w:rPr>
        <w:t>Gráfica No. 5 Viviendas con piso de tierra de la </w:t>
      </w:r>
      <w:r>
        <w:rPr>
          <w:sz w:val="16"/>
        </w:rPr>
        <w:t>ZMT</w:t>
      </w:r>
      <w:r>
        <w:rPr>
          <w:sz w:val="20"/>
        </w:rPr>
        <w:t>, 1990-2010.</w:t>
      </w:r>
    </w:p>
    <w:p>
      <w:pPr>
        <w:pStyle w:val="BodyText"/>
        <w:ind w:left="140"/>
        <w:rPr>
          <w:sz w:val="20"/>
        </w:rPr>
      </w:pPr>
      <w:r>
        <w:rPr>
          <w:sz w:val="20"/>
        </w:rPr>
        <w:pict>
          <v:group style="width:440.7pt;height:234.3pt;mso-position-horizontal-relative:char;mso-position-vertical-relative:line" coordorigin="0,0" coordsize="8814,4686">
            <v:shape style="position:absolute;left:2216;top:3436;width:280;height:257" type="#_x0000_t75" stroked="false">
              <v:imagedata r:id="rId237" o:title=""/>
            </v:shape>
            <v:shape style="position:absolute;left:5;top:5;width:8804;height:4676" type="#_x0000_t202" filled="false" stroked="true" strokeweight=".492858pt" strokecolor="#858585">
              <v:textbox inset="0,0,0,0">
                <w:txbxContent>
                  <w:p>
                    <w:pPr>
                      <w:spacing w:before="96"/>
                      <w:ind w:left="1890" w:right="1890" w:firstLine="0"/>
                      <w:jc w:val="center"/>
                      <w:rPr>
                        <w:rFonts w:ascii="Calibri"/>
                        <w:b/>
                        <w:sz w:val="23"/>
                      </w:rPr>
                    </w:pPr>
                    <w:r>
                      <w:rPr>
                        <w:rFonts w:ascii="Calibri"/>
                        <w:b/>
                        <w:w w:val="105"/>
                        <w:sz w:val="23"/>
                      </w:rPr>
                      <w:t>Viviendas con piso de tierra en la ZMT, 1990-2010</w:t>
                    </w:r>
                  </w:p>
                  <w:p>
                    <w:pPr>
                      <w:spacing w:before="83"/>
                      <w:ind w:left="214" w:right="0" w:firstLine="0"/>
                      <w:jc w:val="left"/>
                      <w:rPr>
                        <w:rFonts w:ascii="Calibri"/>
                        <w:sz w:val="13"/>
                      </w:rPr>
                    </w:pPr>
                    <w:r>
                      <w:rPr>
                        <w:rFonts w:ascii="Calibri"/>
                        <w:sz w:val="13"/>
                      </w:rPr>
                      <w:t>60.0</w:t>
                    </w:r>
                  </w:p>
                  <w:p>
                    <w:pPr>
                      <w:spacing w:line="240" w:lineRule="auto" w:before="0"/>
                      <w:rPr>
                        <w:sz w:val="12"/>
                      </w:rPr>
                    </w:pPr>
                  </w:p>
                  <w:p>
                    <w:pPr>
                      <w:spacing w:line="240" w:lineRule="auto" w:before="2"/>
                      <w:rPr>
                        <w:sz w:val="14"/>
                      </w:rPr>
                    </w:pPr>
                  </w:p>
                  <w:p>
                    <w:pPr>
                      <w:spacing w:before="0"/>
                      <w:ind w:left="214" w:right="0" w:firstLine="0"/>
                      <w:jc w:val="left"/>
                      <w:rPr>
                        <w:rFonts w:ascii="Calibri"/>
                        <w:sz w:val="12"/>
                      </w:rPr>
                    </w:pPr>
                    <w:r>
                      <w:rPr>
                        <w:rFonts w:ascii="Calibri"/>
                        <w:w w:val="105"/>
                        <w:sz w:val="12"/>
                      </w:rPr>
                      <w:t>50.0</w:t>
                    </w:r>
                  </w:p>
                  <w:p>
                    <w:pPr>
                      <w:spacing w:line="240" w:lineRule="auto" w:before="0"/>
                      <w:rPr>
                        <w:sz w:val="12"/>
                      </w:rPr>
                    </w:pPr>
                  </w:p>
                  <w:p>
                    <w:pPr>
                      <w:spacing w:line="240" w:lineRule="auto" w:before="7"/>
                      <w:rPr>
                        <w:sz w:val="13"/>
                      </w:rPr>
                    </w:pPr>
                  </w:p>
                  <w:p>
                    <w:pPr>
                      <w:spacing w:before="0"/>
                      <w:ind w:left="214" w:right="0" w:firstLine="0"/>
                      <w:jc w:val="left"/>
                      <w:rPr>
                        <w:rFonts w:ascii="Calibri"/>
                        <w:sz w:val="13"/>
                      </w:rPr>
                    </w:pPr>
                    <w:r>
                      <w:rPr>
                        <w:rFonts w:ascii="Calibri"/>
                        <w:sz w:val="13"/>
                      </w:rPr>
                      <w:t>40.0</w:t>
                    </w:r>
                  </w:p>
                  <w:p>
                    <w:pPr>
                      <w:spacing w:line="240" w:lineRule="auto" w:before="0"/>
                      <w:rPr>
                        <w:sz w:val="12"/>
                      </w:rPr>
                    </w:pPr>
                  </w:p>
                  <w:p>
                    <w:pPr>
                      <w:spacing w:line="240" w:lineRule="auto" w:before="4"/>
                      <w:rPr>
                        <w:sz w:val="13"/>
                      </w:rPr>
                    </w:pPr>
                  </w:p>
                  <w:p>
                    <w:pPr>
                      <w:spacing w:before="0"/>
                      <w:ind w:left="214" w:right="0" w:firstLine="0"/>
                      <w:jc w:val="left"/>
                      <w:rPr>
                        <w:rFonts w:ascii="Calibri"/>
                        <w:sz w:val="13"/>
                      </w:rPr>
                    </w:pPr>
                    <w:r>
                      <w:rPr>
                        <w:rFonts w:ascii="Calibri"/>
                        <w:sz w:val="13"/>
                      </w:rPr>
                      <w:t>30.0</w:t>
                    </w:r>
                  </w:p>
                  <w:p>
                    <w:pPr>
                      <w:spacing w:line="240" w:lineRule="auto" w:before="0"/>
                      <w:rPr>
                        <w:sz w:val="12"/>
                      </w:rPr>
                    </w:pPr>
                  </w:p>
                  <w:p>
                    <w:pPr>
                      <w:spacing w:line="240" w:lineRule="auto" w:before="4"/>
                      <w:rPr>
                        <w:sz w:val="13"/>
                      </w:rPr>
                    </w:pPr>
                  </w:p>
                  <w:p>
                    <w:pPr>
                      <w:spacing w:before="0"/>
                      <w:ind w:left="214" w:right="0" w:firstLine="0"/>
                      <w:jc w:val="left"/>
                      <w:rPr>
                        <w:rFonts w:ascii="Calibri"/>
                        <w:sz w:val="13"/>
                      </w:rPr>
                    </w:pPr>
                    <w:r>
                      <w:rPr>
                        <w:rFonts w:ascii="Calibri"/>
                        <w:sz w:val="13"/>
                      </w:rPr>
                      <w:t>20.0</w:t>
                    </w:r>
                  </w:p>
                  <w:p>
                    <w:pPr>
                      <w:spacing w:line="240" w:lineRule="auto" w:before="0"/>
                      <w:rPr>
                        <w:sz w:val="12"/>
                      </w:rPr>
                    </w:pPr>
                  </w:p>
                  <w:p>
                    <w:pPr>
                      <w:spacing w:line="240" w:lineRule="auto" w:before="4"/>
                      <w:rPr>
                        <w:sz w:val="13"/>
                      </w:rPr>
                    </w:pPr>
                  </w:p>
                  <w:p>
                    <w:pPr>
                      <w:spacing w:before="0"/>
                      <w:ind w:left="214" w:right="0" w:firstLine="0"/>
                      <w:jc w:val="left"/>
                      <w:rPr>
                        <w:rFonts w:ascii="Calibri"/>
                        <w:sz w:val="13"/>
                      </w:rPr>
                    </w:pPr>
                    <w:r>
                      <w:rPr>
                        <w:rFonts w:ascii="Calibri"/>
                        <w:sz w:val="13"/>
                      </w:rPr>
                      <w:t>10.0</w:t>
                    </w:r>
                  </w:p>
                  <w:p>
                    <w:pPr>
                      <w:spacing w:line="240" w:lineRule="auto" w:before="0"/>
                      <w:rPr>
                        <w:sz w:val="12"/>
                      </w:rPr>
                    </w:pPr>
                  </w:p>
                  <w:p>
                    <w:pPr>
                      <w:spacing w:line="240" w:lineRule="auto" w:before="4"/>
                      <w:rPr>
                        <w:sz w:val="13"/>
                      </w:rPr>
                    </w:pPr>
                  </w:p>
                  <w:p>
                    <w:pPr>
                      <w:spacing w:before="0" w:after="97"/>
                      <w:ind w:left="287" w:right="0" w:firstLine="0"/>
                      <w:jc w:val="left"/>
                      <w:rPr>
                        <w:rFonts w:ascii="Calibri"/>
                        <w:sz w:val="13"/>
                      </w:rPr>
                    </w:pPr>
                    <w:r>
                      <w:rPr>
                        <w:rFonts w:ascii="Calibri"/>
                        <w:sz w:val="13"/>
                      </w:rPr>
                      <w:t>0.0</w:t>
                    </w:r>
                  </w:p>
                  <w:p>
                    <w:pPr>
                      <w:tabs>
                        <w:tab w:pos="3660" w:val="left" w:leader="none"/>
                        <w:tab w:pos="6401" w:val="left" w:leader="none"/>
                        <w:tab w:pos="7036" w:val="left" w:leader="none"/>
                      </w:tabs>
                      <w:spacing w:line="240" w:lineRule="auto"/>
                      <w:ind w:left="113" w:right="0" w:firstLine="0"/>
                      <w:rPr>
                        <w:sz w:val="20"/>
                      </w:rPr>
                    </w:pPr>
                    <w:r>
                      <w:rPr>
                        <w:sz w:val="20"/>
                      </w:rPr>
                      <w:drawing>
                        <wp:inline distT="0" distB="0" distL="0" distR="0">
                          <wp:extent cx="480309" cy="481012"/>
                          <wp:effectExtent l="0" t="0" r="0" b="0"/>
                          <wp:docPr id="35" name="image211.png" descr=""/>
                          <wp:cNvGraphicFramePr>
                            <a:graphicFrameLocks noChangeAspect="1"/>
                          </wp:cNvGraphicFramePr>
                          <a:graphic>
                            <a:graphicData uri="http://schemas.openxmlformats.org/drawingml/2006/picture">
                              <pic:pic>
                                <pic:nvPicPr>
                                  <pic:cNvPr id="36" name="image211.png"/>
                                  <pic:cNvPicPr/>
                                </pic:nvPicPr>
                                <pic:blipFill>
                                  <a:blip r:embed="rId238" cstate="print"/>
                                  <a:stretch>
                                    <a:fillRect/>
                                  </a:stretch>
                                </pic:blipFill>
                                <pic:spPr>
                                  <a:xfrm>
                                    <a:off x="0" y="0"/>
                                    <a:ext cx="480309" cy="481012"/>
                                  </a:xfrm>
                                  <a:prstGeom prst="rect">
                                    <a:avLst/>
                                  </a:prstGeom>
                                </pic:spPr>
                              </pic:pic>
                            </a:graphicData>
                          </a:graphic>
                        </wp:inline>
                      </w:drawing>
                    </w:r>
                    <w:r>
                      <w:rPr>
                        <w:sz w:val="20"/>
                      </w:rPr>
                    </w:r>
                    <w:r>
                      <w:rPr>
                        <w:sz w:val="20"/>
                      </w:rPr>
                      <w:tab/>
                    </w:r>
                    <w:r>
                      <w:rPr>
                        <w:position w:val="28"/>
                        <w:sz w:val="20"/>
                      </w:rPr>
                      <w:drawing>
                        <wp:inline distT="0" distB="0" distL="0" distR="0">
                          <wp:extent cx="620762" cy="304800"/>
                          <wp:effectExtent l="0" t="0" r="0" b="0"/>
                          <wp:docPr id="37" name="image212.png" descr=""/>
                          <wp:cNvGraphicFramePr>
                            <a:graphicFrameLocks noChangeAspect="1"/>
                          </wp:cNvGraphicFramePr>
                          <a:graphic>
                            <a:graphicData uri="http://schemas.openxmlformats.org/drawingml/2006/picture">
                              <pic:pic>
                                <pic:nvPicPr>
                                  <pic:cNvPr id="38" name="image212.png"/>
                                  <pic:cNvPicPr/>
                                </pic:nvPicPr>
                                <pic:blipFill>
                                  <a:blip r:embed="rId239" cstate="print"/>
                                  <a:stretch>
                                    <a:fillRect/>
                                  </a:stretch>
                                </pic:blipFill>
                                <pic:spPr>
                                  <a:xfrm>
                                    <a:off x="0" y="0"/>
                                    <a:ext cx="620762" cy="304800"/>
                                  </a:xfrm>
                                  <a:prstGeom prst="rect">
                                    <a:avLst/>
                                  </a:prstGeom>
                                </pic:spPr>
                              </pic:pic>
                            </a:graphicData>
                          </a:graphic>
                        </wp:inline>
                      </w:drawing>
                    </w:r>
                    <w:r>
                      <w:rPr>
                        <w:position w:val="28"/>
                        <w:sz w:val="20"/>
                      </w:rPr>
                    </w:r>
                    <w:r>
                      <w:rPr>
                        <w:position w:val="28"/>
                        <w:sz w:val="20"/>
                      </w:rPr>
                      <w:tab/>
                    </w:r>
                    <w:r>
                      <w:rPr>
                        <w:position w:val="40"/>
                        <w:sz w:val="20"/>
                      </w:rPr>
                      <w:drawing>
                        <wp:inline distT="0" distB="0" distL="0" distR="0">
                          <wp:extent cx="244173" cy="219075"/>
                          <wp:effectExtent l="0" t="0" r="0" b="0"/>
                          <wp:docPr id="39" name="image213.png" descr=""/>
                          <wp:cNvGraphicFramePr>
                            <a:graphicFrameLocks noChangeAspect="1"/>
                          </wp:cNvGraphicFramePr>
                          <a:graphic>
                            <a:graphicData uri="http://schemas.openxmlformats.org/drawingml/2006/picture">
                              <pic:pic>
                                <pic:nvPicPr>
                                  <pic:cNvPr id="40" name="image213.png"/>
                                  <pic:cNvPicPr/>
                                </pic:nvPicPr>
                                <pic:blipFill>
                                  <a:blip r:embed="rId240" cstate="print"/>
                                  <a:stretch>
                                    <a:fillRect/>
                                  </a:stretch>
                                </pic:blipFill>
                                <pic:spPr>
                                  <a:xfrm>
                                    <a:off x="0" y="0"/>
                                    <a:ext cx="244173" cy="219075"/>
                                  </a:xfrm>
                                  <a:prstGeom prst="rect">
                                    <a:avLst/>
                                  </a:prstGeom>
                                </pic:spPr>
                              </pic:pic>
                            </a:graphicData>
                          </a:graphic>
                        </wp:inline>
                      </w:drawing>
                    </w:r>
                    <w:r>
                      <w:rPr>
                        <w:position w:val="40"/>
                        <w:sz w:val="20"/>
                      </w:rPr>
                    </w:r>
                    <w:r>
                      <w:rPr>
                        <w:position w:val="40"/>
                        <w:sz w:val="20"/>
                      </w:rPr>
                      <w:tab/>
                    </w:r>
                    <w:r>
                      <w:rPr>
                        <w:position w:val="50"/>
                        <w:sz w:val="20"/>
                      </w:rPr>
                      <w:drawing>
                        <wp:inline distT="0" distB="0" distL="0" distR="0">
                          <wp:extent cx="186822" cy="161925"/>
                          <wp:effectExtent l="0" t="0" r="0" b="0"/>
                          <wp:docPr id="41" name="image214.png" descr=""/>
                          <wp:cNvGraphicFramePr>
                            <a:graphicFrameLocks noChangeAspect="1"/>
                          </wp:cNvGraphicFramePr>
                          <a:graphic>
                            <a:graphicData uri="http://schemas.openxmlformats.org/drawingml/2006/picture">
                              <pic:pic>
                                <pic:nvPicPr>
                                  <pic:cNvPr id="42" name="image214.png"/>
                                  <pic:cNvPicPr/>
                                </pic:nvPicPr>
                                <pic:blipFill>
                                  <a:blip r:embed="rId241" cstate="print"/>
                                  <a:stretch>
                                    <a:fillRect/>
                                  </a:stretch>
                                </pic:blipFill>
                                <pic:spPr>
                                  <a:xfrm>
                                    <a:off x="0" y="0"/>
                                    <a:ext cx="186822" cy="161925"/>
                                  </a:xfrm>
                                  <a:prstGeom prst="rect">
                                    <a:avLst/>
                                  </a:prstGeom>
                                </pic:spPr>
                              </pic:pic>
                            </a:graphicData>
                          </a:graphic>
                        </wp:inline>
                      </w:drawing>
                    </w:r>
                    <w:r>
                      <w:rPr>
                        <w:position w:val="50"/>
                        <w:sz w:val="20"/>
                      </w:rPr>
                    </w:r>
                    <w:r>
                      <w:rPr>
                        <w:rFonts w:ascii="Times New Roman"/>
                        <w:spacing w:val="25"/>
                        <w:position w:val="50"/>
                        <w:sz w:val="20"/>
                      </w:rPr>
                      <w:t> </w:t>
                    </w:r>
                    <w:r>
                      <w:rPr>
                        <w:spacing w:val="25"/>
                        <w:position w:val="23"/>
                        <w:sz w:val="20"/>
                      </w:rPr>
                      <w:drawing>
                        <wp:inline distT="0" distB="0" distL="0" distR="0">
                          <wp:extent cx="627451" cy="333375"/>
                          <wp:effectExtent l="0" t="0" r="0" b="0"/>
                          <wp:docPr id="43" name="image215.png" descr=""/>
                          <wp:cNvGraphicFramePr>
                            <a:graphicFrameLocks noChangeAspect="1"/>
                          </wp:cNvGraphicFramePr>
                          <a:graphic>
                            <a:graphicData uri="http://schemas.openxmlformats.org/drawingml/2006/picture">
                              <pic:pic>
                                <pic:nvPicPr>
                                  <pic:cNvPr id="44" name="image215.png"/>
                                  <pic:cNvPicPr/>
                                </pic:nvPicPr>
                                <pic:blipFill>
                                  <a:blip r:embed="rId242" cstate="print"/>
                                  <a:stretch>
                                    <a:fillRect/>
                                  </a:stretch>
                                </pic:blipFill>
                                <pic:spPr>
                                  <a:xfrm>
                                    <a:off x="0" y="0"/>
                                    <a:ext cx="627451" cy="333375"/>
                                  </a:xfrm>
                                  <a:prstGeom prst="rect">
                                    <a:avLst/>
                                  </a:prstGeom>
                                </pic:spPr>
                              </pic:pic>
                            </a:graphicData>
                          </a:graphic>
                        </wp:inline>
                      </w:drawing>
                    </w:r>
                    <w:r>
                      <w:rPr>
                        <w:spacing w:val="25"/>
                        <w:position w:val="23"/>
                        <w:sz w:val="20"/>
                      </w:rPr>
                    </w:r>
                  </w:p>
                  <w:p>
                    <w:pPr>
                      <w:spacing w:line="240" w:lineRule="auto" w:before="0"/>
                      <w:rPr>
                        <w:sz w:val="12"/>
                      </w:rPr>
                    </w:pPr>
                  </w:p>
                  <w:p>
                    <w:pPr>
                      <w:spacing w:before="81"/>
                      <w:ind w:left="1890" w:right="1868" w:firstLine="0"/>
                      <w:jc w:val="center"/>
                      <w:rPr>
                        <w:rFonts w:ascii="Calibri"/>
                        <w:sz w:val="12"/>
                      </w:rPr>
                    </w:pPr>
                    <w:r>
                      <w:rPr/>
                      <w:drawing>
                        <wp:inline distT="0" distB="0" distL="0" distR="0">
                          <wp:extent cx="81844" cy="81724"/>
                          <wp:effectExtent l="0" t="0" r="0" b="0"/>
                          <wp:docPr id="45" name="image216.png" descr=""/>
                          <wp:cNvGraphicFramePr>
                            <a:graphicFrameLocks noChangeAspect="1"/>
                          </wp:cNvGraphicFramePr>
                          <a:graphic>
                            <a:graphicData uri="http://schemas.openxmlformats.org/drawingml/2006/picture">
                              <pic:pic>
                                <pic:nvPicPr>
                                  <pic:cNvPr id="46" name="image216.png"/>
                                  <pic:cNvPicPr/>
                                </pic:nvPicPr>
                                <pic:blipFill>
                                  <a:blip r:embed="rId243" cstate="print"/>
                                  <a:stretch>
                                    <a:fillRect/>
                                  </a:stretch>
                                </pic:blipFill>
                                <pic:spPr>
                                  <a:xfrm>
                                    <a:off x="0" y="0"/>
                                    <a:ext cx="81844" cy="81724"/>
                                  </a:xfrm>
                                  <a:prstGeom prst="rect">
                                    <a:avLst/>
                                  </a:prstGeom>
                                </pic:spPr>
                              </pic:pic>
                            </a:graphicData>
                          </a:graphic>
                        </wp:inline>
                      </w:drawing>
                    </w:r>
                    <w:r>
                      <w:rPr/>
                    </w:r>
                    <w:r>
                      <w:rPr>
                        <w:rFonts w:ascii="Calibri"/>
                        <w:w w:val="105"/>
                        <w:position w:val="1"/>
                        <w:sz w:val="12"/>
                      </w:rPr>
                      <w:t>1990   </w:t>
                    </w:r>
                    <w:r>
                      <w:rPr>
                        <w:rFonts w:ascii="Calibri"/>
                        <w:spacing w:val="5"/>
                        <w:sz w:val="12"/>
                      </w:rPr>
                      <w:drawing>
                        <wp:inline distT="0" distB="0" distL="0" distR="0">
                          <wp:extent cx="81844" cy="81724"/>
                          <wp:effectExtent l="0" t="0" r="0" b="0"/>
                          <wp:docPr id="47" name="image217.png" descr=""/>
                          <wp:cNvGraphicFramePr>
                            <a:graphicFrameLocks noChangeAspect="1"/>
                          </wp:cNvGraphicFramePr>
                          <a:graphic>
                            <a:graphicData uri="http://schemas.openxmlformats.org/drawingml/2006/picture">
                              <pic:pic>
                                <pic:nvPicPr>
                                  <pic:cNvPr id="48" name="image217.png"/>
                                  <pic:cNvPicPr/>
                                </pic:nvPicPr>
                                <pic:blipFill>
                                  <a:blip r:embed="rId244" cstate="print"/>
                                  <a:stretch>
                                    <a:fillRect/>
                                  </a:stretch>
                                </pic:blipFill>
                                <pic:spPr>
                                  <a:xfrm>
                                    <a:off x="0" y="0"/>
                                    <a:ext cx="81844" cy="81724"/>
                                  </a:xfrm>
                                  <a:prstGeom prst="rect">
                                    <a:avLst/>
                                  </a:prstGeom>
                                </pic:spPr>
                              </pic:pic>
                            </a:graphicData>
                          </a:graphic>
                        </wp:inline>
                      </w:drawing>
                    </w:r>
                    <w:r>
                      <w:rPr>
                        <w:rFonts w:ascii="Calibri"/>
                        <w:spacing w:val="5"/>
                        <w:sz w:val="12"/>
                      </w:rPr>
                    </w:r>
                    <w:r>
                      <w:rPr>
                        <w:rFonts w:ascii="Calibri"/>
                        <w:w w:val="105"/>
                        <w:position w:val="1"/>
                        <w:sz w:val="12"/>
                      </w:rPr>
                      <w:t>2000 </w:t>
                    </w:r>
                    <w:r>
                      <w:rPr>
                        <w:rFonts w:ascii="Calibri"/>
                        <w:spacing w:val="8"/>
                        <w:w w:val="105"/>
                        <w:position w:val="1"/>
                        <w:sz w:val="12"/>
                      </w:rPr>
                      <w:t> </w:t>
                    </w:r>
                    <w:r>
                      <w:rPr>
                        <w:rFonts w:ascii="Calibri"/>
                        <w:spacing w:val="5"/>
                        <w:sz w:val="12"/>
                      </w:rPr>
                      <w:drawing>
                        <wp:inline distT="0" distB="0" distL="0" distR="0">
                          <wp:extent cx="81844" cy="81724"/>
                          <wp:effectExtent l="0" t="0" r="0" b="0"/>
                          <wp:docPr id="49" name="image218.png" descr=""/>
                          <wp:cNvGraphicFramePr>
                            <a:graphicFrameLocks noChangeAspect="1"/>
                          </wp:cNvGraphicFramePr>
                          <a:graphic>
                            <a:graphicData uri="http://schemas.openxmlformats.org/drawingml/2006/picture">
                              <pic:pic>
                                <pic:nvPicPr>
                                  <pic:cNvPr id="50" name="image218.png"/>
                                  <pic:cNvPicPr/>
                                </pic:nvPicPr>
                                <pic:blipFill>
                                  <a:blip r:embed="rId245" cstate="print"/>
                                  <a:stretch>
                                    <a:fillRect/>
                                  </a:stretch>
                                </pic:blipFill>
                                <pic:spPr>
                                  <a:xfrm>
                                    <a:off x="0" y="0"/>
                                    <a:ext cx="81844" cy="81724"/>
                                  </a:xfrm>
                                  <a:prstGeom prst="rect">
                                    <a:avLst/>
                                  </a:prstGeom>
                                </pic:spPr>
                              </pic:pic>
                            </a:graphicData>
                          </a:graphic>
                        </wp:inline>
                      </w:drawing>
                    </w:r>
                    <w:r>
                      <w:rPr>
                        <w:rFonts w:ascii="Calibri"/>
                        <w:spacing w:val="5"/>
                        <w:sz w:val="12"/>
                      </w:rPr>
                    </w:r>
                    <w:r>
                      <w:rPr>
                        <w:rFonts w:ascii="Calibri"/>
                        <w:spacing w:val="4"/>
                        <w:w w:val="105"/>
                        <w:position w:val="1"/>
                        <w:sz w:val="12"/>
                      </w:rPr>
                      <w:t>2010</w:t>
                    </w:r>
                  </w:p>
                </w:txbxContent>
              </v:textbox>
              <w10:wrap type="none"/>
            </v:shape>
          </v:group>
        </w:pict>
      </w:r>
      <w:r>
        <w:rPr>
          <w:sz w:val="20"/>
        </w:rPr>
      </w:r>
    </w:p>
    <w:p>
      <w:pPr>
        <w:spacing w:before="0"/>
        <w:ind w:left="193" w:right="211" w:firstLine="0"/>
        <w:jc w:val="center"/>
        <w:rPr>
          <w:sz w:val="20"/>
        </w:rPr>
      </w:pPr>
      <w:r>
        <w:rPr/>
        <w:pict>
          <v:group style="position:absolute;margin-left:139.736771pt;margin-top:-62.981682pt;width:44.9pt;height:24.35pt;mso-position-horizontal-relative:page;mso-position-vertical-relative:paragraph;z-index:-333760" coordorigin="2795,-1260" coordsize="898,487">
            <v:shape style="position:absolute;left:2795;top:-1255;width:361;height:340" type="#_x0000_t75" stroked="false">
              <v:imagedata r:id="rId246" o:title=""/>
            </v:shape>
            <v:shape style="position:absolute;left:3190;top:-1260;width:502;height:487" type="#_x0000_t75" stroked="false">
              <v:imagedata r:id="rId247" o:title=""/>
            </v:shape>
            <w10:wrap type="none"/>
          </v:group>
        </w:pict>
      </w:r>
      <w:r>
        <w:rPr/>
        <w:pict>
          <v:group style="position:absolute;margin-left:219.788666pt;margin-top:-63.248127pt;width:45.2pt;height:27.35pt;mso-position-horizontal-relative:page;mso-position-vertical-relative:paragraph;z-index:-333736" coordorigin="4396,-1265" coordsize="904,547">
            <v:shape style="position:absolute;left:4396;top:-1265;width:378;height:364" type="#_x0000_t75" stroked="false">
              <v:imagedata r:id="rId248" o:title=""/>
            </v:shape>
            <v:shape style="position:absolute;left:4750;top:-1252;width:549;height:534" type="#_x0000_t75" stroked="false">
              <v:imagedata r:id="rId249" o:title=""/>
            </v:shape>
            <w10:wrap type="none"/>
          </v:group>
        </w:pict>
      </w:r>
      <w:r>
        <w:rPr/>
        <w:pict>
          <v:group style="position:absolute;margin-left:332.768311pt;margin-top:-62.820229pt;width:66.95pt;height:35.5pt;mso-position-horizontal-relative:page;mso-position-vertical-relative:paragraph;z-index:-333712" coordorigin="6655,-1256" coordsize="1339,710">
            <v:shape style="position:absolute;left:6655;top:-1256;width:270;height:248" type="#_x0000_t75" stroked="false">
              <v:imagedata r:id="rId250" o:title=""/>
            </v:shape>
            <v:shape style="position:absolute;left:6745;top:-1256;width:1249;height:709" type="#_x0000_t75" stroked="false">
              <v:imagedata r:id="rId251" o:title=""/>
            </v:shape>
            <w10:wrap type="none"/>
          </v:group>
        </w:pict>
      </w:r>
      <w:r>
        <w:rPr>
          <w:sz w:val="20"/>
        </w:rPr>
        <w:t>Fuente: Elaboración propia con base en los datos de los Censos de Población y Vivienda INEGI, 1990 y 2010.</w:t>
      </w:r>
    </w:p>
    <w:p>
      <w:pPr>
        <w:pStyle w:val="BodyText"/>
        <w:spacing w:before="1"/>
      </w:pPr>
    </w:p>
    <w:p>
      <w:pPr>
        <w:pStyle w:val="BodyText"/>
        <w:spacing w:line="360" w:lineRule="auto"/>
        <w:ind w:left="102" w:right="116"/>
        <w:jc w:val="both"/>
      </w:pPr>
      <w:r>
        <w:rPr/>
        <w:t>Una década después sigue siendo el municipio de Temoaya el que cuenta con el mayor porcentaje 37.5 por ciento de sus viviendas con piso de tierra, Almoloya de Juárez y Otzolotepec con más del 22 por ciento, por el contrario Metepec registró un 3.2 por ciento de sus viviendas.</w:t>
      </w:r>
    </w:p>
    <w:p>
      <w:pPr>
        <w:pStyle w:val="BodyText"/>
      </w:pPr>
    </w:p>
    <w:p>
      <w:pPr>
        <w:pStyle w:val="BodyText"/>
        <w:spacing w:line="360" w:lineRule="auto" w:before="142"/>
        <w:ind w:left="102" w:right="117"/>
        <w:jc w:val="both"/>
      </w:pPr>
      <w:r>
        <w:rPr/>
        <w:t>Para el año 2010 Temoaya y Otzolotepec representaron el 15 y 13 por ciento respectivamente de viviendas con piso de tierra, mientras que los trece municipios restantes registraron menos del 8.9 por ciento, el municipio de Chapultepec registró solo el 3.7 por ciento de sus viviendas con esta característica (ver mapa no. 8).</w:t>
      </w:r>
    </w:p>
    <w:p>
      <w:pPr>
        <w:spacing w:after="0" w:line="360" w:lineRule="auto"/>
        <w:jc w:val="both"/>
        <w:sectPr>
          <w:pgSz w:w="12240" w:h="15840"/>
          <w:pgMar w:header="0" w:footer="1003" w:top="1360" w:bottom="1200" w:left="1600" w:right="1580"/>
        </w:sectPr>
      </w:pPr>
    </w:p>
    <w:p>
      <w:pPr>
        <w:pStyle w:val="BodyText"/>
        <w:spacing w:line="360" w:lineRule="auto" w:before="54"/>
        <w:ind w:left="102" w:right="138"/>
        <w:jc w:val="both"/>
      </w:pPr>
      <w:r>
        <w:rPr/>
        <w:t>Sería excelente que las administraciones municipales y por supuesto la estatal, ponga atención en los municipios de Temoaya y Otzolotepec, y focalizaran las viviendas que cuentan con piso de tierra e implementaran un programa de piso firme para que las personas que las habitan cuenten con una mejor calidad de  vida y un mejor estado de</w:t>
      </w:r>
      <w:r>
        <w:rPr>
          <w:spacing w:val="-9"/>
        </w:rPr>
        <w:t> </w:t>
      </w:r>
      <w:r>
        <w:rPr/>
        <w:t>salud.</w:t>
      </w:r>
    </w:p>
    <w:p>
      <w:pPr>
        <w:pStyle w:val="BodyText"/>
      </w:pPr>
    </w:p>
    <w:p>
      <w:pPr>
        <w:spacing w:before="186" w:after="3"/>
        <w:ind w:left="87" w:right="122" w:firstLine="0"/>
        <w:jc w:val="center"/>
        <w:rPr>
          <w:sz w:val="20"/>
        </w:rPr>
      </w:pPr>
      <w:r>
        <w:rPr>
          <w:sz w:val="20"/>
        </w:rPr>
        <w:t>Mapa No. 8 Porcentaje de viviendas con piso de tierra en la </w:t>
      </w:r>
      <w:r>
        <w:rPr>
          <w:sz w:val="16"/>
        </w:rPr>
        <w:t>ZMT</w:t>
      </w:r>
      <w:r>
        <w:rPr>
          <w:sz w:val="20"/>
        </w:rPr>
        <w:t>, 1990-2010.</w:t>
      </w:r>
    </w:p>
    <w:p>
      <w:pPr>
        <w:pStyle w:val="BodyText"/>
        <w:ind w:left="130"/>
        <w:rPr>
          <w:sz w:val="20"/>
        </w:rPr>
      </w:pPr>
      <w:r>
        <w:rPr>
          <w:sz w:val="20"/>
        </w:rPr>
        <w:drawing>
          <wp:inline distT="0" distB="0" distL="0" distR="0">
            <wp:extent cx="5530693" cy="3911441"/>
            <wp:effectExtent l="0" t="0" r="0" b="0"/>
            <wp:docPr id="51" name="image225.jpeg" descr=""/>
            <wp:cNvGraphicFramePr>
              <a:graphicFrameLocks noChangeAspect="1"/>
            </wp:cNvGraphicFramePr>
            <a:graphic>
              <a:graphicData uri="http://schemas.openxmlformats.org/drawingml/2006/picture">
                <pic:pic>
                  <pic:nvPicPr>
                    <pic:cNvPr id="52" name="image225.jpeg"/>
                    <pic:cNvPicPr/>
                  </pic:nvPicPr>
                  <pic:blipFill>
                    <a:blip r:embed="rId252" cstate="print"/>
                    <a:stretch>
                      <a:fillRect/>
                    </a:stretch>
                  </pic:blipFill>
                  <pic:spPr>
                    <a:xfrm>
                      <a:off x="0" y="0"/>
                      <a:ext cx="5530693" cy="3911441"/>
                    </a:xfrm>
                    <a:prstGeom prst="rect">
                      <a:avLst/>
                    </a:prstGeom>
                  </pic:spPr>
                </pic:pic>
              </a:graphicData>
            </a:graphic>
          </wp:inline>
        </w:drawing>
      </w:r>
      <w:r>
        <w:rPr>
          <w:sz w:val="20"/>
        </w:rPr>
      </w:r>
    </w:p>
    <w:p>
      <w:pPr>
        <w:spacing w:before="88"/>
        <w:ind w:left="80" w:right="122" w:firstLine="0"/>
        <w:jc w:val="center"/>
        <w:rPr>
          <w:sz w:val="20"/>
        </w:rPr>
      </w:pPr>
      <w:r>
        <w:rPr>
          <w:sz w:val="20"/>
        </w:rPr>
        <w:t>Fuente: Elaboración propia con base en los datos de los Censos de Población y Vivienda INEGI, 1990, 2000 y 2010.</w:t>
      </w:r>
    </w:p>
    <w:p>
      <w:pPr>
        <w:pStyle w:val="BodyText"/>
        <w:rPr>
          <w:sz w:val="20"/>
        </w:rPr>
      </w:pPr>
    </w:p>
    <w:p>
      <w:pPr>
        <w:pStyle w:val="BodyText"/>
        <w:rPr>
          <w:sz w:val="20"/>
        </w:rPr>
      </w:pPr>
    </w:p>
    <w:p>
      <w:pPr>
        <w:pStyle w:val="BodyText"/>
        <w:rPr>
          <w:sz w:val="20"/>
        </w:rPr>
      </w:pPr>
    </w:p>
    <w:p>
      <w:pPr>
        <w:pStyle w:val="BodyText"/>
        <w:spacing w:line="360" w:lineRule="auto" w:before="123"/>
        <w:ind w:left="102" w:right="137"/>
        <w:jc w:val="both"/>
      </w:pPr>
      <w:r>
        <w:rPr/>
        <w:t>Se observa que a través del periodo estudiado los pisos de tierra de las viviendas de la </w:t>
      </w:r>
      <w:r>
        <w:rPr>
          <w:sz w:val="19"/>
        </w:rPr>
        <w:t>ZMT</w:t>
      </w:r>
      <w:r>
        <w:rPr/>
        <w:t>, se han reducido considerablemente, interviniendo también los programas del gobierno a través de la </w:t>
      </w:r>
      <w:r>
        <w:rPr>
          <w:sz w:val="19"/>
        </w:rPr>
        <w:t>SEDESOL </w:t>
      </w:r>
      <w:r>
        <w:rPr/>
        <w:t>colocando piso de cemento para mejorar la calidad de vida de las personas en zonas marginadas. En el siguiente apartado se analiza la tenencia de las viviendas.</w:t>
      </w:r>
    </w:p>
    <w:p>
      <w:pPr>
        <w:spacing w:after="0" w:line="360" w:lineRule="auto"/>
        <w:jc w:val="both"/>
        <w:sectPr>
          <w:pgSz w:w="12240" w:h="15840"/>
          <w:pgMar w:header="0" w:footer="1003" w:top="1360" w:bottom="1200" w:left="1600" w:right="1560"/>
        </w:sectPr>
      </w:pPr>
    </w:p>
    <w:p>
      <w:pPr>
        <w:pStyle w:val="ListParagraph"/>
        <w:numPr>
          <w:ilvl w:val="2"/>
          <w:numId w:val="21"/>
        </w:numPr>
        <w:tabs>
          <w:tab w:pos="643" w:val="left" w:leader="none"/>
        </w:tabs>
        <w:spacing w:line="240" w:lineRule="auto" w:before="56" w:after="0"/>
        <w:ind w:left="642" w:right="0" w:hanging="540"/>
        <w:jc w:val="both"/>
        <w:rPr>
          <w:rFonts w:ascii="Cambria"/>
          <w:b/>
          <w:sz w:val="22"/>
        </w:rPr>
      </w:pPr>
      <w:r>
        <w:rPr>
          <w:rFonts w:ascii="Cambria"/>
          <w:b/>
          <w:color w:val="4F81BC"/>
          <w:sz w:val="22"/>
        </w:rPr>
        <w:t>Tenencia de las</w:t>
      </w:r>
      <w:r>
        <w:rPr>
          <w:rFonts w:ascii="Cambria"/>
          <w:b/>
          <w:color w:val="4F81BC"/>
          <w:spacing w:val="-7"/>
          <w:sz w:val="22"/>
        </w:rPr>
        <w:t> </w:t>
      </w:r>
      <w:r>
        <w:rPr>
          <w:rFonts w:ascii="Cambria"/>
          <w:b/>
          <w:color w:val="4F81BC"/>
          <w:sz w:val="22"/>
        </w:rPr>
        <w:t>viviendas</w:t>
      </w:r>
    </w:p>
    <w:p>
      <w:pPr>
        <w:pStyle w:val="BodyText"/>
        <w:rPr>
          <w:rFonts w:ascii="Cambria"/>
          <w:b/>
          <w:sz w:val="22"/>
        </w:rPr>
      </w:pPr>
    </w:p>
    <w:p>
      <w:pPr>
        <w:pStyle w:val="BodyText"/>
        <w:spacing w:before="1"/>
        <w:rPr>
          <w:rFonts w:ascii="Cambria"/>
          <w:b/>
          <w:sz w:val="27"/>
        </w:rPr>
      </w:pPr>
    </w:p>
    <w:p>
      <w:pPr>
        <w:pStyle w:val="BodyText"/>
        <w:spacing w:line="360" w:lineRule="auto"/>
        <w:ind w:left="102" w:right="119"/>
        <w:jc w:val="both"/>
      </w:pPr>
      <w:r>
        <w:rPr/>
        <w:t>La tenencia de la vivienda se refiere a las personas que son dueñas de las viviendas que tienen escrituras de estas o en su caso un título de propiedad, pero además esta variable de tenencia adquiere una variedad de formas, como  vivienda en renta, alquiler, alojamiento (público o privado). Cualquiera que fuere el tipo de tenencia, todas las personas deben gozar de un grado de seguridad de tenencia que garantice una protección legal contra el desalojo u otras</w:t>
      </w:r>
      <w:r>
        <w:rPr>
          <w:spacing w:val="-30"/>
        </w:rPr>
        <w:t> </w:t>
      </w:r>
      <w:r>
        <w:rPr/>
        <w:t>amenazas.</w:t>
      </w:r>
    </w:p>
    <w:p>
      <w:pPr>
        <w:pStyle w:val="BodyText"/>
      </w:pPr>
    </w:p>
    <w:p>
      <w:pPr>
        <w:pStyle w:val="BodyText"/>
        <w:spacing w:line="360" w:lineRule="auto" w:before="142"/>
        <w:ind w:left="102" w:right="115"/>
        <w:jc w:val="both"/>
      </w:pPr>
      <w:r>
        <w:rPr/>
        <w:t>El Estado debe adoptar medidas destinadas a conferir seguridad legal de tenencia a las personas y sus viviendas, en México cuando se cuenta con una vivienda propia se deben contar con las escrituras y el título de propiedad de las viviendas.</w:t>
      </w:r>
    </w:p>
    <w:p>
      <w:pPr>
        <w:pStyle w:val="BodyText"/>
      </w:pPr>
    </w:p>
    <w:p>
      <w:pPr>
        <w:pStyle w:val="BodyText"/>
        <w:spacing w:line="360" w:lineRule="auto" w:before="142"/>
        <w:ind w:left="102" w:right="115"/>
        <w:jc w:val="both"/>
      </w:pPr>
      <w:r>
        <w:rPr/>
        <w:t>Analizando la tenencia de las viviendas que no son propias en la </w:t>
      </w:r>
      <w:r>
        <w:rPr>
          <w:sz w:val="19"/>
        </w:rPr>
        <w:t>ZMT</w:t>
      </w:r>
      <w:r>
        <w:rPr/>
        <w:t>, tenemos  dos periodos 1990 y 2000, en el primero que </w:t>
      </w:r>
      <w:r>
        <w:rPr>
          <w:spacing w:val="4"/>
        </w:rPr>
        <w:t>el </w:t>
      </w:r>
      <w:r>
        <w:rPr/>
        <w:t>municipio de Toluca representó más del 25 por ciento de sus viviendas las cuales no son propias de las personas que radican en ellas, seguido del municipio de San Antonio la Isla con el 20 por ciento (ver gráfica no.</w:t>
      </w:r>
      <w:r>
        <w:rPr>
          <w:spacing w:val="-7"/>
        </w:rPr>
        <w:t> </w:t>
      </w:r>
      <w:r>
        <w:rPr/>
        <w:t>6).</w:t>
      </w:r>
    </w:p>
    <w:p>
      <w:pPr>
        <w:spacing w:after="0" w:line="360" w:lineRule="auto"/>
        <w:jc w:val="both"/>
        <w:sectPr>
          <w:pgSz w:w="12240" w:h="15840"/>
          <w:pgMar w:header="0" w:footer="1003" w:top="1360" w:bottom="1200" w:left="1600" w:right="1580"/>
        </w:sectPr>
      </w:pPr>
    </w:p>
    <w:p>
      <w:pPr>
        <w:spacing w:before="53" w:after="14"/>
        <w:ind w:left="196" w:right="216" w:firstLine="0"/>
        <w:jc w:val="center"/>
        <w:rPr>
          <w:sz w:val="20"/>
        </w:rPr>
      </w:pPr>
      <w:r>
        <w:rPr>
          <w:sz w:val="20"/>
        </w:rPr>
        <w:t>Gráfica No. 6 Viviendas que no son propias en la </w:t>
      </w:r>
      <w:r>
        <w:rPr>
          <w:sz w:val="16"/>
        </w:rPr>
        <w:t>ZMT</w:t>
      </w:r>
      <w:r>
        <w:rPr>
          <w:sz w:val="20"/>
        </w:rPr>
        <w:t>, 1990-2000.</w:t>
      </w:r>
    </w:p>
    <w:p>
      <w:pPr>
        <w:pStyle w:val="BodyText"/>
        <w:ind w:left="140"/>
        <w:rPr>
          <w:sz w:val="20"/>
        </w:rPr>
      </w:pPr>
      <w:r>
        <w:rPr>
          <w:sz w:val="20"/>
        </w:rPr>
        <w:pict>
          <v:group style="width:440.9pt;height:254.05pt;mso-position-horizontal-relative:char;mso-position-vertical-relative:line" coordorigin="0,0" coordsize="8818,5081">
            <v:shape style="position:absolute;left:780;top:907;width:7150;height:2956" type="#_x0000_t75" stroked="false">
              <v:imagedata r:id="rId253" o:title=""/>
            </v:shape>
            <v:shape style="position:absolute;left:249;top:4037;width:820;height:821" type="#_x0000_t75" stroked="false">
              <v:imagedata r:id="rId254" o:title=""/>
            </v:shape>
            <v:shape style="position:absolute;left:1138;top:4045;width:391;height:369" type="#_x0000_t75" stroked="false">
              <v:imagedata r:id="rId255" o:title=""/>
            </v:shape>
            <v:shape style="position:absolute;left:1447;top:4039;width:544;height:528" type="#_x0000_t75" stroked="false">
              <v:imagedata r:id="rId256" o:title=""/>
            </v:shape>
            <v:shape style="position:absolute;left:2158;top:4041;width:304;height:279" type="#_x0000_t75" stroked="false">
              <v:imagedata r:id="rId257" o:title=""/>
            </v:shape>
            <v:shape style="position:absolute;left:2515;top:4034;width:1796;height:593" type="#_x0000_t75" stroked="false">
              <v:imagedata r:id="rId258" o:title=""/>
            </v:shape>
            <v:shape style="position:absolute;left:4486;top:4043;width:293;height:269" type="#_x0000_t75" stroked="false">
              <v:imagedata r:id="rId259" o:title=""/>
            </v:shape>
            <v:shape style="position:absolute;left:4464;top:4043;width:1702;height:768" type="#_x0000_t75" stroked="false">
              <v:imagedata r:id="rId260" o:title=""/>
            </v:shape>
            <v:shape style="position:absolute;left:6319;top:4039;width:318;height:276" type="#_x0000_t75" stroked="false">
              <v:imagedata r:id="rId261" o:title=""/>
            </v:shape>
            <v:shape style="position:absolute;left:6601;top:4040;width:957;height:572" type="#_x0000_t75" stroked="false">
              <v:imagedata r:id="rId262" o:title=""/>
            </v:shape>
            <v:shape style="position:absolute;left:8229;top:2711;width:128;height:128" type="#_x0000_t75" stroked="false">
              <v:imagedata r:id="rId263" o:title=""/>
            </v:shape>
            <v:shape style="position:absolute;left:8229;top:2967;width:128;height:139" type="#_x0000_t75" stroked="false">
              <v:imagedata r:id="rId264" o:title=""/>
            </v:shape>
            <v:rect style="position:absolute;left:6;top:6;width:8806;height:5069" filled="false" stroked="true" strokeweight=".534337pt" strokecolor="#858585"/>
            <v:shape style="position:absolute;left:1203;top:161;width:6403;height:567" type="#_x0000_t202" filled="false" stroked="false">
              <v:textbox inset="0,0,0,0">
                <w:txbxContent>
                  <w:p>
                    <w:pPr>
                      <w:spacing w:line="260" w:lineRule="exact" w:before="0"/>
                      <w:ind w:left="0" w:right="0" w:firstLine="0"/>
                      <w:jc w:val="center"/>
                      <w:rPr>
                        <w:rFonts w:ascii="Calibri"/>
                        <w:b/>
                        <w:sz w:val="25"/>
                      </w:rPr>
                    </w:pPr>
                    <w:r>
                      <w:rPr>
                        <w:rFonts w:ascii="Calibri"/>
                        <w:b/>
                        <w:w w:val="105"/>
                        <w:sz w:val="25"/>
                      </w:rPr>
                      <w:t>Porcentaje</w:t>
                    </w:r>
                    <w:r>
                      <w:rPr>
                        <w:rFonts w:ascii="Calibri"/>
                        <w:b/>
                        <w:spacing w:val="-36"/>
                        <w:w w:val="105"/>
                        <w:sz w:val="25"/>
                      </w:rPr>
                      <w:t> </w:t>
                    </w:r>
                    <w:r>
                      <w:rPr>
                        <w:rFonts w:ascii="Calibri"/>
                        <w:b/>
                        <w:w w:val="105"/>
                        <w:sz w:val="25"/>
                      </w:rPr>
                      <w:t>de</w:t>
                    </w:r>
                    <w:r>
                      <w:rPr>
                        <w:rFonts w:ascii="Calibri"/>
                        <w:b/>
                        <w:spacing w:val="-19"/>
                        <w:w w:val="105"/>
                        <w:sz w:val="25"/>
                      </w:rPr>
                      <w:t> </w:t>
                    </w:r>
                    <w:r>
                      <w:rPr>
                        <w:rFonts w:ascii="Calibri"/>
                        <w:b/>
                        <w:w w:val="105"/>
                        <w:sz w:val="25"/>
                      </w:rPr>
                      <w:t>viviendas</w:t>
                    </w:r>
                    <w:r>
                      <w:rPr>
                        <w:rFonts w:ascii="Calibri"/>
                        <w:b/>
                        <w:spacing w:val="-15"/>
                        <w:w w:val="105"/>
                        <w:sz w:val="25"/>
                      </w:rPr>
                      <w:t> </w:t>
                    </w:r>
                    <w:r>
                      <w:rPr>
                        <w:rFonts w:ascii="Calibri"/>
                        <w:b/>
                        <w:w w:val="105"/>
                        <w:sz w:val="25"/>
                      </w:rPr>
                      <w:t>que</w:t>
                    </w:r>
                    <w:r>
                      <w:rPr>
                        <w:rFonts w:ascii="Calibri"/>
                        <w:b/>
                        <w:spacing w:val="-10"/>
                        <w:w w:val="105"/>
                        <w:sz w:val="25"/>
                      </w:rPr>
                      <w:t> </w:t>
                    </w:r>
                    <w:r>
                      <w:rPr>
                        <w:rFonts w:ascii="Calibri"/>
                        <w:b/>
                        <w:w w:val="105"/>
                        <w:sz w:val="25"/>
                      </w:rPr>
                      <w:t>no</w:t>
                    </w:r>
                    <w:r>
                      <w:rPr>
                        <w:rFonts w:ascii="Calibri"/>
                        <w:b/>
                        <w:spacing w:val="-17"/>
                        <w:w w:val="105"/>
                        <w:sz w:val="25"/>
                      </w:rPr>
                      <w:t> </w:t>
                    </w:r>
                    <w:r>
                      <w:rPr>
                        <w:rFonts w:ascii="Calibri"/>
                        <w:b/>
                        <w:w w:val="105"/>
                        <w:sz w:val="25"/>
                      </w:rPr>
                      <w:t>son</w:t>
                    </w:r>
                    <w:r>
                      <w:rPr>
                        <w:rFonts w:ascii="Calibri"/>
                        <w:b/>
                        <w:spacing w:val="-17"/>
                        <w:w w:val="105"/>
                        <w:sz w:val="25"/>
                      </w:rPr>
                      <w:t> </w:t>
                    </w:r>
                    <w:r>
                      <w:rPr>
                        <w:rFonts w:ascii="Calibri"/>
                        <w:b/>
                        <w:w w:val="105"/>
                        <w:sz w:val="25"/>
                      </w:rPr>
                      <w:t>propias</w:t>
                    </w:r>
                    <w:r>
                      <w:rPr>
                        <w:rFonts w:ascii="Calibri"/>
                        <w:b/>
                        <w:spacing w:val="-32"/>
                        <w:w w:val="105"/>
                        <w:sz w:val="25"/>
                      </w:rPr>
                      <w:t> </w:t>
                    </w:r>
                    <w:r>
                      <w:rPr>
                        <w:rFonts w:ascii="Calibri"/>
                        <w:b/>
                        <w:w w:val="105"/>
                        <w:sz w:val="25"/>
                      </w:rPr>
                      <w:t>en</w:t>
                    </w:r>
                    <w:r>
                      <w:rPr>
                        <w:rFonts w:ascii="Calibri"/>
                        <w:b/>
                        <w:spacing w:val="-9"/>
                        <w:w w:val="105"/>
                        <w:sz w:val="25"/>
                      </w:rPr>
                      <w:t> </w:t>
                    </w:r>
                    <w:r>
                      <w:rPr>
                        <w:rFonts w:ascii="Calibri"/>
                        <w:b/>
                        <w:w w:val="105"/>
                        <w:sz w:val="25"/>
                      </w:rPr>
                      <w:t>la</w:t>
                    </w:r>
                    <w:r>
                      <w:rPr>
                        <w:rFonts w:ascii="Calibri"/>
                        <w:b/>
                        <w:spacing w:val="-17"/>
                        <w:w w:val="105"/>
                        <w:sz w:val="25"/>
                      </w:rPr>
                      <w:t> </w:t>
                    </w:r>
                    <w:r>
                      <w:rPr>
                        <w:rFonts w:ascii="Calibri"/>
                        <w:b/>
                        <w:spacing w:val="-4"/>
                        <w:w w:val="105"/>
                        <w:sz w:val="25"/>
                      </w:rPr>
                      <w:t>ZMT,</w:t>
                    </w:r>
                    <w:r>
                      <w:rPr>
                        <w:rFonts w:ascii="Calibri"/>
                        <w:b/>
                        <w:spacing w:val="-20"/>
                        <w:w w:val="105"/>
                        <w:sz w:val="25"/>
                      </w:rPr>
                      <w:t> </w:t>
                    </w:r>
                    <w:r>
                      <w:rPr>
                        <w:rFonts w:ascii="Calibri"/>
                        <w:b/>
                        <w:spacing w:val="-3"/>
                        <w:w w:val="105"/>
                        <w:sz w:val="25"/>
                      </w:rPr>
                      <w:t>1990-</w:t>
                    </w:r>
                  </w:p>
                  <w:p>
                    <w:pPr>
                      <w:spacing w:line="302" w:lineRule="exact" w:before="5"/>
                      <w:ind w:left="0" w:right="0" w:firstLine="0"/>
                      <w:jc w:val="center"/>
                      <w:rPr>
                        <w:rFonts w:ascii="Calibri"/>
                        <w:b/>
                        <w:sz w:val="25"/>
                      </w:rPr>
                    </w:pPr>
                    <w:r>
                      <w:rPr>
                        <w:rFonts w:ascii="Calibri"/>
                        <w:b/>
                        <w:w w:val="105"/>
                        <w:sz w:val="25"/>
                      </w:rPr>
                      <w:t>2000.</w:t>
                    </w:r>
                  </w:p>
                </w:txbxContent>
              </v:textbox>
              <w10:wrap type="none"/>
            </v:shape>
            <v:shape style="position:absolute;left:423;top:992;width:253;height:2008" type="#_x0000_t202" filled="false" stroked="false">
              <v:textbox inset="0,0,0,0">
                <w:txbxContent>
                  <w:p>
                    <w:pPr>
                      <w:spacing w:line="142" w:lineRule="exact" w:before="0"/>
                      <w:ind w:left="0" w:right="-16" w:firstLine="0"/>
                      <w:jc w:val="left"/>
                      <w:rPr>
                        <w:rFonts w:ascii="Calibri"/>
                        <w:sz w:val="14"/>
                      </w:rPr>
                    </w:pPr>
                    <w:r>
                      <w:rPr>
                        <w:rFonts w:ascii="Calibri"/>
                        <w:sz w:val="14"/>
                      </w:rPr>
                      <w:t>30.0</w:t>
                    </w:r>
                  </w:p>
                  <w:p>
                    <w:pPr>
                      <w:spacing w:line="240" w:lineRule="auto" w:before="0"/>
                      <w:rPr>
                        <w:sz w:val="14"/>
                      </w:rPr>
                    </w:pPr>
                  </w:p>
                  <w:p>
                    <w:pPr>
                      <w:spacing w:line="240" w:lineRule="auto" w:before="8"/>
                      <w:rPr>
                        <w:sz w:val="11"/>
                      </w:rPr>
                    </w:pPr>
                  </w:p>
                  <w:p>
                    <w:pPr>
                      <w:spacing w:before="0"/>
                      <w:ind w:left="0" w:right="-16" w:firstLine="0"/>
                      <w:jc w:val="left"/>
                      <w:rPr>
                        <w:rFonts w:ascii="Calibri"/>
                        <w:sz w:val="14"/>
                      </w:rPr>
                    </w:pPr>
                    <w:r>
                      <w:rPr>
                        <w:rFonts w:ascii="Calibri"/>
                        <w:sz w:val="14"/>
                      </w:rPr>
                      <w:t>25.0</w:t>
                    </w:r>
                  </w:p>
                  <w:p>
                    <w:pPr>
                      <w:spacing w:line="240" w:lineRule="auto" w:before="0"/>
                      <w:rPr>
                        <w:sz w:val="14"/>
                      </w:rPr>
                    </w:pPr>
                  </w:p>
                  <w:p>
                    <w:pPr>
                      <w:spacing w:line="240" w:lineRule="auto" w:before="9"/>
                      <w:rPr>
                        <w:sz w:val="11"/>
                      </w:rPr>
                    </w:pPr>
                  </w:p>
                  <w:p>
                    <w:pPr>
                      <w:spacing w:before="0"/>
                      <w:ind w:left="0" w:right="-16" w:firstLine="0"/>
                      <w:jc w:val="left"/>
                      <w:rPr>
                        <w:rFonts w:ascii="Calibri"/>
                        <w:sz w:val="14"/>
                      </w:rPr>
                    </w:pPr>
                    <w:r>
                      <w:rPr>
                        <w:rFonts w:ascii="Calibri"/>
                        <w:sz w:val="14"/>
                      </w:rPr>
                      <w:t>20.0</w:t>
                    </w:r>
                  </w:p>
                  <w:p>
                    <w:pPr>
                      <w:spacing w:line="240" w:lineRule="auto" w:before="0"/>
                      <w:rPr>
                        <w:sz w:val="14"/>
                      </w:rPr>
                    </w:pPr>
                  </w:p>
                  <w:p>
                    <w:pPr>
                      <w:spacing w:line="240" w:lineRule="auto" w:before="8"/>
                      <w:rPr>
                        <w:sz w:val="11"/>
                      </w:rPr>
                    </w:pPr>
                  </w:p>
                  <w:p>
                    <w:pPr>
                      <w:spacing w:before="0"/>
                      <w:ind w:left="0" w:right="-16" w:firstLine="0"/>
                      <w:jc w:val="left"/>
                      <w:rPr>
                        <w:rFonts w:ascii="Calibri"/>
                        <w:sz w:val="14"/>
                      </w:rPr>
                    </w:pPr>
                    <w:r>
                      <w:rPr>
                        <w:rFonts w:ascii="Calibri"/>
                        <w:sz w:val="14"/>
                      </w:rPr>
                      <w:t>15.0</w:t>
                    </w:r>
                  </w:p>
                  <w:p>
                    <w:pPr>
                      <w:spacing w:line="240" w:lineRule="auto" w:before="0"/>
                      <w:rPr>
                        <w:sz w:val="14"/>
                      </w:rPr>
                    </w:pPr>
                  </w:p>
                  <w:p>
                    <w:pPr>
                      <w:spacing w:line="240" w:lineRule="auto" w:before="8"/>
                      <w:rPr>
                        <w:sz w:val="11"/>
                      </w:rPr>
                    </w:pPr>
                  </w:p>
                  <w:p>
                    <w:pPr>
                      <w:spacing w:line="168" w:lineRule="exact" w:before="0"/>
                      <w:ind w:left="0" w:right="-16" w:firstLine="0"/>
                      <w:jc w:val="left"/>
                      <w:rPr>
                        <w:rFonts w:ascii="Calibri"/>
                        <w:sz w:val="14"/>
                      </w:rPr>
                    </w:pPr>
                    <w:r>
                      <w:rPr>
                        <w:rFonts w:ascii="Calibri"/>
                        <w:sz w:val="14"/>
                      </w:rPr>
                      <w:t>10.0</w:t>
                    </w:r>
                  </w:p>
                </w:txbxContent>
              </v:textbox>
              <w10:wrap type="none"/>
            </v:shape>
            <v:shape style="position:absolute;left:8383;top:2729;width:301;height:398" type="#_x0000_t202" filled="false" stroked="false">
              <v:textbox inset="0,0,0,0">
                <w:txbxContent>
                  <w:p>
                    <w:pPr>
                      <w:spacing w:line="142" w:lineRule="exact" w:before="0"/>
                      <w:ind w:left="0" w:right="-3" w:firstLine="0"/>
                      <w:jc w:val="left"/>
                      <w:rPr>
                        <w:rFonts w:ascii="Calibri"/>
                        <w:sz w:val="14"/>
                      </w:rPr>
                    </w:pPr>
                    <w:r>
                      <w:rPr>
                        <w:rFonts w:ascii="Calibri"/>
                        <w:sz w:val="14"/>
                      </w:rPr>
                      <w:t>1990</w:t>
                    </w:r>
                  </w:p>
                  <w:p>
                    <w:pPr>
                      <w:spacing w:line="168" w:lineRule="exact" w:before="87"/>
                      <w:ind w:left="0" w:right="-3" w:firstLine="0"/>
                      <w:jc w:val="left"/>
                      <w:rPr>
                        <w:rFonts w:ascii="Calibri"/>
                        <w:sz w:val="14"/>
                      </w:rPr>
                    </w:pPr>
                    <w:r>
                      <w:rPr>
                        <w:rFonts w:ascii="Calibri"/>
                        <w:sz w:val="14"/>
                      </w:rPr>
                      <w:t>2000</w:t>
                    </w:r>
                  </w:p>
                </w:txbxContent>
              </v:textbox>
              <w10:wrap type="none"/>
            </v:shape>
            <v:shape style="position:absolute;left:491;top:3328;width:178;height:607" type="#_x0000_t202" filled="false" stroked="false">
              <v:textbox inset="0,0,0,0">
                <w:txbxContent>
                  <w:p>
                    <w:pPr>
                      <w:spacing w:line="142" w:lineRule="exact" w:before="0"/>
                      <w:ind w:left="0" w:right="-20" w:firstLine="0"/>
                      <w:jc w:val="left"/>
                      <w:rPr>
                        <w:rFonts w:ascii="Calibri"/>
                        <w:sz w:val="14"/>
                      </w:rPr>
                    </w:pPr>
                    <w:r>
                      <w:rPr>
                        <w:rFonts w:ascii="Calibri"/>
                        <w:sz w:val="14"/>
                      </w:rPr>
                      <w:t>5.0</w:t>
                    </w:r>
                  </w:p>
                  <w:p>
                    <w:pPr>
                      <w:spacing w:line="240" w:lineRule="auto" w:before="0"/>
                      <w:rPr>
                        <w:sz w:val="14"/>
                      </w:rPr>
                    </w:pPr>
                  </w:p>
                  <w:p>
                    <w:pPr>
                      <w:spacing w:line="240" w:lineRule="auto" w:before="9"/>
                      <w:rPr>
                        <w:sz w:val="11"/>
                      </w:rPr>
                    </w:pPr>
                  </w:p>
                  <w:p>
                    <w:pPr>
                      <w:spacing w:line="168" w:lineRule="exact" w:before="0"/>
                      <w:ind w:left="0" w:right="-20" w:firstLine="0"/>
                      <w:jc w:val="left"/>
                      <w:rPr>
                        <w:rFonts w:ascii="Calibri"/>
                        <w:sz w:val="14"/>
                      </w:rPr>
                    </w:pPr>
                    <w:r>
                      <w:rPr>
                        <w:rFonts w:ascii="Calibri"/>
                        <w:sz w:val="14"/>
                      </w:rPr>
                      <w:t>0.0</w:t>
                    </w:r>
                  </w:p>
                </w:txbxContent>
              </v:textbox>
              <w10:wrap type="none"/>
            </v:shape>
          </v:group>
        </w:pict>
      </w:r>
      <w:r>
        <w:rPr>
          <w:sz w:val="20"/>
        </w:rPr>
      </w:r>
    </w:p>
    <w:p>
      <w:pPr>
        <w:spacing w:before="0"/>
        <w:ind w:left="193" w:right="215" w:firstLine="0"/>
        <w:jc w:val="center"/>
        <w:rPr>
          <w:sz w:val="20"/>
        </w:rPr>
      </w:pPr>
      <w:r>
        <w:rPr>
          <w:sz w:val="20"/>
        </w:rPr>
        <w:t>Fuente: Elaboración propia con base en los datos de los Censos de Población y Vivienda INEGI, 1990 y 2000.</w:t>
      </w:r>
    </w:p>
    <w:p>
      <w:pPr>
        <w:pStyle w:val="BodyText"/>
        <w:rPr>
          <w:sz w:val="20"/>
        </w:rPr>
      </w:pPr>
    </w:p>
    <w:p>
      <w:pPr>
        <w:pStyle w:val="BodyText"/>
        <w:spacing w:before="7"/>
        <w:rPr>
          <w:sz w:val="26"/>
        </w:rPr>
      </w:pPr>
    </w:p>
    <w:p>
      <w:pPr>
        <w:pStyle w:val="BodyText"/>
        <w:spacing w:line="360" w:lineRule="auto"/>
        <w:ind w:left="102" w:right="120"/>
        <w:jc w:val="both"/>
      </w:pPr>
      <w:r>
        <w:rPr/>
        <w:t>Significa que las viviendas que están utilizando estas personas posiblemente las estén rentando, o se las prestaron. El municipio de Temoaya solo el 4.3 por ciento sus viviendas no son propias significa que más del 95 por ciento de sus viviendas eran propias en 1990. Sería bueno considerar una entrevista a las personas para contar con información de la adquisición de su vivienda, desafortunadamente la investigación no la realiza.</w:t>
      </w:r>
    </w:p>
    <w:p>
      <w:pPr>
        <w:pStyle w:val="BodyText"/>
      </w:pPr>
    </w:p>
    <w:p>
      <w:pPr>
        <w:pStyle w:val="BodyText"/>
        <w:spacing w:line="360" w:lineRule="auto" w:before="142"/>
        <w:ind w:left="102" w:right="121"/>
        <w:jc w:val="both"/>
      </w:pPr>
      <w:r>
        <w:rPr/>
        <w:t>Para el año 2000 los municipios de Toluca y Metepec registraron 22.6 y 22.3 por ciento respectivamente que sus viviendas no son propias, representa que las viviendas están rentadas o son prestadas. Una década después Temoaya es el municipio de la zona metropolitana que cuenta con el menor número de viviendas que no son propias, lo cual da seguridad legal a sus habitantes (ver mapa no. 9).</w:t>
      </w:r>
    </w:p>
    <w:p>
      <w:pPr>
        <w:spacing w:after="0" w:line="360" w:lineRule="auto"/>
        <w:jc w:val="both"/>
        <w:sectPr>
          <w:pgSz w:w="12240" w:h="15840"/>
          <w:pgMar w:header="0" w:footer="1003" w:top="1360" w:bottom="1200" w:left="1600" w:right="1580"/>
        </w:sectPr>
      </w:pPr>
    </w:p>
    <w:p>
      <w:pPr>
        <w:spacing w:before="53" w:after="3"/>
        <w:ind w:left="84" w:right="122" w:firstLine="0"/>
        <w:jc w:val="center"/>
        <w:rPr>
          <w:sz w:val="20"/>
        </w:rPr>
      </w:pPr>
      <w:r>
        <w:rPr>
          <w:sz w:val="20"/>
        </w:rPr>
        <w:t>Mapa No. 9 Porcentaje de viviendas que no son propias en la </w:t>
      </w:r>
      <w:r>
        <w:rPr>
          <w:sz w:val="16"/>
        </w:rPr>
        <w:t>ZMT</w:t>
      </w:r>
      <w:r>
        <w:rPr>
          <w:sz w:val="20"/>
        </w:rPr>
        <w:t>, 1990-2000.</w:t>
      </w:r>
    </w:p>
    <w:p>
      <w:pPr>
        <w:pStyle w:val="BodyText"/>
        <w:ind w:left="130"/>
        <w:rPr>
          <w:sz w:val="20"/>
        </w:rPr>
      </w:pPr>
      <w:r>
        <w:rPr>
          <w:sz w:val="20"/>
        </w:rPr>
        <w:drawing>
          <wp:inline distT="0" distB="0" distL="0" distR="0">
            <wp:extent cx="5530693" cy="3911441"/>
            <wp:effectExtent l="0" t="0" r="0" b="0"/>
            <wp:docPr id="53" name="image238.jpeg" descr=""/>
            <wp:cNvGraphicFramePr>
              <a:graphicFrameLocks noChangeAspect="1"/>
            </wp:cNvGraphicFramePr>
            <a:graphic>
              <a:graphicData uri="http://schemas.openxmlformats.org/drawingml/2006/picture">
                <pic:pic>
                  <pic:nvPicPr>
                    <pic:cNvPr id="54" name="image238.jpeg"/>
                    <pic:cNvPicPr/>
                  </pic:nvPicPr>
                  <pic:blipFill>
                    <a:blip r:embed="rId265" cstate="print"/>
                    <a:stretch>
                      <a:fillRect/>
                    </a:stretch>
                  </pic:blipFill>
                  <pic:spPr>
                    <a:xfrm>
                      <a:off x="0" y="0"/>
                      <a:ext cx="5530693" cy="3911441"/>
                    </a:xfrm>
                    <a:prstGeom prst="rect">
                      <a:avLst/>
                    </a:prstGeom>
                  </pic:spPr>
                </pic:pic>
              </a:graphicData>
            </a:graphic>
          </wp:inline>
        </w:drawing>
      </w:r>
      <w:r>
        <w:rPr>
          <w:sz w:val="20"/>
        </w:rPr>
      </w:r>
    </w:p>
    <w:p>
      <w:pPr>
        <w:spacing w:before="88"/>
        <w:ind w:left="80" w:right="122" w:firstLine="0"/>
        <w:jc w:val="center"/>
        <w:rPr>
          <w:sz w:val="20"/>
        </w:rPr>
      </w:pPr>
      <w:r>
        <w:rPr>
          <w:sz w:val="20"/>
        </w:rPr>
        <w:t>Fuente: Elaboración propia con base en los datos de los Censos de Población y Vivienda INEGI, 1990 y 2000.</w:t>
      </w:r>
    </w:p>
    <w:p>
      <w:pPr>
        <w:pStyle w:val="BodyText"/>
        <w:spacing w:before="5"/>
        <w:rPr>
          <w:sz w:val="17"/>
        </w:rPr>
      </w:pPr>
    </w:p>
    <w:p>
      <w:pPr>
        <w:pStyle w:val="BodyText"/>
        <w:spacing w:line="360" w:lineRule="auto"/>
        <w:ind w:left="102" w:right="136"/>
        <w:jc w:val="both"/>
      </w:pPr>
      <w:r>
        <w:rPr/>
        <w:t>La seguridad legal que dan las viviendas propias cuando se cuenta con las escrituras y el título de propiedad, es un incentivo para los habitantes de estas, ya que en vez de pagar una renta ese dinero se puede invertir en hacer renovaciones o mejoramiento a sus propias viviendas. A continuación se analizan las viviendas que cuentan con 1 cuarto.</w:t>
      </w:r>
    </w:p>
    <w:p>
      <w:pPr>
        <w:pStyle w:val="ListParagraph"/>
        <w:numPr>
          <w:ilvl w:val="2"/>
          <w:numId w:val="21"/>
        </w:numPr>
        <w:tabs>
          <w:tab w:pos="642" w:val="left" w:leader="none"/>
        </w:tabs>
        <w:spacing w:line="240" w:lineRule="auto" w:before="203" w:after="0"/>
        <w:ind w:left="642" w:right="0" w:hanging="540"/>
        <w:jc w:val="both"/>
        <w:rPr>
          <w:rFonts w:ascii="Cambria"/>
          <w:b/>
          <w:sz w:val="22"/>
        </w:rPr>
      </w:pPr>
      <w:r>
        <w:rPr>
          <w:rFonts w:ascii="Cambria"/>
          <w:b/>
          <w:color w:val="4F81BC"/>
          <w:sz w:val="22"/>
        </w:rPr>
        <w:t>Viviendas con 1</w:t>
      </w:r>
      <w:r>
        <w:rPr>
          <w:rFonts w:ascii="Cambria"/>
          <w:b/>
          <w:color w:val="4F81BC"/>
          <w:spacing w:val="-8"/>
          <w:sz w:val="22"/>
        </w:rPr>
        <w:t> </w:t>
      </w:r>
      <w:r>
        <w:rPr>
          <w:rFonts w:ascii="Cambria"/>
          <w:b/>
          <w:color w:val="4F81BC"/>
          <w:sz w:val="22"/>
        </w:rPr>
        <w:t>cuarto</w:t>
      </w:r>
    </w:p>
    <w:p>
      <w:pPr>
        <w:pStyle w:val="BodyText"/>
        <w:rPr>
          <w:rFonts w:ascii="Cambria"/>
          <w:b/>
          <w:sz w:val="22"/>
        </w:rPr>
      </w:pPr>
    </w:p>
    <w:p>
      <w:pPr>
        <w:pStyle w:val="BodyText"/>
        <w:spacing w:before="3"/>
        <w:rPr>
          <w:rFonts w:ascii="Cambria"/>
          <w:b/>
          <w:sz w:val="25"/>
        </w:rPr>
      </w:pPr>
    </w:p>
    <w:p>
      <w:pPr>
        <w:pStyle w:val="BodyText"/>
        <w:spacing w:line="360" w:lineRule="auto"/>
        <w:ind w:left="102" w:right="135"/>
        <w:jc w:val="both"/>
      </w:pPr>
      <w:r>
        <w:rPr/>
        <w:t>En la </w:t>
      </w:r>
      <w:r>
        <w:rPr>
          <w:sz w:val="19"/>
        </w:rPr>
        <w:t>ZMT </w:t>
      </w:r>
      <w:r>
        <w:rPr/>
        <w:t>las viviendas no son homogéneas respecto a los cuartos con los que cuentan, con base en los censos de población y vivienda existen viviendas que cuentan con un solo cuarto, de dos cuartos y el último censo registra la variable de dos o más cuartos. Las viviendas que cuentan con un solo cuarto en la </w:t>
      </w:r>
      <w:r>
        <w:rPr>
          <w:sz w:val="19"/>
        </w:rPr>
        <w:t>ZMT</w:t>
      </w:r>
      <w:r>
        <w:rPr>
          <w:rFonts w:ascii="Calibri" w:hAnsi="Calibri"/>
        </w:rPr>
        <w:t>, </w:t>
      </w:r>
      <w:r>
        <w:rPr/>
        <w:t>son principalmente las de interés social o las viviendas de autoconstrucción. Estas viviendas están consideradas como precarias ya que contar con un solo cuarto las</w:t>
      </w:r>
    </w:p>
    <w:p>
      <w:pPr>
        <w:spacing w:after="0" w:line="360" w:lineRule="auto"/>
        <w:jc w:val="both"/>
        <w:sectPr>
          <w:pgSz w:w="12240" w:h="15840"/>
          <w:pgMar w:header="0" w:footer="1003" w:top="1360" w:bottom="1200" w:left="1600" w:right="1560"/>
        </w:sectPr>
      </w:pPr>
    </w:p>
    <w:p>
      <w:pPr>
        <w:pStyle w:val="BodyText"/>
        <w:spacing w:line="360" w:lineRule="auto" w:before="54"/>
        <w:ind w:left="102" w:right="116"/>
        <w:jc w:val="both"/>
      </w:pPr>
      <w:r>
        <w:rPr/>
        <w:t>convierte vulnerables a que exista hacinamiento, además que no cuentan con privacidad entre sus moradores, ya que todas las actividades domésticas se realizan en solo un cuarto.</w:t>
      </w:r>
    </w:p>
    <w:p>
      <w:pPr>
        <w:pStyle w:val="BodyText"/>
        <w:spacing w:line="360" w:lineRule="auto" w:before="204"/>
        <w:ind w:left="102" w:right="115"/>
        <w:jc w:val="both"/>
      </w:pPr>
      <w:r>
        <w:rPr/>
        <w:t>No existe una norma o ley respecto a cuantos cuartos deben contar las viviendas, sin embargo para que no haya hacinamiento la vivienda debería de contar con más de un cuarto sobre todo si la familia que reside es de más de tres integrantes. El </w:t>
      </w:r>
      <w:r>
        <w:rPr>
          <w:sz w:val="19"/>
        </w:rPr>
        <w:t>INEGI</w:t>
      </w:r>
      <w:r>
        <w:rPr/>
        <w:t>, 2000 menciona que un cuarto es todo espacio que tiene cuatro paredes, es así que se puede entender como cuarto el baño o la</w:t>
      </w:r>
      <w:r>
        <w:rPr>
          <w:spacing w:val="-22"/>
        </w:rPr>
        <w:t> </w:t>
      </w:r>
      <w:r>
        <w:rPr/>
        <w:t>cocina.</w:t>
      </w:r>
    </w:p>
    <w:p>
      <w:pPr>
        <w:pStyle w:val="BodyText"/>
        <w:spacing w:line="360" w:lineRule="auto" w:before="205"/>
        <w:ind w:left="102" w:right="116"/>
        <w:jc w:val="both"/>
      </w:pPr>
      <w:r>
        <w:rPr/>
        <w:t>Encontramos que para 1990 el municipio con mayor porcentaje de viviendas con solo un cuarto era Temoaya con más del 10 por ciento, seguido del municipio de Chapultepec con 9.2 por ciento, San Antonio la Isla registró un 8.5 por ciento de sus viviendas. El municipio con menor porcentaje de viviendas con 1 cuarto fue Metepec con solo el 2.8 por ciento de sus viviendas, ya que este municipio está considerado a nivel municipal de con mayor índice de desarrollo humano en 2010 (PNUD, 2014: 68).</w:t>
      </w:r>
    </w:p>
    <w:p>
      <w:pPr>
        <w:pStyle w:val="BodyText"/>
        <w:spacing w:line="360" w:lineRule="auto" w:before="204"/>
        <w:ind w:left="102" w:right="114"/>
        <w:jc w:val="both"/>
      </w:pPr>
      <w:r>
        <w:rPr/>
        <w:t>En el 2000 igual que una década anterior, el municipio de Temoaya es el que registra el mayor porcentaje de viviendas con un cuarto, con más del 11 por  ciento, Zinacantepec registró el 9 por ciento, de lado contrario Metepec registro el menor número de viviendas con un cuarto es decir, 3.9 por</w:t>
      </w:r>
      <w:r>
        <w:rPr>
          <w:spacing w:val="-21"/>
        </w:rPr>
        <w:t> </w:t>
      </w:r>
      <w:r>
        <w:rPr/>
        <w:t>ciento.</w:t>
      </w:r>
    </w:p>
    <w:p>
      <w:pPr>
        <w:pStyle w:val="BodyText"/>
        <w:spacing w:line="360" w:lineRule="auto" w:before="204"/>
        <w:ind w:left="102" w:right="114"/>
        <w:jc w:val="both"/>
      </w:pPr>
      <w:r>
        <w:rPr/>
        <w:t>Los municipios que registraron los más altos porcentajes en sus viviendas un solo cuarto en el año 2010, fueron Mexicaltzingo, Almoloya de Juárez, Ocoyoacac y San Mateo Atenco, con el 6.9, 6.5 y 6 por ciento respectivamente, mientras que el municipio de Metepec sigue siendo el que registro el menor porcentaje de viviendas con un solo cuarto con el 2.8 por ciento en el periodo de estudio (ver gráfica no. 7).</w:t>
      </w:r>
    </w:p>
    <w:p>
      <w:pPr>
        <w:spacing w:after="0" w:line="360" w:lineRule="auto"/>
        <w:jc w:val="both"/>
        <w:sectPr>
          <w:pgSz w:w="12240" w:h="15840"/>
          <w:pgMar w:header="0" w:footer="1003" w:top="1360" w:bottom="1200" w:left="1600" w:right="1580"/>
        </w:sectPr>
      </w:pPr>
    </w:p>
    <w:p>
      <w:pPr>
        <w:spacing w:before="53" w:after="11"/>
        <w:ind w:left="198" w:right="216" w:firstLine="0"/>
        <w:jc w:val="center"/>
        <w:rPr>
          <w:sz w:val="20"/>
        </w:rPr>
      </w:pPr>
      <w:r>
        <w:rPr/>
        <w:drawing>
          <wp:anchor distT="0" distB="0" distL="0" distR="0" allowOverlap="1" layoutInCell="1" locked="0" behindDoc="1" simplePos="0" relativeHeight="268101935">
            <wp:simplePos x="0" y="0"/>
            <wp:positionH relativeFrom="page">
              <wp:posOffset>1548884</wp:posOffset>
            </wp:positionH>
            <wp:positionV relativeFrom="paragraph">
              <wp:posOffset>546428</wp:posOffset>
            </wp:positionV>
            <wp:extent cx="4967633" cy="2035778"/>
            <wp:effectExtent l="0" t="0" r="0" b="0"/>
            <wp:wrapNone/>
            <wp:docPr id="55" name="image239.png" descr=""/>
            <wp:cNvGraphicFramePr>
              <a:graphicFrameLocks noChangeAspect="1"/>
            </wp:cNvGraphicFramePr>
            <a:graphic>
              <a:graphicData uri="http://schemas.openxmlformats.org/drawingml/2006/picture">
                <pic:pic>
                  <pic:nvPicPr>
                    <pic:cNvPr id="56" name="image239.png"/>
                    <pic:cNvPicPr/>
                  </pic:nvPicPr>
                  <pic:blipFill>
                    <a:blip r:embed="rId267" cstate="print"/>
                    <a:stretch>
                      <a:fillRect/>
                    </a:stretch>
                  </pic:blipFill>
                  <pic:spPr>
                    <a:xfrm>
                      <a:off x="0" y="0"/>
                      <a:ext cx="4967633" cy="2035778"/>
                    </a:xfrm>
                    <a:prstGeom prst="rect">
                      <a:avLst/>
                    </a:prstGeom>
                  </pic:spPr>
                </pic:pic>
              </a:graphicData>
            </a:graphic>
          </wp:anchor>
        </w:drawing>
      </w:r>
      <w:r>
        <w:rPr>
          <w:sz w:val="20"/>
        </w:rPr>
        <w:t>Gráfica No. 7 Viviendas con 1 cuarto en la </w:t>
      </w:r>
      <w:r>
        <w:rPr>
          <w:sz w:val="16"/>
        </w:rPr>
        <w:t>ZMT</w:t>
      </w:r>
      <w:r>
        <w:rPr>
          <w:sz w:val="20"/>
        </w:rPr>
        <w:t>, 1990-2010.</w:t>
      </w:r>
    </w:p>
    <w:p>
      <w:pPr>
        <w:pStyle w:val="BodyText"/>
        <w:ind w:left="140"/>
        <w:rPr>
          <w:sz w:val="20"/>
        </w:rPr>
      </w:pPr>
      <w:r>
        <w:rPr>
          <w:sz w:val="20"/>
        </w:rPr>
        <w:pict>
          <v:group style="width:441.05pt;height:263.350pt;mso-position-horizontal-relative:char;mso-position-vertical-relative:line" coordorigin="0,0" coordsize="8821,5267">
            <v:shape style="position:absolute;left:2264;top:3956;width:288;height:264" type="#_x0000_t75" stroked="false">
              <v:imagedata r:id="rId268" o:title=""/>
            </v:shape>
            <v:shape style="position:absolute;left:6;top:6;width:8810;height:5256" type="#_x0000_t202" filled="false" stroked="true" strokeweight=".506106pt" strokecolor="#858585">
              <v:textbox inset="0,0,0,0">
                <w:txbxContent>
                  <w:p>
                    <w:pPr>
                      <w:spacing w:before="95"/>
                      <w:ind w:left="1392" w:right="1396" w:firstLine="0"/>
                      <w:jc w:val="center"/>
                      <w:rPr>
                        <w:rFonts w:ascii="Calibri"/>
                        <w:b/>
                        <w:sz w:val="24"/>
                      </w:rPr>
                    </w:pPr>
                    <w:r>
                      <w:rPr>
                        <w:rFonts w:ascii="Calibri"/>
                        <w:b/>
                        <w:sz w:val="24"/>
                      </w:rPr>
                      <w:t>Viviendas que cuentan con 1 cuarto en la ZMT, 1990-2010.</w:t>
                    </w:r>
                  </w:p>
                  <w:p>
                    <w:pPr>
                      <w:spacing w:before="212"/>
                      <w:ind w:left="352" w:right="0" w:firstLine="0"/>
                      <w:jc w:val="left"/>
                      <w:rPr>
                        <w:rFonts w:ascii="Calibri"/>
                        <w:sz w:val="13"/>
                      </w:rPr>
                    </w:pPr>
                    <w:r>
                      <w:rPr>
                        <w:rFonts w:ascii="Calibri"/>
                        <w:sz w:val="13"/>
                      </w:rPr>
                      <w:t>12.0</w:t>
                    </w:r>
                  </w:p>
                  <w:p>
                    <w:pPr>
                      <w:spacing w:line="240" w:lineRule="auto" w:before="0"/>
                      <w:rPr>
                        <w:sz w:val="12"/>
                      </w:rPr>
                    </w:pPr>
                  </w:p>
                  <w:p>
                    <w:pPr>
                      <w:spacing w:line="240" w:lineRule="auto" w:before="0"/>
                      <w:rPr>
                        <w:sz w:val="12"/>
                      </w:rPr>
                    </w:pPr>
                  </w:p>
                  <w:p>
                    <w:pPr>
                      <w:spacing w:before="80"/>
                      <w:ind w:left="352" w:right="0" w:firstLine="0"/>
                      <w:jc w:val="left"/>
                      <w:rPr>
                        <w:rFonts w:ascii="Calibri"/>
                        <w:sz w:val="13"/>
                      </w:rPr>
                    </w:pPr>
                    <w:r>
                      <w:rPr>
                        <w:rFonts w:ascii="Calibri"/>
                        <w:sz w:val="13"/>
                      </w:rPr>
                      <w:t>10.0</w:t>
                    </w:r>
                  </w:p>
                  <w:p>
                    <w:pPr>
                      <w:spacing w:line="240" w:lineRule="auto" w:before="0"/>
                      <w:rPr>
                        <w:sz w:val="12"/>
                      </w:rPr>
                    </w:pPr>
                  </w:p>
                  <w:p>
                    <w:pPr>
                      <w:spacing w:line="240" w:lineRule="auto" w:before="0"/>
                      <w:rPr>
                        <w:sz w:val="12"/>
                      </w:rPr>
                    </w:pPr>
                  </w:p>
                  <w:p>
                    <w:pPr>
                      <w:spacing w:before="79"/>
                      <w:ind w:left="417" w:right="0" w:firstLine="0"/>
                      <w:jc w:val="left"/>
                      <w:rPr>
                        <w:rFonts w:ascii="Calibri"/>
                        <w:sz w:val="13"/>
                      </w:rPr>
                    </w:pPr>
                    <w:r>
                      <w:rPr>
                        <w:rFonts w:ascii="Calibri"/>
                        <w:sz w:val="13"/>
                      </w:rPr>
                      <w:t>8.0</w:t>
                    </w:r>
                  </w:p>
                  <w:p>
                    <w:pPr>
                      <w:spacing w:line="240" w:lineRule="auto" w:before="0"/>
                      <w:rPr>
                        <w:sz w:val="12"/>
                      </w:rPr>
                    </w:pPr>
                  </w:p>
                  <w:p>
                    <w:pPr>
                      <w:spacing w:line="240" w:lineRule="auto" w:before="0"/>
                      <w:rPr>
                        <w:sz w:val="12"/>
                      </w:rPr>
                    </w:pPr>
                  </w:p>
                  <w:p>
                    <w:pPr>
                      <w:spacing w:before="80"/>
                      <w:ind w:left="417" w:right="0" w:firstLine="0"/>
                      <w:jc w:val="left"/>
                      <w:rPr>
                        <w:rFonts w:ascii="Calibri"/>
                        <w:sz w:val="13"/>
                      </w:rPr>
                    </w:pPr>
                    <w:r>
                      <w:rPr>
                        <w:rFonts w:ascii="Calibri"/>
                        <w:sz w:val="13"/>
                      </w:rPr>
                      <w:t>6.0</w:t>
                    </w:r>
                  </w:p>
                  <w:p>
                    <w:pPr>
                      <w:spacing w:line="240" w:lineRule="auto" w:before="0"/>
                      <w:rPr>
                        <w:sz w:val="12"/>
                      </w:rPr>
                    </w:pPr>
                  </w:p>
                  <w:p>
                    <w:pPr>
                      <w:spacing w:line="240" w:lineRule="auto" w:before="0"/>
                      <w:rPr>
                        <w:sz w:val="12"/>
                      </w:rPr>
                    </w:pPr>
                  </w:p>
                  <w:p>
                    <w:pPr>
                      <w:spacing w:before="80"/>
                      <w:ind w:left="417" w:right="0" w:firstLine="0"/>
                      <w:jc w:val="left"/>
                      <w:rPr>
                        <w:rFonts w:ascii="Calibri"/>
                        <w:sz w:val="13"/>
                      </w:rPr>
                    </w:pPr>
                    <w:r>
                      <w:rPr>
                        <w:rFonts w:ascii="Calibri"/>
                        <w:sz w:val="13"/>
                      </w:rPr>
                      <w:t>4.0</w:t>
                    </w:r>
                  </w:p>
                  <w:p>
                    <w:pPr>
                      <w:spacing w:line="240" w:lineRule="auto" w:before="0"/>
                      <w:rPr>
                        <w:sz w:val="12"/>
                      </w:rPr>
                    </w:pPr>
                  </w:p>
                  <w:p>
                    <w:pPr>
                      <w:spacing w:line="240" w:lineRule="auto" w:before="0"/>
                      <w:rPr>
                        <w:sz w:val="12"/>
                      </w:rPr>
                    </w:pPr>
                  </w:p>
                  <w:p>
                    <w:pPr>
                      <w:spacing w:before="79"/>
                      <w:ind w:left="417" w:right="0" w:firstLine="0"/>
                      <w:jc w:val="left"/>
                      <w:rPr>
                        <w:rFonts w:ascii="Calibri"/>
                        <w:sz w:val="13"/>
                      </w:rPr>
                    </w:pPr>
                    <w:r>
                      <w:rPr>
                        <w:rFonts w:ascii="Calibri"/>
                        <w:sz w:val="13"/>
                      </w:rPr>
                      <w:t>2.0</w:t>
                    </w:r>
                  </w:p>
                  <w:p>
                    <w:pPr>
                      <w:spacing w:line="240" w:lineRule="auto" w:before="0"/>
                      <w:rPr>
                        <w:sz w:val="12"/>
                      </w:rPr>
                    </w:pPr>
                  </w:p>
                  <w:p>
                    <w:pPr>
                      <w:spacing w:line="240" w:lineRule="auto" w:before="0"/>
                      <w:rPr>
                        <w:sz w:val="12"/>
                      </w:rPr>
                    </w:pPr>
                  </w:p>
                  <w:p>
                    <w:pPr>
                      <w:spacing w:before="80" w:after="96"/>
                      <w:ind w:left="417" w:right="0" w:firstLine="0"/>
                      <w:jc w:val="left"/>
                      <w:rPr>
                        <w:rFonts w:ascii="Calibri"/>
                        <w:sz w:val="13"/>
                      </w:rPr>
                    </w:pPr>
                    <w:r>
                      <w:rPr>
                        <w:rFonts w:ascii="Calibri"/>
                        <w:sz w:val="13"/>
                      </w:rPr>
                      <w:t>0.0</w:t>
                    </w:r>
                  </w:p>
                  <w:p>
                    <w:pPr>
                      <w:tabs>
                        <w:tab w:pos="6242" w:val="left" w:leader="none"/>
                      </w:tabs>
                      <w:spacing w:line="240" w:lineRule="auto"/>
                      <w:ind w:left="225" w:right="0" w:firstLine="0"/>
                      <w:rPr>
                        <w:sz w:val="20"/>
                      </w:rPr>
                    </w:pPr>
                    <w:r>
                      <w:rPr>
                        <w:sz w:val="20"/>
                      </w:rPr>
                      <w:drawing>
                        <wp:inline distT="0" distB="0" distL="0" distR="0">
                          <wp:extent cx="489905" cy="490537"/>
                          <wp:effectExtent l="0" t="0" r="0" b="0"/>
                          <wp:docPr id="57" name="image241.png" descr=""/>
                          <wp:cNvGraphicFramePr>
                            <a:graphicFrameLocks noChangeAspect="1"/>
                          </wp:cNvGraphicFramePr>
                          <a:graphic>
                            <a:graphicData uri="http://schemas.openxmlformats.org/drawingml/2006/picture">
                              <pic:pic>
                                <pic:nvPicPr>
                                  <pic:cNvPr id="58" name="image241.png"/>
                                  <pic:cNvPicPr/>
                                </pic:nvPicPr>
                                <pic:blipFill>
                                  <a:blip r:embed="rId269" cstate="print"/>
                                  <a:stretch>
                                    <a:fillRect/>
                                  </a:stretch>
                                </pic:blipFill>
                                <pic:spPr>
                                  <a:xfrm>
                                    <a:off x="0" y="0"/>
                                    <a:ext cx="489905" cy="490537"/>
                                  </a:xfrm>
                                  <a:prstGeom prst="rect">
                                    <a:avLst/>
                                  </a:prstGeom>
                                </pic:spPr>
                              </pic:pic>
                            </a:graphicData>
                          </a:graphic>
                        </wp:inline>
                      </w:drawing>
                    </w:r>
                    <w:r>
                      <w:rPr>
                        <w:sz w:val="20"/>
                      </w:rPr>
                    </w:r>
                    <w:r>
                      <w:rPr>
                        <w:sz w:val="20"/>
                      </w:rPr>
                      <w:tab/>
                    </w:r>
                    <w:r>
                      <w:rPr>
                        <w:position w:val="41"/>
                        <w:sz w:val="20"/>
                      </w:rPr>
                      <w:drawing>
                        <wp:inline distT="0" distB="0" distL="0" distR="0">
                          <wp:extent cx="249397" cy="223837"/>
                          <wp:effectExtent l="0" t="0" r="0" b="0"/>
                          <wp:docPr id="59" name="image242.png" descr=""/>
                          <wp:cNvGraphicFramePr>
                            <a:graphicFrameLocks noChangeAspect="1"/>
                          </wp:cNvGraphicFramePr>
                          <a:graphic>
                            <a:graphicData uri="http://schemas.openxmlformats.org/drawingml/2006/picture">
                              <pic:pic>
                                <pic:nvPicPr>
                                  <pic:cNvPr id="60" name="image242.png"/>
                                  <pic:cNvPicPr/>
                                </pic:nvPicPr>
                                <pic:blipFill>
                                  <a:blip r:embed="rId270" cstate="print"/>
                                  <a:stretch>
                                    <a:fillRect/>
                                  </a:stretch>
                                </pic:blipFill>
                                <pic:spPr>
                                  <a:xfrm>
                                    <a:off x="0" y="0"/>
                                    <a:ext cx="249397" cy="223837"/>
                                  </a:xfrm>
                                  <a:prstGeom prst="rect">
                                    <a:avLst/>
                                  </a:prstGeom>
                                </pic:spPr>
                              </pic:pic>
                            </a:graphicData>
                          </a:graphic>
                        </wp:inline>
                      </w:drawing>
                    </w:r>
                    <w:r>
                      <w:rPr>
                        <w:position w:val="41"/>
                        <w:sz w:val="20"/>
                      </w:rPr>
                    </w:r>
                  </w:p>
                  <w:p>
                    <w:pPr>
                      <w:spacing w:line="240" w:lineRule="auto" w:before="0"/>
                      <w:rPr>
                        <w:sz w:val="12"/>
                      </w:rPr>
                    </w:pPr>
                  </w:p>
                  <w:p>
                    <w:pPr>
                      <w:spacing w:line="240" w:lineRule="auto" w:before="1"/>
                      <w:rPr>
                        <w:sz w:val="10"/>
                      </w:rPr>
                    </w:pPr>
                  </w:p>
                  <w:p>
                    <w:pPr>
                      <w:spacing w:before="0"/>
                      <w:ind w:left="1392" w:right="1363" w:firstLine="0"/>
                      <w:jc w:val="center"/>
                      <w:rPr>
                        <w:rFonts w:ascii="Calibri"/>
                        <w:sz w:val="13"/>
                      </w:rPr>
                    </w:pPr>
                    <w:r>
                      <w:rPr/>
                      <w:drawing>
                        <wp:inline distT="0" distB="0" distL="0" distR="0">
                          <wp:extent cx="76720" cy="82962"/>
                          <wp:effectExtent l="0" t="0" r="0" b="0"/>
                          <wp:docPr id="61" name="image243.png" descr=""/>
                          <wp:cNvGraphicFramePr>
                            <a:graphicFrameLocks noChangeAspect="1"/>
                          </wp:cNvGraphicFramePr>
                          <a:graphic>
                            <a:graphicData uri="http://schemas.openxmlformats.org/drawingml/2006/picture">
                              <pic:pic>
                                <pic:nvPicPr>
                                  <pic:cNvPr id="62" name="image243.png"/>
                                  <pic:cNvPicPr/>
                                </pic:nvPicPr>
                                <pic:blipFill>
                                  <a:blip r:embed="rId271" cstate="print"/>
                                  <a:stretch>
                                    <a:fillRect/>
                                  </a:stretch>
                                </pic:blipFill>
                                <pic:spPr>
                                  <a:xfrm>
                                    <a:off x="0" y="0"/>
                                    <a:ext cx="76720" cy="82962"/>
                                  </a:xfrm>
                                  <a:prstGeom prst="rect">
                                    <a:avLst/>
                                  </a:prstGeom>
                                </pic:spPr>
                              </pic:pic>
                            </a:graphicData>
                          </a:graphic>
                        </wp:inline>
                      </w:drawing>
                    </w:r>
                    <w:r>
                      <w:rPr/>
                    </w:r>
                    <w:r>
                      <w:rPr>
                        <w:rFonts w:ascii="Calibri"/>
                        <w:position w:val="1"/>
                        <w:sz w:val="13"/>
                      </w:rPr>
                      <w:t>1990   </w:t>
                    </w:r>
                    <w:r>
                      <w:rPr>
                        <w:rFonts w:ascii="Calibri"/>
                        <w:spacing w:val="8"/>
                        <w:sz w:val="13"/>
                      </w:rPr>
                      <w:drawing>
                        <wp:inline distT="0" distB="0" distL="0" distR="0">
                          <wp:extent cx="76720" cy="82962"/>
                          <wp:effectExtent l="0" t="0" r="0" b="0"/>
                          <wp:docPr id="63" name="image244.png" descr=""/>
                          <wp:cNvGraphicFramePr>
                            <a:graphicFrameLocks noChangeAspect="1"/>
                          </wp:cNvGraphicFramePr>
                          <a:graphic>
                            <a:graphicData uri="http://schemas.openxmlformats.org/drawingml/2006/picture">
                              <pic:pic>
                                <pic:nvPicPr>
                                  <pic:cNvPr id="64" name="image244.png"/>
                                  <pic:cNvPicPr/>
                                </pic:nvPicPr>
                                <pic:blipFill>
                                  <a:blip r:embed="rId272" cstate="print"/>
                                  <a:stretch>
                                    <a:fillRect/>
                                  </a:stretch>
                                </pic:blipFill>
                                <pic:spPr>
                                  <a:xfrm>
                                    <a:off x="0" y="0"/>
                                    <a:ext cx="76720" cy="82962"/>
                                  </a:xfrm>
                                  <a:prstGeom prst="rect">
                                    <a:avLst/>
                                  </a:prstGeom>
                                </pic:spPr>
                              </pic:pic>
                            </a:graphicData>
                          </a:graphic>
                        </wp:inline>
                      </w:drawing>
                    </w:r>
                    <w:r>
                      <w:rPr>
                        <w:rFonts w:ascii="Calibri"/>
                        <w:spacing w:val="8"/>
                        <w:sz w:val="13"/>
                      </w:rPr>
                    </w:r>
                    <w:r>
                      <w:rPr>
                        <w:rFonts w:ascii="Calibri"/>
                        <w:position w:val="1"/>
                        <w:sz w:val="13"/>
                      </w:rPr>
                      <w:t>2000 </w:t>
                    </w:r>
                    <w:r>
                      <w:rPr>
                        <w:rFonts w:ascii="Calibri"/>
                        <w:spacing w:val="18"/>
                        <w:position w:val="1"/>
                        <w:sz w:val="13"/>
                      </w:rPr>
                      <w:t> </w:t>
                    </w:r>
                    <w:r>
                      <w:rPr>
                        <w:rFonts w:ascii="Calibri"/>
                        <w:spacing w:val="8"/>
                        <w:sz w:val="13"/>
                      </w:rPr>
                      <w:drawing>
                        <wp:inline distT="0" distB="0" distL="0" distR="0">
                          <wp:extent cx="76720" cy="82962"/>
                          <wp:effectExtent l="0" t="0" r="0" b="0"/>
                          <wp:docPr id="65" name="image245.png" descr=""/>
                          <wp:cNvGraphicFramePr>
                            <a:graphicFrameLocks noChangeAspect="1"/>
                          </wp:cNvGraphicFramePr>
                          <a:graphic>
                            <a:graphicData uri="http://schemas.openxmlformats.org/drawingml/2006/picture">
                              <pic:pic>
                                <pic:nvPicPr>
                                  <pic:cNvPr id="66" name="image245.png"/>
                                  <pic:cNvPicPr/>
                                </pic:nvPicPr>
                                <pic:blipFill>
                                  <a:blip r:embed="rId273" cstate="print"/>
                                  <a:stretch>
                                    <a:fillRect/>
                                  </a:stretch>
                                </pic:blipFill>
                                <pic:spPr>
                                  <a:xfrm>
                                    <a:off x="0" y="0"/>
                                    <a:ext cx="76720" cy="82962"/>
                                  </a:xfrm>
                                  <a:prstGeom prst="rect">
                                    <a:avLst/>
                                  </a:prstGeom>
                                </pic:spPr>
                              </pic:pic>
                            </a:graphicData>
                          </a:graphic>
                        </wp:inline>
                      </w:drawing>
                    </w:r>
                    <w:r>
                      <w:rPr>
                        <w:rFonts w:ascii="Calibri"/>
                        <w:spacing w:val="8"/>
                        <w:sz w:val="13"/>
                      </w:rPr>
                    </w:r>
                    <w:r>
                      <w:rPr>
                        <w:rFonts w:ascii="Calibri"/>
                        <w:spacing w:val="4"/>
                        <w:position w:val="1"/>
                        <w:sz w:val="13"/>
                      </w:rPr>
                      <w:t>2010</w:t>
                    </w:r>
                  </w:p>
                </w:txbxContent>
              </v:textbox>
              <w10:wrap type="none"/>
            </v:shape>
          </v:group>
        </w:pict>
      </w:r>
      <w:r>
        <w:rPr>
          <w:sz w:val="20"/>
        </w:rPr>
      </w:r>
    </w:p>
    <w:p>
      <w:pPr>
        <w:spacing w:before="0"/>
        <w:ind w:left="193" w:right="215" w:firstLine="0"/>
        <w:jc w:val="center"/>
        <w:rPr>
          <w:sz w:val="20"/>
        </w:rPr>
      </w:pPr>
      <w:r>
        <w:rPr/>
        <w:pict>
          <v:group style="position:absolute;margin-left:144.589386pt;margin-top:-65.980743pt;width:44.15pt;height:25pt;mso-position-horizontal-relative:page;mso-position-vertical-relative:paragraph;z-index:-333496" coordorigin="2892,-1320" coordsize="883,500">
            <v:shape style="position:absolute;left:2892;top:-1315;width:371;height:349" type="#_x0000_t75" stroked="false">
              <v:imagedata r:id="rId274" o:title=""/>
            </v:shape>
            <v:shape style="position:absolute;left:3258;top:-1320;width:516;height:500" type="#_x0000_t75" stroked="false">
              <v:imagedata r:id="rId275" o:title=""/>
            </v:shape>
            <w10:wrap type="none"/>
          </v:group>
        </w:pict>
      </w:r>
      <w:r>
        <w:rPr/>
        <w:pict>
          <v:group style="position:absolute;margin-left:220.805099pt;margin-top:-66.253632pt;width:96.1pt;height:28.1pt;mso-position-horizontal-relative:page;mso-position-vertical-relative:paragraph;z-index:-333472" coordorigin="4416,-1325" coordsize="1922,562">
            <v:shape style="position:absolute;left:4416;top:-1325;width:389;height:373" type="#_x0000_t75" stroked="false">
              <v:imagedata r:id="rId276" o:title=""/>
            </v:shape>
            <v:shape style="position:absolute;left:4741;top:-1324;width:1597;height:560" type="#_x0000_t75" stroked="false">
              <v:imagedata r:id="rId277" o:title=""/>
            </v:shape>
            <w10:wrap type="none"/>
          </v:group>
        </w:pict>
      </w:r>
      <w:r>
        <w:rPr/>
        <w:pict>
          <v:group style="position:absolute;margin-left:328.851532pt;margin-top:-65.814964pt;width:64.75pt;height:36.4pt;mso-position-horizontal-relative:page;mso-position-vertical-relative:paragraph;z-index:-333448" coordorigin="6577,-1316" coordsize="1295,728">
            <v:shape style="position:absolute;left:6577;top:-1316;width:277;height:255" type="#_x0000_t75" stroked="false">
              <v:imagedata r:id="rId278" o:title=""/>
            </v:shape>
            <v:shape style="position:absolute;left:6629;top:-1316;width:1243;height:728" type="#_x0000_t75" stroked="false">
              <v:imagedata r:id="rId279" o:title=""/>
            </v:shape>
            <w10:wrap type="none"/>
          </v:group>
        </w:pict>
      </w:r>
      <w:r>
        <w:rPr/>
        <w:pict>
          <v:group style="position:absolute;margin-left:430.329834pt;margin-top:-65.995537pt;width:66.05pt;height:27.15pt;mso-position-horizontal-relative:page;mso-position-vertical-relative:paragraph;z-index:-333424" coordorigin="8607,-1320" coordsize="1321,543">
            <v:shape style="position:absolute;left:8607;top:-1320;width:302;height:261" type="#_x0000_t75" stroked="false">
              <v:imagedata r:id="rId280" o:title=""/>
            </v:shape>
            <v:shape style="position:absolute;left:8947;top:-1319;width:980;height:542" type="#_x0000_t75" stroked="false">
              <v:imagedata r:id="rId281" o:title=""/>
            </v:shape>
            <w10:wrap type="none"/>
          </v:group>
        </w:pict>
      </w:r>
      <w:r>
        <w:rPr>
          <w:sz w:val="20"/>
        </w:rPr>
        <w:t>Fuente: Elaboración propia con base en los datos de los Censos de Población y Vivienda INEGI, 1990, 2000, 2010.</w:t>
      </w:r>
    </w:p>
    <w:p>
      <w:pPr>
        <w:pStyle w:val="BodyText"/>
        <w:spacing w:before="1"/>
      </w:pPr>
    </w:p>
    <w:p>
      <w:pPr>
        <w:pStyle w:val="BodyText"/>
        <w:spacing w:line="360" w:lineRule="auto"/>
        <w:ind w:left="102" w:right="118"/>
        <w:jc w:val="both"/>
      </w:pPr>
      <w:r>
        <w:rPr/>
        <w:t>Como se observó las viviendas de 1 cuarto, son las viviendas llamadas de autoconstrucción consideradas como precarias ya que las personas van construyéndolas a sus posibilidades económicas, físicas y de obtención de los materiales. En el siguiente apartado se analizan las viviendas que cuentan con  dos</w:t>
      </w:r>
      <w:r>
        <w:rPr>
          <w:spacing w:val="-2"/>
        </w:rPr>
        <w:t> </w:t>
      </w:r>
      <w:r>
        <w:rPr/>
        <w:t>cuartos.</w:t>
      </w:r>
    </w:p>
    <w:p>
      <w:pPr>
        <w:pStyle w:val="BodyText"/>
      </w:pPr>
    </w:p>
    <w:p>
      <w:pPr>
        <w:pStyle w:val="BodyText"/>
        <w:spacing w:before="9"/>
        <w:rPr>
          <w:sz w:val="29"/>
        </w:rPr>
      </w:pPr>
    </w:p>
    <w:p>
      <w:pPr>
        <w:pStyle w:val="ListParagraph"/>
        <w:numPr>
          <w:ilvl w:val="2"/>
          <w:numId w:val="21"/>
        </w:numPr>
        <w:tabs>
          <w:tab w:pos="643" w:val="left" w:leader="none"/>
        </w:tabs>
        <w:spacing w:line="240" w:lineRule="auto" w:before="0" w:after="0"/>
        <w:ind w:left="642" w:right="0" w:hanging="540"/>
        <w:jc w:val="both"/>
        <w:rPr>
          <w:rFonts w:ascii="Cambria"/>
          <w:b/>
          <w:sz w:val="22"/>
        </w:rPr>
      </w:pPr>
      <w:r>
        <w:rPr>
          <w:rFonts w:ascii="Cambria"/>
          <w:b/>
          <w:color w:val="4F81BC"/>
          <w:sz w:val="22"/>
        </w:rPr>
        <w:t>Viviendas con 2</w:t>
      </w:r>
      <w:r>
        <w:rPr>
          <w:rFonts w:ascii="Cambria"/>
          <w:b/>
          <w:color w:val="4F81BC"/>
          <w:spacing w:val="-9"/>
          <w:sz w:val="22"/>
        </w:rPr>
        <w:t> </w:t>
      </w:r>
      <w:r>
        <w:rPr>
          <w:rFonts w:ascii="Cambria"/>
          <w:b/>
          <w:color w:val="4F81BC"/>
          <w:sz w:val="22"/>
        </w:rPr>
        <w:t>cuartos</w:t>
      </w:r>
    </w:p>
    <w:p>
      <w:pPr>
        <w:pStyle w:val="BodyText"/>
        <w:rPr>
          <w:rFonts w:ascii="Cambria"/>
          <w:b/>
          <w:sz w:val="22"/>
        </w:rPr>
      </w:pPr>
    </w:p>
    <w:p>
      <w:pPr>
        <w:pStyle w:val="BodyText"/>
        <w:spacing w:before="10"/>
        <w:rPr>
          <w:rFonts w:ascii="Cambria"/>
          <w:b/>
          <w:sz w:val="26"/>
        </w:rPr>
      </w:pPr>
    </w:p>
    <w:p>
      <w:pPr>
        <w:spacing w:line="360" w:lineRule="auto" w:before="0"/>
        <w:ind w:left="102" w:right="124" w:firstLine="0"/>
        <w:jc w:val="both"/>
        <w:rPr>
          <w:sz w:val="24"/>
        </w:rPr>
      </w:pPr>
      <w:r>
        <w:rPr>
          <w:i/>
          <w:sz w:val="24"/>
        </w:rPr>
        <w:t>“Contar con dos cuartos en la vivienda es un beneficio para las personas, ya que </w:t>
      </w:r>
      <w:r>
        <w:rPr>
          <w:i/>
          <w:sz w:val="24"/>
        </w:rPr>
        <w:t>reduce el hacinamiento, además de no crear problemas psicológicos mejorando la calidad de vida de sus moradores” </w:t>
      </w:r>
      <w:r>
        <w:rPr>
          <w:sz w:val="24"/>
        </w:rPr>
        <w:t>(</w:t>
      </w:r>
      <w:r>
        <w:rPr>
          <w:sz w:val="19"/>
        </w:rPr>
        <w:t>OPS</w:t>
      </w:r>
      <w:r>
        <w:rPr>
          <w:sz w:val="24"/>
        </w:rPr>
        <w:t>, 2009).</w:t>
      </w:r>
    </w:p>
    <w:p>
      <w:pPr>
        <w:pStyle w:val="BodyText"/>
        <w:spacing w:line="360" w:lineRule="auto" w:before="206"/>
        <w:ind w:left="102" w:right="123"/>
        <w:jc w:val="both"/>
      </w:pPr>
      <w:r>
        <w:rPr/>
        <w:t>Para poder realizar el análisis de las viviendas que cuentan con dos cuartos, se debe aclarar que el año 2000 no se tomo en cuenta ya que esta variable registró las viviendas 2 y más cuartos, es por eso que solo se analiza el censo de 1990 y</w:t>
      </w:r>
    </w:p>
    <w:p>
      <w:pPr>
        <w:spacing w:after="0" w:line="360" w:lineRule="auto"/>
        <w:jc w:val="both"/>
        <w:sectPr>
          <w:footerReference w:type="default" r:id="rId266"/>
          <w:pgSz w:w="12240" w:h="15840"/>
          <w:pgMar w:footer="1003" w:header="0" w:top="1360" w:bottom="1200" w:left="1600" w:right="1580"/>
          <w:pgNumType w:start="140"/>
        </w:sectPr>
      </w:pPr>
    </w:p>
    <w:p>
      <w:pPr>
        <w:pStyle w:val="BodyText"/>
        <w:spacing w:line="360" w:lineRule="auto" w:before="54"/>
        <w:ind w:left="102" w:right="119"/>
        <w:jc w:val="both"/>
      </w:pPr>
      <w:r>
        <w:rPr/>
        <w:t>2010 donde encontramos las variables iguales y que pueden ser comparables  para la</w:t>
      </w:r>
      <w:r>
        <w:rPr>
          <w:spacing w:val="-5"/>
        </w:rPr>
        <w:t> </w:t>
      </w:r>
      <w:r>
        <w:rPr/>
        <w:t>investigación.</w:t>
      </w:r>
    </w:p>
    <w:p>
      <w:pPr>
        <w:pStyle w:val="BodyText"/>
        <w:spacing w:line="360" w:lineRule="auto" w:before="204"/>
        <w:ind w:left="102" w:right="115"/>
        <w:jc w:val="both"/>
      </w:pPr>
      <w:r>
        <w:rPr/>
        <w:t>En 1990 catorce de los quince municipios que integran la zona metropolitana, registraron más del 10 por ciento hasta un 18.9 por ciento de sus viviendas con dos cuartos o más, solo Metepec es el municipio que registró el 6 por ciento de sus viviendas con 2 cuartos, este resultado es teóricamente confiable para este municipio ya que es posible que las viviendas cuentan con más cuartos ya </w:t>
      </w:r>
      <w:r>
        <w:rPr>
          <w:spacing w:val="-2"/>
        </w:rPr>
        <w:t>que </w:t>
      </w:r>
      <w:r>
        <w:rPr/>
        <w:t>encontramos fraccionamientos residenciales y fraccionamientos de estratos medios para dicha</w:t>
      </w:r>
      <w:r>
        <w:rPr>
          <w:spacing w:val="-5"/>
        </w:rPr>
        <w:t> </w:t>
      </w:r>
      <w:r>
        <w:rPr/>
        <w:t>población.</w:t>
      </w:r>
    </w:p>
    <w:p>
      <w:pPr>
        <w:pStyle w:val="BodyText"/>
        <w:spacing w:line="360" w:lineRule="auto" w:before="202"/>
        <w:ind w:left="102" w:right="116"/>
        <w:jc w:val="both"/>
      </w:pPr>
      <w:r>
        <w:rPr/>
        <w:t>Para 2010 de igual manera que dos décadas anteriores catorce de los quince municipios que integran la zona metropolitana registran más de 10.7 por ciento, Almoloya de Juárez fue el porcentaje más alto con 20.9 por ciento, ya que la mayoría de las viviendas son de autoconstrucción lo cual da la posibilidad de construir y contar con más cuartos para sus residentes, Metepec es el único municipio que registró un 7 por ciento por la misma razón que una  década anterior, posiblemente las personas contestaron que existen más de dos cuartos en la vivienda (ver gráfica no. 8).</w:t>
      </w:r>
    </w:p>
    <w:p>
      <w:pPr>
        <w:spacing w:after="0" w:line="360" w:lineRule="auto"/>
        <w:jc w:val="both"/>
        <w:sectPr>
          <w:pgSz w:w="12240" w:h="15840"/>
          <w:pgMar w:header="0" w:footer="1003" w:top="1360" w:bottom="1200" w:left="1600" w:right="1580"/>
        </w:sectPr>
      </w:pPr>
    </w:p>
    <w:p>
      <w:pPr>
        <w:spacing w:before="53" w:after="14"/>
        <w:ind w:left="197" w:right="216" w:firstLine="0"/>
        <w:jc w:val="center"/>
        <w:rPr>
          <w:sz w:val="20"/>
        </w:rPr>
      </w:pPr>
      <w:r>
        <w:rPr>
          <w:sz w:val="20"/>
        </w:rPr>
        <w:t>Gráfica No. 8 Viviendas con 2 cuartos en la </w:t>
      </w:r>
      <w:r>
        <w:rPr>
          <w:sz w:val="16"/>
        </w:rPr>
        <w:t>ZMT</w:t>
      </w:r>
      <w:r>
        <w:rPr>
          <w:sz w:val="20"/>
        </w:rPr>
        <w:t>, 1990 y 2010.</w:t>
      </w:r>
    </w:p>
    <w:p>
      <w:pPr>
        <w:pStyle w:val="BodyText"/>
        <w:ind w:left="142"/>
        <w:rPr>
          <w:sz w:val="20"/>
        </w:rPr>
      </w:pPr>
      <w:r>
        <w:rPr>
          <w:sz w:val="20"/>
        </w:rPr>
        <w:pict>
          <v:group style="width:440.6pt;height:263.350pt;mso-position-horizontal-relative:char;mso-position-vertical-relative:line" coordorigin="0,0" coordsize="8812,5267">
            <v:shape style="position:absolute;left:895;top:677;width:6937;height:3213" type="#_x0000_t75" stroked="false">
              <v:imagedata r:id="rId282" o:title=""/>
            </v:shape>
            <v:shape style="position:absolute;left:250;top:4088;width:1822;height:929" type="#_x0000_t75" stroked="false">
              <v:imagedata r:id="rId283" o:title=""/>
            </v:shape>
            <v:shape style="position:absolute;left:2186;top:4091;width:344;height:316" type="#_x0000_t75" stroked="false">
              <v:imagedata r:id="rId284" o:title=""/>
            </v:shape>
            <v:shape style="position:absolute;left:2515;top:4084;width:1807;height:671" type="#_x0000_t75" stroked="false">
              <v:imagedata r:id="rId285" o:title=""/>
            </v:shape>
            <v:shape style="position:absolute;left:4446;top:4094;width:331;height:304" type="#_x0000_t75" stroked="false">
              <v:imagedata r:id="rId286" o:title=""/>
            </v:shape>
            <v:shape style="position:absolute;left:4346;top:4095;width:1776;height:870" type="#_x0000_t75" stroked="false">
              <v:imagedata r:id="rId287" o:title=""/>
            </v:shape>
            <v:shape style="position:absolute;left:6221;top:4090;width:360;height:312" type="#_x0000_t75" stroked="false">
              <v:imagedata r:id="rId288" o:title=""/>
            </v:shape>
            <v:shape style="position:absolute;left:6465;top:4091;width:1007;height:647" type="#_x0000_t75" stroked="false">
              <v:imagedata r:id="rId289" o:title=""/>
            </v:shape>
            <v:shape style="position:absolute;left:8147;top:2646;width:145;height:157" type="#_x0000_t75" stroked="false">
              <v:imagedata r:id="rId290" o:title=""/>
            </v:shape>
            <v:shape style="position:absolute;left:8147;top:2948;width:145;height:145" type="#_x0000_t75" stroked="false">
              <v:imagedata r:id="rId291" o:title=""/>
            </v:shape>
            <v:rect style="position:absolute;left:6;top:6;width:8799;height:5254" filled="false" stroked="true" strokeweight=".604605pt" strokecolor="#858585"/>
            <v:shape style="position:absolute;left:1584;top:182;width:5636;height:291" type="#_x0000_t202" filled="false" stroked="false">
              <v:textbox inset="0,0,0,0">
                <w:txbxContent>
                  <w:p>
                    <w:pPr>
                      <w:spacing w:line="290" w:lineRule="exact" w:before="0"/>
                      <w:ind w:left="0" w:right="-3" w:firstLine="0"/>
                      <w:jc w:val="left"/>
                      <w:rPr>
                        <w:rFonts w:ascii="Calibri"/>
                        <w:b/>
                        <w:sz w:val="29"/>
                      </w:rPr>
                    </w:pPr>
                    <w:r>
                      <w:rPr>
                        <w:rFonts w:ascii="Calibri"/>
                        <w:b/>
                        <w:sz w:val="29"/>
                      </w:rPr>
                      <w:t>Viviendas con 2 cuartos en la </w:t>
                    </w:r>
                    <w:r>
                      <w:rPr>
                        <w:rFonts w:ascii="Calibri"/>
                        <w:b/>
                        <w:spacing w:val="-5"/>
                        <w:sz w:val="29"/>
                      </w:rPr>
                      <w:t>ZMT, </w:t>
                    </w:r>
                    <w:r>
                      <w:rPr>
                        <w:rFonts w:ascii="Calibri"/>
                        <w:b/>
                        <w:sz w:val="29"/>
                      </w:rPr>
                      <w:t>1990 y</w:t>
                    </w:r>
                    <w:r>
                      <w:rPr>
                        <w:rFonts w:ascii="Calibri"/>
                        <w:b/>
                        <w:spacing w:val="-29"/>
                        <w:sz w:val="29"/>
                      </w:rPr>
                      <w:t> </w:t>
                    </w:r>
                    <w:r>
                      <w:rPr>
                        <w:rFonts w:ascii="Calibri"/>
                        <w:b/>
                        <w:sz w:val="29"/>
                      </w:rPr>
                      <w:t>2010</w:t>
                    </w:r>
                  </w:p>
                </w:txbxContent>
              </v:textbox>
              <w10:wrap type="none"/>
            </v:shape>
            <v:shape style="position:absolute;left:486;top:754;width:286;height:158" type="#_x0000_t202" filled="false" stroked="false">
              <v:textbox inset="0,0,0,0">
                <w:txbxContent>
                  <w:p>
                    <w:pPr>
                      <w:spacing w:line="157" w:lineRule="exact" w:before="0"/>
                      <w:ind w:left="0" w:right="-14" w:firstLine="0"/>
                      <w:jc w:val="left"/>
                      <w:rPr>
                        <w:rFonts w:ascii="Calibri"/>
                        <w:sz w:val="15"/>
                      </w:rPr>
                    </w:pPr>
                    <w:r>
                      <w:rPr>
                        <w:rFonts w:ascii="Calibri"/>
                        <w:w w:val="105"/>
                        <w:sz w:val="15"/>
                      </w:rPr>
                      <w:t>25.0</w:t>
                    </w:r>
                  </w:p>
                </w:txbxContent>
              </v:textbox>
              <w10:wrap type="none"/>
            </v:shape>
            <v:shape style="position:absolute;left:486;top:1366;width:286;height:158" type="#_x0000_t202" filled="false" stroked="false">
              <v:textbox inset="0,0,0,0">
                <w:txbxContent>
                  <w:p>
                    <w:pPr>
                      <w:spacing w:line="157" w:lineRule="exact" w:before="0"/>
                      <w:ind w:left="0" w:right="-14" w:firstLine="0"/>
                      <w:jc w:val="left"/>
                      <w:rPr>
                        <w:rFonts w:ascii="Calibri"/>
                        <w:sz w:val="15"/>
                      </w:rPr>
                    </w:pPr>
                    <w:r>
                      <w:rPr>
                        <w:rFonts w:ascii="Calibri"/>
                        <w:w w:val="105"/>
                        <w:sz w:val="15"/>
                      </w:rPr>
                      <w:t>20.0</w:t>
                    </w:r>
                  </w:p>
                </w:txbxContent>
              </v:textbox>
              <w10:wrap type="none"/>
            </v:shape>
            <v:shape style="position:absolute;left:486;top:1977;width:286;height:158" type="#_x0000_t202" filled="false" stroked="false">
              <v:textbox inset="0,0,0,0">
                <w:txbxContent>
                  <w:p>
                    <w:pPr>
                      <w:spacing w:line="157" w:lineRule="exact" w:before="0"/>
                      <w:ind w:left="0" w:right="-14" w:firstLine="0"/>
                      <w:jc w:val="left"/>
                      <w:rPr>
                        <w:rFonts w:ascii="Calibri"/>
                        <w:sz w:val="15"/>
                      </w:rPr>
                    </w:pPr>
                    <w:r>
                      <w:rPr>
                        <w:rFonts w:ascii="Calibri"/>
                        <w:w w:val="105"/>
                        <w:sz w:val="15"/>
                      </w:rPr>
                      <w:t>15.0</w:t>
                    </w:r>
                  </w:p>
                </w:txbxContent>
              </v:textbox>
              <w10:wrap type="none"/>
            </v:shape>
            <v:shape style="position:absolute;left:486;top:2589;width:286;height:158" type="#_x0000_t202" filled="false" stroked="false">
              <v:textbox inset="0,0,0,0">
                <w:txbxContent>
                  <w:p>
                    <w:pPr>
                      <w:spacing w:line="157" w:lineRule="exact" w:before="0"/>
                      <w:ind w:left="0" w:right="-14" w:firstLine="0"/>
                      <w:jc w:val="left"/>
                      <w:rPr>
                        <w:rFonts w:ascii="Calibri"/>
                        <w:sz w:val="15"/>
                      </w:rPr>
                    </w:pPr>
                    <w:r>
                      <w:rPr>
                        <w:rFonts w:ascii="Calibri"/>
                        <w:w w:val="105"/>
                        <w:sz w:val="15"/>
                      </w:rPr>
                      <w:t>10.0</w:t>
                    </w:r>
                  </w:p>
                </w:txbxContent>
              </v:textbox>
              <w10:wrap type="none"/>
            </v:shape>
            <v:shape style="position:absolute;left:8321;top:2670;width:341;height:450" type="#_x0000_t202" filled="false" stroked="false">
              <v:textbox inset="0,0,0,0">
                <w:txbxContent>
                  <w:p>
                    <w:pPr>
                      <w:spacing w:line="158" w:lineRule="exact" w:before="0"/>
                      <w:ind w:left="0" w:right="0" w:firstLine="0"/>
                      <w:jc w:val="left"/>
                      <w:rPr>
                        <w:rFonts w:ascii="Calibri"/>
                        <w:sz w:val="15"/>
                      </w:rPr>
                    </w:pPr>
                    <w:r>
                      <w:rPr>
                        <w:rFonts w:ascii="Calibri"/>
                        <w:w w:val="105"/>
                        <w:sz w:val="15"/>
                      </w:rPr>
                      <w:t>1990</w:t>
                    </w:r>
                  </w:p>
                  <w:p>
                    <w:pPr>
                      <w:spacing w:line="182" w:lineRule="exact" w:before="109"/>
                      <w:ind w:left="0" w:right="0" w:firstLine="0"/>
                      <w:jc w:val="left"/>
                      <w:rPr>
                        <w:rFonts w:ascii="Calibri"/>
                        <w:sz w:val="15"/>
                      </w:rPr>
                    </w:pPr>
                    <w:r>
                      <w:rPr>
                        <w:rFonts w:ascii="Calibri"/>
                        <w:w w:val="105"/>
                        <w:sz w:val="15"/>
                      </w:rPr>
                      <w:t>2010</w:t>
                    </w:r>
                  </w:p>
                </w:txbxContent>
              </v:textbox>
              <w10:wrap type="none"/>
            </v:shape>
            <v:shape style="position:absolute;left:563;top:3200;width:201;height:158" type="#_x0000_t202" filled="false" stroked="false">
              <v:textbox inset="0,0,0,0">
                <w:txbxContent>
                  <w:p>
                    <w:pPr>
                      <w:spacing w:line="157" w:lineRule="exact" w:before="0"/>
                      <w:ind w:left="0" w:right="-19" w:firstLine="0"/>
                      <w:jc w:val="left"/>
                      <w:rPr>
                        <w:rFonts w:ascii="Calibri"/>
                        <w:sz w:val="15"/>
                      </w:rPr>
                    </w:pPr>
                    <w:r>
                      <w:rPr>
                        <w:rFonts w:ascii="Calibri"/>
                        <w:w w:val="105"/>
                        <w:sz w:val="15"/>
                      </w:rPr>
                      <w:t>5.0</w:t>
                    </w:r>
                  </w:p>
                </w:txbxContent>
              </v:textbox>
              <w10:wrap type="none"/>
            </v:shape>
            <v:shape style="position:absolute;left:563;top:3812;width:201;height:158" type="#_x0000_t202" filled="false" stroked="false">
              <v:textbox inset="0,0,0,0">
                <w:txbxContent>
                  <w:p>
                    <w:pPr>
                      <w:spacing w:line="157" w:lineRule="exact" w:before="0"/>
                      <w:ind w:left="0" w:right="-19" w:firstLine="0"/>
                      <w:jc w:val="left"/>
                      <w:rPr>
                        <w:rFonts w:ascii="Calibri"/>
                        <w:sz w:val="15"/>
                      </w:rPr>
                    </w:pPr>
                    <w:r>
                      <w:rPr>
                        <w:rFonts w:ascii="Calibri"/>
                        <w:w w:val="105"/>
                        <w:sz w:val="15"/>
                      </w:rPr>
                      <w:t>0.0</w:t>
                    </w:r>
                  </w:p>
                </w:txbxContent>
              </v:textbox>
              <w10:wrap type="none"/>
            </v:shape>
          </v:group>
        </w:pict>
      </w:r>
      <w:r>
        <w:rPr>
          <w:sz w:val="20"/>
        </w:rPr>
      </w:r>
    </w:p>
    <w:p>
      <w:pPr>
        <w:spacing w:before="0"/>
        <w:ind w:left="193" w:right="215" w:firstLine="0"/>
        <w:jc w:val="center"/>
        <w:rPr>
          <w:sz w:val="20"/>
        </w:rPr>
      </w:pPr>
      <w:r>
        <w:rPr>
          <w:sz w:val="20"/>
        </w:rPr>
        <w:t>Fuente: Elaboración propia con base en los datos de los Censos de Población y Vivienda INEGI, 1990 y 2010.</w:t>
      </w:r>
    </w:p>
    <w:p>
      <w:pPr>
        <w:pStyle w:val="BodyText"/>
        <w:rPr>
          <w:sz w:val="20"/>
        </w:rPr>
      </w:pPr>
    </w:p>
    <w:p>
      <w:pPr>
        <w:pStyle w:val="BodyText"/>
        <w:rPr>
          <w:sz w:val="20"/>
        </w:rPr>
      </w:pPr>
    </w:p>
    <w:p>
      <w:pPr>
        <w:pStyle w:val="BodyText"/>
        <w:spacing w:line="360" w:lineRule="auto" w:before="155"/>
        <w:ind w:left="102" w:right="116"/>
        <w:jc w:val="both"/>
      </w:pPr>
      <w:r>
        <w:rPr/>
        <w:t>Los resultados de las viviendas que cuentan con 2 cuartos son más altos, que el de las viviendas que cuentan con solo 1 cuarto en el periodo de estudio, significa que en las viviendas en la </w:t>
      </w:r>
      <w:r>
        <w:rPr>
          <w:sz w:val="19"/>
        </w:rPr>
        <w:t>ZMT</w:t>
      </w:r>
      <w:r>
        <w:rPr/>
        <w:t>, se cuenta con la posibilidad que radiquen más miembros de una familia nuclear, por decir, si una familia cuenta con 4 integrantes no se registra hacinamiento dependiendo del género de los hijos (as) ya que dos niños (as) pueden vivir en un cuarto, pero si son de dos géneros diferentes entonces cada persona debería contar con cuarto propio. Esto da pie a la  siguiente sección donde se analiza el promedio de personas en las</w:t>
      </w:r>
      <w:r>
        <w:rPr>
          <w:spacing w:val="-30"/>
        </w:rPr>
        <w:t> </w:t>
      </w:r>
      <w:r>
        <w:rPr/>
        <w:t>viviendas.</w:t>
      </w:r>
    </w:p>
    <w:p>
      <w:pPr>
        <w:pStyle w:val="ListParagraph"/>
        <w:numPr>
          <w:ilvl w:val="2"/>
          <w:numId w:val="21"/>
        </w:numPr>
        <w:tabs>
          <w:tab w:pos="643" w:val="left" w:leader="none"/>
        </w:tabs>
        <w:spacing w:line="240" w:lineRule="auto" w:before="206" w:after="0"/>
        <w:ind w:left="642" w:right="0" w:hanging="540"/>
        <w:jc w:val="both"/>
        <w:rPr>
          <w:rFonts w:ascii="Cambria"/>
          <w:b/>
          <w:sz w:val="22"/>
        </w:rPr>
      </w:pPr>
      <w:r>
        <w:rPr>
          <w:rFonts w:ascii="Cambria"/>
          <w:b/>
          <w:color w:val="4F81BC"/>
          <w:sz w:val="22"/>
        </w:rPr>
        <w:t>Ocupantes por cuarto de las</w:t>
      </w:r>
      <w:r>
        <w:rPr>
          <w:rFonts w:ascii="Cambria"/>
          <w:b/>
          <w:color w:val="4F81BC"/>
          <w:spacing w:val="-14"/>
          <w:sz w:val="22"/>
        </w:rPr>
        <w:t> </w:t>
      </w:r>
      <w:r>
        <w:rPr>
          <w:rFonts w:ascii="Cambria"/>
          <w:b/>
          <w:color w:val="4F81BC"/>
          <w:sz w:val="22"/>
        </w:rPr>
        <w:t>viviendas</w:t>
      </w:r>
    </w:p>
    <w:p>
      <w:pPr>
        <w:pStyle w:val="BodyText"/>
        <w:rPr>
          <w:rFonts w:ascii="Cambria"/>
          <w:b/>
          <w:sz w:val="22"/>
        </w:rPr>
      </w:pPr>
    </w:p>
    <w:p>
      <w:pPr>
        <w:pStyle w:val="BodyText"/>
        <w:spacing w:before="1"/>
        <w:rPr>
          <w:rFonts w:ascii="Cambria"/>
          <w:b/>
          <w:sz w:val="27"/>
        </w:rPr>
      </w:pPr>
    </w:p>
    <w:p>
      <w:pPr>
        <w:pStyle w:val="BodyText"/>
        <w:spacing w:line="360" w:lineRule="auto"/>
        <w:ind w:left="102" w:right="115"/>
        <w:jc w:val="both"/>
      </w:pPr>
      <w:r>
        <w:rPr/>
        <w:t>Los ocupantes por cuarto de las viviendas es un factor importante para que no exista hacinamiento en las viviendas, aunque existe un rezago en la información  ya que el censo de población del 2000 levantó solo la variable de dos o más cuartos por</w:t>
      </w:r>
      <w:r>
        <w:rPr>
          <w:spacing w:val="-4"/>
        </w:rPr>
        <w:t> </w:t>
      </w:r>
      <w:r>
        <w:rPr/>
        <w:t>vivienda.</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pPr>
      <w:r>
        <w:rPr/>
        <w:t>Se hace el análisis de los ocupantes por cuarto en las viviendas con base en la información de los censos, en 1990 el municipio de Temoaya fue el que registró el más alto valor de 2 ocupantes por cuarto, seguido de los municipios de Almoloya de Juárez y Otzolotepec con el 1.9 ocupantes por cuarto, el municipio de Metepec registró un 1.1 de ocupantes por cuarto  el más bajo para este año.</w:t>
      </w:r>
    </w:p>
    <w:p>
      <w:pPr>
        <w:pStyle w:val="BodyText"/>
        <w:spacing w:line="360" w:lineRule="auto" w:before="204"/>
        <w:ind w:left="102" w:right="116"/>
        <w:jc w:val="both"/>
      </w:pPr>
      <w:r>
        <w:rPr/>
        <w:t>En el año 2000 Temoaya registró 2.3 ocupantes por cuarto en sus viviendas, se puede decir que ya existe hacinamiento en las viviendas de este municipio. Los municipios de Almoloya de Juárez y Otzolotepec registraron 2 ocupantes por cuarto, mientras que por el contrario el municipio Toluca registro 1.4 ocupantes por cuarto en sus viviendas y Metepec el más bajo con 1.2 ocupantes por cuarto en sus viviendas.</w:t>
      </w:r>
    </w:p>
    <w:p>
      <w:pPr>
        <w:pStyle w:val="BodyText"/>
        <w:spacing w:line="360" w:lineRule="auto" w:before="202"/>
        <w:ind w:left="102" w:right="116"/>
        <w:jc w:val="both"/>
      </w:pPr>
      <w:r>
        <w:rPr/>
        <w:t>En el último censo de población y vivienda del año 2010 Temoaya sigue siendo el más alto con 1.4 ocupantes por cuarto, seguido de Almoloya de Juárez y Otzolotepec con 1.3 ocupantes por cuarto, por su parte el municipio de Toluca registró un 1 ocupante por cuarto en sus viviendas y Metepec el más bajo con 0.8 ocupantes por cuarto dentro de sus viviendas (ver gráfica no. 9).</w:t>
      </w:r>
    </w:p>
    <w:p>
      <w:pPr>
        <w:pStyle w:val="BodyText"/>
        <w:spacing w:line="360" w:lineRule="auto" w:before="204"/>
        <w:ind w:left="102" w:right="116"/>
        <w:jc w:val="both"/>
      </w:pPr>
      <w:r>
        <w:rPr/>
        <w:t>Estos datos son el resultado de la transición demográfica, es decir, pasar de un estado de altos niveles de fecundidad y mortalidad de la población a menores niveles de fecundidad y de mortalidad que se presenta en el país, donde la zona metropolitana no es la excepción ya que las familias hoy en día cuentan con menos integrantes que en décadas anteriores, lo cual abre la posibilidad de que los ocupantes sean menos por el número de</w:t>
      </w:r>
      <w:r>
        <w:rPr>
          <w:spacing w:val="-13"/>
        </w:rPr>
        <w:t> </w:t>
      </w:r>
      <w:r>
        <w:rPr/>
        <w:t>cuartos.</w:t>
      </w:r>
    </w:p>
    <w:p>
      <w:pPr>
        <w:pStyle w:val="BodyText"/>
        <w:spacing w:line="360" w:lineRule="auto" w:before="202"/>
        <w:ind w:left="102" w:right="126"/>
        <w:jc w:val="both"/>
      </w:pPr>
      <w:r>
        <w:rPr/>
        <w:t>Con los resultados obtenidos se considera que en la zona metropolitana no existe hacinamiento en las viviendas, lo cual representa una buena habitabilidad  para sus ocupantes, respecto a esta variable de ocupantes por cuarto en las viviendas.</w:t>
      </w:r>
    </w:p>
    <w:p>
      <w:pPr>
        <w:spacing w:after="0" w:line="360" w:lineRule="auto"/>
        <w:jc w:val="both"/>
        <w:sectPr>
          <w:pgSz w:w="12240" w:h="15840"/>
          <w:pgMar w:header="0" w:footer="1003" w:top="1360" w:bottom="1200" w:left="1600" w:right="1580"/>
        </w:sectPr>
      </w:pPr>
    </w:p>
    <w:p>
      <w:pPr>
        <w:spacing w:before="53" w:after="12"/>
        <w:ind w:left="81" w:right="122" w:firstLine="0"/>
        <w:jc w:val="center"/>
        <w:rPr>
          <w:sz w:val="20"/>
        </w:rPr>
      </w:pPr>
      <w:r>
        <w:rPr/>
        <w:pict>
          <v:group style="position:absolute;margin-left:117.635826pt;margin-top:43.288822pt;width:402.8pt;height:150.450pt;mso-position-horizontal-relative:page;mso-position-vertical-relative:paragraph;z-index:-333136" coordorigin="2353,866" coordsize="8056,3009">
            <v:shape style="position:absolute;left:923;top:9642;width:11821;height:1755" coordorigin="923,9642" coordsize="11821,1755" path="m2358,3267l10403,3267m2358,2665l10403,2665m2358,2074l10403,2074e" filled="false" stroked="true" strokeweight=".510068pt" strokecolor="#858585">
              <v:path arrowok="t"/>
            </v:shape>
            <v:shape style="position:absolute;left:2384;top:1590;width:245;height:2276" type="#_x0000_t75" stroked="false">
              <v:imagedata r:id="rId292" o:title=""/>
            </v:shape>
            <v:shape style="position:absolute;left:2925;top:1835;width:235;height:2031" type="#_x0000_t75" stroked="false">
              <v:imagedata r:id="rId293" o:title=""/>
            </v:shape>
            <v:shape style="position:absolute;left:3456;top:1570;width:245;height:2296" type="#_x0000_t75" stroked="false">
              <v:imagedata r:id="rId294" o:title=""/>
            </v:shape>
            <v:shape style="position:absolute;left:3997;top:1967;width:235;height:1898" type="#_x0000_t75" stroked="false">
              <v:imagedata r:id="rId295" o:title=""/>
            </v:shape>
            <v:shape style="position:absolute;left:4528;top:2467;width:245;height:1399" type="#_x0000_t75" stroked="false">
              <v:imagedata r:id="rId296" o:title=""/>
            </v:shape>
            <v:shape style="position:absolute;left:5069;top:1906;width:245;height:1959" type="#_x0000_t75" stroked="false">
              <v:imagedata r:id="rId160" o:title=""/>
            </v:shape>
            <v:shape style="position:absolute;left:5599;top:1855;width:245;height:2010" type="#_x0000_t75" stroked="false">
              <v:imagedata r:id="rId297" o:title=""/>
            </v:shape>
            <v:shape style="position:absolute;left:6140;top:1590;width:245;height:2276" type="#_x0000_t75" stroked="false">
              <v:imagedata r:id="rId292" o:title=""/>
            </v:shape>
            <v:shape style="position:absolute;left:6671;top:1763;width:245;height:2102" type="#_x0000_t75" stroked="false">
              <v:imagedata r:id="rId298" o:title=""/>
            </v:shape>
            <v:shape style="position:absolute;left:7212;top:1661;width:245;height:2204" type="#_x0000_t75" stroked="false">
              <v:imagedata r:id="rId299" o:title=""/>
            </v:shape>
            <v:shape style="position:absolute;left:7743;top:1947;width:245;height:1919" type="#_x0000_t75" stroked="false">
              <v:imagedata r:id="rId300" o:title=""/>
            </v:shape>
            <v:line style="position:absolute" from="2358,1473" to="10403,1473" stroked="true" strokeweight=".509715pt" strokecolor="#858585"/>
            <v:shape style="position:absolute;left:8284;top:1478;width:245;height:2388" type="#_x0000_t75" stroked="false">
              <v:imagedata r:id="rId301" o:title=""/>
            </v:shape>
            <v:shape style="position:absolute;left:8825;top:2263;width:235;height:1603" type="#_x0000_t75" stroked="false">
              <v:imagedata r:id="rId302" o:title=""/>
            </v:shape>
            <v:shape style="position:absolute;left:9356;top:1723;width:245;height:2143" type="#_x0000_t75" stroked="false">
              <v:imagedata r:id="rId303" o:title=""/>
            </v:shape>
            <v:shape style="position:absolute;left:9897;top:1753;width:235;height:2112" type="#_x0000_t75" stroked="false">
              <v:imagedata r:id="rId304" o:title=""/>
            </v:shape>
            <v:shape style="position:absolute;left:2506;top:1447;width:245;height:2418" type="#_x0000_t75" stroked="false">
              <v:imagedata r:id="rId305" o:title=""/>
            </v:shape>
            <v:shape style="position:absolute;left:3037;top:1784;width:245;height:2082" type="#_x0000_t75" stroked="false">
              <v:imagedata r:id="rId153" o:title=""/>
            </v:shape>
            <v:shape style="position:absolute;left:3578;top:1753;width:245;height:2112" type="#_x0000_t75" stroked="false">
              <v:imagedata r:id="rId306" o:title=""/>
            </v:shape>
            <v:shape style="position:absolute;left:4109;top:1947;width:245;height:1919" type="#_x0000_t75" stroked="false">
              <v:imagedata r:id="rId300" o:title=""/>
            </v:shape>
            <v:shape style="position:absolute;left:4650;top:2436;width:245;height:1429" type="#_x0000_t75" stroked="false">
              <v:imagedata r:id="rId307" o:title=""/>
            </v:shape>
            <v:shape style="position:absolute;left:5191;top:1814;width:235;height:2051" type="#_x0000_t75" stroked="false">
              <v:imagedata r:id="rId308" o:title=""/>
            </v:shape>
            <v:shape style="position:absolute;left:5722;top:1967;width:245;height:1898" type="#_x0000_t75" stroked="false">
              <v:imagedata r:id="rId309" o:title=""/>
            </v:shape>
            <v:shape style="position:absolute;left:6263;top:1478;width:235;height:2388" type="#_x0000_t75" stroked="false">
              <v:imagedata r:id="rId310" o:title=""/>
            </v:shape>
            <v:shape style="position:absolute;left:6794;top:1702;width:245;height:2163" type="#_x0000_t75" stroked="false">
              <v:imagedata r:id="rId311" o:title=""/>
            </v:shape>
            <v:shape style="position:absolute;left:7335;top:1519;width:235;height:2347" type="#_x0000_t75" stroked="false">
              <v:imagedata r:id="rId312" o:title=""/>
            </v:shape>
            <v:shape style="position:absolute;left:7866;top:1967;width:245;height:1898" type="#_x0000_t75" stroked="false">
              <v:imagedata r:id="rId309" o:title=""/>
            </v:shape>
            <v:shape style="position:absolute;left:8407;top:1101;width:235;height:2765" type="#_x0000_t75" stroked="false">
              <v:imagedata r:id="rId313" o:title=""/>
            </v:shape>
            <v:shape style="position:absolute;left:8938;top:2202;width:245;height:1664" type="#_x0000_t75" stroked="false">
              <v:imagedata r:id="rId314" o:title=""/>
            </v:shape>
            <v:shape style="position:absolute;left:9479;top:1631;width:235;height:2235" type="#_x0000_t75" stroked="false">
              <v:imagedata r:id="rId315" o:title=""/>
            </v:shape>
            <v:shape style="position:absolute;left:10009;top:1661;width:245;height:2204" type="#_x0000_t75" stroked="false">
              <v:imagedata r:id="rId299" o:title=""/>
            </v:shape>
            <v:shape style="position:absolute;left:2629;top:2293;width:235;height:1572" type="#_x0000_t75" stroked="false">
              <v:imagedata r:id="rId316" o:title=""/>
            </v:shape>
            <v:shape style="position:absolute;left:3160;top:2477;width:245;height:1389" type="#_x0000_t75" stroked="false">
              <v:imagedata r:id="rId317" o:title=""/>
            </v:shape>
            <v:shape style="position:absolute;left:3701;top:2518;width:235;height:1348" type="#_x0000_t75" stroked="false">
              <v:imagedata r:id="rId318" o:title=""/>
            </v:shape>
            <v:shape style="position:absolute;left:4231;top:2569;width:245;height:1297" type="#_x0000_t75" stroked="false">
              <v:imagedata r:id="rId319" o:title=""/>
            </v:shape>
            <v:shape style="position:absolute;left:4773;top:2844;width:235;height:1022" type="#_x0000_t75" stroked="false">
              <v:imagedata r:id="rId320" o:title=""/>
            </v:shape>
            <v:shape style="position:absolute;left:5303;top:2457;width:245;height:1409" type="#_x0000_t75" stroked="false">
              <v:imagedata r:id="rId321" o:title=""/>
            </v:shape>
            <v:shape style="position:absolute;left:5844;top:2518;width:235;height:1348" type="#_x0000_t75" stroked="false">
              <v:imagedata r:id="rId318" o:title=""/>
            </v:shape>
            <v:shape style="position:absolute;left:6375;top:2273;width:245;height:1592" type="#_x0000_t75" stroked="false">
              <v:imagedata r:id="rId322" o:title=""/>
            </v:shape>
            <v:shape style="position:absolute;left:6916;top:2457;width:235;height:1409" type="#_x0000_t75" stroked="false">
              <v:imagedata r:id="rId323" o:title=""/>
            </v:shape>
            <v:shape style="position:absolute;left:7447;top:2467;width:245;height:1399" type="#_x0000_t75" stroked="false">
              <v:imagedata r:id="rId296" o:title=""/>
            </v:shape>
            <v:shape style="position:absolute;left:7988;top:2497;width:235;height:1368" type="#_x0000_t75" stroked="false">
              <v:imagedata r:id="rId324" o:title=""/>
            </v:shape>
            <v:shape style="position:absolute;left:8519;top:2161;width:245;height:1705" type="#_x0000_t75" stroked="false">
              <v:imagedata r:id="rId325" o:title=""/>
            </v:shape>
            <v:shape style="position:absolute;left:9060;top:2671;width:245;height:1195" type="#_x0000_t75" stroked="false">
              <v:imagedata r:id="rId326" o:title=""/>
            </v:shape>
            <v:shape style="position:absolute;left:9591;top:2375;width:245;height:1491" type="#_x0000_t75" stroked="false">
              <v:imagedata r:id="rId327" o:title=""/>
            </v:shape>
            <v:shape style="position:absolute;left:10132;top:2446;width:245;height:1419" type="#_x0000_t75" stroked="false">
              <v:imagedata r:id="rId328" o:title=""/>
            </v:shape>
            <v:shape style="position:absolute;left:2414;top:1600;width:174;height:2263" type="#_x0000_t75" stroked="false">
              <v:imagedata r:id="rId329" o:title=""/>
            </v:shape>
            <v:shape style="position:absolute;left:2955;top:1845;width:163;height:2018" type="#_x0000_t75" stroked="false">
              <v:imagedata r:id="rId330" o:title=""/>
            </v:shape>
            <v:shape style="position:absolute;left:3486;top:1580;width:174;height:2284" type="#_x0000_t75" stroked="false">
              <v:imagedata r:id="rId331" o:title=""/>
            </v:shape>
            <v:shape style="position:absolute;left:4027;top:1977;width:163;height:1886" type="#_x0000_t75" stroked="false">
              <v:imagedata r:id="rId332" o:title=""/>
            </v:shape>
            <v:shape style="position:absolute;left:4558;top:2477;width:174;height:1386" type="#_x0000_t75" stroked="false">
              <v:imagedata r:id="rId333" o:title=""/>
            </v:shape>
            <v:shape style="position:absolute;left:5099;top:1916;width:174;height:1947" type="#_x0000_t75" stroked="false">
              <v:imagedata r:id="rId334" o:title=""/>
            </v:shape>
            <v:shape style="position:absolute;left:5630;top:1865;width:174;height:1998" type="#_x0000_t75" stroked="false">
              <v:imagedata r:id="rId335" o:title=""/>
            </v:shape>
            <v:shape style="position:absolute;left:6171;top:1600;width:174;height:2263" type="#_x0000_t75" stroked="false">
              <v:imagedata r:id="rId329" o:title=""/>
            </v:shape>
            <v:shape style="position:absolute;left:6702;top:1774;width:174;height:2090" type="#_x0000_t75" stroked="false">
              <v:imagedata r:id="rId336" o:title=""/>
            </v:shape>
            <v:shape style="position:absolute;left:7243;top:1672;width:174;height:2192" type="#_x0000_t75" stroked="false">
              <v:imagedata r:id="rId337" o:title=""/>
            </v:shape>
            <v:shape style="position:absolute;left:7774;top:1957;width:174;height:1906" type="#_x0000_t75" stroked="false">
              <v:imagedata r:id="rId338" o:title=""/>
            </v:shape>
            <v:shape style="position:absolute;left:8315;top:1488;width:174;height:2375" type="#_x0000_t75" stroked="false">
              <v:imagedata r:id="rId339" o:title=""/>
            </v:shape>
            <v:shape style="position:absolute;left:8856;top:2273;width:163;height:1590" type="#_x0000_t75" stroked="false">
              <v:imagedata r:id="rId340" o:title=""/>
            </v:shape>
            <v:shape style="position:absolute;left:9387;top:1733;width:174;height:2131" type="#_x0000_t75" stroked="false">
              <v:imagedata r:id="rId341" o:title=""/>
            </v:shape>
            <v:shape style="position:absolute;left:9928;top:1763;width:163;height:2100" type="#_x0000_t75" stroked="false">
              <v:imagedata r:id="rId342" o:title=""/>
            </v:shape>
            <v:shape style="position:absolute;left:2537;top:1458;width:174;height:2406" type="#_x0000_t75" stroked="false">
              <v:imagedata r:id="rId343" o:title=""/>
            </v:shape>
            <v:shape style="position:absolute;left:3068;top:1794;width:174;height:2069" type="#_x0000_t75" stroked="false">
              <v:imagedata r:id="rId344" o:title=""/>
            </v:shape>
            <v:shape style="position:absolute;left:3609;top:1763;width:174;height:2100" type="#_x0000_t75" stroked="false">
              <v:imagedata r:id="rId345" o:title=""/>
            </v:shape>
            <v:shape style="position:absolute;left:4140;top:1957;width:174;height:1906" type="#_x0000_t75" stroked="false">
              <v:imagedata r:id="rId346" o:title=""/>
            </v:shape>
            <v:shape style="position:absolute;left:4681;top:2446;width:174;height:1417" type="#_x0000_t75" stroked="false">
              <v:imagedata r:id="rId347" o:title=""/>
            </v:shape>
            <v:shape style="position:absolute;left:5222;top:1825;width:163;height:2039" type="#_x0000_t75" stroked="false">
              <v:imagedata r:id="rId348" o:title=""/>
            </v:shape>
            <v:shape style="position:absolute;left:5753;top:1977;width:174;height:1886" type="#_x0000_t75" stroked="false">
              <v:imagedata r:id="rId349" o:title=""/>
            </v:shape>
            <v:shape style="position:absolute;left:6294;top:1488;width:163;height:2375" type="#_x0000_t75" stroked="false">
              <v:imagedata r:id="rId350" o:title=""/>
            </v:shape>
            <v:shape style="position:absolute;left:6824;top:1712;width:174;height:2151" type="#_x0000_t75" stroked="false">
              <v:imagedata r:id="rId351" o:title=""/>
            </v:shape>
            <v:shape style="position:absolute;left:7365;top:1529;width:163;height:2334" type="#_x0000_t75" stroked="false">
              <v:imagedata r:id="rId352" o:title=""/>
            </v:shape>
            <v:shape style="position:absolute;left:7896;top:1977;width:174;height:1886" type="#_x0000_t75" stroked="false">
              <v:imagedata r:id="rId349" o:title=""/>
            </v:shape>
            <v:shape style="position:absolute;left:8437;top:1111;width:163;height:2752" type="#_x0000_t75" stroked="false">
              <v:imagedata r:id="rId353" o:title=""/>
            </v:shape>
            <v:shape style="position:absolute;left:8968;top:2212;width:174;height:1651" type="#_x0000_t75" stroked="false">
              <v:imagedata r:id="rId354" o:title=""/>
            </v:shape>
            <v:shape style="position:absolute;left:9509;top:1641;width:163;height:2222" type="#_x0000_t75" stroked="false">
              <v:imagedata r:id="rId355" o:title=""/>
            </v:shape>
            <v:shape style="position:absolute;left:10040;top:1672;width:174;height:2192" type="#_x0000_t75" stroked="false">
              <v:imagedata r:id="rId356" o:title=""/>
            </v:shape>
            <v:shape style="position:absolute;left:2659;top:2304;width:163;height:1560" type="#_x0000_t75" stroked="false">
              <v:imagedata r:id="rId357" o:title=""/>
            </v:shape>
            <v:shape style="position:absolute;left:3190;top:2487;width:174;height:1376" type="#_x0000_t75" stroked="false">
              <v:imagedata r:id="rId358" o:title=""/>
            </v:shape>
            <v:shape style="position:absolute;left:3731;top:2528;width:163;height:1335" type="#_x0000_t75" stroked="false">
              <v:imagedata r:id="rId359" o:title=""/>
            </v:shape>
            <v:shape style="position:absolute;left:4262;top:2579;width:174;height:1284" type="#_x0000_t75" stroked="false">
              <v:imagedata r:id="rId360" o:title=""/>
            </v:shape>
            <v:shape style="position:absolute;left:4803;top:2854;width:163;height:1009" type="#_x0000_t75" stroked="false">
              <v:imagedata r:id="rId361" o:title=""/>
            </v:shape>
            <v:shape style="position:absolute;left:5334;top:2467;width:174;height:1397" type="#_x0000_t75" stroked="false">
              <v:imagedata r:id="rId362" o:title=""/>
            </v:shape>
            <v:shape style="position:absolute;left:5875;top:2528;width:163;height:1335" type="#_x0000_t75" stroked="false">
              <v:imagedata r:id="rId359" o:title=""/>
            </v:shape>
            <v:shape style="position:absolute;left:6406;top:2283;width:174;height:1580" type="#_x0000_t75" stroked="false">
              <v:imagedata r:id="rId363" o:title=""/>
            </v:shape>
            <v:shape style="position:absolute;left:6947;top:2467;width:163;height:1397" type="#_x0000_t75" stroked="false">
              <v:imagedata r:id="rId364" o:title=""/>
            </v:shape>
            <v:shape style="position:absolute;left:7478;top:2477;width:174;height:1386" type="#_x0000_t75" stroked="false">
              <v:imagedata r:id="rId365" o:title=""/>
            </v:shape>
            <v:shape style="position:absolute;left:8019;top:2508;width:163;height:1356" type="#_x0000_t75" stroked="false">
              <v:imagedata r:id="rId366" o:title=""/>
            </v:shape>
            <v:shape style="position:absolute;left:8550;top:2171;width:174;height:1692" type="#_x0000_t75" stroked="false">
              <v:imagedata r:id="rId367" o:title=""/>
            </v:shape>
            <v:shape style="position:absolute;left:9091;top:2681;width:174;height:1183" type="#_x0000_t75" stroked="false">
              <v:imagedata r:id="rId368" o:title=""/>
            </v:shape>
            <v:shape style="position:absolute;left:9621;top:2385;width:174;height:1478" type="#_x0000_t75" stroked="false">
              <v:imagedata r:id="rId369" o:title=""/>
            </v:shape>
            <v:shape style="position:absolute;left:10163;top:2457;width:174;height:1407" type="#_x0000_t75" stroked="false">
              <v:imagedata r:id="rId370" o:title=""/>
            </v:shape>
            <v:shape style="position:absolute;left:923;top:7872;width:11821;height:4410" coordorigin="923,7872" coordsize="11821,4410" path="m2358,871l10403,871m2358,3868l2358,871m2358,3868l10403,3868e" filled="false" stroked="true" strokeweight=".510068pt" strokecolor="#858585">
              <v:path arrowok="t"/>
            </v:shape>
            <w10:wrap type="none"/>
          </v:group>
        </w:pict>
      </w:r>
      <w:r>
        <w:rPr>
          <w:sz w:val="20"/>
        </w:rPr>
        <w:t>Gráfica No. 9 Ocupantes por cuarto en las viviendas de la </w:t>
      </w:r>
      <w:r>
        <w:rPr>
          <w:sz w:val="16"/>
        </w:rPr>
        <w:t>ZMT</w:t>
      </w:r>
      <w:r>
        <w:rPr>
          <w:sz w:val="20"/>
        </w:rPr>
        <w:t>, 1990-2010.</w:t>
      </w:r>
    </w:p>
    <w:p>
      <w:pPr>
        <w:pStyle w:val="BodyText"/>
        <w:ind w:left="140"/>
        <w:rPr>
          <w:sz w:val="20"/>
        </w:rPr>
      </w:pPr>
      <w:r>
        <w:rPr>
          <w:sz w:val="20"/>
        </w:rPr>
        <w:pict>
          <v:group style="width:441.05pt;height:252.9pt;mso-position-horizontal-relative:char;mso-position-vertical-relative:line" coordorigin="0,0" coordsize="8821,5058">
            <v:shape style="position:absolute;left:2231;top:3763;width:290;height:266" type="#_x0000_t75" stroked="false">
              <v:imagedata r:id="rId371" o:title=""/>
            </v:shape>
            <v:shape style="position:absolute;left:6;top:6;width:8810;height:5047" type="#_x0000_t202" filled="false" stroked="true" strokeweight=".510399pt" strokecolor="#858585">
              <v:textbox inset="0,0,0,0">
                <w:txbxContent>
                  <w:p>
                    <w:pPr>
                      <w:spacing w:before="98"/>
                      <w:ind w:left="1392" w:right="1402" w:firstLine="0"/>
                      <w:jc w:val="center"/>
                      <w:rPr>
                        <w:rFonts w:ascii="Calibri"/>
                        <w:b/>
                        <w:sz w:val="24"/>
                      </w:rPr>
                    </w:pPr>
                    <w:r>
                      <w:rPr>
                        <w:rFonts w:ascii="Calibri"/>
                        <w:b/>
                        <w:sz w:val="24"/>
                      </w:rPr>
                      <w:t>Ocupantes por cuarto en las viviendas de la ZMT  1990-2010</w:t>
                    </w:r>
                  </w:p>
                  <w:p>
                    <w:pPr>
                      <w:spacing w:before="90"/>
                      <w:ind w:left="308" w:right="0" w:firstLine="0"/>
                      <w:jc w:val="left"/>
                      <w:rPr>
                        <w:rFonts w:ascii="Calibri"/>
                        <w:sz w:val="13"/>
                      </w:rPr>
                    </w:pPr>
                    <w:r>
                      <w:rPr>
                        <w:rFonts w:ascii="Calibri"/>
                        <w:sz w:val="13"/>
                      </w:rPr>
                      <w:t>2.5</w:t>
                    </w:r>
                  </w:p>
                  <w:p>
                    <w:pPr>
                      <w:spacing w:line="240" w:lineRule="auto" w:before="0"/>
                      <w:rPr>
                        <w:sz w:val="12"/>
                      </w:rPr>
                    </w:pPr>
                  </w:p>
                  <w:p>
                    <w:pPr>
                      <w:spacing w:line="240" w:lineRule="auto" w:before="0"/>
                      <w:rPr>
                        <w:sz w:val="12"/>
                      </w:rPr>
                    </w:pPr>
                  </w:p>
                  <w:p>
                    <w:pPr>
                      <w:spacing w:line="240" w:lineRule="auto" w:before="5"/>
                      <w:rPr>
                        <w:sz w:val="14"/>
                      </w:rPr>
                    </w:pPr>
                  </w:p>
                  <w:p>
                    <w:pPr>
                      <w:spacing w:before="0"/>
                      <w:ind w:left="308" w:right="0" w:firstLine="0"/>
                      <w:jc w:val="left"/>
                      <w:rPr>
                        <w:rFonts w:ascii="Calibri"/>
                        <w:sz w:val="13"/>
                      </w:rPr>
                    </w:pPr>
                    <w:r>
                      <w:rPr>
                        <w:rFonts w:ascii="Calibri"/>
                        <w:sz w:val="13"/>
                      </w:rPr>
                      <w:t>2.0</w:t>
                    </w:r>
                  </w:p>
                  <w:p>
                    <w:pPr>
                      <w:spacing w:line="240" w:lineRule="auto" w:before="0"/>
                      <w:rPr>
                        <w:sz w:val="12"/>
                      </w:rPr>
                    </w:pPr>
                  </w:p>
                  <w:p>
                    <w:pPr>
                      <w:spacing w:line="240" w:lineRule="auto" w:before="0"/>
                      <w:rPr>
                        <w:sz w:val="12"/>
                      </w:rPr>
                    </w:pPr>
                  </w:p>
                  <w:p>
                    <w:pPr>
                      <w:spacing w:line="240" w:lineRule="auto" w:before="5"/>
                      <w:rPr>
                        <w:sz w:val="14"/>
                      </w:rPr>
                    </w:pPr>
                  </w:p>
                  <w:p>
                    <w:pPr>
                      <w:spacing w:before="0"/>
                      <w:ind w:left="308" w:right="0" w:firstLine="0"/>
                      <w:jc w:val="left"/>
                      <w:rPr>
                        <w:rFonts w:ascii="Calibri"/>
                        <w:sz w:val="13"/>
                      </w:rPr>
                    </w:pPr>
                    <w:r>
                      <w:rPr>
                        <w:rFonts w:ascii="Calibri"/>
                        <w:sz w:val="13"/>
                      </w:rPr>
                      <w:t>1.5</w:t>
                    </w:r>
                  </w:p>
                  <w:p>
                    <w:pPr>
                      <w:spacing w:line="240" w:lineRule="auto" w:before="0"/>
                      <w:rPr>
                        <w:sz w:val="12"/>
                      </w:rPr>
                    </w:pPr>
                  </w:p>
                  <w:p>
                    <w:pPr>
                      <w:spacing w:line="240" w:lineRule="auto" w:before="0"/>
                      <w:rPr>
                        <w:sz w:val="12"/>
                      </w:rPr>
                    </w:pPr>
                  </w:p>
                  <w:p>
                    <w:pPr>
                      <w:spacing w:line="240" w:lineRule="auto" w:before="5"/>
                      <w:rPr>
                        <w:sz w:val="14"/>
                      </w:rPr>
                    </w:pPr>
                  </w:p>
                  <w:p>
                    <w:pPr>
                      <w:spacing w:before="0"/>
                      <w:ind w:left="308" w:right="0" w:firstLine="0"/>
                      <w:jc w:val="left"/>
                      <w:rPr>
                        <w:rFonts w:ascii="Calibri"/>
                        <w:sz w:val="13"/>
                      </w:rPr>
                    </w:pPr>
                    <w:r>
                      <w:rPr>
                        <w:rFonts w:ascii="Calibri"/>
                        <w:sz w:val="13"/>
                      </w:rPr>
                      <w:t>1.0</w:t>
                    </w:r>
                  </w:p>
                  <w:p>
                    <w:pPr>
                      <w:spacing w:line="240" w:lineRule="auto" w:before="0"/>
                      <w:rPr>
                        <w:sz w:val="12"/>
                      </w:rPr>
                    </w:pPr>
                  </w:p>
                  <w:p>
                    <w:pPr>
                      <w:spacing w:line="240" w:lineRule="auto" w:before="0"/>
                      <w:rPr>
                        <w:sz w:val="12"/>
                      </w:rPr>
                    </w:pPr>
                  </w:p>
                  <w:p>
                    <w:pPr>
                      <w:spacing w:line="240" w:lineRule="auto" w:before="5"/>
                      <w:rPr>
                        <w:sz w:val="14"/>
                      </w:rPr>
                    </w:pPr>
                  </w:p>
                  <w:p>
                    <w:pPr>
                      <w:spacing w:before="0"/>
                      <w:ind w:left="308" w:right="0" w:firstLine="0"/>
                      <w:jc w:val="left"/>
                      <w:rPr>
                        <w:rFonts w:ascii="Calibri"/>
                        <w:sz w:val="13"/>
                      </w:rPr>
                    </w:pPr>
                    <w:r>
                      <w:rPr>
                        <w:rFonts w:ascii="Calibri"/>
                        <w:sz w:val="13"/>
                      </w:rPr>
                      <w:t>0.5</w:t>
                    </w:r>
                  </w:p>
                  <w:p>
                    <w:pPr>
                      <w:spacing w:line="240" w:lineRule="auto" w:before="0"/>
                      <w:rPr>
                        <w:sz w:val="12"/>
                      </w:rPr>
                    </w:pPr>
                  </w:p>
                  <w:p>
                    <w:pPr>
                      <w:spacing w:line="240" w:lineRule="auto" w:before="0"/>
                      <w:rPr>
                        <w:sz w:val="12"/>
                      </w:rPr>
                    </w:pPr>
                  </w:p>
                  <w:p>
                    <w:pPr>
                      <w:spacing w:line="240" w:lineRule="auto" w:before="5"/>
                      <w:rPr>
                        <w:sz w:val="14"/>
                      </w:rPr>
                    </w:pPr>
                  </w:p>
                  <w:p>
                    <w:pPr>
                      <w:spacing w:before="0"/>
                      <w:ind w:left="308" w:right="0" w:firstLine="0"/>
                      <w:jc w:val="left"/>
                      <w:rPr>
                        <w:rFonts w:ascii="Calibri"/>
                        <w:sz w:val="13"/>
                      </w:rPr>
                    </w:pPr>
                    <w:r>
                      <w:rPr>
                        <w:rFonts w:ascii="Calibri"/>
                        <w:sz w:val="13"/>
                      </w:rPr>
                      <w:t>0.0</w:t>
                    </w:r>
                  </w:p>
                  <w:p>
                    <w:pPr>
                      <w:spacing w:line="240" w:lineRule="auto" w:before="1"/>
                      <w:rPr>
                        <w:sz w:val="9"/>
                      </w:rPr>
                    </w:pPr>
                  </w:p>
                  <w:p>
                    <w:pPr>
                      <w:tabs>
                        <w:tab w:pos="6395" w:val="left" w:leader="none"/>
                      </w:tabs>
                      <w:spacing w:line="240" w:lineRule="auto"/>
                      <w:ind w:left="117" w:right="0" w:firstLine="0"/>
                      <w:rPr>
                        <w:sz w:val="20"/>
                      </w:rPr>
                    </w:pPr>
                    <w:r>
                      <w:rPr>
                        <w:sz w:val="20"/>
                      </w:rPr>
                      <w:drawing>
                        <wp:inline distT="0" distB="0" distL="0" distR="0">
                          <wp:extent cx="499209" cy="500062"/>
                          <wp:effectExtent l="0" t="0" r="0" b="0"/>
                          <wp:docPr id="67" name="image344.png" descr=""/>
                          <wp:cNvGraphicFramePr>
                            <a:graphicFrameLocks noChangeAspect="1"/>
                          </wp:cNvGraphicFramePr>
                          <a:graphic>
                            <a:graphicData uri="http://schemas.openxmlformats.org/drawingml/2006/picture">
                              <pic:pic>
                                <pic:nvPicPr>
                                  <pic:cNvPr id="68" name="image344.png"/>
                                  <pic:cNvPicPr/>
                                </pic:nvPicPr>
                                <pic:blipFill>
                                  <a:blip r:embed="rId372" cstate="print"/>
                                  <a:stretch>
                                    <a:fillRect/>
                                  </a:stretch>
                                </pic:blipFill>
                                <pic:spPr>
                                  <a:xfrm>
                                    <a:off x="0" y="0"/>
                                    <a:ext cx="499209" cy="500062"/>
                                  </a:xfrm>
                                  <a:prstGeom prst="rect">
                                    <a:avLst/>
                                  </a:prstGeom>
                                </pic:spPr>
                              </pic:pic>
                            </a:graphicData>
                          </a:graphic>
                        </wp:inline>
                      </w:drawing>
                    </w:r>
                    <w:r>
                      <w:rPr>
                        <w:sz w:val="20"/>
                      </w:rPr>
                    </w:r>
                    <w:r>
                      <w:rPr>
                        <w:sz w:val="20"/>
                      </w:rPr>
                      <w:tab/>
                    </w:r>
                    <w:r>
                      <w:rPr>
                        <w:position w:val="42"/>
                        <w:sz w:val="20"/>
                      </w:rPr>
                      <w:drawing>
                        <wp:inline distT="0" distB="0" distL="0" distR="0">
                          <wp:extent cx="254680" cy="228600"/>
                          <wp:effectExtent l="0" t="0" r="0" b="0"/>
                          <wp:docPr id="69" name="image345.png" descr=""/>
                          <wp:cNvGraphicFramePr>
                            <a:graphicFrameLocks noChangeAspect="1"/>
                          </wp:cNvGraphicFramePr>
                          <a:graphic>
                            <a:graphicData uri="http://schemas.openxmlformats.org/drawingml/2006/picture">
                              <pic:pic>
                                <pic:nvPicPr>
                                  <pic:cNvPr id="70" name="image345.png"/>
                                  <pic:cNvPicPr/>
                                </pic:nvPicPr>
                                <pic:blipFill>
                                  <a:blip r:embed="rId373" cstate="print"/>
                                  <a:stretch>
                                    <a:fillRect/>
                                  </a:stretch>
                                </pic:blipFill>
                                <pic:spPr>
                                  <a:xfrm>
                                    <a:off x="0" y="0"/>
                                    <a:ext cx="254680" cy="228600"/>
                                  </a:xfrm>
                                  <a:prstGeom prst="rect">
                                    <a:avLst/>
                                  </a:prstGeom>
                                </pic:spPr>
                              </pic:pic>
                            </a:graphicData>
                          </a:graphic>
                        </wp:inline>
                      </w:drawing>
                    </w:r>
                    <w:r>
                      <w:rPr>
                        <w:position w:val="42"/>
                        <w:sz w:val="20"/>
                      </w:rPr>
                    </w:r>
                  </w:p>
                  <w:p>
                    <w:pPr>
                      <w:spacing w:line="240" w:lineRule="auto" w:before="0"/>
                      <w:rPr>
                        <w:sz w:val="12"/>
                      </w:rPr>
                    </w:pPr>
                  </w:p>
                  <w:p>
                    <w:pPr>
                      <w:spacing w:before="84"/>
                      <w:ind w:left="1392" w:right="1369" w:firstLine="0"/>
                      <w:jc w:val="center"/>
                      <w:rPr>
                        <w:rFonts w:ascii="Calibri"/>
                        <w:sz w:val="13"/>
                      </w:rPr>
                    </w:pPr>
                    <w:r>
                      <w:rPr/>
                      <w:drawing>
                        <wp:inline distT="0" distB="0" distL="0" distR="0">
                          <wp:extent cx="84317" cy="84200"/>
                          <wp:effectExtent l="0" t="0" r="0" b="0"/>
                          <wp:docPr id="71" name="image346.png" descr=""/>
                          <wp:cNvGraphicFramePr>
                            <a:graphicFrameLocks noChangeAspect="1"/>
                          </wp:cNvGraphicFramePr>
                          <a:graphic>
                            <a:graphicData uri="http://schemas.openxmlformats.org/drawingml/2006/picture">
                              <pic:pic>
                                <pic:nvPicPr>
                                  <pic:cNvPr id="72" name="image346.png"/>
                                  <pic:cNvPicPr/>
                                </pic:nvPicPr>
                                <pic:blipFill>
                                  <a:blip r:embed="rId374" cstate="print"/>
                                  <a:stretch>
                                    <a:fillRect/>
                                  </a:stretch>
                                </pic:blipFill>
                                <pic:spPr>
                                  <a:xfrm>
                                    <a:off x="0" y="0"/>
                                    <a:ext cx="84317" cy="84200"/>
                                  </a:xfrm>
                                  <a:prstGeom prst="rect">
                                    <a:avLst/>
                                  </a:prstGeom>
                                </pic:spPr>
                              </pic:pic>
                            </a:graphicData>
                          </a:graphic>
                        </wp:inline>
                      </w:drawing>
                    </w:r>
                    <w:r>
                      <w:rPr/>
                    </w:r>
                    <w:r>
                      <w:rPr>
                        <w:rFonts w:ascii="Calibri"/>
                        <w:position w:val="1"/>
                        <w:sz w:val="13"/>
                      </w:rPr>
                      <w:t>1990   </w:t>
                    </w:r>
                    <w:r>
                      <w:rPr>
                        <w:rFonts w:ascii="Calibri"/>
                        <w:spacing w:val="3"/>
                        <w:sz w:val="13"/>
                      </w:rPr>
                      <w:drawing>
                        <wp:inline distT="0" distB="0" distL="0" distR="0">
                          <wp:extent cx="84317" cy="84200"/>
                          <wp:effectExtent l="0" t="0" r="0" b="0"/>
                          <wp:docPr id="73" name="image347.png" descr=""/>
                          <wp:cNvGraphicFramePr>
                            <a:graphicFrameLocks noChangeAspect="1"/>
                          </wp:cNvGraphicFramePr>
                          <a:graphic>
                            <a:graphicData uri="http://schemas.openxmlformats.org/drawingml/2006/picture">
                              <pic:pic>
                                <pic:nvPicPr>
                                  <pic:cNvPr id="74" name="image347.png"/>
                                  <pic:cNvPicPr/>
                                </pic:nvPicPr>
                                <pic:blipFill>
                                  <a:blip r:embed="rId375" cstate="print"/>
                                  <a:stretch>
                                    <a:fillRect/>
                                  </a:stretch>
                                </pic:blipFill>
                                <pic:spPr>
                                  <a:xfrm>
                                    <a:off x="0" y="0"/>
                                    <a:ext cx="84317" cy="84200"/>
                                  </a:xfrm>
                                  <a:prstGeom prst="rect">
                                    <a:avLst/>
                                  </a:prstGeom>
                                </pic:spPr>
                              </pic:pic>
                            </a:graphicData>
                          </a:graphic>
                        </wp:inline>
                      </w:drawing>
                    </w:r>
                    <w:r>
                      <w:rPr>
                        <w:rFonts w:ascii="Calibri"/>
                        <w:spacing w:val="3"/>
                        <w:sz w:val="13"/>
                      </w:rPr>
                    </w:r>
                    <w:r>
                      <w:rPr>
                        <w:rFonts w:ascii="Calibri"/>
                        <w:position w:val="1"/>
                        <w:sz w:val="13"/>
                      </w:rPr>
                      <w:t>2000 </w:t>
                    </w:r>
                    <w:r>
                      <w:rPr>
                        <w:rFonts w:ascii="Calibri"/>
                        <w:spacing w:val="11"/>
                        <w:position w:val="1"/>
                        <w:sz w:val="13"/>
                      </w:rPr>
                      <w:t> </w:t>
                    </w:r>
                    <w:r>
                      <w:rPr>
                        <w:rFonts w:ascii="Calibri"/>
                        <w:spacing w:val="3"/>
                        <w:sz w:val="13"/>
                      </w:rPr>
                      <w:drawing>
                        <wp:inline distT="0" distB="0" distL="0" distR="0">
                          <wp:extent cx="84317" cy="84200"/>
                          <wp:effectExtent l="0" t="0" r="0" b="0"/>
                          <wp:docPr id="75" name="image348.png" descr=""/>
                          <wp:cNvGraphicFramePr>
                            <a:graphicFrameLocks noChangeAspect="1"/>
                          </wp:cNvGraphicFramePr>
                          <a:graphic>
                            <a:graphicData uri="http://schemas.openxmlformats.org/drawingml/2006/picture">
                              <pic:pic>
                                <pic:nvPicPr>
                                  <pic:cNvPr id="76" name="image348.png"/>
                                  <pic:cNvPicPr/>
                                </pic:nvPicPr>
                                <pic:blipFill>
                                  <a:blip r:embed="rId376" cstate="print"/>
                                  <a:stretch>
                                    <a:fillRect/>
                                  </a:stretch>
                                </pic:blipFill>
                                <pic:spPr>
                                  <a:xfrm>
                                    <a:off x="0" y="0"/>
                                    <a:ext cx="84317" cy="84200"/>
                                  </a:xfrm>
                                  <a:prstGeom prst="rect">
                                    <a:avLst/>
                                  </a:prstGeom>
                                </pic:spPr>
                              </pic:pic>
                            </a:graphicData>
                          </a:graphic>
                        </wp:inline>
                      </w:drawing>
                    </w:r>
                    <w:r>
                      <w:rPr>
                        <w:rFonts w:ascii="Calibri"/>
                        <w:spacing w:val="3"/>
                        <w:sz w:val="13"/>
                      </w:rPr>
                    </w:r>
                    <w:r>
                      <w:rPr>
                        <w:rFonts w:ascii="Calibri"/>
                        <w:spacing w:val="4"/>
                        <w:position w:val="1"/>
                        <w:sz w:val="13"/>
                      </w:rPr>
                      <w:t>2010</w:t>
                    </w:r>
                  </w:p>
                </w:txbxContent>
              </v:textbox>
              <w10:wrap type="none"/>
            </v:shape>
          </v:group>
        </w:pict>
      </w:r>
      <w:r>
        <w:rPr>
          <w:sz w:val="20"/>
        </w:rPr>
      </w:r>
    </w:p>
    <w:p>
      <w:pPr>
        <w:spacing w:line="276" w:lineRule="auto" w:before="0"/>
        <w:ind w:left="80" w:right="122" w:firstLine="0"/>
        <w:jc w:val="center"/>
        <w:rPr>
          <w:sz w:val="20"/>
        </w:rPr>
      </w:pPr>
      <w:r>
        <w:rPr/>
        <w:pict>
          <v:group style="position:absolute;margin-left:140.534012pt;margin-top:-65.300812pt;width:45.45pt;height:25.25pt;mso-position-horizontal-relative:page;mso-position-vertical-relative:paragraph;z-index:-333112" coordorigin="2811,-1306" coordsize="909,505">
            <v:shape style="position:absolute;left:2811;top:-1301;width:374;height:352" type="#_x0000_t75" stroked="false">
              <v:imagedata r:id="rId377" o:title=""/>
            </v:shape>
            <v:shape style="position:absolute;left:3199;top:-1306;width:520;height:504" type="#_x0000_t75" stroked="false">
              <v:imagedata r:id="rId378" o:title=""/>
            </v:shape>
            <w10:wrap type="none"/>
          </v:group>
        </w:pict>
      </w:r>
      <w:r>
        <w:rPr/>
        <w:pict>
          <v:group style="position:absolute;margin-left:220.256851pt;margin-top:-65.576050pt;width:99.75pt;height:28.35pt;mso-position-horizontal-relative:page;mso-position-vertical-relative:paragraph;z-index:-333088" coordorigin="4405,-1312" coordsize="1995,567">
            <v:shape style="position:absolute;left:4405;top:-1312;width:392;height:377" type="#_x0000_t75" stroked="false">
              <v:imagedata r:id="rId379" o:title=""/>
            </v:shape>
            <v:shape style="position:absolute;left:4751;top:-1310;width:1648;height:565" type="#_x0000_t75" stroked="false">
              <v:imagedata r:id="rId380" o:title=""/>
            </v:shape>
            <w10:wrap type="none"/>
          </v:group>
        </w:pict>
      </w:r>
      <w:r>
        <w:rPr/>
        <w:pict>
          <v:group style="position:absolute;margin-left:333.025665pt;margin-top:-65.133606pt;width:67.2pt;height:36.75pt;mso-position-horizontal-relative:page;mso-position-vertical-relative:paragraph;z-index:-333064" coordorigin="6661,-1303" coordsize="1344,735">
            <v:shape style="position:absolute;left:6661;top:-1303;width:279;height:257" type="#_x0000_t75" stroked="false">
              <v:imagedata r:id="rId381" o:title=""/>
            </v:shape>
            <v:shape style="position:absolute;left:6732;top:-1302;width:1272;height:734" type="#_x0000_t75" stroked="false">
              <v:imagedata r:id="rId382" o:title=""/>
            </v:shape>
            <w10:wrap type="none"/>
          </v:group>
        </w:pict>
      </w:r>
      <w:r>
        <w:rPr/>
        <w:pict>
          <v:group style="position:absolute;margin-left:439.165802pt;margin-top:-65.315727pt;width:68.5pt;height:27.4pt;mso-position-horizontal-relative:page;mso-position-vertical-relative:paragraph;z-index:-333040" coordorigin="8783,-1306" coordsize="1370,548">
            <v:shape style="position:absolute;left:8783;top:-1306;width:304;height:264" type="#_x0000_t75" stroked="false">
              <v:imagedata r:id="rId383" o:title=""/>
            </v:shape>
            <v:shape style="position:absolute;left:9146;top:-1305;width:1007;height:546" type="#_x0000_t75" stroked="false">
              <v:imagedata r:id="rId384" o:title=""/>
            </v:shape>
            <w10:wrap type="none"/>
          </v:group>
        </w:pict>
      </w:r>
      <w:r>
        <w:rPr>
          <w:sz w:val="20"/>
        </w:rPr>
        <w:t>Fuente: Elaboración propia con base en los datos de los Censos de Población y Vivienda INEGI, 1990, 2000 y 2010</w:t>
      </w:r>
    </w:p>
    <w:p>
      <w:pPr>
        <w:pStyle w:val="BodyText"/>
        <w:rPr>
          <w:sz w:val="20"/>
        </w:rPr>
      </w:pPr>
    </w:p>
    <w:p>
      <w:pPr>
        <w:pStyle w:val="BodyText"/>
        <w:rPr>
          <w:sz w:val="20"/>
        </w:rPr>
      </w:pPr>
    </w:p>
    <w:p>
      <w:pPr>
        <w:pStyle w:val="BodyText"/>
        <w:rPr>
          <w:sz w:val="20"/>
        </w:rPr>
      </w:pPr>
    </w:p>
    <w:p>
      <w:pPr>
        <w:pStyle w:val="BodyText"/>
        <w:spacing w:line="360" w:lineRule="auto" w:before="123"/>
        <w:ind w:left="102" w:right="134"/>
        <w:jc w:val="both"/>
      </w:pPr>
      <w:r>
        <w:rPr/>
        <w:t>Se puede decir que con base en el último censo de población y vivienda a nivel municipal en la </w:t>
      </w:r>
      <w:r>
        <w:rPr>
          <w:sz w:val="19"/>
        </w:rPr>
        <w:t>ZMT</w:t>
      </w:r>
      <w:r>
        <w:rPr/>
        <w:t>, existe poco hacinamiento de personas en las viviendas, principalmente en las viviendas que solo registraron un cuarto. Por lo pronto en el siguiente subtema se analizan los bienes con los que cuentan las personas en sus viviendas.</w:t>
      </w:r>
    </w:p>
    <w:p>
      <w:pPr>
        <w:pStyle w:val="Heading3"/>
        <w:spacing w:before="206"/>
        <w:ind w:left="102" w:firstLine="0"/>
      </w:pPr>
      <w:bookmarkStart w:name="_TOC_250010" w:id="24"/>
      <w:bookmarkEnd w:id="24"/>
      <w:r>
        <w:rPr>
          <w:color w:val="4F81BC"/>
        </w:rPr>
        <w:t>3.3 Bienes en las viviendas</w:t>
      </w:r>
    </w:p>
    <w:p>
      <w:pPr>
        <w:pStyle w:val="BodyText"/>
        <w:rPr>
          <w:rFonts w:ascii="Cambria"/>
          <w:b/>
          <w:sz w:val="26"/>
        </w:rPr>
      </w:pPr>
    </w:p>
    <w:p>
      <w:pPr>
        <w:pStyle w:val="BodyText"/>
        <w:spacing w:before="6"/>
        <w:rPr>
          <w:rFonts w:ascii="Cambria"/>
          <w:b/>
          <w:sz w:val="23"/>
        </w:rPr>
      </w:pPr>
    </w:p>
    <w:p>
      <w:pPr>
        <w:pStyle w:val="BodyText"/>
        <w:spacing w:line="360" w:lineRule="auto"/>
        <w:ind w:left="102" w:right="135"/>
        <w:jc w:val="both"/>
      </w:pPr>
      <w:r>
        <w:rPr/>
        <w:t>Dentro de los objetivos de la investigación, es identificar los bienes con los que cuentan las viviendas en la </w:t>
      </w:r>
      <w:r>
        <w:rPr>
          <w:sz w:val="19"/>
        </w:rPr>
        <w:t>ZMT</w:t>
      </w:r>
      <w:r>
        <w:rPr/>
        <w:t>, para analizar las condiciones que tienen las personas indirectamente con la capacidad de compra o la obtención de estos bienes aprovechando la desagregación geográfica que permite la información censal.</w:t>
      </w:r>
    </w:p>
    <w:p>
      <w:pPr>
        <w:pStyle w:val="BodyText"/>
        <w:spacing w:line="360" w:lineRule="auto" w:before="204"/>
        <w:ind w:left="102" w:right="137"/>
        <w:jc w:val="both"/>
      </w:pPr>
      <w:r>
        <w:rPr/>
        <w:t>En esta sección se analiza y se interpreta la identificación de los bienes con los que cuentan las viviendas a nivel municipal    para el periodo 2000-2010 ya que es</w:t>
      </w:r>
    </w:p>
    <w:p>
      <w:pPr>
        <w:spacing w:after="0" w:line="360" w:lineRule="auto"/>
        <w:jc w:val="both"/>
        <w:sectPr>
          <w:pgSz w:w="12240" w:h="15840"/>
          <w:pgMar w:header="0" w:footer="1003" w:top="1360" w:bottom="1200" w:left="1600" w:right="1560"/>
        </w:sectPr>
      </w:pPr>
    </w:p>
    <w:p>
      <w:pPr>
        <w:pStyle w:val="BodyText"/>
        <w:spacing w:line="360" w:lineRule="auto" w:before="54"/>
        <w:ind w:left="102" w:right="116"/>
        <w:jc w:val="both"/>
      </w:pPr>
      <w:r>
        <w:rPr/>
        <w:t>la información con la que se cuenta, más adelante de manera compleja se evaluará la habitabilidad de las viviendas con el método de</w:t>
      </w:r>
      <w:r>
        <w:rPr>
          <w:spacing w:val="-24"/>
        </w:rPr>
        <w:t> </w:t>
      </w:r>
      <w:r>
        <w:rPr/>
        <w:t>Saaty.</w:t>
      </w:r>
    </w:p>
    <w:p>
      <w:pPr>
        <w:spacing w:before="206"/>
        <w:ind w:left="102" w:right="0" w:firstLine="0"/>
        <w:jc w:val="both"/>
        <w:rPr>
          <w:rFonts w:ascii="Cambria"/>
          <w:b/>
          <w:sz w:val="22"/>
        </w:rPr>
      </w:pPr>
      <w:r>
        <w:rPr>
          <w:rFonts w:ascii="Cambria"/>
          <w:b/>
          <w:color w:val="4F81BC"/>
          <w:sz w:val="22"/>
        </w:rPr>
        <w:t>3.3.1 Viviendas con radio</w:t>
      </w:r>
    </w:p>
    <w:p>
      <w:pPr>
        <w:pStyle w:val="BodyText"/>
        <w:rPr>
          <w:rFonts w:ascii="Cambria"/>
          <w:b/>
          <w:sz w:val="22"/>
        </w:rPr>
      </w:pPr>
    </w:p>
    <w:p>
      <w:pPr>
        <w:pStyle w:val="BodyText"/>
        <w:spacing w:before="10"/>
        <w:rPr>
          <w:rFonts w:ascii="Cambria"/>
          <w:b/>
          <w:sz w:val="26"/>
        </w:rPr>
      </w:pPr>
    </w:p>
    <w:p>
      <w:pPr>
        <w:pStyle w:val="BodyText"/>
        <w:spacing w:line="360" w:lineRule="auto"/>
        <w:ind w:left="102" w:right="116"/>
        <w:jc w:val="both"/>
      </w:pPr>
      <w:r>
        <w:rPr/>
        <w:t>Analizando las viviendas que cuentan con radio se registran dos periodos 2000 y 2010 en la </w:t>
      </w:r>
      <w:r>
        <w:rPr>
          <w:sz w:val="19"/>
        </w:rPr>
        <w:t>ZMT</w:t>
      </w:r>
      <w:r>
        <w:rPr/>
        <w:t>, entendiendo el radio como un medio de comunicación, basado en señales de audio a través de ondas de radio, hoy en día existe el envío de audio a distancia como lo es el radio por internet.</w:t>
      </w:r>
    </w:p>
    <w:p>
      <w:pPr>
        <w:pStyle w:val="BodyText"/>
        <w:spacing w:line="360" w:lineRule="auto" w:before="205"/>
        <w:ind w:left="102" w:right="117"/>
        <w:jc w:val="both"/>
      </w:pPr>
      <w:r>
        <w:rPr/>
        <w:t>El radio es el medio de comunicación que la gente tiene más posibilidades de poseer en las viviendas, ya que el costo de estos aparatos es relativamente bajo. Es así que encontramos que en el 2000 el municipio con menor porcentaje de radios en sus viviendas es Temoaya con el 74.8 por ciento, doce municipios superan el 80 por ciento y los dos municipios con el mayor porcentaje de radios en las viviendas son Toluca con el 90.9 por ciento y Metepec con el 94 por ciento (ver gráfica no. 10).</w:t>
      </w:r>
    </w:p>
    <w:p>
      <w:pPr>
        <w:pStyle w:val="BodyText"/>
        <w:spacing w:line="360" w:lineRule="auto" w:before="204"/>
        <w:ind w:left="102" w:right="117"/>
        <w:jc w:val="both"/>
      </w:pPr>
      <w:r>
        <w:rPr/>
        <w:t>Para el año 2010 el municipio de Temoaya continua siendo el más bajo con 73 por ciento, Almoloya de Juárez con 77.7 y Otzolotepec con 78.3 por ciento, los trece municipios restantes registran entre el 80 y 88 por ciento siendo el municipio de Metepec el mayor porcentaje con el 88.7 por ciento de radios en sus viviendas.</w:t>
      </w:r>
    </w:p>
    <w:p>
      <w:pPr>
        <w:pStyle w:val="BodyText"/>
        <w:spacing w:line="360" w:lineRule="auto" w:before="204"/>
        <w:ind w:left="102" w:right="114"/>
        <w:jc w:val="both"/>
      </w:pPr>
      <w:r>
        <w:rPr/>
        <w:t>El porcentaje de las viviendas que cuentan con radio en la </w:t>
      </w:r>
      <w:r>
        <w:rPr>
          <w:sz w:val="19"/>
        </w:rPr>
        <w:t>ZMT </w:t>
      </w:r>
      <w:r>
        <w:rPr/>
        <w:t>es mayor en el año 2000 con el 85 por ciento de radios en las viviendas, ya que en el 2010 registró </w:t>
      </w:r>
      <w:r>
        <w:rPr>
          <w:spacing w:val="61"/>
        </w:rPr>
        <w:t> </w:t>
      </w:r>
      <w:r>
        <w:rPr/>
        <w:t>el</w:t>
      </w:r>
    </w:p>
    <w:p>
      <w:pPr>
        <w:pStyle w:val="BodyText"/>
        <w:spacing w:line="360" w:lineRule="auto" w:before="2"/>
        <w:ind w:left="102" w:right="117"/>
        <w:jc w:val="both"/>
      </w:pPr>
      <w:r>
        <w:rPr/>
        <w:t>82.6 por ciento, reduciendo un 2.4 por ciento, significa que aumentaron estos aparatos en las viviendas pero por la cantidad de viviendas nuevas registradas en el censo no se ve reflejado en los porcentajes, si las viviendas se hubieran mantenido en el mismo porcentaje seria mayor la cantidad de este bien al del año 2000 (ver mapa no. 10).</w:t>
      </w:r>
    </w:p>
    <w:p>
      <w:pPr>
        <w:spacing w:after="0" w:line="360" w:lineRule="auto"/>
        <w:jc w:val="both"/>
        <w:sectPr>
          <w:pgSz w:w="12240" w:h="15840"/>
          <w:pgMar w:header="0" w:footer="1003" w:top="1360" w:bottom="1200" w:left="1600" w:right="1580"/>
        </w:sectPr>
      </w:pPr>
    </w:p>
    <w:p>
      <w:pPr>
        <w:spacing w:before="53" w:after="14"/>
        <w:ind w:left="158" w:right="216" w:firstLine="0"/>
        <w:jc w:val="center"/>
        <w:rPr>
          <w:sz w:val="20"/>
        </w:rPr>
      </w:pPr>
      <w:r>
        <w:rPr>
          <w:sz w:val="20"/>
        </w:rPr>
        <w:t>Gráfica No. 10 Viviendas con radio en la </w:t>
      </w:r>
      <w:r>
        <w:rPr>
          <w:sz w:val="16"/>
        </w:rPr>
        <w:t>ZMT</w:t>
      </w:r>
      <w:r>
        <w:rPr>
          <w:sz w:val="20"/>
        </w:rPr>
        <w:t>, 2000-2010.</w:t>
      </w:r>
    </w:p>
    <w:p>
      <w:pPr>
        <w:pStyle w:val="BodyText"/>
        <w:ind w:left="121"/>
        <w:rPr>
          <w:sz w:val="20"/>
        </w:rPr>
      </w:pPr>
      <w:r>
        <w:rPr>
          <w:sz w:val="20"/>
        </w:rPr>
        <w:pict>
          <v:group style="width:441.05pt;height:267.05pt;mso-position-horizontal-relative:char;mso-position-vertical-relative:line" coordorigin="0,0" coordsize="8821,5341">
            <v:line style="position:absolute" from="721,3726" to="7998,3726" stroked="true" strokeweight=".558495pt" strokecolor="#858585"/>
            <v:line style="position:absolute" from="721,3379" to="7998,3379" stroked="true" strokeweight=".558495pt" strokecolor="#858585"/>
            <v:line style="position:absolute" from="721,3044" to="7998,3044" stroked="true" strokeweight=".558495pt" strokecolor="#858585"/>
            <v:line style="position:absolute" from="721,2698" to="7998,2698" stroked="true" strokeweight=".558495pt" strokecolor="#858585"/>
            <v:line style="position:absolute" from="721,2352" to="7998,2352" stroked="true" strokeweight=".558495pt" strokecolor="#858585"/>
            <v:line style="position:absolute" from="721,2005" to="7998,2005" stroked="true" strokeweight=".558495pt" strokecolor="#858585"/>
            <v:line style="position:absolute" from="721,1659" to="7998,1659" stroked="true" strokeweight=".558495pt" strokecolor="#858585"/>
            <v:line style="position:absolute" from="721,1324" to="7998,1324" stroked="true" strokeweight=".558495pt" strokecolor="#858585"/>
            <v:shape style="position:absolute;left:761;top:1251;width:279;height:2818" type="#_x0000_t75" stroked="false">
              <v:imagedata r:id="rId385" o:title=""/>
            </v:shape>
            <v:shape style="position:absolute;left:1252;top:1140;width:268;height:2930" type="#_x0000_t75" stroked="false">
              <v:imagedata r:id="rId386" o:title=""/>
            </v:shape>
            <v:line style="position:absolute" from="721,978" to="7998,978" stroked="true" strokeweight=".558495pt" strokecolor="#858585"/>
            <v:shape style="position:absolute;left:1733;top:950;width:268;height:3120" type="#_x0000_t75" stroked="false">
              <v:imagedata r:id="rId387" o:title=""/>
            </v:shape>
            <v:shape style="position:absolute;left:2214;top:961;width:279;height:3109" type="#_x0000_t75" stroked="false">
              <v:imagedata r:id="rId388" o:title=""/>
            </v:shape>
            <v:shape style="position:absolute;left:2705;top:782;width:268;height:3288" type="#_x0000_t75" stroked="false">
              <v:imagedata r:id="rId389" o:title=""/>
            </v:shape>
            <v:shape style="position:absolute;left:3186;top:1017;width:279;height:3053" type="#_x0000_t75" stroked="false">
              <v:imagedata r:id="rId390" o:title=""/>
            </v:shape>
            <v:shape style="position:absolute;left:3667;top:939;width:279;height:3131" type="#_x0000_t75" stroked="false">
              <v:imagedata r:id="rId391" o:title=""/>
            </v:shape>
            <v:shape style="position:absolute;left:4159;top:1162;width:268;height:2908" type="#_x0000_t75" stroked="false">
              <v:imagedata r:id="rId392" o:title=""/>
            </v:shape>
            <v:shape style="position:absolute;left:4639;top:1028;width:279;height:3042" type="#_x0000_t75" stroked="false">
              <v:imagedata r:id="rId393" o:title=""/>
            </v:shape>
            <v:shape style="position:absolute;left:5131;top:939;width:268;height:3131" type="#_x0000_t75" stroked="false">
              <v:imagedata r:id="rId394" o:title=""/>
            </v:shape>
            <v:shape style="position:absolute;left:5612;top:972;width:268;height:3098" type="#_x0000_t75" stroked="false">
              <v:imagedata r:id="rId395" o:title=""/>
            </v:shape>
            <v:shape style="position:absolute;left:6092;top:1453;width:279;height:2617" type="#_x0000_t75" stroked="false">
              <v:imagedata r:id="rId396" o:title=""/>
            </v:shape>
            <v:shape style="position:absolute;left:6584;top:894;width:268;height:3176" type="#_x0000_t75" stroked="false">
              <v:imagedata r:id="rId397" o:title=""/>
            </v:shape>
            <v:shape style="position:absolute;left:7065;top:1073;width:279;height:2997" type="#_x0000_t75" stroked="false">
              <v:imagedata r:id="rId398" o:title=""/>
            </v:shape>
            <v:shape style="position:absolute;left:7557;top:1095;width:268;height:2975" type="#_x0000_t75" stroked="false">
              <v:imagedata r:id="rId399" o:title=""/>
            </v:shape>
            <v:shape style="position:absolute;left:906;top:1352;width:268;height:2718" type="#_x0000_t75" stroked="false">
              <v:imagedata r:id="rId400" o:title=""/>
            </v:shape>
            <v:shape style="position:absolute;left:1386;top:1263;width:268;height:2807" type="#_x0000_t75" stroked="false">
              <v:imagedata r:id="rId401" o:title=""/>
            </v:shape>
            <v:shape style="position:absolute;left:1867;top:1117;width:279;height:2953" type="#_x0000_t75" stroked="false">
              <v:imagedata r:id="rId402" o:title=""/>
            </v:shape>
            <v:shape style="position:absolute;left:2359;top:1140;width:268;height:2930" type="#_x0000_t75" stroked="false">
              <v:imagedata r:id="rId386" o:title=""/>
            </v:shape>
            <v:shape style="position:absolute;left:2840;top:972;width:279;height:3098" type="#_x0000_t75" stroked="false">
              <v:imagedata r:id="rId403" o:title=""/>
            </v:shape>
            <v:shape style="position:absolute;left:3331;top:1073;width:268;height:2997" type="#_x0000_t75" stroked="false">
              <v:imagedata r:id="rId404" o:title=""/>
            </v:shape>
            <v:shape style="position:absolute;left:3812;top:1028;width:268;height:3042" type="#_x0000_t75" stroked="false">
              <v:imagedata r:id="rId405" o:title=""/>
            </v:shape>
            <v:shape style="position:absolute;left:4293;top:1330;width:279;height:2740" type="#_x0000_t75" stroked="false">
              <v:imagedata r:id="rId406" o:title=""/>
            </v:shape>
            <v:shape style="position:absolute;left:4785;top:1095;width:268;height:2975" type="#_x0000_t75" stroked="false">
              <v:imagedata r:id="rId399" o:title=""/>
            </v:shape>
            <v:shape style="position:absolute;left:5265;top:1151;width:268;height:2919" type="#_x0000_t75" stroked="false">
              <v:imagedata r:id="rId407" o:title=""/>
            </v:shape>
            <v:shape style="position:absolute;left:5746;top:1240;width:279;height:2830" type="#_x0000_t75" stroked="false">
              <v:imagedata r:id="rId408" o:title=""/>
            </v:shape>
            <v:shape style="position:absolute;left:6238;top:1508;width:268;height:2562" type="#_x0000_t75" stroked="false">
              <v:imagedata r:id="rId409" o:title=""/>
            </v:shape>
            <v:shape style="position:absolute;left:6718;top:1084;width:279;height:2986" type="#_x0000_t75" stroked="false">
              <v:imagedata r:id="rId410" o:title=""/>
            </v:shape>
            <v:shape style="position:absolute;left:7210;top:1162;width:268;height:2908" type="#_x0000_t75" stroked="false">
              <v:imagedata r:id="rId392" o:title=""/>
            </v:shape>
            <v:shape style="position:absolute;left:7691;top:1184;width:268;height:2886" type="#_x0000_t75" stroked="false">
              <v:imagedata r:id="rId411" o:title=""/>
            </v:shape>
            <v:shape style="position:absolute;left:794;top:1263;width:201;height:2804" type="#_x0000_t75" stroked="false">
              <v:imagedata r:id="rId412" o:title=""/>
            </v:shape>
            <v:shape style="position:absolute;left:1286;top:1151;width:190;height:2915" type="#_x0000_t75" stroked="false">
              <v:imagedata r:id="rId413" o:title=""/>
            </v:shape>
            <v:shape style="position:absolute;left:1767;top:961;width:190;height:3105" type="#_x0000_t75" stroked="false">
              <v:imagedata r:id="rId414" o:title=""/>
            </v:shape>
            <v:shape style="position:absolute;left:2247;top:972;width:201;height:3094" type="#_x0000_t75" stroked="false">
              <v:imagedata r:id="rId415" o:title=""/>
            </v:shape>
            <v:shape style="position:absolute;left:2739;top:793;width:190;height:3273" type="#_x0000_t75" stroked="false">
              <v:imagedata r:id="rId416" o:title=""/>
            </v:shape>
            <v:shape style="position:absolute;left:3220;top:1028;width:201;height:3038" type="#_x0000_t75" stroked="false">
              <v:imagedata r:id="rId417" o:title=""/>
            </v:shape>
            <v:shape style="position:absolute;left:3700;top:950;width:201;height:3116" type="#_x0000_t75" stroked="false">
              <v:imagedata r:id="rId418" o:title=""/>
            </v:shape>
            <v:shape style="position:absolute;left:4192;top:1173;width:190;height:2893" type="#_x0000_t75" stroked="false">
              <v:imagedata r:id="rId419" o:title=""/>
            </v:shape>
            <v:shape style="position:absolute;left:4673;top:1039;width:201;height:3027" type="#_x0000_t75" stroked="false">
              <v:imagedata r:id="rId420" o:title=""/>
            </v:shape>
            <v:shape style="position:absolute;left:5165;top:950;width:190;height:3116" type="#_x0000_t75" stroked="false">
              <v:imagedata r:id="rId421" o:title=""/>
            </v:shape>
            <v:shape style="position:absolute;left:5645;top:983;width:190;height:3083" type="#_x0000_t75" stroked="false">
              <v:imagedata r:id="rId422" o:title=""/>
            </v:shape>
            <v:shape style="position:absolute;left:6126;top:1464;width:201;height:2603" type="#_x0000_t75" stroked="false">
              <v:imagedata r:id="rId423" o:title=""/>
            </v:shape>
            <v:shape style="position:absolute;left:6618;top:905;width:190;height:3161" type="#_x0000_t75" stroked="false">
              <v:imagedata r:id="rId424" o:title=""/>
            </v:shape>
            <v:shape style="position:absolute;left:7098;top:1084;width:201;height:2982" type="#_x0000_t75" stroked="false">
              <v:imagedata r:id="rId425" o:title=""/>
            </v:shape>
            <v:shape style="position:absolute;left:7590;top:1106;width:190;height:2960" type="#_x0000_t75" stroked="false">
              <v:imagedata r:id="rId426" o:title=""/>
            </v:shape>
            <v:shape style="position:absolute;left:939;top:1363;width:190;height:2703" type="#_x0000_t75" stroked="false">
              <v:imagedata r:id="rId427" o:title=""/>
            </v:shape>
            <v:shape style="position:absolute;left:1420;top:1274;width:190;height:2792" type="#_x0000_t75" stroked="false">
              <v:imagedata r:id="rId428" o:title=""/>
            </v:shape>
            <v:shape style="position:absolute;left:1901;top:1129;width:201;height:2938" type="#_x0000_t75" stroked="false">
              <v:imagedata r:id="rId429" o:title=""/>
            </v:shape>
            <v:shape style="position:absolute;left:2392;top:1151;width:190;height:2915" type="#_x0000_t75" stroked="false">
              <v:imagedata r:id="rId430" o:title=""/>
            </v:shape>
            <v:shape style="position:absolute;left:2873;top:983;width:201;height:3083" type="#_x0000_t75" stroked="false">
              <v:imagedata r:id="rId431" o:title=""/>
            </v:shape>
            <v:shape style="position:absolute;left:3365;top:1084;width:190;height:2982" type="#_x0000_t75" stroked="false">
              <v:imagedata r:id="rId432" o:title=""/>
            </v:shape>
            <v:shape style="position:absolute;left:3846;top:1039;width:190;height:3027" type="#_x0000_t75" stroked="false">
              <v:imagedata r:id="rId433" o:title=""/>
            </v:shape>
            <v:shape style="position:absolute;left:4326;top:1341;width:201;height:2725" type="#_x0000_t75" stroked="false">
              <v:imagedata r:id="rId434" o:title=""/>
            </v:shape>
            <v:shape style="position:absolute;left:4818;top:1106;width:190;height:2960" type="#_x0000_t75" stroked="false">
              <v:imagedata r:id="rId435" o:title=""/>
            </v:shape>
            <v:shape style="position:absolute;left:5299;top:1162;width:190;height:2904" type="#_x0000_t75" stroked="false">
              <v:imagedata r:id="rId436" o:title=""/>
            </v:shape>
            <v:shape style="position:absolute;left:5779;top:1251;width:201;height:2815" type="#_x0000_t75" stroked="false">
              <v:imagedata r:id="rId437" o:title=""/>
            </v:shape>
            <v:shape style="position:absolute;left:6271;top:1520;width:190;height:2547" type="#_x0000_t75" stroked="false">
              <v:imagedata r:id="rId438" o:title=""/>
            </v:shape>
            <v:shape style="position:absolute;left:6752;top:1095;width:201;height:2971" type="#_x0000_t75" stroked="false">
              <v:imagedata r:id="rId439" o:title=""/>
            </v:shape>
            <v:shape style="position:absolute;left:7244;top:1173;width:190;height:2893" type="#_x0000_t75" stroked="false">
              <v:imagedata r:id="rId440" o:title=""/>
            </v:shape>
            <v:shape style="position:absolute;left:7724;top:1196;width:190;height:2871" type="#_x0000_t75" stroked="false">
              <v:imagedata r:id="rId441" o:title=""/>
            </v:shape>
            <v:line style="position:absolute" from="721,632" to="7998,632" stroked="true" strokeweight=".558495pt" strokecolor="#858585"/>
            <v:line style="position:absolute" from="721,4072" to="721,632" stroked="true" strokeweight=".558892pt" strokecolor="#858585"/>
            <v:line style="position:absolute" from="721,4072" to="7998,4072" stroked="true" strokeweight=".558495pt" strokecolor="#858585"/>
            <v:shape style="position:absolute;left:138;top:4277;width:1823;height:860" type="#_x0000_t75" stroked="false">
              <v:imagedata r:id="rId442" o:title=""/>
            </v:shape>
            <v:shape style="position:absolute;left:2134;top:4280;width:318;height:292" type="#_x0000_t75" stroked="false">
              <v:imagedata r:id="rId443" o:title=""/>
            </v:shape>
            <v:shape style="position:absolute;left:2508;top:4273;width:1878;height:620" type="#_x0000_t75" stroked="false">
              <v:imagedata r:id="rId444" o:title=""/>
            </v:shape>
            <v:shape style="position:absolute;left:4568;top:4283;width:306;height:281" type="#_x0000_t75" stroked="false">
              <v:imagedata r:id="rId445" o:title=""/>
            </v:shape>
            <v:shape style="position:absolute;left:4545;top:4283;width:1780;height:804" type="#_x0000_t75" stroked="false">
              <v:imagedata r:id="rId446" o:title=""/>
            </v:shape>
            <v:shape style="position:absolute;left:6484;top:4279;width:333;height:289" type="#_x0000_t75" stroked="false">
              <v:imagedata r:id="rId447" o:title=""/>
            </v:shape>
            <v:shape style="position:absolute;left:6779;top:4280;width:1000;height:599" type="#_x0000_t75" stroked="false">
              <v:imagedata r:id="rId448" o:title=""/>
            </v:shape>
            <v:shape style="position:absolute;left:8205;top:2681;width:134;height:145" type="#_x0000_t75" stroked="false">
              <v:imagedata r:id="rId449" o:title=""/>
            </v:shape>
            <v:shape style="position:absolute;left:8205;top:2960;width:134;height:134" type="#_x0000_t75" stroked="false">
              <v:imagedata r:id="rId450" o:title=""/>
            </v:shape>
            <v:rect style="position:absolute;left:6;top:6;width:8808;height:5328" filled="false" stroked="true" strokeweight=".55916pt" strokecolor="#858585"/>
            <v:shape style="position:absolute;left:2114;top:168;width:4579;height:269" type="#_x0000_t202" filled="false" stroked="false">
              <v:textbox inset="0,0,0,0">
                <w:txbxContent>
                  <w:p>
                    <w:pPr>
                      <w:spacing w:line="268" w:lineRule="exact" w:before="0"/>
                      <w:ind w:left="0" w:right="-1" w:firstLine="0"/>
                      <w:jc w:val="left"/>
                      <w:rPr>
                        <w:rFonts w:ascii="Calibri"/>
                        <w:b/>
                        <w:sz w:val="27"/>
                      </w:rPr>
                    </w:pPr>
                    <w:r>
                      <w:rPr>
                        <w:rFonts w:ascii="Calibri"/>
                        <w:b/>
                        <w:sz w:val="27"/>
                      </w:rPr>
                      <w:t>Viviendas</w:t>
                    </w:r>
                    <w:r>
                      <w:rPr>
                        <w:rFonts w:ascii="Calibri"/>
                        <w:b/>
                        <w:spacing w:val="-16"/>
                        <w:sz w:val="27"/>
                      </w:rPr>
                      <w:t> </w:t>
                    </w:r>
                    <w:r>
                      <w:rPr>
                        <w:rFonts w:ascii="Calibri"/>
                        <w:b/>
                        <w:sz w:val="27"/>
                      </w:rPr>
                      <w:t>con</w:t>
                    </w:r>
                    <w:r>
                      <w:rPr>
                        <w:rFonts w:ascii="Calibri"/>
                        <w:b/>
                        <w:spacing w:val="-9"/>
                        <w:sz w:val="27"/>
                      </w:rPr>
                      <w:t> </w:t>
                    </w:r>
                    <w:r>
                      <w:rPr>
                        <w:rFonts w:ascii="Calibri"/>
                        <w:b/>
                        <w:sz w:val="27"/>
                      </w:rPr>
                      <w:t>radio</w:t>
                    </w:r>
                    <w:r>
                      <w:rPr>
                        <w:rFonts w:ascii="Calibri"/>
                        <w:b/>
                        <w:spacing w:val="-10"/>
                        <w:sz w:val="27"/>
                      </w:rPr>
                      <w:t> </w:t>
                    </w:r>
                    <w:r>
                      <w:rPr>
                        <w:rFonts w:ascii="Calibri"/>
                        <w:b/>
                        <w:sz w:val="27"/>
                      </w:rPr>
                      <w:t>en</w:t>
                    </w:r>
                    <w:r>
                      <w:rPr>
                        <w:rFonts w:ascii="Calibri"/>
                        <w:b/>
                        <w:spacing w:val="-10"/>
                        <w:sz w:val="27"/>
                      </w:rPr>
                      <w:t> </w:t>
                    </w:r>
                    <w:r>
                      <w:rPr>
                        <w:rFonts w:ascii="Calibri"/>
                        <w:b/>
                        <w:sz w:val="27"/>
                      </w:rPr>
                      <w:t>la</w:t>
                    </w:r>
                    <w:r>
                      <w:rPr>
                        <w:rFonts w:ascii="Calibri"/>
                        <w:b/>
                        <w:spacing w:val="2"/>
                        <w:sz w:val="27"/>
                      </w:rPr>
                      <w:t> </w:t>
                    </w:r>
                    <w:r>
                      <w:rPr>
                        <w:rFonts w:ascii="Calibri"/>
                        <w:b/>
                        <w:spacing w:val="-4"/>
                        <w:sz w:val="27"/>
                      </w:rPr>
                      <w:t>ZMT,</w:t>
                    </w:r>
                    <w:r>
                      <w:rPr>
                        <w:rFonts w:ascii="Calibri"/>
                        <w:b/>
                        <w:spacing w:val="-22"/>
                        <w:sz w:val="27"/>
                      </w:rPr>
                      <w:t> </w:t>
                    </w:r>
                    <w:r>
                      <w:rPr>
                        <w:rFonts w:ascii="Calibri"/>
                        <w:b/>
                        <w:spacing w:val="-3"/>
                        <w:sz w:val="27"/>
                      </w:rPr>
                      <w:t>2000-2010</w:t>
                    </w:r>
                  </w:p>
                </w:txbxContent>
              </v:textbox>
              <w10:wrap type="none"/>
            </v:shape>
            <v:shape style="position:absolute;left:239;top:566;width:346;height:2561" type="#_x0000_t202" filled="false" stroked="false">
              <v:textbox inset="0,0,0,0">
                <w:txbxContent>
                  <w:p>
                    <w:pPr>
                      <w:spacing w:line="147" w:lineRule="exact" w:before="0"/>
                      <w:ind w:left="0" w:right="-10" w:firstLine="0"/>
                      <w:jc w:val="left"/>
                      <w:rPr>
                        <w:rFonts w:ascii="Calibri"/>
                        <w:sz w:val="14"/>
                      </w:rPr>
                    </w:pPr>
                    <w:r>
                      <w:rPr>
                        <w:rFonts w:ascii="Calibri"/>
                        <w:w w:val="105"/>
                        <w:sz w:val="14"/>
                      </w:rPr>
                      <w:t>100.0</w:t>
                    </w:r>
                  </w:p>
                  <w:p>
                    <w:pPr>
                      <w:spacing w:line="240" w:lineRule="auto" w:before="1"/>
                      <w:rPr>
                        <w:sz w:val="15"/>
                      </w:rPr>
                    </w:pPr>
                  </w:p>
                  <w:p>
                    <w:pPr>
                      <w:spacing w:before="0"/>
                      <w:ind w:left="82" w:right="-17" w:firstLine="0"/>
                      <w:jc w:val="left"/>
                      <w:rPr>
                        <w:rFonts w:ascii="Calibri"/>
                        <w:sz w:val="14"/>
                      </w:rPr>
                    </w:pPr>
                    <w:r>
                      <w:rPr>
                        <w:rFonts w:ascii="Calibri"/>
                        <w:w w:val="105"/>
                        <w:sz w:val="14"/>
                      </w:rPr>
                      <w:t>90.0</w:t>
                    </w:r>
                  </w:p>
                  <w:p>
                    <w:pPr>
                      <w:spacing w:line="240" w:lineRule="auto" w:before="1"/>
                      <w:rPr>
                        <w:sz w:val="15"/>
                      </w:rPr>
                    </w:pPr>
                  </w:p>
                  <w:p>
                    <w:pPr>
                      <w:spacing w:before="0"/>
                      <w:ind w:left="82" w:right="-17" w:firstLine="0"/>
                      <w:jc w:val="left"/>
                      <w:rPr>
                        <w:rFonts w:ascii="Calibri"/>
                        <w:sz w:val="14"/>
                      </w:rPr>
                    </w:pPr>
                    <w:r>
                      <w:rPr>
                        <w:rFonts w:ascii="Calibri"/>
                        <w:w w:val="105"/>
                        <w:sz w:val="14"/>
                      </w:rPr>
                      <w:t>80.0</w:t>
                    </w:r>
                  </w:p>
                  <w:p>
                    <w:pPr>
                      <w:spacing w:line="240" w:lineRule="auto" w:before="1"/>
                      <w:rPr>
                        <w:sz w:val="15"/>
                      </w:rPr>
                    </w:pPr>
                  </w:p>
                  <w:p>
                    <w:pPr>
                      <w:spacing w:before="1"/>
                      <w:ind w:left="82" w:right="-17" w:firstLine="0"/>
                      <w:jc w:val="left"/>
                      <w:rPr>
                        <w:rFonts w:ascii="Calibri"/>
                        <w:sz w:val="14"/>
                      </w:rPr>
                    </w:pPr>
                    <w:r>
                      <w:rPr>
                        <w:rFonts w:ascii="Calibri"/>
                        <w:w w:val="105"/>
                        <w:sz w:val="14"/>
                      </w:rPr>
                      <w:t>70.0</w:t>
                    </w:r>
                  </w:p>
                  <w:p>
                    <w:pPr>
                      <w:spacing w:line="240" w:lineRule="auto" w:before="1"/>
                      <w:rPr>
                        <w:sz w:val="15"/>
                      </w:rPr>
                    </w:pPr>
                  </w:p>
                  <w:p>
                    <w:pPr>
                      <w:spacing w:before="0"/>
                      <w:ind w:left="82" w:right="-17" w:firstLine="0"/>
                      <w:jc w:val="left"/>
                      <w:rPr>
                        <w:rFonts w:ascii="Calibri"/>
                        <w:sz w:val="14"/>
                      </w:rPr>
                    </w:pPr>
                    <w:r>
                      <w:rPr>
                        <w:rFonts w:ascii="Calibri"/>
                        <w:w w:val="105"/>
                        <w:sz w:val="14"/>
                      </w:rPr>
                      <w:t>60.0</w:t>
                    </w:r>
                  </w:p>
                  <w:p>
                    <w:pPr>
                      <w:spacing w:line="240" w:lineRule="auto" w:before="1"/>
                      <w:rPr>
                        <w:sz w:val="15"/>
                      </w:rPr>
                    </w:pPr>
                  </w:p>
                  <w:p>
                    <w:pPr>
                      <w:spacing w:before="0"/>
                      <w:ind w:left="82" w:right="-17" w:firstLine="0"/>
                      <w:jc w:val="left"/>
                      <w:rPr>
                        <w:rFonts w:ascii="Calibri"/>
                        <w:sz w:val="14"/>
                      </w:rPr>
                    </w:pPr>
                    <w:r>
                      <w:rPr>
                        <w:rFonts w:ascii="Calibri"/>
                        <w:w w:val="105"/>
                        <w:sz w:val="14"/>
                      </w:rPr>
                      <w:t>50.0</w:t>
                    </w:r>
                  </w:p>
                  <w:p>
                    <w:pPr>
                      <w:spacing w:line="240" w:lineRule="auto" w:before="1"/>
                      <w:rPr>
                        <w:sz w:val="15"/>
                      </w:rPr>
                    </w:pPr>
                  </w:p>
                  <w:p>
                    <w:pPr>
                      <w:spacing w:before="0"/>
                      <w:ind w:left="82" w:right="-17" w:firstLine="0"/>
                      <w:jc w:val="left"/>
                      <w:rPr>
                        <w:rFonts w:ascii="Calibri"/>
                        <w:sz w:val="14"/>
                      </w:rPr>
                    </w:pPr>
                    <w:r>
                      <w:rPr>
                        <w:rFonts w:ascii="Calibri"/>
                        <w:w w:val="105"/>
                        <w:sz w:val="14"/>
                      </w:rPr>
                      <w:t>40.0</w:t>
                    </w:r>
                  </w:p>
                  <w:p>
                    <w:pPr>
                      <w:spacing w:line="240" w:lineRule="auto" w:before="1"/>
                      <w:rPr>
                        <w:sz w:val="15"/>
                      </w:rPr>
                    </w:pPr>
                  </w:p>
                  <w:p>
                    <w:pPr>
                      <w:spacing w:line="170" w:lineRule="exact" w:before="1"/>
                      <w:ind w:left="82" w:right="-17" w:firstLine="0"/>
                      <w:jc w:val="left"/>
                      <w:rPr>
                        <w:rFonts w:ascii="Calibri"/>
                        <w:sz w:val="14"/>
                      </w:rPr>
                    </w:pPr>
                    <w:r>
                      <w:rPr>
                        <w:rFonts w:ascii="Calibri"/>
                        <w:w w:val="105"/>
                        <w:sz w:val="14"/>
                      </w:rPr>
                      <w:t>30.0</w:t>
                    </w:r>
                  </w:p>
                </w:txbxContent>
              </v:textbox>
              <w10:wrap type="none"/>
            </v:shape>
            <v:shape style="position:absolute;left:8366;top:2703;width:313;height:416" type="#_x0000_t202" filled="false" stroked="false">
              <v:textbox inset="0,0,0,0">
                <w:txbxContent>
                  <w:p>
                    <w:pPr>
                      <w:spacing w:line="147" w:lineRule="exact" w:before="0"/>
                      <w:ind w:left="0" w:right="0" w:firstLine="0"/>
                      <w:jc w:val="left"/>
                      <w:rPr>
                        <w:rFonts w:ascii="Calibri"/>
                        <w:sz w:val="14"/>
                      </w:rPr>
                    </w:pPr>
                    <w:r>
                      <w:rPr>
                        <w:rFonts w:ascii="Calibri"/>
                        <w:sz w:val="14"/>
                      </w:rPr>
                      <w:t>2000</w:t>
                    </w:r>
                  </w:p>
                  <w:p>
                    <w:pPr>
                      <w:spacing w:line="170" w:lineRule="exact" w:before="99"/>
                      <w:ind w:left="0" w:right="0" w:firstLine="0"/>
                      <w:jc w:val="left"/>
                      <w:rPr>
                        <w:rFonts w:ascii="Calibri"/>
                        <w:sz w:val="14"/>
                      </w:rPr>
                    </w:pPr>
                    <w:r>
                      <w:rPr>
                        <w:rFonts w:ascii="Calibri"/>
                        <w:sz w:val="14"/>
                      </w:rPr>
                      <w:t>2010</w:t>
                    </w:r>
                  </w:p>
                </w:txbxContent>
              </v:textbox>
              <w10:wrap type="none"/>
            </v:shape>
            <v:shape style="position:absolute;left:322;top:3326;width:264;height:836" type="#_x0000_t202" filled="false" stroked="false">
              <v:textbox inset="0,0,0,0">
                <w:txbxContent>
                  <w:p>
                    <w:pPr>
                      <w:spacing w:line="147" w:lineRule="exact" w:before="0"/>
                      <w:ind w:left="0" w:right="-17" w:firstLine="0"/>
                      <w:jc w:val="left"/>
                      <w:rPr>
                        <w:rFonts w:ascii="Calibri"/>
                        <w:sz w:val="14"/>
                      </w:rPr>
                    </w:pPr>
                    <w:r>
                      <w:rPr>
                        <w:rFonts w:ascii="Calibri"/>
                        <w:w w:val="105"/>
                        <w:sz w:val="14"/>
                      </w:rPr>
                      <w:t>20.0</w:t>
                    </w:r>
                  </w:p>
                  <w:p>
                    <w:pPr>
                      <w:spacing w:line="240" w:lineRule="auto" w:before="1"/>
                      <w:rPr>
                        <w:sz w:val="15"/>
                      </w:rPr>
                    </w:pPr>
                  </w:p>
                  <w:p>
                    <w:pPr>
                      <w:spacing w:before="0"/>
                      <w:ind w:left="0" w:right="-17" w:firstLine="0"/>
                      <w:jc w:val="left"/>
                      <w:rPr>
                        <w:rFonts w:ascii="Calibri"/>
                        <w:sz w:val="14"/>
                      </w:rPr>
                    </w:pPr>
                    <w:r>
                      <w:rPr>
                        <w:rFonts w:ascii="Calibri"/>
                        <w:w w:val="105"/>
                        <w:sz w:val="14"/>
                      </w:rPr>
                      <w:t>10.0</w:t>
                    </w:r>
                  </w:p>
                  <w:p>
                    <w:pPr>
                      <w:spacing w:line="240" w:lineRule="auto" w:before="1"/>
                      <w:rPr>
                        <w:sz w:val="15"/>
                      </w:rPr>
                    </w:pPr>
                  </w:p>
                  <w:p>
                    <w:pPr>
                      <w:spacing w:line="170" w:lineRule="exact" w:before="1"/>
                      <w:ind w:left="71" w:right="-14" w:firstLine="0"/>
                      <w:jc w:val="left"/>
                      <w:rPr>
                        <w:rFonts w:ascii="Calibri"/>
                        <w:sz w:val="14"/>
                      </w:rPr>
                    </w:pPr>
                    <w:r>
                      <w:rPr>
                        <w:rFonts w:ascii="Calibri"/>
                        <w:w w:val="105"/>
                        <w:sz w:val="14"/>
                      </w:rPr>
                      <w:t>0.0</w:t>
                    </w:r>
                  </w:p>
                </w:txbxContent>
              </v:textbox>
              <w10:wrap type="none"/>
            </v:shape>
          </v:group>
        </w:pict>
      </w:r>
      <w:r>
        <w:rPr>
          <w:sz w:val="20"/>
        </w:rPr>
      </w:r>
    </w:p>
    <w:p>
      <w:pPr>
        <w:spacing w:before="0"/>
        <w:ind w:left="154" w:right="216" w:firstLine="0"/>
        <w:jc w:val="center"/>
        <w:rPr>
          <w:sz w:val="20"/>
        </w:rPr>
      </w:pPr>
      <w:r>
        <w:rPr>
          <w:sz w:val="20"/>
        </w:rPr>
        <w:t>Fuente: Elaboración propia con base en los datos de los Censos de Población y Vivienda INEGI, 2000 y 2010.</w:t>
      </w:r>
    </w:p>
    <w:p>
      <w:pPr>
        <w:spacing w:before="0" w:after="2"/>
        <w:ind w:left="155" w:right="216" w:firstLine="0"/>
        <w:jc w:val="center"/>
        <w:rPr>
          <w:sz w:val="20"/>
        </w:rPr>
      </w:pPr>
      <w:r>
        <w:rPr>
          <w:sz w:val="20"/>
        </w:rPr>
        <w:t>Mapa No. 10 Porcentaje de viviendas con radio en la </w:t>
      </w:r>
      <w:r>
        <w:rPr>
          <w:sz w:val="16"/>
        </w:rPr>
        <w:t>ZMT</w:t>
      </w:r>
      <w:r>
        <w:rPr>
          <w:sz w:val="20"/>
        </w:rPr>
        <w:t>, 2000-2010.</w:t>
      </w:r>
    </w:p>
    <w:p>
      <w:pPr>
        <w:pStyle w:val="BodyText"/>
        <w:ind w:left="110"/>
        <w:rPr>
          <w:sz w:val="20"/>
        </w:rPr>
      </w:pPr>
      <w:r>
        <w:rPr>
          <w:sz w:val="20"/>
        </w:rPr>
        <w:drawing>
          <wp:inline distT="0" distB="0" distL="0" distR="0">
            <wp:extent cx="5532818" cy="3911441"/>
            <wp:effectExtent l="0" t="0" r="0" b="0"/>
            <wp:docPr id="77" name="image423.jpeg" descr=""/>
            <wp:cNvGraphicFramePr>
              <a:graphicFrameLocks noChangeAspect="1"/>
            </wp:cNvGraphicFramePr>
            <a:graphic>
              <a:graphicData uri="http://schemas.openxmlformats.org/drawingml/2006/picture">
                <pic:pic>
                  <pic:nvPicPr>
                    <pic:cNvPr id="78" name="image423.jpeg"/>
                    <pic:cNvPicPr/>
                  </pic:nvPicPr>
                  <pic:blipFill>
                    <a:blip r:embed="rId451" cstate="print"/>
                    <a:stretch>
                      <a:fillRect/>
                    </a:stretch>
                  </pic:blipFill>
                  <pic:spPr>
                    <a:xfrm>
                      <a:off x="0" y="0"/>
                      <a:ext cx="5532818" cy="3911441"/>
                    </a:xfrm>
                    <a:prstGeom prst="rect">
                      <a:avLst/>
                    </a:prstGeom>
                  </pic:spPr>
                </pic:pic>
              </a:graphicData>
            </a:graphic>
          </wp:inline>
        </w:drawing>
      </w:r>
      <w:r>
        <w:rPr>
          <w:sz w:val="20"/>
        </w:rPr>
      </w:r>
    </w:p>
    <w:p>
      <w:pPr>
        <w:spacing w:line="242" w:lineRule="auto" w:before="86"/>
        <w:ind w:left="154" w:right="216" w:firstLine="0"/>
        <w:jc w:val="center"/>
        <w:rPr>
          <w:sz w:val="20"/>
        </w:rPr>
      </w:pPr>
      <w:r>
        <w:rPr>
          <w:sz w:val="20"/>
        </w:rPr>
        <w:t>Fuente: Elaboración propia con base en los datos de los Censos de Población y Vivienda INEGI, 2000 y 2010.</w:t>
      </w:r>
    </w:p>
    <w:p>
      <w:pPr>
        <w:spacing w:after="0" w:line="242" w:lineRule="auto"/>
        <w:jc w:val="center"/>
        <w:rPr>
          <w:sz w:val="20"/>
        </w:rPr>
        <w:sectPr>
          <w:pgSz w:w="12240" w:h="15840"/>
          <w:pgMar w:header="0" w:footer="1003" w:top="1360" w:bottom="1200" w:left="1620" w:right="1560"/>
        </w:sectPr>
      </w:pPr>
    </w:p>
    <w:p>
      <w:pPr>
        <w:pStyle w:val="BodyText"/>
        <w:spacing w:line="360" w:lineRule="auto" w:before="54"/>
        <w:ind w:left="102" w:right="122"/>
        <w:jc w:val="both"/>
      </w:pPr>
      <w:r>
        <w:rPr/>
        <w:t>En resumen se puede decir que en el periodo estudiado más del 75 por ciento de las viviendas cuentan con radio en la </w:t>
      </w:r>
      <w:r>
        <w:rPr>
          <w:sz w:val="19"/>
        </w:rPr>
        <w:t>ZMT</w:t>
      </w:r>
      <w:r>
        <w:rPr/>
        <w:t>, en el siguiente apartado se analiza las viviendas que cuentan con televisor.</w:t>
      </w:r>
    </w:p>
    <w:p>
      <w:pPr>
        <w:pStyle w:val="BodyText"/>
      </w:pPr>
    </w:p>
    <w:p>
      <w:pPr>
        <w:pStyle w:val="BodyText"/>
        <w:spacing w:before="9"/>
        <w:rPr>
          <w:sz w:val="29"/>
        </w:rPr>
      </w:pPr>
    </w:p>
    <w:p>
      <w:pPr>
        <w:spacing w:before="0"/>
        <w:ind w:left="102" w:right="0" w:firstLine="0"/>
        <w:jc w:val="both"/>
        <w:rPr>
          <w:rFonts w:ascii="Cambria"/>
          <w:b/>
          <w:sz w:val="22"/>
        </w:rPr>
      </w:pPr>
      <w:r>
        <w:rPr>
          <w:rFonts w:ascii="Cambria"/>
          <w:b/>
          <w:color w:val="4F81BC"/>
          <w:sz w:val="22"/>
        </w:rPr>
        <w:t>3.3.2 Viviendas con televisor</w:t>
      </w:r>
    </w:p>
    <w:p>
      <w:pPr>
        <w:pStyle w:val="BodyText"/>
        <w:rPr>
          <w:rFonts w:ascii="Cambria"/>
          <w:b/>
          <w:sz w:val="22"/>
        </w:rPr>
      </w:pPr>
    </w:p>
    <w:p>
      <w:pPr>
        <w:pStyle w:val="BodyText"/>
        <w:rPr>
          <w:rFonts w:ascii="Cambria"/>
          <w:b/>
          <w:sz w:val="22"/>
        </w:rPr>
      </w:pPr>
    </w:p>
    <w:p>
      <w:pPr>
        <w:pStyle w:val="BodyText"/>
        <w:spacing w:line="360" w:lineRule="auto" w:before="136"/>
        <w:ind w:left="102" w:right="124"/>
        <w:jc w:val="both"/>
      </w:pPr>
      <w:r>
        <w:rPr/>
        <w:t>El televisor es un aparto electrónico destinado a la recepción y reproducción de señales de televisión, está considerado como la parte final del sistema de televisión. El aparato se ha convertido en un aparato electrodoméstico habitual, cotidiano y normal con amplia presencia en las viviendas de todo el mundo.</w:t>
      </w:r>
    </w:p>
    <w:p>
      <w:pPr>
        <w:pStyle w:val="BodyText"/>
        <w:spacing w:before="202"/>
        <w:ind w:left="102"/>
        <w:jc w:val="both"/>
      </w:pPr>
      <w:r>
        <w:rPr/>
        <w:t>A lo que respecta a la </w:t>
      </w:r>
      <w:r>
        <w:rPr>
          <w:sz w:val="19"/>
        </w:rPr>
        <w:t>ZMT</w:t>
      </w:r>
      <w:r>
        <w:rPr/>
        <w:t>, en el año 2000 el municipio de Temoaya registró un</w:t>
      </w:r>
    </w:p>
    <w:p>
      <w:pPr>
        <w:pStyle w:val="BodyText"/>
        <w:spacing w:line="360" w:lineRule="auto" w:before="139"/>
        <w:ind w:left="102" w:right="116"/>
        <w:jc w:val="both"/>
      </w:pPr>
      <w:r>
        <w:rPr/>
        <w:t>64.5 por ciento de sus viviendas con televisor, Almoloya de Juárez registró 71.2 por ciento, Otzolotepec 81.2 por ciento, Xonacatlán 84.6 </w:t>
      </w:r>
      <w:r>
        <w:rPr>
          <w:spacing w:val="2"/>
        </w:rPr>
        <w:t>por </w:t>
      </w:r>
      <w:r>
        <w:rPr/>
        <w:t>ciento, </w:t>
      </w:r>
      <w:r>
        <w:rPr>
          <w:spacing w:val="50"/>
        </w:rPr>
        <w:t> </w:t>
      </w:r>
      <w:r>
        <w:rPr/>
        <w:t>Zinacantepec</w:t>
      </w:r>
    </w:p>
    <w:p>
      <w:pPr>
        <w:pStyle w:val="BodyText"/>
        <w:spacing w:line="360" w:lineRule="auto" w:before="5"/>
        <w:ind w:left="102" w:right="125"/>
        <w:jc w:val="both"/>
      </w:pPr>
      <w:r>
        <w:rPr/>
        <w:t>85.2 por ciento y Lerma 89.2 por ciento, mientras que los nueve municipios registraron más del 90 por ciento siendo Metepec el municipio más alto con más del 96 por ciento (ver gráfica no. 11).</w:t>
      </w:r>
    </w:p>
    <w:p>
      <w:pPr>
        <w:pStyle w:val="BodyText"/>
        <w:spacing w:line="360" w:lineRule="auto" w:before="204"/>
        <w:ind w:left="102" w:right="114"/>
        <w:jc w:val="both"/>
      </w:pPr>
      <w:r>
        <w:rPr/>
        <w:t>Para el año 2010 existe un incremento en los porcentajes municipales, aunque el municipio de Temoaya registró un 87.2 por ciento de televisores en las viviendas, aumentó más de un 23 por ciento respecto a la década anterior, los catorce municipios que integran la zona metropolitana registraron más del 91 por ciento, los municipios con mayor porcentaje fueron Mexicaltzingo 96 por ciento, Chapultepec con el 96.2 por ciento y Rayón con 96.8 por ciento (ver mapa no. 11).</w:t>
      </w:r>
    </w:p>
    <w:p>
      <w:pPr>
        <w:pStyle w:val="BodyText"/>
        <w:spacing w:line="360" w:lineRule="auto" w:before="205"/>
        <w:ind w:left="102" w:right="125"/>
        <w:jc w:val="both"/>
      </w:pPr>
      <w:r>
        <w:rPr/>
        <w:t>Encontramos que Temoaya es el municipio con menores bienes de radio y televisión, en contraste con el Metepec que teóricamente su población tiene un poder adquisitivo mayor.</w:t>
      </w:r>
    </w:p>
    <w:p>
      <w:pPr>
        <w:spacing w:after="0" w:line="360" w:lineRule="auto"/>
        <w:jc w:val="both"/>
        <w:sectPr>
          <w:pgSz w:w="12240" w:h="15840"/>
          <w:pgMar w:header="0" w:footer="1003" w:top="1360" w:bottom="1200" w:left="1600" w:right="1580"/>
        </w:sectPr>
      </w:pPr>
    </w:p>
    <w:p>
      <w:pPr>
        <w:spacing w:before="53" w:after="12"/>
        <w:ind w:left="155" w:right="216" w:firstLine="0"/>
        <w:jc w:val="center"/>
        <w:rPr>
          <w:sz w:val="20"/>
        </w:rPr>
      </w:pPr>
      <w:r>
        <w:rPr/>
        <w:pict>
          <v:group style="position:absolute;margin-left:120.702492pt;margin-top:45.112194pt;width:398.85pt;height:151.8pt;mso-position-horizontal-relative:page;mso-position-vertical-relative:paragraph;z-index:-332848" coordorigin="2414,902" coordsize="7977,3036">
            <v:shape style="position:absolute;left:953;top:9357;width:11011;height:2505" coordorigin="953,9357" coordsize="11011,2505" path="m2420,3628l10386,3628m2420,3325l10386,3325m2420,3021l10386,3021m2420,2718l10386,2718m2420,2414l10386,2414m2420,2122l10386,2122m2420,1818l10386,1818e" filled="false" stroked="true" strokeweight=".542308pt" strokecolor="#858585">
              <v:path arrowok="t"/>
            </v:shape>
            <v:shape style="position:absolute;left:2468;top:1737;width:282;height:2192" type="#_x0000_t75" stroked="false">
              <v:imagedata r:id="rId452" o:title=""/>
            </v:shape>
            <v:shape style="position:absolute;left:953;top:8517;width:11011;height:420" coordorigin="953,8517" coordsize="11011,420" path="m2420,1515l10386,1515m2420,1211l10386,1211e" filled="false" stroked="true" strokeweight=".542308pt" strokecolor="#858585">
              <v:path arrowok="t"/>
            </v:shape>
            <v:shape style="position:absolute;left:3000;top:1163;width:282;height:2766" type="#_x0000_t75" stroked="false">
              <v:imagedata r:id="rId453" o:title=""/>
            </v:shape>
            <v:shape style="position:absolute;left:3532;top:1043;width:282;height:2886" type="#_x0000_t75" stroked="false">
              <v:imagedata r:id="rId454" o:title=""/>
            </v:shape>
            <v:shape style="position:absolute;left:4064;top:1184;width:282;height:2745" type="#_x0000_t75" stroked="false">
              <v:imagedata r:id="rId455" o:title=""/>
            </v:shape>
            <v:line style="position:absolute" from="2420,908" to="10386,908" stroked="true" strokeweight=".541979pt" strokecolor="#858585"/>
            <v:shape style="position:absolute;left:4585;top:978;width:282;height:2951" type="#_x0000_t75" stroked="false">
              <v:imagedata r:id="rId456" o:title=""/>
            </v:shape>
            <v:shape style="position:absolute;left:5116;top:1130;width:282;height:2799" type="#_x0000_t75" stroked="false">
              <v:imagedata r:id="rId457" o:title=""/>
            </v:shape>
            <v:shape style="position:absolute;left:5648;top:1130;width:282;height:2799" type="#_x0000_t75" stroked="false">
              <v:imagedata r:id="rId457" o:title=""/>
            </v:shape>
            <v:shape style="position:absolute;left:6180;top:1434;width:282;height:2495" type="#_x0000_t75" stroked="false">
              <v:imagedata r:id="rId458" o:title=""/>
            </v:shape>
            <v:shape style="position:absolute;left:6712;top:1065;width:282;height:2864" type="#_x0000_t75" stroked="false">
              <v:imagedata r:id="rId459" o:title=""/>
            </v:shape>
            <v:shape style="position:absolute;left:7244;top:1098;width:282;height:2831" type="#_x0000_t75" stroked="false">
              <v:imagedata r:id="rId460" o:title=""/>
            </v:shape>
            <v:shape style="position:absolute;left:7775;top:1076;width:282;height:2853" type="#_x0000_t75" stroked="false">
              <v:imagedata r:id="rId461" o:title=""/>
            </v:shape>
            <v:shape style="position:absolute;left:8307;top:1932;width:282;height:1997" type="#_x0000_t75" stroked="false">
              <v:imagedata r:id="rId462" o:title=""/>
            </v:shape>
            <v:shape style="position:absolute;left:8839;top:1108;width:282;height:2821" type="#_x0000_t75" stroked="false">
              <v:imagedata r:id="rId463" o:title=""/>
            </v:shape>
            <v:shape style="position:absolute;left:9371;top:1325;width:282;height:2604" type="#_x0000_t75" stroked="false">
              <v:imagedata r:id="rId464" o:title=""/>
            </v:shape>
            <v:shape style="position:absolute;left:9903;top:1303;width:282;height:2625" type="#_x0000_t75" stroked="false">
              <v:imagedata r:id="rId465" o:title=""/>
            </v:shape>
            <v:shape style="position:absolute;left:2620;top:1130;width:282;height:2799" type="#_x0000_t75" stroked="false">
              <v:imagedata r:id="rId457" o:title=""/>
            </v:shape>
            <v:shape style="position:absolute;left:3152;top:1000;width:282;height:2929" type="#_x0000_t75" stroked="false">
              <v:imagedata r:id="rId466" o:title=""/>
            </v:shape>
            <v:shape style="position:absolute;left:3684;top:978;width:282;height:2951" type="#_x0000_t75" stroked="false">
              <v:imagedata r:id="rId456" o:title=""/>
            </v:shape>
            <v:shape style="position:absolute;left:4216;top:1054;width:271;height:2875" type="#_x0000_t75" stroked="false">
              <v:imagedata r:id="rId467" o:title=""/>
            </v:shape>
            <v:shape style="position:absolute;left:4737;top:989;width:282;height:2940" type="#_x0000_t75" stroked="false">
              <v:imagedata r:id="rId468" o:title=""/>
            </v:shape>
            <v:shape style="position:absolute;left:5268;top:978;width:282;height:2951" type="#_x0000_t75" stroked="false">
              <v:imagedata r:id="rId456" o:title=""/>
            </v:shape>
            <v:shape style="position:absolute;left:5800;top:1011;width:282;height:2918" type="#_x0000_t75" stroked="false">
              <v:imagedata r:id="rId469" o:title=""/>
            </v:shape>
            <v:shape style="position:absolute;left:6332;top:1108;width:282;height:2821" type="#_x0000_t75" stroked="false">
              <v:imagedata r:id="rId463" o:title=""/>
            </v:shape>
            <v:shape style="position:absolute;left:6864;top:957;width:282;height:2972" type="#_x0000_t75" stroked="false">
              <v:imagedata r:id="rId470" o:title=""/>
            </v:shape>
            <v:shape style="position:absolute;left:7396;top:1032;width:282;height:2896" type="#_x0000_t75" stroked="false">
              <v:imagedata r:id="rId471" o:title=""/>
            </v:shape>
            <v:shape style="position:absolute;left:7927;top:1022;width:282;height:2907" type="#_x0000_t75" stroked="false">
              <v:imagedata r:id="rId472" o:title=""/>
            </v:shape>
            <v:shape style="position:absolute;left:8459;top:1249;width:282;height:2680" type="#_x0000_t75" stroked="false">
              <v:imagedata r:id="rId473" o:title=""/>
            </v:shape>
            <v:shape style="position:absolute;left:8991;top:1032;width:282;height:2896" type="#_x0000_t75" stroked="false">
              <v:imagedata r:id="rId471" o:title=""/>
            </v:shape>
            <v:shape style="position:absolute;left:9523;top:1032;width:282;height:2896" type="#_x0000_t75" stroked="false">
              <v:imagedata r:id="rId471" o:title=""/>
            </v:shape>
            <v:shape style="position:absolute;left:10054;top:1054;width:282;height:2875" type="#_x0000_t75" stroked="false">
              <v:imagedata r:id="rId474" o:title=""/>
            </v:shape>
            <v:shape style="position:absolute;left:2501;top:1748;width:206;height:2179" type="#_x0000_t75" stroked="false">
              <v:imagedata r:id="rId475" o:title=""/>
            </v:shape>
            <v:shape style="position:absolute;left:3033;top:1173;width:206;height:2753" type="#_x0000_t75" stroked="false">
              <v:imagedata r:id="rId476" o:title=""/>
            </v:shape>
            <v:shape style="position:absolute;left:3565;top:1054;width:206;height:2872" type="#_x0000_t75" stroked="false">
              <v:imagedata r:id="rId477" o:title=""/>
            </v:shape>
            <v:shape style="position:absolute;left:4096;top:1195;width:206;height:2732" type="#_x0000_t75" stroked="false">
              <v:imagedata r:id="rId478" o:title=""/>
            </v:shape>
            <v:shape style="position:absolute;left:5149;top:1141;width:206;height:2786" type="#_x0000_t75" stroked="false">
              <v:imagedata r:id="rId479" o:title=""/>
            </v:shape>
            <v:shape style="position:absolute;left:5681;top:1141;width:206;height:2786" type="#_x0000_t75" stroked="false">
              <v:imagedata r:id="rId480" o:title=""/>
            </v:shape>
            <v:shape style="position:absolute;left:6213;top:1444;width:206;height:2482" type="#_x0000_t75" stroked="false">
              <v:imagedata r:id="rId481" o:title=""/>
            </v:shape>
            <v:shape style="position:absolute;left:6744;top:1076;width:206;height:2851" type="#_x0000_t75" stroked="false">
              <v:imagedata r:id="rId482" o:title=""/>
            </v:shape>
            <v:shape style="position:absolute;left:7276;top:1108;width:206;height:2818" type="#_x0000_t75" stroked="false">
              <v:imagedata r:id="rId483" o:title=""/>
            </v:shape>
            <v:shape style="position:absolute;left:7808;top:1087;width:206;height:2840" type="#_x0000_t75" stroked="false">
              <v:imagedata r:id="rId484" o:title=""/>
            </v:shape>
            <v:shape style="position:absolute;left:8340;top:1943;width:206;height:1984" type="#_x0000_t75" stroked="false">
              <v:imagedata r:id="rId485" o:title=""/>
            </v:shape>
            <v:shape style="position:absolute;left:8872;top:1119;width:206;height:2807" type="#_x0000_t75" stroked="false">
              <v:imagedata r:id="rId486" o:title=""/>
            </v:shape>
            <v:shape style="position:absolute;left:9403;top:1336;width:206;height:2591" type="#_x0000_t75" stroked="false">
              <v:imagedata r:id="rId487" o:title=""/>
            </v:shape>
            <v:shape style="position:absolute;left:9935;top:1314;width:206;height:2612" type="#_x0000_t75" stroked="false">
              <v:imagedata r:id="rId488" o:title=""/>
            </v:shape>
            <v:shape style="position:absolute;left:2653;top:1141;width:206;height:2786" type="#_x0000_t75" stroked="false">
              <v:imagedata r:id="rId489" o:title=""/>
            </v:shape>
            <v:shape style="position:absolute;left:3185;top:1011;width:206;height:2916" type="#_x0000_t75" stroked="false">
              <v:imagedata r:id="rId490" o:title=""/>
            </v:shape>
            <v:shape style="position:absolute;left:3716;top:989;width:206;height:2938" type="#_x0000_t75" stroked="false">
              <v:imagedata r:id="rId491" o:title=""/>
            </v:shape>
            <v:shape style="position:absolute;left:4248;top:1065;width:195;height:2862" type="#_x0000_t75" stroked="false">
              <v:imagedata r:id="rId492" o:title=""/>
            </v:shape>
            <v:shape style="position:absolute;left:4617;top:989;width:358;height:2938" type="#_x0000_t75" stroked="false">
              <v:imagedata r:id="rId493" o:title=""/>
            </v:shape>
            <v:shape style="position:absolute;left:5301;top:989;width:206;height:2938" type="#_x0000_t75" stroked="false">
              <v:imagedata r:id="rId494" o:title=""/>
            </v:shape>
            <v:shape style="position:absolute;left:5833;top:1022;width:206;height:2905" type="#_x0000_t75" stroked="false">
              <v:imagedata r:id="rId495" o:title=""/>
            </v:shape>
            <v:shape style="position:absolute;left:6365;top:1119;width:206;height:2807" type="#_x0000_t75" stroked="false">
              <v:imagedata r:id="rId496" o:title=""/>
            </v:shape>
            <v:shape style="position:absolute;left:6896;top:967;width:206;height:2959" type="#_x0000_t75" stroked="false">
              <v:imagedata r:id="rId497" o:title=""/>
            </v:shape>
            <v:shape style="position:absolute;left:7428;top:1043;width:206;height:2883" type="#_x0000_t75" stroked="false">
              <v:imagedata r:id="rId498" o:title=""/>
            </v:shape>
            <v:shape style="position:absolute;left:7960;top:1032;width:206;height:2894" type="#_x0000_t75" stroked="false">
              <v:imagedata r:id="rId499" o:title=""/>
            </v:shape>
            <v:shape style="position:absolute;left:8492;top:1260;width:206;height:2667" type="#_x0000_t75" stroked="false">
              <v:imagedata r:id="rId500" o:title=""/>
            </v:shape>
            <v:shape style="position:absolute;left:9023;top:1043;width:206;height:2883" type="#_x0000_t75" stroked="false">
              <v:imagedata r:id="rId498" o:title=""/>
            </v:shape>
            <v:shape style="position:absolute;left:9555;top:1043;width:206;height:2883" type="#_x0000_t75" stroked="false">
              <v:imagedata r:id="rId501" o:title=""/>
            </v:shape>
            <v:shape style="position:absolute;left:10087;top:1065;width:206;height:2862" type="#_x0000_t75" stroked="false">
              <v:imagedata r:id="rId502" o:title=""/>
            </v:shape>
            <v:shape style="position:absolute;left:953;top:8097;width:11011;height:4185" coordorigin="953,8097" coordsize="11011,4185" path="m2420,3932l2420,908m2420,3932l10386,3932e" filled="false" stroked="true" strokeweight=".542308pt" strokecolor="#858585">
              <v:path arrowok="t"/>
            </v:shape>
            <w10:wrap type="none"/>
          </v:group>
        </w:pict>
      </w:r>
      <w:r>
        <w:rPr>
          <w:sz w:val="20"/>
        </w:rPr>
        <w:t>Gráfica No. 11 Viviendas con televisor en la </w:t>
      </w:r>
      <w:r>
        <w:rPr>
          <w:sz w:val="16"/>
        </w:rPr>
        <w:t>ZMT</w:t>
      </w:r>
      <w:r>
        <w:rPr>
          <w:sz w:val="20"/>
        </w:rPr>
        <w:t>, 2000-2010.</w:t>
      </w:r>
    </w:p>
    <w:p>
      <w:pPr>
        <w:pStyle w:val="BodyText"/>
        <w:ind w:left="121"/>
        <w:rPr>
          <w:sz w:val="20"/>
        </w:rPr>
      </w:pPr>
      <w:r>
        <w:rPr>
          <w:sz w:val="20"/>
        </w:rPr>
        <w:pict>
          <v:group style="width:440.65pt;height:260.7pt;mso-position-horizontal-relative:char;mso-position-vertical-relative:line" coordorigin="0,0" coordsize="8813,5214">
            <v:shape style="position:absolute;left:2256;top:3836;width:309;height:283" type="#_x0000_t75" stroked="false">
              <v:imagedata r:id="rId503" o:title=""/>
            </v:shape>
            <v:shape style="position:absolute;left:6;top:6;width:8802;height:5203" type="#_x0000_t202" filled="false" stroked="true" strokeweight=".542692pt" strokecolor="#858585">
              <v:textbox inset="0,0,0,0">
                <w:txbxContent>
                  <w:p>
                    <w:pPr>
                      <w:spacing w:before="100"/>
                      <w:ind w:left="190" w:right="195" w:firstLine="0"/>
                      <w:jc w:val="center"/>
                      <w:rPr>
                        <w:rFonts w:ascii="Calibri"/>
                        <w:b/>
                        <w:sz w:val="26"/>
                      </w:rPr>
                    </w:pPr>
                    <w:r>
                      <w:rPr>
                        <w:rFonts w:ascii="Calibri"/>
                        <w:b/>
                        <w:sz w:val="26"/>
                      </w:rPr>
                      <w:t>Viviendas con televisor en la ZMT, 2000-2010</w:t>
                    </w:r>
                  </w:p>
                  <w:p>
                    <w:pPr>
                      <w:spacing w:before="92"/>
                      <w:ind w:left="187" w:right="8249" w:firstLine="0"/>
                      <w:jc w:val="center"/>
                      <w:rPr>
                        <w:rFonts w:ascii="Calibri"/>
                        <w:sz w:val="14"/>
                      </w:rPr>
                    </w:pPr>
                    <w:r>
                      <w:rPr>
                        <w:rFonts w:ascii="Calibri"/>
                        <w:sz w:val="14"/>
                      </w:rPr>
                      <w:t>100.0</w:t>
                    </w:r>
                  </w:p>
                  <w:p>
                    <w:pPr>
                      <w:spacing w:line="240" w:lineRule="auto" w:before="5"/>
                      <w:rPr>
                        <w:sz w:val="11"/>
                      </w:rPr>
                    </w:pPr>
                  </w:p>
                  <w:p>
                    <w:pPr>
                      <w:spacing w:before="1"/>
                      <w:ind w:left="266" w:right="0" w:firstLine="0"/>
                      <w:jc w:val="left"/>
                      <w:rPr>
                        <w:rFonts w:ascii="Calibri"/>
                        <w:sz w:val="14"/>
                      </w:rPr>
                    </w:pPr>
                    <w:r>
                      <w:rPr>
                        <w:rFonts w:ascii="Calibri"/>
                        <w:sz w:val="14"/>
                      </w:rPr>
                      <w:t>90.0</w:t>
                    </w:r>
                  </w:p>
                  <w:p>
                    <w:pPr>
                      <w:spacing w:line="240" w:lineRule="auto" w:before="5"/>
                      <w:rPr>
                        <w:sz w:val="11"/>
                      </w:rPr>
                    </w:pPr>
                  </w:p>
                  <w:p>
                    <w:pPr>
                      <w:spacing w:before="0"/>
                      <w:ind w:left="266" w:right="0" w:firstLine="0"/>
                      <w:jc w:val="left"/>
                      <w:rPr>
                        <w:rFonts w:ascii="Calibri"/>
                        <w:sz w:val="14"/>
                      </w:rPr>
                    </w:pPr>
                    <w:r>
                      <w:rPr>
                        <w:rFonts w:ascii="Calibri"/>
                        <w:sz w:val="14"/>
                      </w:rPr>
                      <w:t>80.0</w:t>
                    </w:r>
                  </w:p>
                  <w:p>
                    <w:pPr>
                      <w:spacing w:line="240" w:lineRule="auto" w:before="5"/>
                      <w:rPr>
                        <w:sz w:val="11"/>
                      </w:rPr>
                    </w:pPr>
                  </w:p>
                  <w:p>
                    <w:pPr>
                      <w:spacing w:before="1"/>
                      <w:ind w:left="266" w:right="0" w:firstLine="0"/>
                      <w:jc w:val="left"/>
                      <w:rPr>
                        <w:rFonts w:ascii="Calibri"/>
                        <w:sz w:val="14"/>
                      </w:rPr>
                    </w:pPr>
                    <w:r>
                      <w:rPr>
                        <w:rFonts w:ascii="Calibri"/>
                        <w:sz w:val="14"/>
                      </w:rPr>
                      <w:t>70.0</w:t>
                    </w:r>
                  </w:p>
                  <w:p>
                    <w:pPr>
                      <w:spacing w:line="240" w:lineRule="auto" w:before="5"/>
                      <w:rPr>
                        <w:sz w:val="11"/>
                      </w:rPr>
                    </w:pPr>
                  </w:p>
                  <w:p>
                    <w:pPr>
                      <w:spacing w:before="0"/>
                      <w:ind w:left="266" w:right="0" w:firstLine="0"/>
                      <w:jc w:val="left"/>
                      <w:rPr>
                        <w:rFonts w:ascii="Calibri"/>
                        <w:sz w:val="14"/>
                      </w:rPr>
                    </w:pPr>
                    <w:r>
                      <w:rPr>
                        <w:rFonts w:ascii="Calibri"/>
                        <w:sz w:val="14"/>
                      </w:rPr>
                      <w:t>60.0</w:t>
                    </w:r>
                  </w:p>
                  <w:p>
                    <w:pPr>
                      <w:spacing w:line="240" w:lineRule="auto" w:before="5"/>
                      <w:rPr>
                        <w:sz w:val="11"/>
                      </w:rPr>
                    </w:pPr>
                  </w:p>
                  <w:p>
                    <w:pPr>
                      <w:spacing w:before="1"/>
                      <w:ind w:left="266" w:right="0" w:firstLine="0"/>
                      <w:jc w:val="left"/>
                      <w:rPr>
                        <w:rFonts w:ascii="Calibri"/>
                        <w:sz w:val="14"/>
                      </w:rPr>
                    </w:pPr>
                    <w:r>
                      <w:rPr>
                        <w:rFonts w:ascii="Calibri"/>
                        <w:sz w:val="14"/>
                      </w:rPr>
                      <w:t>50.0</w:t>
                    </w:r>
                  </w:p>
                  <w:p>
                    <w:pPr>
                      <w:spacing w:line="240" w:lineRule="auto" w:before="5"/>
                      <w:rPr>
                        <w:sz w:val="11"/>
                      </w:rPr>
                    </w:pPr>
                  </w:p>
                  <w:p>
                    <w:pPr>
                      <w:spacing w:before="0"/>
                      <w:ind w:left="266" w:right="0" w:firstLine="0"/>
                      <w:jc w:val="left"/>
                      <w:rPr>
                        <w:rFonts w:ascii="Calibri"/>
                        <w:sz w:val="14"/>
                      </w:rPr>
                    </w:pPr>
                    <w:r>
                      <w:rPr>
                        <w:rFonts w:ascii="Calibri"/>
                        <w:sz w:val="14"/>
                      </w:rPr>
                      <w:t>40.0</w:t>
                    </w:r>
                  </w:p>
                  <w:p>
                    <w:pPr>
                      <w:spacing w:line="240" w:lineRule="auto" w:before="5"/>
                      <w:rPr>
                        <w:sz w:val="11"/>
                      </w:rPr>
                    </w:pPr>
                  </w:p>
                  <w:p>
                    <w:pPr>
                      <w:spacing w:before="1"/>
                      <w:ind w:left="266" w:right="0" w:firstLine="0"/>
                      <w:jc w:val="left"/>
                      <w:rPr>
                        <w:rFonts w:ascii="Calibri"/>
                        <w:sz w:val="14"/>
                      </w:rPr>
                    </w:pPr>
                    <w:r>
                      <w:rPr>
                        <w:rFonts w:ascii="Calibri"/>
                        <w:sz w:val="14"/>
                      </w:rPr>
                      <w:t>30.0</w:t>
                    </w:r>
                  </w:p>
                  <w:p>
                    <w:pPr>
                      <w:spacing w:line="240" w:lineRule="auto" w:before="5"/>
                      <w:rPr>
                        <w:sz w:val="11"/>
                      </w:rPr>
                    </w:pPr>
                  </w:p>
                  <w:p>
                    <w:pPr>
                      <w:spacing w:before="0"/>
                      <w:ind w:left="266" w:right="0" w:firstLine="0"/>
                      <w:jc w:val="left"/>
                      <w:rPr>
                        <w:rFonts w:ascii="Calibri"/>
                        <w:sz w:val="14"/>
                      </w:rPr>
                    </w:pPr>
                    <w:r>
                      <w:rPr>
                        <w:rFonts w:ascii="Calibri"/>
                        <w:sz w:val="14"/>
                      </w:rPr>
                      <w:t>20.0</w:t>
                    </w:r>
                  </w:p>
                  <w:p>
                    <w:pPr>
                      <w:spacing w:line="240" w:lineRule="auto" w:before="5"/>
                      <w:rPr>
                        <w:sz w:val="11"/>
                      </w:rPr>
                    </w:pPr>
                  </w:p>
                  <w:p>
                    <w:pPr>
                      <w:spacing w:before="1"/>
                      <w:ind w:left="266" w:right="0" w:firstLine="0"/>
                      <w:jc w:val="left"/>
                      <w:rPr>
                        <w:rFonts w:ascii="Calibri"/>
                        <w:sz w:val="14"/>
                      </w:rPr>
                    </w:pPr>
                    <w:r>
                      <w:rPr>
                        <w:rFonts w:ascii="Calibri"/>
                        <w:sz w:val="14"/>
                      </w:rPr>
                      <w:t>10.0</w:t>
                    </w:r>
                  </w:p>
                  <w:p>
                    <w:pPr>
                      <w:spacing w:line="240" w:lineRule="auto" w:before="5"/>
                      <w:rPr>
                        <w:sz w:val="11"/>
                      </w:rPr>
                    </w:pPr>
                  </w:p>
                  <w:p>
                    <w:pPr>
                      <w:spacing w:before="0"/>
                      <w:ind w:left="190" w:right="8105" w:firstLine="0"/>
                      <w:jc w:val="center"/>
                      <w:rPr>
                        <w:rFonts w:ascii="Calibri"/>
                        <w:sz w:val="14"/>
                      </w:rPr>
                    </w:pPr>
                    <w:r>
                      <w:rPr>
                        <w:rFonts w:ascii="Calibri"/>
                        <w:sz w:val="14"/>
                      </w:rPr>
                      <w:t>0.0</w:t>
                    </w:r>
                  </w:p>
                  <w:p>
                    <w:pPr>
                      <w:spacing w:line="240" w:lineRule="auto" w:before="5" w:after="0"/>
                      <w:rPr>
                        <w:sz w:val="9"/>
                      </w:rPr>
                    </w:pPr>
                  </w:p>
                  <w:p>
                    <w:pPr>
                      <w:tabs>
                        <w:tab w:pos="2660" w:val="left" w:leader="none"/>
                        <w:tab w:pos="6373" w:val="left" w:leader="none"/>
                      </w:tabs>
                      <w:spacing w:line="240" w:lineRule="auto"/>
                      <w:ind w:left="126" w:right="0" w:firstLine="0"/>
                      <w:rPr>
                        <w:sz w:val="20"/>
                      </w:rPr>
                    </w:pPr>
                    <w:r>
                      <w:rPr>
                        <w:sz w:val="20"/>
                      </w:rPr>
                      <w:drawing>
                        <wp:inline distT="0" distB="0" distL="0" distR="0">
                          <wp:extent cx="527739" cy="528637"/>
                          <wp:effectExtent l="0" t="0" r="0" b="0"/>
                          <wp:docPr id="79" name="image476.png" descr=""/>
                          <wp:cNvGraphicFramePr>
                            <a:graphicFrameLocks noChangeAspect="1"/>
                          </wp:cNvGraphicFramePr>
                          <a:graphic>
                            <a:graphicData uri="http://schemas.openxmlformats.org/drawingml/2006/picture">
                              <pic:pic>
                                <pic:nvPicPr>
                                  <pic:cNvPr id="80" name="image476.png"/>
                                  <pic:cNvPicPr/>
                                </pic:nvPicPr>
                                <pic:blipFill>
                                  <a:blip r:embed="rId504" cstate="print"/>
                                  <a:stretch>
                                    <a:fillRect/>
                                  </a:stretch>
                                </pic:blipFill>
                                <pic:spPr>
                                  <a:xfrm>
                                    <a:off x="0" y="0"/>
                                    <a:ext cx="527739" cy="528637"/>
                                  </a:xfrm>
                                  <a:prstGeom prst="rect">
                                    <a:avLst/>
                                  </a:prstGeom>
                                </pic:spPr>
                              </pic:pic>
                            </a:graphicData>
                          </a:graphic>
                        </wp:inline>
                      </w:drawing>
                    </w:r>
                    <w:r>
                      <w:rPr>
                        <w:sz w:val="20"/>
                      </w:rPr>
                    </w:r>
                    <w:r>
                      <w:rPr>
                        <w:sz w:val="20"/>
                      </w:rPr>
                      <w:tab/>
                    </w:r>
                    <w:r>
                      <w:rPr>
                        <w:position w:val="23"/>
                        <w:sz w:val="20"/>
                      </w:rPr>
                      <w:drawing>
                        <wp:inline distT="0" distB="0" distL="0" distR="0">
                          <wp:extent cx="1288695" cy="381000"/>
                          <wp:effectExtent l="0" t="0" r="0" b="0"/>
                          <wp:docPr id="81" name="image477.png" descr=""/>
                          <wp:cNvGraphicFramePr>
                            <a:graphicFrameLocks noChangeAspect="1"/>
                          </wp:cNvGraphicFramePr>
                          <a:graphic>
                            <a:graphicData uri="http://schemas.openxmlformats.org/drawingml/2006/picture">
                              <pic:pic>
                                <pic:nvPicPr>
                                  <pic:cNvPr id="82" name="image477.png"/>
                                  <pic:cNvPicPr/>
                                </pic:nvPicPr>
                                <pic:blipFill>
                                  <a:blip r:embed="rId505" cstate="print"/>
                                  <a:stretch>
                                    <a:fillRect/>
                                  </a:stretch>
                                </pic:blipFill>
                                <pic:spPr>
                                  <a:xfrm>
                                    <a:off x="0" y="0"/>
                                    <a:ext cx="1288695" cy="381000"/>
                                  </a:xfrm>
                                  <a:prstGeom prst="rect">
                                    <a:avLst/>
                                  </a:prstGeom>
                                </pic:spPr>
                              </pic:pic>
                            </a:graphicData>
                          </a:graphic>
                        </wp:inline>
                      </w:drawing>
                    </w:r>
                    <w:r>
                      <w:rPr>
                        <w:position w:val="23"/>
                        <w:sz w:val="20"/>
                      </w:rPr>
                    </w:r>
                    <w:r>
                      <w:rPr>
                        <w:position w:val="23"/>
                        <w:sz w:val="20"/>
                      </w:rPr>
                      <w:tab/>
                    </w:r>
                    <w:r>
                      <w:rPr>
                        <w:position w:val="44"/>
                        <w:sz w:val="20"/>
                      </w:rPr>
                      <w:drawing>
                        <wp:inline distT="0" distB="0" distL="0" distR="0">
                          <wp:extent cx="270460" cy="242887"/>
                          <wp:effectExtent l="0" t="0" r="0" b="0"/>
                          <wp:docPr id="83" name="image478.png" descr=""/>
                          <wp:cNvGraphicFramePr>
                            <a:graphicFrameLocks noChangeAspect="1"/>
                          </wp:cNvGraphicFramePr>
                          <a:graphic>
                            <a:graphicData uri="http://schemas.openxmlformats.org/drawingml/2006/picture">
                              <pic:pic>
                                <pic:nvPicPr>
                                  <pic:cNvPr id="84" name="image478.png"/>
                                  <pic:cNvPicPr/>
                                </pic:nvPicPr>
                                <pic:blipFill>
                                  <a:blip r:embed="rId506" cstate="print"/>
                                  <a:stretch>
                                    <a:fillRect/>
                                  </a:stretch>
                                </pic:blipFill>
                                <pic:spPr>
                                  <a:xfrm>
                                    <a:off x="0" y="0"/>
                                    <a:ext cx="270460" cy="242887"/>
                                  </a:xfrm>
                                  <a:prstGeom prst="rect">
                                    <a:avLst/>
                                  </a:prstGeom>
                                </pic:spPr>
                              </pic:pic>
                            </a:graphicData>
                          </a:graphic>
                        </wp:inline>
                      </w:drawing>
                    </w:r>
                    <w:r>
                      <w:rPr>
                        <w:position w:val="44"/>
                        <w:sz w:val="20"/>
                      </w:rPr>
                    </w:r>
                  </w:p>
                  <w:p>
                    <w:pPr>
                      <w:spacing w:line="240" w:lineRule="auto" w:before="0"/>
                      <w:rPr>
                        <w:sz w:val="14"/>
                      </w:rPr>
                    </w:pPr>
                  </w:p>
                  <w:p>
                    <w:pPr>
                      <w:spacing w:before="81"/>
                      <w:ind w:left="190" w:right="157" w:firstLine="0"/>
                      <w:jc w:val="center"/>
                      <w:rPr>
                        <w:rFonts w:ascii="Calibri"/>
                        <w:sz w:val="14"/>
                      </w:rPr>
                    </w:pPr>
                    <w:r>
                      <w:rPr/>
                      <w:drawing>
                        <wp:inline distT="0" distB="0" distL="0" distR="0">
                          <wp:extent cx="82396" cy="89153"/>
                          <wp:effectExtent l="0" t="0" r="0" b="0"/>
                          <wp:docPr id="85" name="image479.png" descr=""/>
                          <wp:cNvGraphicFramePr>
                            <a:graphicFrameLocks noChangeAspect="1"/>
                          </wp:cNvGraphicFramePr>
                          <a:graphic>
                            <a:graphicData uri="http://schemas.openxmlformats.org/drawingml/2006/picture">
                              <pic:pic>
                                <pic:nvPicPr>
                                  <pic:cNvPr id="86" name="image479.png"/>
                                  <pic:cNvPicPr/>
                                </pic:nvPicPr>
                                <pic:blipFill>
                                  <a:blip r:embed="rId507" cstate="print"/>
                                  <a:stretch>
                                    <a:fillRect/>
                                  </a:stretch>
                                </pic:blipFill>
                                <pic:spPr>
                                  <a:xfrm>
                                    <a:off x="0" y="0"/>
                                    <a:ext cx="82396" cy="89153"/>
                                  </a:xfrm>
                                  <a:prstGeom prst="rect">
                                    <a:avLst/>
                                  </a:prstGeom>
                                </pic:spPr>
                              </pic:pic>
                            </a:graphicData>
                          </a:graphic>
                        </wp:inline>
                      </w:drawing>
                    </w:r>
                    <w:r>
                      <w:rPr/>
                    </w:r>
                    <w:r>
                      <w:rPr>
                        <w:rFonts w:ascii="Calibri"/>
                        <w:position w:val="1"/>
                        <w:sz w:val="14"/>
                      </w:rPr>
                      <w:t>2000 </w:t>
                    </w:r>
                    <w:r>
                      <w:rPr>
                        <w:rFonts w:ascii="Calibri"/>
                        <w:spacing w:val="12"/>
                        <w:position w:val="1"/>
                        <w:sz w:val="14"/>
                      </w:rPr>
                      <w:t> </w:t>
                    </w:r>
                    <w:r>
                      <w:rPr>
                        <w:rFonts w:ascii="Calibri"/>
                        <w:spacing w:val="-2"/>
                        <w:sz w:val="14"/>
                      </w:rPr>
                      <w:drawing>
                        <wp:inline distT="0" distB="0" distL="0" distR="0">
                          <wp:extent cx="82396" cy="89153"/>
                          <wp:effectExtent l="0" t="0" r="0" b="0"/>
                          <wp:docPr id="87" name="image480.png" descr=""/>
                          <wp:cNvGraphicFramePr>
                            <a:graphicFrameLocks noChangeAspect="1"/>
                          </wp:cNvGraphicFramePr>
                          <a:graphic>
                            <a:graphicData uri="http://schemas.openxmlformats.org/drawingml/2006/picture">
                              <pic:pic>
                                <pic:nvPicPr>
                                  <pic:cNvPr id="88" name="image480.png"/>
                                  <pic:cNvPicPr/>
                                </pic:nvPicPr>
                                <pic:blipFill>
                                  <a:blip r:embed="rId508" cstate="print"/>
                                  <a:stretch>
                                    <a:fillRect/>
                                  </a:stretch>
                                </pic:blipFill>
                                <pic:spPr>
                                  <a:xfrm>
                                    <a:off x="0" y="0"/>
                                    <a:ext cx="82396" cy="89153"/>
                                  </a:xfrm>
                                  <a:prstGeom prst="rect">
                                    <a:avLst/>
                                  </a:prstGeom>
                                </pic:spPr>
                              </pic:pic>
                            </a:graphicData>
                          </a:graphic>
                        </wp:inline>
                      </w:drawing>
                    </w:r>
                    <w:r>
                      <w:rPr>
                        <w:rFonts w:ascii="Calibri"/>
                        <w:spacing w:val="-2"/>
                        <w:sz w:val="14"/>
                      </w:rPr>
                    </w:r>
                    <w:r>
                      <w:rPr>
                        <w:rFonts w:ascii="Calibri"/>
                        <w:spacing w:val="4"/>
                        <w:position w:val="1"/>
                        <w:sz w:val="14"/>
                      </w:rPr>
                      <w:t>2010</w:t>
                    </w:r>
                  </w:p>
                </w:txbxContent>
              </v:textbox>
              <w10:wrap type="none"/>
            </v:shape>
          </v:group>
        </w:pict>
      </w:r>
      <w:r>
        <w:rPr>
          <w:sz w:val="20"/>
        </w:rPr>
      </w:r>
    </w:p>
    <w:p>
      <w:pPr>
        <w:spacing w:before="0"/>
        <w:ind w:left="154" w:right="216" w:firstLine="0"/>
        <w:jc w:val="center"/>
        <w:rPr>
          <w:sz w:val="20"/>
        </w:rPr>
      </w:pPr>
      <w:r>
        <w:rPr/>
        <w:pict>
          <v:group style="position:absolute;margin-left:141.699738pt;margin-top:-69.437988pt;width:46.75pt;height:26.85pt;mso-position-horizontal-relative:page;mso-position-vertical-relative:paragraph;z-index:-332824" coordorigin="2834,-1389" coordsize="935,537">
            <v:shape style="position:absolute;left:2834;top:-1376;width:397;height:374" type="#_x0000_t75" stroked="false">
              <v:imagedata r:id="rId509" o:title=""/>
            </v:shape>
            <v:shape style="position:absolute;left:3216;top:-1389;width:553;height:536" type="#_x0000_t75" stroked="false">
              <v:imagedata r:id="rId510" o:title=""/>
            </v:shape>
            <w10:wrap type="none"/>
          </v:group>
        </w:pict>
      </w:r>
      <w:r>
        <w:rPr/>
        <w:pict>
          <v:group style="position:absolute;margin-left:332.732819pt;margin-top:-68.877213pt;width:67.55pt;height:39.050pt;mso-position-horizontal-relative:page;mso-position-vertical-relative:paragraph;z-index:-332800" coordorigin="6655,-1378" coordsize="1351,781">
            <v:shape style="position:absolute;left:6655;top:-1378;width:297;height:273" type="#_x0000_t75" stroked="false">
              <v:imagedata r:id="rId511" o:title=""/>
            </v:shape>
            <v:shape style="position:absolute;left:6692;top:-1377;width:1314;height:780" type="#_x0000_t75" stroked="false">
              <v:imagedata r:id="rId512" o:title=""/>
            </v:shape>
            <w10:wrap type="none"/>
          </v:group>
        </w:pict>
      </w:r>
      <w:r>
        <w:rPr/>
        <w:pict>
          <v:group style="position:absolute;margin-left:437.809174pt;margin-top:-69.390999pt;width:69.3pt;height:29.05pt;mso-position-horizontal-relative:page;mso-position-vertical-relative:paragraph;z-index:-332776" coordorigin="8756,-1388" coordsize="1386,581">
            <v:shape style="position:absolute;left:8756;top:-1381;width:323;height:280" type="#_x0000_t75" stroked="false">
              <v:imagedata r:id="rId513" o:title=""/>
            </v:shape>
            <v:shape style="position:absolute;left:9102;top:-1388;width:1040;height:581" type="#_x0000_t75" stroked="false">
              <v:imagedata r:id="rId514" o:title=""/>
            </v:shape>
            <w10:wrap type="none"/>
          </v:group>
        </w:pict>
      </w:r>
      <w:r>
        <w:rPr>
          <w:sz w:val="20"/>
        </w:rPr>
        <w:t>Fuente: Elaboración propia con base en los datos de los Censos de Población y Vivienda INEGI, 2000 y 2010.</w:t>
      </w:r>
    </w:p>
    <w:p>
      <w:pPr>
        <w:spacing w:before="0" w:after="2"/>
        <w:ind w:left="158" w:right="216" w:firstLine="0"/>
        <w:jc w:val="center"/>
        <w:rPr>
          <w:sz w:val="20"/>
        </w:rPr>
      </w:pPr>
      <w:r>
        <w:rPr>
          <w:sz w:val="20"/>
        </w:rPr>
        <w:t>Mapa No. 11 Porcentaje de viviendas con televisión en la </w:t>
      </w:r>
      <w:r>
        <w:rPr>
          <w:sz w:val="16"/>
        </w:rPr>
        <w:t>ZMT</w:t>
      </w:r>
      <w:r>
        <w:rPr>
          <w:sz w:val="20"/>
        </w:rPr>
        <w:t>, 2000-2010.</w:t>
      </w:r>
    </w:p>
    <w:p>
      <w:pPr>
        <w:pStyle w:val="BodyText"/>
        <w:ind w:left="110"/>
        <w:rPr>
          <w:sz w:val="20"/>
        </w:rPr>
      </w:pPr>
      <w:r>
        <w:rPr>
          <w:sz w:val="20"/>
        </w:rPr>
        <w:drawing>
          <wp:inline distT="0" distB="0" distL="0" distR="0">
            <wp:extent cx="5532818" cy="3911441"/>
            <wp:effectExtent l="0" t="0" r="0" b="0"/>
            <wp:docPr id="89" name="image487.jpeg" descr=""/>
            <wp:cNvGraphicFramePr>
              <a:graphicFrameLocks noChangeAspect="1"/>
            </wp:cNvGraphicFramePr>
            <a:graphic>
              <a:graphicData uri="http://schemas.openxmlformats.org/drawingml/2006/picture">
                <pic:pic>
                  <pic:nvPicPr>
                    <pic:cNvPr id="90" name="image487.jpeg"/>
                    <pic:cNvPicPr/>
                  </pic:nvPicPr>
                  <pic:blipFill>
                    <a:blip r:embed="rId515" cstate="print"/>
                    <a:stretch>
                      <a:fillRect/>
                    </a:stretch>
                  </pic:blipFill>
                  <pic:spPr>
                    <a:xfrm>
                      <a:off x="0" y="0"/>
                      <a:ext cx="5532818" cy="3911441"/>
                    </a:xfrm>
                    <a:prstGeom prst="rect">
                      <a:avLst/>
                    </a:prstGeom>
                  </pic:spPr>
                </pic:pic>
              </a:graphicData>
            </a:graphic>
          </wp:inline>
        </w:drawing>
      </w:r>
      <w:r>
        <w:rPr>
          <w:sz w:val="20"/>
        </w:rPr>
      </w:r>
    </w:p>
    <w:p>
      <w:pPr>
        <w:spacing w:line="362" w:lineRule="auto" w:before="86"/>
        <w:ind w:left="154" w:right="216" w:firstLine="0"/>
        <w:jc w:val="center"/>
        <w:rPr>
          <w:sz w:val="20"/>
        </w:rPr>
      </w:pPr>
      <w:r>
        <w:rPr>
          <w:sz w:val="20"/>
        </w:rPr>
        <w:t>Fuente: Elaboración propia con base en los datos de los Censos de Población y Vivienda INEGI, 2000 y 2010.</w:t>
      </w:r>
    </w:p>
    <w:p>
      <w:pPr>
        <w:spacing w:after="0" w:line="362" w:lineRule="auto"/>
        <w:jc w:val="center"/>
        <w:rPr>
          <w:sz w:val="20"/>
        </w:rPr>
        <w:sectPr>
          <w:pgSz w:w="12240" w:h="15840"/>
          <w:pgMar w:header="0" w:footer="1003" w:top="1360" w:bottom="1200" w:left="1620" w:right="1560"/>
        </w:sectPr>
      </w:pPr>
    </w:p>
    <w:p>
      <w:pPr>
        <w:pStyle w:val="BodyText"/>
        <w:spacing w:line="360" w:lineRule="auto" w:before="54"/>
        <w:ind w:left="102" w:right="118"/>
        <w:jc w:val="both"/>
      </w:pPr>
      <w:r>
        <w:rPr/>
        <w:t>El promedio de contar con televisión en las viviendas en la </w:t>
      </w:r>
      <w:r>
        <w:rPr>
          <w:sz w:val="19"/>
        </w:rPr>
        <w:t>ZMT</w:t>
      </w:r>
      <w:r>
        <w:rPr/>
        <w:t>, fue para el año 2000 de más del 87 por ciento, mientras que para el año 2010 fue del 94 por ciento, incrementando más del 7 por ciento de estos aparatos electrónicos. Significa hasta ahora que la televisión es el mayor bien con el que cuentan las personas dentro de sus viviendas en la zona metropolitana. En el siguiente apartado se analiza el bien de videocasetera.</w:t>
      </w:r>
    </w:p>
    <w:p>
      <w:pPr>
        <w:pStyle w:val="ListParagraph"/>
        <w:numPr>
          <w:ilvl w:val="2"/>
          <w:numId w:val="22"/>
        </w:numPr>
        <w:tabs>
          <w:tab w:pos="643" w:val="left" w:leader="none"/>
        </w:tabs>
        <w:spacing w:line="240" w:lineRule="auto" w:before="206" w:after="0"/>
        <w:ind w:left="642" w:right="0" w:hanging="540"/>
        <w:jc w:val="both"/>
        <w:rPr>
          <w:rFonts w:ascii="Cambria"/>
          <w:b/>
          <w:sz w:val="22"/>
        </w:rPr>
      </w:pPr>
      <w:r>
        <w:rPr>
          <w:rFonts w:ascii="Cambria"/>
          <w:b/>
          <w:color w:val="4F81BC"/>
          <w:sz w:val="22"/>
        </w:rPr>
        <w:t>Viviendas con</w:t>
      </w:r>
      <w:r>
        <w:rPr>
          <w:rFonts w:ascii="Cambria"/>
          <w:b/>
          <w:color w:val="4F81BC"/>
          <w:spacing w:val="-3"/>
          <w:sz w:val="22"/>
        </w:rPr>
        <w:t> </w:t>
      </w:r>
      <w:r>
        <w:rPr>
          <w:rFonts w:ascii="Cambria"/>
          <w:b/>
          <w:color w:val="4F81BC"/>
          <w:sz w:val="22"/>
        </w:rPr>
        <w:t>videocasetera</w:t>
      </w:r>
    </w:p>
    <w:p>
      <w:pPr>
        <w:pStyle w:val="BodyText"/>
        <w:rPr>
          <w:rFonts w:ascii="Cambria"/>
          <w:b/>
          <w:sz w:val="22"/>
        </w:rPr>
      </w:pPr>
    </w:p>
    <w:p>
      <w:pPr>
        <w:pStyle w:val="BodyText"/>
        <w:rPr>
          <w:rFonts w:ascii="Cambria"/>
          <w:b/>
          <w:sz w:val="22"/>
        </w:rPr>
      </w:pPr>
    </w:p>
    <w:p>
      <w:pPr>
        <w:pStyle w:val="BodyText"/>
        <w:spacing w:line="360" w:lineRule="auto" w:before="134"/>
        <w:ind w:left="102" w:right="115"/>
        <w:jc w:val="both"/>
      </w:pPr>
      <w:r>
        <w:rPr/>
        <w:t>Para el análisis de las viviendas que cuentan con videocasetera solo disponemos de los datos del año 2000, ya que para el año 2010 se omitió esta variable. Este aparato también conocido como videograbadora, video, videocasetera, videocaset o conocido en inglés video cassette recorder (VCR), de uso doméstico que utiliza una videocinta extraíble para grabar audio y video de una señal de televisión.</w:t>
      </w:r>
    </w:p>
    <w:p>
      <w:pPr>
        <w:pStyle w:val="BodyText"/>
        <w:spacing w:line="360" w:lineRule="auto" w:before="204"/>
        <w:ind w:left="102" w:right="118"/>
        <w:jc w:val="both"/>
      </w:pPr>
      <w:r>
        <w:rPr/>
        <w:t>Entonces se puede decir que para el año 2000, el municipio con menor porcentaje de videocaseteras en las viviendas fue el municipio de Temoaya con el 12.8 por ciento seguido de Almoloya de Juárez con el 15.6 por ciento, once municipios se encuentran entre más del 23 por ciento y menor del 37 por ciento, Toluca registró más del 46 por ciento y el municipio de Metepec contó con este aparato con más del 62 por ciento en las viviendas (ver gráfica no. 12).</w:t>
      </w:r>
    </w:p>
    <w:p>
      <w:pPr>
        <w:pStyle w:val="BodyText"/>
        <w:spacing w:line="360" w:lineRule="auto" w:before="204"/>
        <w:ind w:left="102" w:right="122"/>
        <w:jc w:val="both"/>
      </w:pPr>
      <w:r>
        <w:rPr/>
        <w:t>Como se ha mencionado Metepec es el municipio de la zona metropolitana que se sigue posicionando con la mayor cantidad de bienes en las viviendas, lo cual da a sus habitantes un mejor desarrollo, aunque el objetivo general de la investigación es evaluar la habitabilidad por sus diferentes dimensiones como es contar con servicios públicos, materiales de construcción y los bienes que cuentan las viviendas.</w:t>
      </w:r>
    </w:p>
    <w:p>
      <w:pPr>
        <w:pStyle w:val="BodyText"/>
        <w:spacing w:line="360" w:lineRule="auto" w:before="204"/>
        <w:ind w:left="102" w:right="120"/>
        <w:jc w:val="both"/>
      </w:pPr>
      <w:r>
        <w:rPr/>
        <w:t>Además de la construcción de un índice de habitabilidad del entorno de las variables por medio de la oferta de empleo, educación, salud, abasto de alimentos, áreas verdes y recreación que se analiza más adelante en la investigación.</w:t>
      </w:r>
    </w:p>
    <w:p>
      <w:pPr>
        <w:spacing w:after="0" w:line="360" w:lineRule="auto"/>
        <w:jc w:val="both"/>
        <w:sectPr>
          <w:pgSz w:w="12240" w:h="15840"/>
          <w:pgMar w:header="0" w:footer="1003" w:top="1360" w:bottom="1200" w:left="1600" w:right="1580"/>
        </w:sectPr>
      </w:pPr>
    </w:p>
    <w:p>
      <w:pPr>
        <w:spacing w:before="53" w:after="14"/>
        <w:ind w:left="195" w:right="216" w:firstLine="0"/>
        <w:jc w:val="center"/>
        <w:rPr>
          <w:sz w:val="20"/>
        </w:rPr>
      </w:pPr>
      <w:r>
        <w:rPr/>
        <w:pict>
          <v:group style="position:absolute;margin-left:124.417267pt;margin-top:46.998341pt;width:361.35pt;height:166pt;mso-position-horizontal-relative:page;mso-position-vertical-relative:paragraph;z-index:-332704" coordorigin="2488,940" coordsize="7227,3320">
            <v:line style="position:absolute" from="2494,3782" to="9709,3782" stroked="true" strokeweight=".574181pt" strokecolor="#858585"/>
            <v:shape style="position:absolute;left:2569;top:3467;width:333;height:785" type="#_x0000_t75" stroked="false">
              <v:imagedata r:id="rId517" o:title=""/>
            </v:shape>
            <v:line style="position:absolute" from="2494,3312" to="9709,3312" stroked="true" strokeweight=".574181pt" strokecolor="#858585"/>
            <v:shape style="position:absolute;left:3052;top:2927;width:333;height:1324" type="#_x0000_t75" stroked="false">
              <v:imagedata r:id="rId518" o:title=""/>
            </v:shape>
            <v:line style="position:absolute" from="2494,2841" to="9709,2841" stroked="true" strokeweight=".574181pt" strokecolor="#858585"/>
            <v:shape style="position:absolute;left:3534;top:2755;width:333;height:1497" type="#_x0000_t75" stroked="false">
              <v:imagedata r:id="rId519" o:title=""/>
            </v:shape>
            <v:shape style="position:absolute;left:4016;top:2571;width:333;height:1680" type="#_x0000_t75" stroked="false">
              <v:imagedata r:id="rId520" o:title=""/>
            </v:shape>
            <v:shape style="position:absolute;left:998;top:9057;width:9421;height:1230" coordorigin="998,9057" coordsize="9421,1230" path="m2494,2358l9709,2358m2494,1888l9709,1888m2494,1417l9709,1417e" filled="false" stroked="true" strokeweight=".574288pt" strokecolor="#858585">
              <v:path arrowok="t"/>
            </v:shape>
            <v:shape style="position:absolute;left:4499;top:1262;width:322;height:2990" type="#_x0000_t75" stroked="false">
              <v:imagedata r:id="rId521" o:title=""/>
            </v:shape>
            <v:shape style="position:absolute;left:4981;top:2548;width:322;height:1703" type="#_x0000_t75" stroked="false">
              <v:imagedata r:id="rId522" o:title=""/>
            </v:shape>
            <v:shape style="position:absolute;left:5452;top:2479;width:333;height:1772" type="#_x0000_t75" stroked="false">
              <v:imagedata r:id="rId523" o:title=""/>
            </v:shape>
            <v:shape style="position:absolute;left:5935;top:3111;width:333;height:1141" type="#_x0000_t75" stroked="false">
              <v:imagedata r:id="rId524" o:title=""/>
            </v:shape>
            <v:shape style="position:absolute;left:6417;top:2697;width:333;height:1554" type="#_x0000_t75" stroked="false">
              <v:imagedata r:id="rId525" o:title=""/>
            </v:shape>
            <v:shape style="position:absolute;left:6900;top:2720;width:333;height:1531" type="#_x0000_t75" stroked="false">
              <v:imagedata r:id="rId526" o:title=""/>
            </v:shape>
            <v:shape style="position:absolute;left:7382;top:2468;width:333;height:1784" type="#_x0000_t75" stroked="false">
              <v:imagedata r:id="rId527" o:title=""/>
            </v:shape>
            <v:shape style="position:absolute;left:7865;top:3604;width:322;height:647" type="#_x0000_t75" stroked="false">
              <v:imagedata r:id="rId528" o:title=""/>
            </v:shape>
            <v:shape style="position:absolute;left:8347;top:2031;width:322;height:2220" type="#_x0000_t75" stroked="false">
              <v:imagedata r:id="rId529" o:title=""/>
            </v:shape>
            <v:shape style="position:absolute;left:8818;top:2927;width:333;height:1324" type="#_x0000_t75" stroked="false">
              <v:imagedata r:id="rId518" o:title=""/>
            </v:shape>
            <v:shape style="position:absolute;left:9301;top:2869;width:333;height:1382" type="#_x0000_t75" stroked="false">
              <v:imagedata r:id="rId530" o:title=""/>
            </v:shape>
            <v:shape style="position:absolute;left:2603;top:3478;width:253;height:769" type="#_x0000_t75" stroked="false">
              <v:imagedata r:id="rId531" o:title=""/>
            </v:shape>
            <v:shape style="position:absolute;left:3086;top:2938;width:253;height:1309" type="#_x0000_t75" stroked="false">
              <v:imagedata r:id="rId532" o:title=""/>
            </v:shape>
            <v:shape style="position:absolute;left:3568;top:2766;width:253;height:1481" type="#_x0000_t75" stroked="false">
              <v:imagedata r:id="rId533" o:title=""/>
            </v:shape>
            <v:shape style="position:absolute;left:4051;top:2582;width:253;height:1665" type="#_x0000_t75" stroked="false">
              <v:imagedata r:id="rId534" o:title=""/>
            </v:shape>
            <v:shape style="position:absolute;left:4533;top:1273;width:241;height:2974" type="#_x0000_t75" stroked="false">
              <v:imagedata r:id="rId535" o:title=""/>
            </v:shape>
            <v:shape style="position:absolute;left:5016;top:2559;width:241;height:1688" type="#_x0000_t75" stroked="false">
              <v:imagedata r:id="rId536" o:title=""/>
            </v:shape>
            <v:shape style="position:absolute;left:5487;top:2491;width:253;height:1757" type="#_x0000_t75" stroked="false">
              <v:imagedata r:id="rId537" o:title=""/>
            </v:shape>
            <v:shape style="position:absolute;left:5969;top:3122;width:253;height:1125" type="#_x0000_t75" stroked="false">
              <v:imagedata r:id="rId538" o:title=""/>
            </v:shape>
            <v:shape style="position:absolute;left:6452;top:2709;width:253;height:1539" type="#_x0000_t75" stroked="false">
              <v:imagedata r:id="rId539" o:title=""/>
            </v:shape>
            <v:shape style="position:absolute;left:6934;top:2732;width:253;height:1516" type="#_x0000_t75" stroked="false">
              <v:imagedata r:id="rId540" o:title=""/>
            </v:shape>
            <v:shape style="position:absolute;left:7417;top:2479;width:253;height:1768" type="#_x0000_t75" stroked="false">
              <v:imagedata r:id="rId541" o:title=""/>
            </v:shape>
            <v:shape style="position:absolute;left:7899;top:3616;width:241;height:632" type="#_x0000_t75" stroked="false">
              <v:imagedata r:id="rId542" o:title=""/>
            </v:shape>
            <v:shape style="position:absolute;left:8382;top:2043;width:241;height:2205" type="#_x0000_t75" stroked="false">
              <v:imagedata r:id="rId543" o:title=""/>
            </v:shape>
            <v:shape style="position:absolute;left:8853;top:2938;width:253;height:1309" type="#_x0000_t75" stroked="false">
              <v:imagedata r:id="rId544" o:title=""/>
            </v:shape>
            <v:shape style="position:absolute;left:9335;top:2881;width:253;height:1367" type="#_x0000_t75" stroked="false">
              <v:imagedata r:id="rId545" o:title=""/>
            </v:shape>
            <v:shape style="position:absolute;left:998;top:8442;width:9421;height:4320" coordorigin="998,8442" coordsize="9421,4320" path="m2494,946l9709,946m2494,4253l2494,946m2494,4253l9709,4253e" filled="false" stroked="true" strokeweight=".574288pt" strokecolor="#858585">
              <v:path arrowok="t"/>
            </v:shape>
            <w10:wrap type="none"/>
          </v:group>
        </w:pict>
      </w:r>
      <w:r>
        <w:rPr>
          <w:sz w:val="20"/>
        </w:rPr>
        <w:t>Gráfica No. 12 Viviendas con videocaseteras en la </w:t>
      </w:r>
      <w:r>
        <w:rPr>
          <w:sz w:val="16"/>
        </w:rPr>
        <w:t>ZMT</w:t>
      </w:r>
      <w:r>
        <w:rPr>
          <w:sz w:val="20"/>
        </w:rPr>
        <w:t>, 2000.</w:t>
      </w:r>
    </w:p>
    <w:p>
      <w:pPr>
        <w:pStyle w:val="BodyText"/>
        <w:ind w:left="141"/>
        <w:rPr>
          <w:sz w:val="20"/>
        </w:rPr>
      </w:pPr>
      <w:r>
        <w:rPr>
          <w:sz w:val="20"/>
        </w:rPr>
        <w:pict>
          <v:group style="width:440.6pt;height:263pt;mso-position-horizontal-relative:char;mso-position-vertical-relative:line" coordorigin="0,0" coordsize="8812,5260">
            <v:shape style="position:absolute;left:6455;top:4169;width:342;height:297" type="#_x0000_t75" stroked="false">
              <v:imagedata r:id="rId546" o:title=""/>
            </v:shape>
            <v:shape style="position:absolute;left:6741;top:4170;width:1011;height:616" type="#_x0000_t75" stroked="false">
              <v:imagedata r:id="rId547" o:title=""/>
            </v:shape>
            <v:shape style="position:absolute;left:6;top:6;width:8800;height:5248" type="#_x0000_t202" filled="false" stroked="true" strokeweight=".574811pt" strokecolor="#858585">
              <v:textbox inset="0,0,0,0">
                <w:txbxContent>
                  <w:p>
                    <w:pPr>
                      <w:spacing w:before="111"/>
                      <w:ind w:left="1054" w:right="0" w:firstLine="0"/>
                      <w:jc w:val="left"/>
                      <w:rPr>
                        <w:rFonts w:ascii="Calibri"/>
                        <w:b/>
                        <w:sz w:val="27"/>
                      </w:rPr>
                    </w:pPr>
                    <w:r>
                      <w:rPr>
                        <w:rFonts w:ascii="Calibri"/>
                        <w:b/>
                        <w:sz w:val="27"/>
                      </w:rPr>
                      <w:t>Viviendas que cuentan con videocaseteras en la ZMT,  2000</w:t>
                    </w:r>
                  </w:p>
                  <w:p>
                    <w:pPr>
                      <w:spacing w:before="98"/>
                      <w:ind w:left="327" w:right="0" w:firstLine="0"/>
                      <w:jc w:val="left"/>
                      <w:rPr>
                        <w:rFonts w:ascii="Calibri"/>
                        <w:sz w:val="15"/>
                      </w:rPr>
                    </w:pPr>
                    <w:r>
                      <w:rPr>
                        <w:rFonts w:ascii="Calibri"/>
                        <w:sz w:val="15"/>
                      </w:rPr>
                      <w:t>70.0</w:t>
                    </w:r>
                  </w:p>
                  <w:p>
                    <w:pPr>
                      <w:spacing w:line="240" w:lineRule="auto" w:before="0"/>
                      <w:rPr>
                        <w:sz w:val="14"/>
                      </w:rPr>
                    </w:pPr>
                  </w:p>
                  <w:p>
                    <w:pPr>
                      <w:spacing w:line="240" w:lineRule="auto" w:before="3"/>
                      <w:rPr>
                        <w:sz w:val="11"/>
                      </w:rPr>
                    </w:pPr>
                  </w:p>
                  <w:p>
                    <w:pPr>
                      <w:spacing w:before="0"/>
                      <w:ind w:left="327" w:right="0" w:firstLine="0"/>
                      <w:jc w:val="left"/>
                      <w:rPr>
                        <w:rFonts w:ascii="Calibri"/>
                        <w:sz w:val="15"/>
                      </w:rPr>
                    </w:pPr>
                    <w:r>
                      <w:rPr>
                        <w:rFonts w:ascii="Calibri"/>
                        <w:sz w:val="15"/>
                      </w:rPr>
                      <w:t>60.0</w:t>
                    </w:r>
                  </w:p>
                  <w:p>
                    <w:pPr>
                      <w:spacing w:line="240" w:lineRule="auto" w:before="0"/>
                      <w:rPr>
                        <w:sz w:val="14"/>
                      </w:rPr>
                    </w:pPr>
                  </w:p>
                  <w:p>
                    <w:pPr>
                      <w:spacing w:line="240" w:lineRule="auto" w:before="3"/>
                      <w:rPr>
                        <w:sz w:val="11"/>
                      </w:rPr>
                    </w:pPr>
                  </w:p>
                  <w:p>
                    <w:pPr>
                      <w:spacing w:before="0"/>
                      <w:ind w:left="327" w:right="0" w:firstLine="0"/>
                      <w:jc w:val="left"/>
                      <w:rPr>
                        <w:rFonts w:ascii="Calibri"/>
                        <w:sz w:val="15"/>
                      </w:rPr>
                    </w:pPr>
                    <w:r>
                      <w:rPr>
                        <w:rFonts w:ascii="Calibri"/>
                        <w:sz w:val="15"/>
                      </w:rPr>
                      <w:t>50.0</w:t>
                    </w:r>
                  </w:p>
                  <w:p>
                    <w:pPr>
                      <w:spacing w:line="240" w:lineRule="auto" w:before="0"/>
                      <w:rPr>
                        <w:sz w:val="14"/>
                      </w:rPr>
                    </w:pPr>
                  </w:p>
                  <w:p>
                    <w:pPr>
                      <w:spacing w:line="240" w:lineRule="auto" w:before="3"/>
                      <w:rPr>
                        <w:sz w:val="11"/>
                      </w:rPr>
                    </w:pPr>
                  </w:p>
                  <w:p>
                    <w:pPr>
                      <w:spacing w:before="0"/>
                      <w:ind w:left="327" w:right="0" w:firstLine="0"/>
                      <w:jc w:val="left"/>
                      <w:rPr>
                        <w:rFonts w:ascii="Calibri"/>
                        <w:sz w:val="15"/>
                      </w:rPr>
                    </w:pPr>
                    <w:r>
                      <w:rPr>
                        <w:rFonts w:ascii="Calibri"/>
                        <w:sz w:val="15"/>
                      </w:rPr>
                      <w:t>40.0</w:t>
                    </w:r>
                  </w:p>
                  <w:p>
                    <w:pPr>
                      <w:spacing w:line="240" w:lineRule="auto" w:before="0"/>
                      <w:rPr>
                        <w:sz w:val="14"/>
                      </w:rPr>
                    </w:pPr>
                  </w:p>
                  <w:p>
                    <w:pPr>
                      <w:spacing w:line="240" w:lineRule="auto" w:before="3"/>
                      <w:rPr>
                        <w:sz w:val="11"/>
                      </w:rPr>
                    </w:pPr>
                  </w:p>
                  <w:p>
                    <w:pPr>
                      <w:spacing w:before="0"/>
                      <w:ind w:left="327" w:right="0" w:firstLine="0"/>
                      <w:jc w:val="left"/>
                      <w:rPr>
                        <w:rFonts w:ascii="Calibri"/>
                        <w:sz w:val="15"/>
                      </w:rPr>
                    </w:pPr>
                    <w:r>
                      <w:rPr>
                        <w:rFonts w:ascii="Calibri"/>
                        <w:sz w:val="15"/>
                      </w:rPr>
                      <w:t>30.0</w:t>
                    </w:r>
                  </w:p>
                  <w:p>
                    <w:pPr>
                      <w:spacing w:line="240" w:lineRule="auto" w:before="9"/>
                      <w:rPr>
                        <w:sz w:val="12"/>
                      </w:rPr>
                    </w:pPr>
                  </w:p>
                  <w:p>
                    <w:pPr>
                      <w:spacing w:line="163" w:lineRule="exact" w:before="0"/>
                      <w:ind w:left="0" w:right="131" w:firstLine="0"/>
                      <w:jc w:val="right"/>
                      <w:rPr>
                        <w:rFonts w:ascii="Calibri"/>
                        <w:sz w:val="15"/>
                      </w:rPr>
                    </w:pPr>
                    <w:r>
                      <w:rPr/>
                      <w:drawing>
                        <wp:inline distT="0" distB="0" distL="0" distR="0">
                          <wp:extent cx="88043" cy="95345"/>
                          <wp:effectExtent l="0" t="0" r="0" b="0"/>
                          <wp:docPr id="91" name="image519.png" descr=""/>
                          <wp:cNvGraphicFramePr>
                            <a:graphicFrameLocks noChangeAspect="1"/>
                          </wp:cNvGraphicFramePr>
                          <a:graphic>
                            <a:graphicData uri="http://schemas.openxmlformats.org/drawingml/2006/picture">
                              <pic:pic>
                                <pic:nvPicPr>
                                  <pic:cNvPr id="92" name="image519.png"/>
                                  <pic:cNvPicPr/>
                                </pic:nvPicPr>
                                <pic:blipFill>
                                  <a:blip r:embed="rId548" cstate="print"/>
                                  <a:stretch>
                                    <a:fillRect/>
                                  </a:stretch>
                                </pic:blipFill>
                                <pic:spPr>
                                  <a:xfrm>
                                    <a:off x="0" y="0"/>
                                    <a:ext cx="88043" cy="95345"/>
                                  </a:xfrm>
                                  <a:prstGeom prst="rect">
                                    <a:avLst/>
                                  </a:prstGeom>
                                </pic:spPr>
                              </pic:pic>
                            </a:graphicData>
                          </a:graphic>
                        </wp:inline>
                      </w:drawing>
                    </w:r>
                    <w:r>
                      <w:rPr/>
                    </w:r>
                    <w:r>
                      <w:rPr>
                        <w:rFonts w:ascii="Calibri"/>
                        <w:spacing w:val="2"/>
                        <w:position w:val="1"/>
                        <w:sz w:val="15"/>
                      </w:rPr>
                      <w:t>2000</w:t>
                    </w:r>
                  </w:p>
                  <w:p>
                    <w:pPr>
                      <w:spacing w:line="163" w:lineRule="exact" w:before="0"/>
                      <w:ind w:left="327" w:right="0" w:firstLine="0"/>
                      <w:jc w:val="left"/>
                      <w:rPr>
                        <w:rFonts w:ascii="Calibri"/>
                        <w:sz w:val="15"/>
                      </w:rPr>
                    </w:pPr>
                    <w:r>
                      <w:rPr>
                        <w:rFonts w:ascii="Calibri"/>
                        <w:sz w:val="15"/>
                      </w:rPr>
                      <w:t>20.0</w:t>
                    </w:r>
                  </w:p>
                  <w:p>
                    <w:pPr>
                      <w:spacing w:line="240" w:lineRule="auto" w:before="0"/>
                      <w:rPr>
                        <w:sz w:val="14"/>
                      </w:rPr>
                    </w:pPr>
                  </w:p>
                  <w:p>
                    <w:pPr>
                      <w:spacing w:line="240" w:lineRule="auto" w:before="3"/>
                      <w:rPr>
                        <w:sz w:val="11"/>
                      </w:rPr>
                    </w:pPr>
                  </w:p>
                  <w:p>
                    <w:pPr>
                      <w:spacing w:before="0"/>
                      <w:ind w:left="327" w:right="0" w:firstLine="0"/>
                      <w:jc w:val="left"/>
                      <w:rPr>
                        <w:rFonts w:ascii="Calibri"/>
                        <w:sz w:val="15"/>
                      </w:rPr>
                    </w:pPr>
                    <w:r>
                      <w:rPr>
                        <w:rFonts w:ascii="Calibri"/>
                        <w:sz w:val="15"/>
                      </w:rPr>
                      <w:t>10.0</w:t>
                    </w:r>
                  </w:p>
                  <w:p>
                    <w:pPr>
                      <w:spacing w:line="240" w:lineRule="auto" w:before="0"/>
                      <w:rPr>
                        <w:sz w:val="14"/>
                      </w:rPr>
                    </w:pPr>
                  </w:p>
                  <w:p>
                    <w:pPr>
                      <w:spacing w:line="240" w:lineRule="auto" w:before="2"/>
                      <w:rPr>
                        <w:sz w:val="11"/>
                      </w:rPr>
                    </w:pPr>
                  </w:p>
                  <w:p>
                    <w:pPr>
                      <w:spacing w:before="1"/>
                      <w:ind w:left="400" w:right="0" w:firstLine="0"/>
                      <w:jc w:val="left"/>
                      <w:rPr>
                        <w:rFonts w:ascii="Calibri"/>
                        <w:sz w:val="15"/>
                      </w:rPr>
                    </w:pPr>
                    <w:r>
                      <w:rPr>
                        <w:rFonts w:ascii="Calibri"/>
                        <w:sz w:val="15"/>
                      </w:rPr>
                      <w:t>0.0</w:t>
                    </w:r>
                  </w:p>
                </w:txbxContent>
              </v:textbox>
              <w10:wrap type="none"/>
            </v:shape>
          </v:group>
        </w:pict>
      </w:r>
      <w:r>
        <w:rPr>
          <w:sz w:val="20"/>
        </w:rPr>
      </w:r>
    </w:p>
    <w:p>
      <w:pPr>
        <w:spacing w:before="3"/>
        <w:ind w:left="102" w:right="0" w:firstLine="9"/>
        <w:jc w:val="both"/>
        <w:rPr>
          <w:sz w:val="20"/>
        </w:rPr>
      </w:pPr>
      <w:r>
        <w:rPr/>
        <w:drawing>
          <wp:anchor distT="0" distB="0" distL="0" distR="0" allowOverlap="1" layoutInCell="1" locked="0" behindDoc="1" simplePos="0" relativeHeight="268102775">
            <wp:simplePos x="0" y="0"/>
            <wp:positionH relativeFrom="page">
              <wp:posOffset>1196175</wp:posOffset>
            </wp:positionH>
            <wp:positionV relativeFrom="paragraph">
              <wp:posOffset>-699957</wp:posOffset>
            </wp:positionV>
            <wp:extent cx="1159045" cy="557212"/>
            <wp:effectExtent l="0" t="0" r="0" b="0"/>
            <wp:wrapNone/>
            <wp:docPr id="93" name="image520.png" descr=""/>
            <wp:cNvGraphicFramePr>
              <a:graphicFrameLocks noChangeAspect="1"/>
            </wp:cNvGraphicFramePr>
            <a:graphic>
              <a:graphicData uri="http://schemas.openxmlformats.org/drawingml/2006/picture">
                <pic:pic>
                  <pic:nvPicPr>
                    <pic:cNvPr id="94" name="image520.png"/>
                    <pic:cNvPicPr/>
                  </pic:nvPicPr>
                  <pic:blipFill>
                    <a:blip r:embed="rId549" cstate="print"/>
                    <a:stretch>
                      <a:fillRect/>
                    </a:stretch>
                  </pic:blipFill>
                  <pic:spPr>
                    <a:xfrm>
                      <a:off x="0" y="0"/>
                      <a:ext cx="1159045" cy="557212"/>
                    </a:xfrm>
                    <a:prstGeom prst="rect">
                      <a:avLst/>
                    </a:prstGeom>
                  </pic:spPr>
                </pic:pic>
              </a:graphicData>
            </a:graphic>
          </wp:anchor>
        </w:drawing>
      </w:r>
      <w:r>
        <w:rPr/>
        <w:pict>
          <v:group style="position:absolute;margin-left:194.138672pt;margin-top:-55.31382pt;width:112.2pt;height:31.9pt;mso-position-horizontal-relative:page;mso-position-vertical-relative:paragraph;z-index:-332656" coordorigin="3883,-1106" coordsize="2244,638">
            <v:shape style="position:absolute;left:3883;top:-1099;width:327;height:300" type="#_x0000_t75" stroked="false">
              <v:imagedata r:id="rId550" o:title=""/>
            </v:shape>
            <v:shape style="position:absolute;left:4249;top:-1106;width:1877;height:638" type="#_x0000_t75" stroked="false">
              <v:imagedata r:id="rId551" o:title=""/>
            </v:shape>
            <w10:wrap type="none"/>
          </v:group>
        </w:pict>
      </w:r>
      <w:r>
        <w:rPr/>
        <w:pict>
          <v:group style="position:absolute;margin-left:312.785706pt;margin-top:-54.815434pt;width:89.75pt;height:41.4pt;mso-position-horizontal-relative:page;mso-position-vertical-relative:paragraph;z-index:-332632" coordorigin="6256,-1096" coordsize="1795,828">
            <v:shape style="position:absolute;left:6298;top:-1096;width:314;height:289" type="#_x0000_t75" stroked="false">
              <v:imagedata r:id="rId552" o:title=""/>
            </v:shape>
            <v:shape style="position:absolute;left:6256;top:-1096;width:1795;height:827" type="#_x0000_t75" stroked="false">
              <v:imagedata r:id="rId553" o:title=""/>
            </v:shape>
            <w10:wrap type="none"/>
          </v:group>
        </w:pict>
      </w:r>
      <w:r>
        <w:rPr>
          <w:sz w:val="20"/>
        </w:rPr>
        <w:t>Fuente: Elaboración propia con base en los datos del Censo de Población y Vivienda INEGI, 2000.</w:t>
      </w:r>
    </w:p>
    <w:p>
      <w:pPr>
        <w:pStyle w:val="BodyText"/>
        <w:spacing w:before="5"/>
        <w:rPr>
          <w:sz w:val="27"/>
        </w:rPr>
      </w:pPr>
    </w:p>
    <w:p>
      <w:pPr>
        <w:pStyle w:val="BodyText"/>
        <w:spacing w:line="360" w:lineRule="auto"/>
        <w:ind w:left="102" w:right="116"/>
        <w:jc w:val="both"/>
      </w:pPr>
      <w:r>
        <w:rPr/>
        <w:t>Las videocaseteras de las viviendas en la </w:t>
      </w:r>
      <w:r>
        <w:rPr>
          <w:sz w:val="19"/>
        </w:rPr>
        <w:t>ZMT</w:t>
      </w:r>
      <w:r>
        <w:rPr/>
        <w:t>, registraron en promedio un 31.9  por ciento en el año 2000, un factor posible para que las personas no cuenten en sus viviendas con este aparato es su costo. Continuamos analizando los bienes de las viviendas en el siguiente apartado se analiza el</w:t>
      </w:r>
      <w:r>
        <w:rPr>
          <w:spacing w:val="-22"/>
        </w:rPr>
        <w:t> </w:t>
      </w:r>
      <w:r>
        <w:rPr/>
        <w:t>refrigerador.</w:t>
      </w:r>
    </w:p>
    <w:p>
      <w:pPr>
        <w:pStyle w:val="ListParagraph"/>
        <w:numPr>
          <w:ilvl w:val="2"/>
          <w:numId w:val="22"/>
        </w:numPr>
        <w:tabs>
          <w:tab w:pos="643" w:val="left" w:leader="none"/>
        </w:tabs>
        <w:spacing w:line="240" w:lineRule="auto" w:before="206" w:after="0"/>
        <w:ind w:left="642" w:right="0" w:hanging="540"/>
        <w:jc w:val="both"/>
        <w:rPr>
          <w:rFonts w:ascii="Cambria"/>
          <w:b/>
          <w:sz w:val="22"/>
        </w:rPr>
      </w:pPr>
      <w:r>
        <w:rPr>
          <w:rFonts w:ascii="Cambria"/>
          <w:b/>
          <w:color w:val="4F81BC"/>
          <w:sz w:val="22"/>
        </w:rPr>
        <w:t>Viviendas con</w:t>
      </w:r>
      <w:r>
        <w:rPr>
          <w:rFonts w:ascii="Cambria"/>
          <w:b/>
          <w:color w:val="4F81BC"/>
          <w:spacing w:val="-8"/>
          <w:sz w:val="22"/>
        </w:rPr>
        <w:t> </w:t>
      </w:r>
      <w:r>
        <w:rPr>
          <w:rFonts w:ascii="Cambria"/>
          <w:b/>
          <w:color w:val="4F81BC"/>
          <w:sz w:val="22"/>
        </w:rPr>
        <w:t>refrigerador</w:t>
      </w:r>
    </w:p>
    <w:p>
      <w:pPr>
        <w:pStyle w:val="BodyText"/>
        <w:rPr>
          <w:rFonts w:ascii="Cambria"/>
          <w:b/>
          <w:sz w:val="22"/>
        </w:rPr>
      </w:pPr>
    </w:p>
    <w:p>
      <w:pPr>
        <w:pStyle w:val="BodyText"/>
        <w:spacing w:before="10"/>
        <w:rPr>
          <w:rFonts w:ascii="Cambria"/>
          <w:b/>
          <w:sz w:val="26"/>
        </w:rPr>
      </w:pPr>
    </w:p>
    <w:p>
      <w:pPr>
        <w:pStyle w:val="BodyText"/>
        <w:spacing w:line="360" w:lineRule="auto"/>
        <w:ind w:left="102" w:right="115"/>
        <w:jc w:val="both"/>
      </w:pPr>
      <w:r>
        <w:rPr/>
        <w:t>Las viviendas que cuentan con refrigerador tienen la posibilidad de conservar y refrigerar los alimentos y bebidas de sus moradores. El refrigerador es un aparato empleado en la cocina de las viviendas, para la conservación de alimentos y enfriamiento de bebidas para un consumo más conveniente, está considerado como uno de los electrodomésticos más comunes en el mundo, aunque en países en vías de desarrollo como México, la población no siempre tiene el poder adquisitivo de contar con este electrodoméstico.</w:t>
      </w:r>
    </w:p>
    <w:p>
      <w:pPr>
        <w:pStyle w:val="BodyText"/>
        <w:spacing w:line="360" w:lineRule="auto" w:before="204"/>
        <w:ind w:left="102" w:right="119"/>
        <w:jc w:val="both"/>
      </w:pPr>
      <w:r>
        <w:rPr/>
        <w:t>En el año 2000 el municipio que conto con menor porcentaje de refrigeradores en las  viviendas fue Temoaya  con  18.4,  seguido  de Almoloya  de Juárez 25.6   por</w:t>
      </w:r>
    </w:p>
    <w:p>
      <w:pPr>
        <w:spacing w:after="0" w:line="360" w:lineRule="auto"/>
        <w:jc w:val="both"/>
        <w:sectPr>
          <w:footerReference w:type="default" r:id="rId516"/>
          <w:pgSz w:w="12240" w:h="15840"/>
          <w:pgMar w:footer="1003" w:header="0" w:top="1360" w:bottom="1200" w:left="1600" w:right="1580"/>
          <w:pgNumType w:start="150"/>
        </w:sectPr>
      </w:pPr>
    </w:p>
    <w:p>
      <w:pPr>
        <w:pStyle w:val="BodyText"/>
        <w:spacing w:line="360" w:lineRule="auto" w:before="54"/>
        <w:ind w:left="102" w:right="129"/>
        <w:jc w:val="both"/>
      </w:pPr>
      <w:r>
        <w:rPr/>
        <w:t>ciento y Otzolotepec con 36.4 por ciento, es decir un aparato necesarios para prolongar la conservación de los alimentos.</w:t>
      </w:r>
    </w:p>
    <w:p>
      <w:pPr>
        <w:pStyle w:val="BodyText"/>
        <w:spacing w:line="360" w:lineRule="auto" w:before="204"/>
        <w:ind w:left="102" w:right="117"/>
        <w:jc w:val="both"/>
      </w:pPr>
      <w:r>
        <w:rPr/>
        <w:t>Seis municipios registraron entre un 40 y 47 por ciento, esto significa que en  nueve municipios menos de la mitad de las viviendas no cuentan con refrigerador en el año 2000. Cuatro municipios encontramos entre el 51 y 59 por ciento, mientras que el municipio de Toluca registró el 63 por ciento y Metepec registró 80 por ciento de refrigeradores en las viviendas (ver gráfica no.</w:t>
      </w:r>
      <w:r>
        <w:rPr>
          <w:spacing w:val="-24"/>
        </w:rPr>
        <w:t> </w:t>
      </w:r>
      <w:r>
        <w:rPr/>
        <w:t>13).</w:t>
      </w:r>
    </w:p>
    <w:p>
      <w:pPr>
        <w:spacing w:before="200" w:after="13"/>
        <w:ind w:left="197" w:right="216" w:firstLine="0"/>
        <w:jc w:val="center"/>
        <w:rPr>
          <w:sz w:val="24"/>
        </w:rPr>
      </w:pPr>
      <w:r>
        <w:rPr/>
        <w:pict>
          <v:group style="position:absolute;margin-left:119.383171pt;margin-top:54.097561pt;width:400.35pt;height:143.050pt;mso-position-horizontal-relative:page;mso-position-vertical-relative:paragraph;z-index:-332560" coordorigin="2388,1082" coordsize="8007,2861">
            <v:shape style="position:absolute;left:938;top:8232;width:11311;height:450" coordorigin="938,8232" coordsize="11311,450" path="m2393,3619l10389,3619m2393,3301l10389,3301e" filled="false" stroked="true" strokeweight=".529891pt" strokecolor="#858585">
              <v:path arrowok="t"/>
            </v:shape>
            <v:shape style="position:absolute;left:2441;top:3084;width:286;height:850" type="#_x0000_t75" stroked="false">
              <v:imagedata r:id="rId554" o:title=""/>
            </v:shape>
            <v:shape style="position:absolute;left:938;top:7332;width:11311;height:450" coordorigin="938,7332" coordsize="11311,450" path="m2393,2983l10389,2983m2393,2666l10389,2666e" filled="false" stroked="true" strokeweight=".529891pt" strokecolor="#858585">
              <v:path arrowok="t"/>
            </v:shape>
            <v:shape style="position:absolute;left:2982;top:2523;width:276;height:1411" type="#_x0000_t75" stroked="false">
              <v:imagedata r:id="rId555" o:title=""/>
            </v:shape>
            <v:line style="position:absolute" from="2393,2358" to="10389,2358" stroked="true" strokeweight=".529571pt" strokecolor="#858585"/>
            <v:shape style="position:absolute;left:3512;top:2374;width:276;height:1559" type="#_x0000_t75" stroked="false">
              <v:imagedata r:id="rId556" o:title=""/>
            </v:shape>
            <v:shape style="position:absolute;left:4042;top:2184;width:276;height:1750" type="#_x0000_t75" stroked="false">
              <v:imagedata r:id="rId557" o:title=""/>
            </v:shape>
            <v:shape style="position:absolute;left:938;top:5547;width:11311;height:900" coordorigin="938,5547" coordsize="11311,900" path="m2393,2041l10389,2041m2393,1723l10389,1723m2393,1405l10389,1405e" filled="false" stroked="true" strokeweight=".529891pt" strokecolor="#858585">
              <v:path arrowok="t"/>
            </v:shape>
            <v:shape style="position:absolute;left:4572;top:1347;width:286;height:2587" type="#_x0000_t75" stroked="false">
              <v:imagedata r:id="rId558" o:title=""/>
            </v:shape>
            <v:shape style="position:absolute;left:5113;top:2194;width:276;height:1739" type="#_x0000_t75" stroked="false">
              <v:imagedata r:id="rId559" o:title=""/>
            </v:shape>
            <v:shape style="position:absolute;left:5643;top:2268;width:276;height:1665" type="#_x0000_t75" stroked="false">
              <v:imagedata r:id="rId560" o:title=""/>
            </v:shape>
            <v:shape style="position:absolute;left:6174;top:2734;width:276;height:1199" type="#_x0000_t75" stroked="false">
              <v:imagedata r:id="rId561" o:title=""/>
            </v:shape>
            <v:shape style="position:absolute;left:6704;top:2374;width:286;height:1559" type="#_x0000_t75" stroked="false">
              <v:imagedata r:id="rId562" o:title=""/>
            </v:shape>
            <v:shape style="position:absolute;left:7245;top:2438;width:276;height:1496" type="#_x0000_t75" stroked="false">
              <v:imagedata r:id="rId563" o:title=""/>
            </v:shape>
            <v:shape style="position:absolute;left:7775;top:2014;width:276;height:1919" type="#_x0000_t75" stroked="false">
              <v:imagedata r:id="rId564" o:title=""/>
            </v:shape>
            <v:shape style="position:absolute;left:8305;top:3306;width:276;height:627" type="#_x0000_t75" stroked="false">
              <v:imagedata r:id="rId565" o:title=""/>
            </v:shape>
            <v:shape style="position:absolute;left:8835;top:1876;width:286;height:2057" type="#_x0000_t75" stroked="false">
              <v:imagedata r:id="rId566" o:title=""/>
            </v:shape>
            <v:shape style="position:absolute;left:9376;top:2597;width:276;height:1337" type="#_x0000_t75" stroked="false">
              <v:imagedata r:id="rId80" o:title=""/>
            </v:shape>
            <v:shape style="position:absolute;left:9906;top:2586;width:276;height:1347" type="#_x0000_t75" stroked="false">
              <v:imagedata r:id="rId567" o:title=""/>
            </v:shape>
            <v:shape style="position:absolute;left:2600;top:2194;width:276;height:1739" type="#_x0000_t75" stroked="false">
              <v:imagedata r:id="rId559" o:title=""/>
            </v:shape>
            <v:shape style="position:absolute;left:3130;top:1845;width:276;height:2089" type="#_x0000_t75" stroked="false">
              <v:imagedata r:id="rId568" o:title=""/>
            </v:shape>
            <v:shape style="position:absolute;left:3660;top:1548;width:286;height:2385" type="#_x0000_t75" stroked="false">
              <v:imagedata r:id="rId569" o:title=""/>
            </v:shape>
            <v:shape style="position:absolute;left:4191;top:1622;width:286;height:2311" type="#_x0000_t75" stroked="false">
              <v:imagedata r:id="rId570" o:title=""/>
            </v:shape>
            <v:shape style="position:absolute;left:4731;top:1188;width:276;height:2745" type="#_x0000_t75" stroked="false">
              <v:imagedata r:id="rId571" o:title=""/>
            </v:shape>
            <v:shape style="position:absolute;left:5262;top:1707;width:276;height:2226" type="#_x0000_t75" stroked="false">
              <v:imagedata r:id="rId572" o:title=""/>
            </v:shape>
            <v:shape style="position:absolute;left:5792;top:1771;width:286;height:2163" type="#_x0000_t75" stroked="false">
              <v:imagedata r:id="rId573" o:title=""/>
            </v:shape>
            <v:shape style="position:absolute;left:6322;top:2131;width:286;height:1803" type="#_x0000_t75" stroked="false">
              <v:imagedata r:id="rId574" o:title=""/>
            </v:shape>
            <v:shape style="position:absolute;left:6863;top:1845;width:276;height:2089" type="#_x0000_t75" stroked="false">
              <v:imagedata r:id="rId568" o:title=""/>
            </v:shape>
            <v:shape style="position:absolute;left:7393;top:1569;width:276;height:2364" type="#_x0000_t75" stroked="false">
              <v:imagedata r:id="rId575" o:title=""/>
            </v:shape>
            <v:shape style="position:absolute;left:7923;top:1686;width:286;height:2248" type="#_x0000_t75" stroked="false">
              <v:imagedata r:id="rId576" o:title=""/>
            </v:shape>
            <v:shape style="position:absolute;left:8453;top:2628;width:286;height:1305" type="#_x0000_t75" stroked="false">
              <v:imagedata r:id="rId577" o:title=""/>
            </v:shape>
            <v:shape style="position:absolute;left:8994;top:1495;width:276;height:2438" type="#_x0000_t75" stroked="false">
              <v:imagedata r:id="rId458" o:title=""/>
            </v:shape>
            <v:shape style="position:absolute;left:9524;top:1908;width:276;height:2025" type="#_x0000_t75" stroked="false">
              <v:imagedata r:id="rId578" o:title=""/>
            </v:shape>
            <v:shape style="position:absolute;left:10055;top:1919;width:286;height:2015" type="#_x0000_t75" stroked="false">
              <v:imagedata r:id="rId579" o:title=""/>
            </v:shape>
            <v:shape style="position:absolute;left:2473;top:3094;width:212;height:837" type="#_x0000_t75" stroked="false">
              <v:imagedata r:id="rId580" o:title=""/>
            </v:shape>
            <v:shape style="position:absolute;left:3014;top:2533;width:201;height:1398" type="#_x0000_t75" stroked="false">
              <v:imagedata r:id="rId581" o:title=""/>
            </v:shape>
            <v:shape style="position:absolute;left:3544;top:2385;width:201;height:1546" type="#_x0000_t75" stroked="false">
              <v:imagedata r:id="rId582" o:title=""/>
            </v:shape>
            <v:shape style="position:absolute;left:4074;top:2194;width:201;height:1737" type="#_x0000_t75" stroked="false">
              <v:imagedata r:id="rId583" o:title=""/>
            </v:shape>
            <v:shape style="position:absolute;left:4604;top:1357;width:212;height:2574" type="#_x0000_t75" stroked="false">
              <v:imagedata r:id="rId584" o:title=""/>
            </v:shape>
            <v:shape style="position:absolute;left:5145;top:2205;width:201;height:1726" type="#_x0000_t75" stroked="false">
              <v:imagedata r:id="rId585" o:title=""/>
            </v:shape>
            <v:shape style="position:absolute;left:5675;top:2279;width:201;height:1652" type="#_x0000_t75" stroked="false">
              <v:imagedata r:id="rId586" o:title=""/>
            </v:shape>
            <v:shape style="position:absolute;left:6205;top:2745;width:201;height:1186" type="#_x0000_t75" stroked="false">
              <v:imagedata r:id="rId587" o:title=""/>
            </v:shape>
            <v:shape style="position:absolute;left:6736;top:2385;width:212;height:1546" type="#_x0000_t75" stroked="false">
              <v:imagedata r:id="rId588" o:title=""/>
            </v:shape>
            <v:shape style="position:absolute;left:7276;top:2448;width:201;height:1483" type="#_x0000_t75" stroked="false">
              <v:imagedata r:id="rId589" o:title=""/>
            </v:shape>
            <v:shape style="position:absolute;left:7807;top:2025;width:201;height:1906" type="#_x0000_t75" stroked="false">
              <v:imagedata r:id="rId590" o:title=""/>
            </v:shape>
            <v:shape style="position:absolute;left:8337;top:3317;width:201;height:614" type="#_x0000_t75" stroked="false">
              <v:imagedata r:id="rId591" o:title=""/>
            </v:shape>
            <v:shape style="position:absolute;left:8867;top:1887;width:212;height:2044" type="#_x0000_t75" stroked="false">
              <v:imagedata r:id="rId592" o:title=""/>
            </v:shape>
            <v:shape style="position:absolute;left:9408;top:2607;width:201;height:1324" type="#_x0000_t75" stroked="false">
              <v:imagedata r:id="rId593" o:title=""/>
            </v:shape>
            <v:shape style="position:absolute;left:9938;top:2597;width:201;height:1335" type="#_x0000_t75" stroked="false">
              <v:imagedata r:id="rId594" o:title=""/>
            </v:shape>
            <v:shape style="position:absolute;left:2632;top:2205;width:201;height:1726" type="#_x0000_t75" stroked="false">
              <v:imagedata r:id="rId595" o:title=""/>
            </v:shape>
            <v:shape style="position:absolute;left:3162;top:1855;width:201;height:2076" type="#_x0000_t75" stroked="false">
              <v:imagedata r:id="rId596" o:title=""/>
            </v:shape>
            <v:shape style="position:absolute;left:3692;top:1559;width:212;height:2372" type="#_x0000_t75" stroked="false">
              <v:imagedata r:id="rId597" o:title=""/>
            </v:shape>
            <v:shape style="position:absolute;left:4222;top:1633;width:212;height:2298" type="#_x0000_t75" stroked="false">
              <v:imagedata r:id="rId598" o:title=""/>
            </v:shape>
            <v:shape style="position:absolute;left:4763;top:1199;width:201;height:2733" type="#_x0000_t75" stroked="false">
              <v:imagedata r:id="rId599" o:title=""/>
            </v:shape>
            <v:shape style="position:absolute;left:5293;top:1718;width:201;height:2214" type="#_x0000_t75" stroked="false">
              <v:imagedata r:id="rId600" o:title=""/>
            </v:shape>
            <v:shape style="position:absolute;left:5824;top:1781;width:212;height:2150" type="#_x0000_t75" stroked="false">
              <v:imagedata r:id="rId601" o:title=""/>
            </v:shape>
            <v:shape style="position:absolute;left:6354;top:2141;width:212;height:1790" type="#_x0000_t75" stroked="false">
              <v:imagedata r:id="rId602" o:title=""/>
            </v:shape>
            <v:shape style="position:absolute;left:6895;top:1855;width:201;height:2076" type="#_x0000_t75" stroked="false">
              <v:imagedata r:id="rId603" o:title=""/>
            </v:shape>
            <v:shape style="position:absolute;left:7425;top:1580;width:201;height:2351" type="#_x0000_t75" stroked="false">
              <v:imagedata r:id="rId604" o:title=""/>
            </v:shape>
            <v:shape style="position:absolute;left:7955;top:1696;width:212;height:2235" type="#_x0000_t75" stroked="false">
              <v:imagedata r:id="rId605" o:title=""/>
            </v:shape>
            <v:shape style="position:absolute;left:8485;top:2639;width:212;height:1292" type="#_x0000_t75" stroked="false">
              <v:imagedata r:id="rId606" o:title=""/>
            </v:shape>
            <v:shape style="position:absolute;left:9026;top:1506;width:201;height:2425" type="#_x0000_t75" stroked="false">
              <v:imagedata r:id="rId607" o:title=""/>
            </v:shape>
            <v:shape style="position:absolute;left:9556;top:1919;width:201;height:2012" type="#_x0000_t75" stroked="false">
              <v:imagedata r:id="rId608" o:title=""/>
            </v:shape>
            <v:shape style="position:absolute;left:10087;top:1929;width:212;height:2002" type="#_x0000_t75" stroked="false">
              <v:imagedata r:id="rId609" o:title=""/>
            </v:shape>
            <v:shape style="position:absolute;left:938;top:5097;width:11311;height:4035" coordorigin="938,5097" coordsize="11311,4035" path="m2393,1087l10389,1087m2393,3937l2393,1087m2393,3937l10389,3937e" filled="false" stroked="true" strokeweight=".529891pt" strokecolor="#858585">
              <v:path arrowok="t"/>
            </v:shape>
            <w10:wrap type="none"/>
          </v:group>
        </w:pict>
      </w:r>
      <w:r>
        <w:rPr>
          <w:sz w:val="20"/>
        </w:rPr>
        <w:t>Gráfica No. 13 Viviendas con refrigerador en la </w:t>
      </w:r>
      <w:r>
        <w:rPr>
          <w:sz w:val="16"/>
        </w:rPr>
        <w:t>ZMT</w:t>
      </w:r>
      <w:r>
        <w:rPr>
          <w:sz w:val="20"/>
        </w:rPr>
        <w:t>, 2000-2010</w:t>
      </w:r>
      <w:r>
        <w:rPr>
          <w:sz w:val="24"/>
        </w:rPr>
        <w:t>.</w:t>
      </w:r>
    </w:p>
    <w:p>
      <w:pPr>
        <w:pStyle w:val="BodyText"/>
        <w:ind w:left="140"/>
        <w:rPr>
          <w:sz w:val="20"/>
        </w:rPr>
      </w:pPr>
      <w:r>
        <w:rPr>
          <w:sz w:val="20"/>
        </w:rPr>
        <w:pict>
          <v:group style="width:440.65pt;height:249.45pt;mso-position-horizontal-relative:char;mso-position-vertical-relative:line" coordorigin="0,0" coordsize="8813,4989">
            <v:shape style="position:absolute;left:2243;top:3645;width:301;height:277" type="#_x0000_t75" stroked="false">
              <v:imagedata r:id="rId610" o:title=""/>
            </v:shape>
            <v:shape style="position:absolute;left:6;top:6;width:8802;height:4978" type="#_x0000_t202" filled="false" stroked="true" strokeweight=".530256pt" strokecolor="#858585">
              <v:textbox inset="0,0,0,0">
                <w:txbxContent>
                  <w:p>
                    <w:pPr>
                      <w:spacing w:before="101"/>
                      <w:ind w:left="190" w:right="197" w:firstLine="0"/>
                      <w:jc w:val="center"/>
                      <w:rPr>
                        <w:rFonts w:ascii="Calibri"/>
                        <w:b/>
                        <w:sz w:val="25"/>
                      </w:rPr>
                    </w:pPr>
                    <w:r>
                      <w:rPr>
                        <w:rFonts w:ascii="Calibri"/>
                        <w:b/>
                        <w:sz w:val="25"/>
                      </w:rPr>
                      <w:t>Viviendas con refrigerador en la </w:t>
                    </w:r>
                    <w:r>
                      <w:rPr>
                        <w:rFonts w:ascii="Calibri"/>
                        <w:b/>
                        <w:spacing w:val="-4"/>
                        <w:sz w:val="25"/>
                      </w:rPr>
                      <w:t>ZMT,</w:t>
                    </w:r>
                    <w:r>
                      <w:rPr>
                        <w:rFonts w:ascii="Calibri"/>
                        <w:b/>
                        <w:spacing w:val="47"/>
                        <w:sz w:val="25"/>
                      </w:rPr>
                      <w:t> </w:t>
                    </w:r>
                    <w:r>
                      <w:rPr>
                        <w:rFonts w:ascii="Calibri"/>
                        <w:b/>
                        <w:spacing w:val="-3"/>
                        <w:sz w:val="25"/>
                      </w:rPr>
                      <w:t>2000-2010</w:t>
                    </w:r>
                  </w:p>
                  <w:p>
                    <w:pPr>
                      <w:spacing w:before="88"/>
                      <w:ind w:left="259" w:right="0" w:firstLine="0"/>
                      <w:jc w:val="left"/>
                      <w:rPr>
                        <w:rFonts w:ascii="Calibri"/>
                        <w:sz w:val="14"/>
                      </w:rPr>
                    </w:pPr>
                    <w:r>
                      <w:rPr>
                        <w:rFonts w:ascii="Calibri"/>
                        <w:sz w:val="14"/>
                      </w:rPr>
                      <w:t>90.0</w:t>
                    </w:r>
                  </w:p>
                  <w:p>
                    <w:pPr>
                      <w:spacing w:line="240" w:lineRule="auto" w:before="8"/>
                      <w:rPr>
                        <w:sz w:val="12"/>
                      </w:rPr>
                    </w:pPr>
                  </w:p>
                  <w:p>
                    <w:pPr>
                      <w:spacing w:before="0"/>
                      <w:ind w:left="259" w:right="0" w:firstLine="0"/>
                      <w:jc w:val="left"/>
                      <w:rPr>
                        <w:rFonts w:ascii="Calibri"/>
                        <w:sz w:val="14"/>
                      </w:rPr>
                    </w:pPr>
                    <w:r>
                      <w:rPr>
                        <w:rFonts w:ascii="Calibri"/>
                        <w:sz w:val="14"/>
                      </w:rPr>
                      <w:t>80.0</w:t>
                    </w:r>
                  </w:p>
                  <w:p>
                    <w:pPr>
                      <w:spacing w:line="240" w:lineRule="auto" w:before="8"/>
                      <w:rPr>
                        <w:sz w:val="12"/>
                      </w:rPr>
                    </w:pPr>
                  </w:p>
                  <w:p>
                    <w:pPr>
                      <w:spacing w:before="0"/>
                      <w:ind w:left="259" w:right="0" w:firstLine="0"/>
                      <w:jc w:val="left"/>
                      <w:rPr>
                        <w:rFonts w:ascii="Calibri"/>
                        <w:sz w:val="14"/>
                      </w:rPr>
                    </w:pPr>
                    <w:r>
                      <w:rPr>
                        <w:rFonts w:ascii="Calibri"/>
                        <w:sz w:val="14"/>
                      </w:rPr>
                      <w:t>70.0</w:t>
                    </w:r>
                  </w:p>
                  <w:p>
                    <w:pPr>
                      <w:spacing w:line="240" w:lineRule="auto" w:before="8"/>
                      <w:rPr>
                        <w:sz w:val="12"/>
                      </w:rPr>
                    </w:pPr>
                  </w:p>
                  <w:p>
                    <w:pPr>
                      <w:spacing w:before="0"/>
                      <w:ind w:left="259" w:right="0" w:firstLine="0"/>
                      <w:jc w:val="left"/>
                      <w:rPr>
                        <w:rFonts w:ascii="Calibri"/>
                        <w:sz w:val="14"/>
                      </w:rPr>
                    </w:pPr>
                    <w:r>
                      <w:rPr>
                        <w:rFonts w:ascii="Calibri"/>
                        <w:sz w:val="14"/>
                      </w:rPr>
                      <w:t>60.0</w:t>
                    </w:r>
                  </w:p>
                  <w:p>
                    <w:pPr>
                      <w:spacing w:line="240" w:lineRule="auto" w:before="8"/>
                      <w:rPr>
                        <w:sz w:val="12"/>
                      </w:rPr>
                    </w:pPr>
                  </w:p>
                  <w:p>
                    <w:pPr>
                      <w:spacing w:before="0"/>
                      <w:ind w:left="259" w:right="0" w:firstLine="0"/>
                      <w:jc w:val="left"/>
                      <w:rPr>
                        <w:rFonts w:ascii="Calibri"/>
                        <w:sz w:val="14"/>
                      </w:rPr>
                    </w:pPr>
                    <w:r>
                      <w:rPr>
                        <w:rFonts w:ascii="Calibri"/>
                        <w:sz w:val="14"/>
                      </w:rPr>
                      <w:t>50.0</w:t>
                    </w:r>
                  </w:p>
                  <w:p>
                    <w:pPr>
                      <w:spacing w:line="240" w:lineRule="auto" w:before="8"/>
                      <w:rPr>
                        <w:sz w:val="12"/>
                      </w:rPr>
                    </w:pPr>
                  </w:p>
                  <w:p>
                    <w:pPr>
                      <w:spacing w:before="0"/>
                      <w:ind w:left="259" w:right="0" w:firstLine="0"/>
                      <w:jc w:val="left"/>
                      <w:rPr>
                        <w:rFonts w:ascii="Calibri"/>
                        <w:sz w:val="14"/>
                      </w:rPr>
                    </w:pPr>
                    <w:r>
                      <w:rPr>
                        <w:rFonts w:ascii="Calibri"/>
                        <w:sz w:val="14"/>
                      </w:rPr>
                      <w:t>40.0</w:t>
                    </w:r>
                  </w:p>
                  <w:p>
                    <w:pPr>
                      <w:spacing w:line="240" w:lineRule="auto" w:before="8"/>
                      <w:rPr>
                        <w:sz w:val="12"/>
                      </w:rPr>
                    </w:pPr>
                  </w:p>
                  <w:p>
                    <w:pPr>
                      <w:spacing w:before="0"/>
                      <w:ind w:left="259" w:right="0" w:firstLine="0"/>
                      <w:jc w:val="left"/>
                      <w:rPr>
                        <w:rFonts w:ascii="Calibri"/>
                        <w:sz w:val="14"/>
                      </w:rPr>
                    </w:pPr>
                    <w:r>
                      <w:rPr>
                        <w:rFonts w:ascii="Calibri"/>
                        <w:sz w:val="14"/>
                      </w:rPr>
                      <w:t>30.0</w:t>
                    </w:r>
                  </w:p>
                  <w:p>
                    <w:pPr>
                      <w:spacing w:line="240" w:lineRule="auto" w:before="8"/>
                      <w:rPr>
                        <w:sz w:val="12"/>
                      </w:rPr>
                    </w:pPr>
                  </w:p>
                  <w:p>
                    <w:pPr>
                      <w:spacing w:before="0"/>
                      <w:ind w:left="259" w:right="0" w:firstLine="0"/>
                      <w:jc w:val="left"/>
                      <w:rPr>
                        <w:rFonts w:ascii="Calibri"/>
                        <w:sz w:val="14"/>
                      </w:rPr>
                    </w:pPr>
                    <w:r>
                      <w:rPr>
                        <w:rFonts w:ascii="Calibri"/>
                        <w:sz w:val="14"/>
                      </w:rPr>
                      <w:t>20.0</w:t>
                    </w:r>
                  </w:p>
                  <w:p>
                    <w:pPr>
                      <w:spacing w:line="240" w:lineRule="auto" w:before="8"/>
                      <w:rPr>
                        <w:sz w:val="12"/>
                      </w:rPr>
                    </w:pPr>
                  </w:p>
                  <w:p>
                    <w:pPr>
                      <w:spacing w:before="0"/>
                      <w:ind w:left="259" w:right="0" w:firstLine="0"/>
                      <w:jc w:val="left"/>
                      <w:rPr>
                        <w:rFonts w:ascii="Calibri"/>
                        <w:sz w:val="14"/>
                      </w:rPr>
                    </w:pPr>
                    <w:r>
                      <w:rPr>
                        <w:rFonts w:ascii="Calibri"/>
                        <w:sz w:val="14"/>
                      </w:rPr>
                      <w:t>10.0</w:t>
                    </w:r>
                  </w:p>
                  <w:p>
                    <w:pPr>
                      <w:spacing w:line="240" w:lineRule="auto" w:before="6"/>
                      <w:rPr>
                        <w:sz w:val="13"/>
                      </w:rPr>
                    </w:pPr>
                  </w:p>
                  <w:p>
                    <w:pPr>
                      <w:spacing w:before="0"/>
                      <w:ind w:left="326" w:right="0" w:firstLine="0"/>
                      <w:jc w:val="left"/>
                      <w:rPr>
                        <w:rFonts w:ascii="Calibri"/>
                        <w:sz w:val="13"/>
                      </w:rPr>
                    </w:pPr>
                    <w:r>
                      <w:rPr>
                        <w:rFonts w:ascii="Calibri"/>
                        <w:w w:val="105"/>
                        <w:sz w:val="13"/>
                      </w:rPr>
                      <w:t>0.0</w:t>
                    </w:r>
                  </w:p>
                  <w:p>
                    <w:pPr>
                      <w:spacing w:line="240" w:lineRule="auto" w:before="4" w:after="0"/>
                      <w:rPr>
                        <w:sz w:val="9"/>
                      </w:rPr>
                    </w:pPr>
                  </w:p>
                  <w:p>
                    <w:pPr>
                      <w:tabs>
                        <w:tab w:pos="2659" w:val="left" w:leader="none"/>
                        <w:tab w:pos="6376" w:val="left" w:leader="none"/>
                      </w:tabs>
                      <w:spacing w:line="240" w:lineRule="auto"/>
                      <w:ind w:left="120" w:right="0" w:firstLine="0"/>
                      <w:rPr>
                        <w:sz w:val="20"/>
                      </w:rPr>
                    </w:pPr>
                    <w:r>
                      <w:rPr>
                        <w:sz w:val="20"/>
                      </w:rPr>
                      <w:drawing>
                        <wp:inline distT="0" distB="0" distL="0" distR="0">
                          <wp:extent cx="518228" cy="519112"/>
                          <wp:effectExtent l="0" t="0" r="0" b="0"/>
                          <wp:docPr id="95" name="image582.png" descr=""/>
                          <wp:cNvGraphicFramePr>
                            <a:graphicFrameLocks noChangeAspect="1"/>
                          </wp:cNvGraphicFramePr>
                          <a:graphic>
                            <a:graphicData uri="http://schemas.openxmlformats.org/drawingml/2006/picture">
                              <pic:pic>
                                <pic:nvPicPr>
                                  <pic:cNvPr id="96" name="image582.png"/>
                                  <pic:cNvPicPr/>
                                </pic:nvPicPr>
                                <pic:blipFill>
                                  <a:blip r:embed="rId611" cstate="print"/>
                                  <a:stretch>
                                    <a:fillRect/>
                                  </a:stretch>
                                </pic:blipFill>
                                <pic:spPr>
                                  <a:xfrm>
                                    <a:off x="0" y="0"/>
                                    <a:ext cx="518228" cy="519112"/>
                                  </a:xfrm>
                                  <a:prstGeom prst="rect">
                                    <a:avLst/>
                                  </a:prstGeom>
                                </pic:spPr>
                              </pic:pic>
                            </a:graphicData>
                          </a:graphic>
                        </wp:inline>
                      </w:drawing>
                    </w:r>
                    <w:r>
                      <w:rPr>
                        <w:sz w:val="20"/>
                      </w:rPr>
                    </w:r>
                    <w:r>
                      <w:rPr>
                        <w:sz w:val="20"/>
                      </w:rPr>
                      <w:tab/>
                    </w:r>
                    <w:r>
                      <w:rPr>
                        <w:position w:val="24"/>
                        <w:sz w:val="20"/>
                      </w:rPr>
                      <w:drawing>
                        <wp:inline distT="0" distB="0" distL="0" distR="0">
                          <wp:extent cx="1262601" cy="371475"/>
                          <wp:effectExtent l="0" t="0" r="0" b="0"/>
                          <wp:docPr id="97" name="image583.png" descr=""/>
                          <wp:cNvGraphicFramePr>
                            <a:graphicFrameLocks noChangeAspect="1"/>
                          </wp:cNvGraphicFramePr>
                          <a:graphic>
                            <a:graphicData uri="http://schemas.openxmlformats.org/drawingml/2006/picture">
                              <pic:pic>
                                <pic:nvPicPr>
                                  <pic:cNvPr id="98" name="image583.png"/>
                                  <pic:cNvPicPr/>
                                </pic:nvPicPr>
                                <pic:blipFill>
                                  <a:blip r:embed="rId612" cstate="print"/>
                                  <a:stretch>
                                    <a:fillRect/>
                                  </a:stretch>
                                </pic:blipFill>
                                <pic:spPr>
                                  <a:xfrm>
                                    <a:off x="0" y="0"/>
                                    <a:ext cx="1262601" cy="371475"/>
                                  </a:xfrm>
                                  <a:prstGeom prst="rect">
                                    <a:avLst/>
                                  </a:prstGeom>
                                </pic:spPr>
                              </pic:pic>
                            </a:graphicData>
                          </a:graphic>
                        </wp:inline>
                      </w:drawing>
                    </w:r>
                    <w:r>
                      <w:rPr>
                        <w:position w:val="24"/>
                        <w:sz w:val="20"/>
                      </w:rPr>
                    </w:r>
                    <w:r>
                      <w:rPr>
                        <w:position w:val="24"/>
                        <w:sz w:val="20"/>
                      </w:rPr>
                      <w:tab/>
                    </w:r>
                    <w:r>
                      <w:rPr>
                        <w:position w:val="43"/>
                        <w:sz w:val="20"/>
                      </w:rPr>
                      <w:drawing>
                        <wp:inline distT="0" distB="0" distL="0" distR="0">
                          <wp:extent cx="265154" cy="238125"/>
                          <wp:effectExtent l="0" t="0" r="0" b="0"/>
                          <wp:docPr id="99" name="image584.png" descr=""/>
                          <wp:cNvGraphicFramePr>
                            <a:graphicFrameLocks noChangeAspect="1"/>
                          </wp:cNvGraphicFramePr>
                          <a:graphic>
                            <a:graphicData uri="http://schemas.openxmlformats.org/drawingml/2006/picture">
                              <pic:pic>
                                <pic:nvPicPr>
                                  <pic:cNvPr id="100" name="image584.png"/>
                                  <pic:cNvPicPr/>
                                </pic:nvPicPr>
                                <pic:blipFill>
                                  <a:blip r:embed="rId613" cstate="print"/>
                                  <a:stretch>
                                    <a:fillRect/>
                                  </a:stretch>
                                </pic:blipFill>
                                <pic:spPr>
                                  <a:xfrm>
                                    <a:off x="0" y="0"/>
                                    <a:ext cx="265154" cy="238125"/>
                                  </a:xfrm>
                                  <a:prstGeom prst="rect">
                                    <a:avLst/>
                                  </a:prstGeom>
                                </pic:spPr>
                              </pic:pic>
                            </a:graphicData>
                          </a:graphic>
                        </wp:inline>
                      </w:drawing>
                    </w:r>
                    <w:r>
                      <w:rPr>
                        <w:position w:val="43"/>
                        <w:sz w:val="20"/>
                      </w:rPr>
                    </w:r>
                  </w:p>
                  <w:p>
                    <w:pPr>
                      <w:spacing w:line="240" w:lineRule="auto" w:before="8"/>
                      <w:rPr>
                        <w:sz w:val="19"/>
                      </w:rPr>
                    </w:pPr>
                  </w:p>
                  <w:p>
                    <w:pPr>
                      <w:spacing w:before="0"/>
                      <w:ind w:left="190" w:right="163" w:firstLine="0"/>
                      <w:jc w:val="center"/>
                      <w:rPr>
                        <w:rFonts w:ascii="Calibri"/>
                        <w:sz w:val="14"/>
                      </w:rPr>
                    </w:pPr>
                    <w:r>
                      <w:rPr/>
                      <w:drawing>
                        <wp:inline distT="0" distB="0" distL="0" distR="0">
                          <wp:extent cx="88021" cy="87915"/>
                          <wp:effectExtent l="0" t="0" r="0" b="0"/>
                          <wp:docPr id="101" name="image585.png" descr=""/>
                          <wp:cNvGraphicFramePr>
                            <a:graphicFrameLocks noChangeAspect="1"/>
                          </wp:cNvGraphicFramePr>
                          <a:graphic>
                            <a:graphicData uri="http://schemas.openxmlformats.org/drawingml/2006/picture">
                              <pic:pic>
                                <pic:nvPicPr>
                                  <pic:cNvPr id="102" name="image585.png"/>
                                  <pic:cNvPicPr/>
                                </pic:nvPicPr>
                                <pic:blipFill>
                                  <a:blip r:embed="rId614" cstate="print"/>
                                  <a:stretch>
                                    <a:fillRect/>
                                  </a:stretch>
                                </pic:blipFill>
                                <pic:spPr>
                                  <a:xfrm>
                                    <a:off x="0" y="0"/>
                                    <a:ext cx="88021" cy="87915"/>
                                  </a:xfrm>
                                  <a:prstGeom prst="rect">
                                    <a:avLst/>
                                  </a:prstGeom>
                                </pic:spPr>
                              </pic:pic>
                            </a:graphicData>
                          </a:graphic>
                        </wp:inline>
                      </w:drawing>
                    </w:r>
                    <w:r>
                      <w:rPr/>
                    </w:r>
                    <w:r>
                      <w:rPr>
                        <w:rFonts w:ascii="Calibri"/>
                        <w:position w:val="1"/>
                        <w:sz w:val="14"/>
                      </w:rPr>
                      <w:t>2000</w:t>
                    </w:r>
                    <w:r>
                      <w:rPr>
                        <w:rFonts w:ascii="Calibri"/>
                        <w:spacing w:val="31"/>
                        <w:position w:val="1"/>
                        <w:sz w:val="14"/>
                      </w:rPr>
                      <w:t> </w:t>
                    </w:r>
                    <w:r>
                      <w:rPr>
                        <w:rFonts w:ascii="Calibri"/>
                        <w:spacing w:val="-9"/>
                        <w:sz w:val="14"/>
                      </w:rPr>
                      <w:drawing>
                        <wp:inline distT="0" distB="0" distL="0" distR="0">
                          <wp:extent cx="88021" cy="87915"/>
                          <wp:effectExtent l="0" t="0" r="0" b="0"/>
                          <wp:docPr id="103" name="image586.png" descr=""/>
                          <wp:cNvGraphicFramePr>
                            <a:graphicFrameLocks noChangeAspect="1"/>
                          </wp:cNvGraphicFramePr>
                          <a:graphic>
                            <a:graphicData uri="http://schemas.openxmlformats.org/drawingml/2006/picture">
                              <pic:pic>
                                <pic:nvPicPr>
                                  <pic:cNvPr id="104" name="image586.png"/>
                                  <pic:cNvPicPr/>
                                </pic:nvPicPr>
                                <pic:blipFill>
                                  <a:blip r:embed="rId615" cstate="print"/>
                                  <a:stretch>
                                    <a:fillRect/>
                                  </a:stretch>
                                </pic:blipFill>
                                <pic:spPr>
                                  <a:xfrm>
                                    <a:off x="0" y="0"/>
                                    <a:ext cx="88021" cy="87915"/>
                                  </a:xfrm>
                                  <a:prstGeom prst="rect">
                                    <a:avLst/>
                                  </a:prstGeom>
                                </pic:spPr>
                              </pic:pic>
                            </a:graphicData>
                          </a:graphic>
                        </wp:inline>
                      </w:drawing>
                    </w:r>
                    <w:r>
                      <w:rPr>
                        <w:rFonts w:ascii="Calibri"/>
                        <w:spacing w:val="-9"/>
                        <w:sz w:val="14"/>
                      </w:rPr>
                    </w:r>
                    <w:r>
                      <w:rPr>
                        <w:rFonts w:ascii="Calibri"/>
                        <w:spacing w:val="4"/>
                        <w:position w:val="1"/>
                        <w:sz w:val="14"/>
                      </w:rPr>
                      <w:t>2010</w:t>
                    </w:r>
                  </w:p>
                </w:txbxContent>
              </v:textbox>
              <w10:wrap type="none"/>
            </v:shape>
          </v:group>
        </w:pict>
      </w:r>
      <w:r>
        <w:rPr>
          <w:sz w:val="20"/>
        </w:rPr>
      </w:r>
    </w:p>
    <w:p>
      <w:pPr>
        <w:spacing w:before="0"/>
        <w:ind w:left="193" w:right="215" w:firstLine="0"/>
        <w:jc w:val="center"/>
        <w:rPr>
          <w:sz w:val="20"/>
        </w:rPr>
      </w:pPr>
      <w:r>
        <w:rPr/>
        <w:pict>
          <v:group style="position:absolute;margin-left:141.336029pt;margin-top:-67.684166pt;width:46pt;height:26.2pt;mso-position-horizontal-relative:page;mso-position-vertical-relative:paragraph;z-index:-332536" coordorigin="2827,-1354" coordsize="920,524">
            <v:shape style="position:absolute;left:2827;top:-1349;width:388;height:366" type="#_x0000_t75" stroked="false">
              <v:imagedata r:id="rId616" o:title=""/>
            </v:shape>
            <v:shape style="position:absolute;left:3206;top:-1354;width:540;height:524" type="#_x0000_t75" stroked="false">
              <v:imagedata r:id="rId617" o:title=""/>
            </v:shape>
            <w10:wrap type="none"/>
          </v:group>
        </w:pict>
      </w:r>
      <w:r>
        <w:rPr/>
        <w:pict>
          <v:group style="position:absolute;margin-left:332.855957pt;margin-top:-67.511177pt;width:67.4pt;height:38.15pt;mso-position-horizontal-relative:page;mso-position-vertical-relative:paragraph;z-index:-332512" coordorigin="6657,-1350" coordsize="1348,763">
            <v:shape style="position:absolute;left:6657;top:-1350;width:290;height:267" type="#_x0000_t75" stroked="false">
              <v:imagedata r:id="rId618" o:title=""/>
            </v:shape>
            <v:shape style="position:absolute;left:6707;top:-1350;width:1297;height:763" type="#_x0000_t75" stroked="false">
              <v:imagedata r:id="rId619" o:title=""/>
            </v:shape>
            <w10:wrap type="none"/>
          </v:group>
        </w:pict>
      </w:r>
      <w:r>
        <w:rPr/>
        <w:pict>
          <v:group style="position:absolute;margin-left:438.297211pt;margin-top:-67.700409pt;width:68.75pt;height:28.45pt;mso-position-horizontal-relative:page;mso-position-vertical-relative:paragraph;z-index:-332488" coordorigin="8766,-1354" coordsize="1375,569">
            <v:shape style="position:absolute;left:8766;top:-1354;width:316;height:274" type="#_x0000_t75" stroked="false">
              <v:imagedata r:id="rId620" o:title=""/>
            </v:shape>
            <v:shape style="position:absolute;left:9118;top:-1353;width:1022;height:568" type="#_x0000_t75" stroked="false">
              <v:imagedata r:id="rId621" o:title=""/>
            </v:shape>
            <w10:wrap type="none"/>
          </v:group>
        </w:pict>
      </w:r>
      <w:r>
        <w:rPr>
          <w:sz w:val="20"/>
        </w:rPr>
        <w:t>Fuente: Elaboración propia con base en los datos de los Censos de Población y Vivienda INEGI, 2000 y 2010.</w:t>
      </w:r>
    </w:p>
    <w:p>
      <w:pPr>
        <w:pStyle w:val="BodyText"/>
        <w:rPr>
          <w:sz w:val="20"/>
        </w:rPr>
      </w:pPr>
    </w:p>
    <w:p>
      <w:pPr>
        <w:pStyle w:val="BodyText"/>
        <w:rPr>
          <w:sz w:val="20"/>
        </w:rPr>
      </w:pPr>
    </w:p>
    <w:p>
      <w:pPr>
        <w:pStyle w:val="BodyText"/>
        <w:rPr>
          <w:sz w:val="20"/>
        </w:rPr>
      </w:pPr>
    </w:p>
    <w:p>
      <w:pPr>
        <w:pStyle w:val="BodyText"/>
        <w:spacing w:before="153"/>
        <w:ind w:left="102"/>
        <w:jc w:val="both"/>
      </w:pPr>
      <w:r>
        <w:rPr/>
        <w:t>Para el año 2010, Temoaya registró el menor porcentaje de la zona  metropolitana</w:t>
      </w:r>
    </w:p>
    <w:p>
      <w:pPr>
        <w:pStyle w:val="BodyText"/>
        <w:spacing w:line="360" w:lineRule="auto" w:before="140"/>
        <w:ind w:left="102" w:right="125"/>
        <w:jc w:val="both"/>
      </w:pPr>
      <w:r>
        <w:rPr/>
        <w:t>39.8 por ciento de refrigeradores en las viviendas, Almoloya de Juárez y Otzolotepec registraron 53 y 55 por ciento respectivamente. Once municipios registraron entre un 62 y 75 por ciento, el municipio de Metepec registró el más alto porcentaje de refrigeradores en sus viviendas con más del 85 por ciento (ver mapa no.</w:t>
      </w:r>
      <w:r>
        <w:rPr>
          <w:spacing w:val="-4"/>
        </w:rPr>
        <w:t> </w:t>
      </w:r>
      <w:r>
        <w:rPr/>
        <w:t>12).</w:t>
      </w:r>
    </w:p>
    <w:p>
      <w:pPr>
        <w:spacing w:after="0" w:line="360" w:lineRule="auto"/>
        <w:jc w:val="both"/>
        <w:sectPr>
          <w:pgSz w:w="12240" w:h="15840"/>
          <w:pgMar w:header="0" w:footer="1003" w:top="1360" w:bottom="1200" w:left="1600" w:right="1580"/>
        </w:sectPr>
      </w:pPr>
    </w:p>
    <w:p>
      <w:pPr>
        <w:spacing w:before="53" w:after="3"/>
        <w:ind w:left="82" w:right="122" w:firstLine="0"/>
        <w:jc w:val="center"/>
        <w:rPr>
          <w:sz w:val="20"/>
        </w:rPr>
      </w:pPr>
      <w:r>
        <w:rPr>
          <w:sz w:val="20"/>
        </w:rPr>
        <w:t>Mapa No. 12 Porcentaje de viviendas con refrigerador en la </w:t>
      </w:r>
      <w:r>
        <w:rPr>
          <w:sz w:val="16"/>
        </w:rPr>
        <w:t>ZMT</w:t>
      </w:r>
      <w:r>
        <w:rPr>
          <w:sz w:val="20"/>
        </w:rPr>
        <w:t>, 2000-2010.</w:t>
      </w:r>
    </w:p>
    <w:p>
      <w:pPr>
        <w:pStyle w:val="BodyText"/>
        <w:ind w:left="130"/>
        <w:rPr>
          <w:sz w:val="20"/>
        </w:rPr>
      </w:pPr>
      <w:r>
        <w:rPr>
          <w:sz w:val="20"/>
        </w:rPr>
        <w:drawing>
          <wp:inline distT="0" distB="0" distL="0" distR="0">
            <wp:extent cx="5530693" cy="3911441"/>
            <wp:effectExtent l="0" t="0" r="0" b="0"/>
            <wp:docPr id="105" name="image593.jpeg" descr=""/>
            <wp:cNvGraphicFramePr>
              <a:graphicFrameLocks noChangeAspect="1"/>
            </wp:cNvGraphicFramePr>
            <a:graphic>
              <a:graphicData uri="http://schemas.openxmlformats.org/drawingml/2006/picture">
                <pic:pic>
                  <pic:nvPicPr>
                    <pic:cNvPr id="106" name="image593.jpeg"/>
                    <pic:cNvPicPr/>
                  </pic:nvPicPr>
                  <pic:blipFill>
                    <a:blip r:embed="rId622" cstate="print"/>
                    <a:stretch>
                      <a:fillRect/>
                    </a:stretch>
                  </pic:blipFill>
                  <pic:spPr>
                    <a:xfrm>
                      <a:off x="0" y="0"/>
                      <a:ext cx="5530693" cy="3911441"/>
                    </a:xfrm>
                    <a:prstGeom prst="rect">
                      <a:avLst/>
                    </a:prstGeom>
                  </pic:spPr>
                </pic:pic>
              </a:graphicData>
            </a:graphic>
          </wp:inline>
        </w:drawing>
      </w:r>
      <w:r>
        <w:rPr>
          <w:sz w:val="20"/>
        </w:rPr>
      </w:r>
    </w:p>
    <w:p>
      <w:pPr>
        <w:spacing w:line="360" w:lineRule="auto" w:before="88"/>
        <w:ind w:left="84" w:right="122" w:firstLine="0"/>
        <w:jc w:val="center"/>
        <w:rPr>
          <w:sz w:val="20"/>
        </w:rPr>
      </w:pPr>
      <w:r>
        <w:rPr>
          <w:sz w:val="20"/>
        </w:rPr>
        <w:t>Fuente: Elaboración propia con base en los datos de los Censos de Población y Vivienda INEGI, 2000 y 2010.</w:t>
      </w:r>
    </w:p>
    <w:p>
      <w:pPr>
        <w:pStyle w:val="BodyText"/>
        <w:spacing w:before="6"/>
        <w:rPr>
          <w:sz w:val="17"/>
        </w:rPr>
      </w:pPr>
    </w:p>
    <w:p>
      <w:pPr>
        <w:pStyle w:val="BodyText"/>
        <w:spacing w:line="360" w:lineRule="auto"/>
        <w:ind w:left="102" w:right="136"/>
        <w:jc w:val="both"/>
      </w:pPr>
      <w:r>
        <w:rPr/>
        <w:t>Como se puede observar en la gráfica no. 13 Temoaya es el municipio con el menor porcentaje 19 por ciento de refrigeradores en sus viviendas, visualizando el poco poder adquisitivo de la población para contar con este bien. El promedio de  la </w:t>
      </w:r>
      <w:r>
        <w:rPr>
          <w:sz w:val="19"/>
        </w:rPr>
        <w:t>ZMT</w:t>
      </w:r>
      <w:r>
        <w:rPr/>
        <w:t>, en el año 2000 fue de 47 por ciento, mientras que en el 2010 el promedio fue de 67 por ciento, significa que falta más de un 30 por ciento para que todas las viviendas cuenten con refrigerador, aunque esté bien no necesariamente entra en las formas de vida de municipios metropolitanos. A continuación se analiza las viviendas que cuentan con</w:t>
      </w:r>
      <w:r>
        <w:rPr>
          <w:spacing w:val="-16"/>
        </w:rPr>
        <w:t> </w:t>
      </w:r>
      <w:r>
        <w:rPr/>
        <w:t>lavadora.</w:t>
      </w:r>
    </w:p>
    <w:p>
      <w:pPr>
        <w:pStyle w:val="ListParagraph"/>
        <w:numPr>
          <w:ilvl w:val="2"/>
          <w:numId w:val="23"/>
        </w:numPr>
        <w:tabs>
          <w:tab w:pos="642" w:val="left" w:leader="none"/>
        </w:tabs>
        <w:spacing w:line="240" w:lineRule="auto" w:before="203" w:after="0"/>
        <w:ind w:left="642" w:right="0" w:hanging="540"/>
        <w:jc w:val="both"/>
        <w:rPr>
          <w:rFonts w:ascii="Cambria"/>
          <w:b/>
          <w:sz w:val="22"/>
        </w:rPr>
      </w:pPr>
      <w:r>
        <w:rPr>
          <w:rFonts w:ascii="Cambria"/>
          <w:b/>
          <w:color w:val="4F81BC"/>
          <w:sz w:val="22"/>
        </w:rPr>
        <w:t>Viviendas con</w:t>
      </w:r>
      <w:r>
        <w:rPr>
          <w:rFonts w:ascii="Cambria"/>
          <w:b/>
          <w:color w:val="4F81BC"/>
          <w:spacing w:val="-10"/>
          <w:sz w:val="22"/>
        </w:rPr>
        <w:t> </w:t>
      </w:r>
      <w:r>
        <w:rPr>
          <w:rFonts w:ascii="Cambria"/>
          <w:b/>
          <w:color w:val="4F81BC"/>
          <w:sz w:val="22"/>
        </w:rPr>
        <w:t>lavadora</w:t>
      </w:r>
    </w:p>
    <w:p>
      <w:pPr>
        <w:pStyle w:val="BodyText"/>
        <w:rPr>
          <w:rFonts w:ascii="Cambria"/>
          <w:b/>
          <w:sz w:val="22"/>
        </w:rPr>
      </w:pPr>
    </w:p>
    <w:p>
      <w:pPr>
        <w:pStyle w:val="BodyText"/>
        <w:spacing w:line="360" w:lineRule="auto" w:before="195"/>
        <w:ind w:left="102" w:right="142"/>
        <w:jc w:val="both"/>
      </w:pPr>
      <w:r>
        <w:rPr/>
        <w:t>Contar con una lavadora en la vivienda, hace más viable lavar la ropa de sus moradores, especialmente es una ayuda para las mujeres, aunque existe  población</w:t>
      </w:r>
      <w:r>
        <w:rPr>
          <w:spacing w:val="46"/>
        </w:rPr>
        <w:t> </w:t>
      </w:r>
      <w:r>
        <w:rPr/>
        <w:t>que</w:t>
      </w:r>
      <w:r>
        <w:rPr>
          <w:spacing w:val="46"/>
        </w:rPr>
        <w:t> </w:t>
      </w:r>
      <w:r>
        <w:rPr/>
        <w:t>prefiere</w:t>
      </w:r>
      <w:r>
        <w:rPr>
          <w:spacing w:val="46"/>
        </w:rPr>
        <w:t> </w:t>
      </w:r>
      <w:r>
        <w:rPr/>
        <w:t>lavar</w:t>
      </w:r>
      <w:r>
        <w:rPr>
          <w:spacing w:val="44"/>
        </w:rPr>
        <w:t> </w:t>
      </w:r>
      <w:r>
        <w:rPr/>
        <w:t>su</w:t>
      </w:r>
      <w:r>
        <w:rPr>
          <w:spacing w:val="46"/>
        </w:rPr>
        <w:t> </w:t>
      </w:r>
      <w:r>
        <w:rPr/>
        <w:t>ropa</w:t>
      </w:r>
      <w:r>
        <w:rPr>
          <w:spacing w:val="46"/>
        </w:rPr>
        <w:t> </w:t>
      </w:r>
      <w:r>
        <w:rPr/>
        <w:t>a</w:t>
      </w:r>
      <w:r>
        <w:rPr>
          <w:spacing w:val="46"/>
        </w:rPr>
        <w:t> </w:t>
      </w:r>
      <w:r>
        <w:rPr/>
        <w:t>mano,</w:t>
      </w:r>
      <w:r>
        <w:rPr>
          <w:spacing w:val="46"/>
        </w:rPr>
        <w:t> </w:t>
      </w:r>
      <w:r>
        <w:rPr/>
        <w:t>o</w:t>
      </w:r>
      <w:r>
        <w:rPr>
          <w:spacing w:val="46"/>
        </w:rPr>
        <w:t> </w:t>
      </w:r>
      <w:r>
        <w:rPr/>
        <w:t>bien</w:t>
      </w:r>
      <w:r>
        <w:rPr>
          <w:spacing w:val="46"/>
        </w:rPr>
        <w:t> </w:t>
      </w:r>
      <w:r>
        <w:rPr/>
        <w:t>llevarla</w:t>
      </w:r>
      <w:r>
        <w:rPr>
          <w:spacing w:val="46"/>
        </w:rPr>
        <w:t> </w:t>
      </w:r>
      <w:r>
        <w:rPr/>
        <w:t>a</w:t>
      </w:r>
      <w:r>
        <w:rPr>
          <w:spacing w:val="46"/>
        </w:rPr>
        <w:t> </w:t>
      </w:r>
      <w:r>
        <w:rPr/>
        <w:t>la</w:t>
      </w:r>
      <w:r>
        <w:rPr>
          <w:spacing w:val="46"/>
        </w:rPr>
        <w:t> </w:t>
      </w:r>
      <w:r>
        <w:rPr/>
        <w:t>lavandería</w:t>
      </w:r>
      <w:r>
        <w:rPr>
          <w:spacing w:val="46"/>
        </w:rPr>
        <w:t> </w:t>
      </w:r>
      <w:r>
        <w:rPr/>
        <w:t>o</w:t>
      </w:r>
    </w:p>
    <w:p>
      <w:pPr>
        <w:spacing w:after="0" w:line="360" w:lineRule="auto"/>
        <w:jc w:val="both"/>
        <w:sectPr>
          <w:pgSz w:w="12240" w:h="15840"/>
          <w:pgMar w:header="0" w:footer="1003" w:top="1360" w:bottom="1200" w:left="1600" w:right="1560"/>
        </w:sectPr>
      </w:pPr>
    </w:p>
    <w:p>
      <w:pPr>
        <w:pStyle w:val="BodyText"/>
        <w:spacing w:line="360" w:lineRule="auto" w:before="54"/>
        <w:ind w:left="102" w:right="124"/>
        <w:jc w:val="both"/>
      </w:pPr>
      <w:r>
        <w:rPr/>
        <w:t>tintorería, aunque también se debe tener en cuenta que la vivienda debe contar con agua y drenaje para que sea utilizada de la mejor manera posible.</w:t>
      </w:r>
    </w:p>
    <w:p>
      <w:pPr>
        <w:pStyle w:val="BodyText"/>
      </w:pPr>
    </w:p>
    <w:p>
      <w:pPr>
        <w:pStyle w:val="BodyText"/>
        <w:spacing w:line="360" w:lineRule="auto" w:before="142"/>
        <w:ind w:left="102" w:right="114"/>
        <w:jc w:val="both"/>
      </w:pPr>
      <w:r>
        <w:rPr/>
        <w:t>Respecto al análisis de las viviendas que cuentan con lavadora en el año 2000 el municipio que menor porcentaje registro fue Temoaya con solo el 7.3 por ciento, seguido de Almoloya de Juárez con el 10.8 por ciento, Otzolotepec con el 20.3 por ciento, Zinacantepec con el 21.7 por ciento y Xonacatlán con el 22.6 por ciento. Nueve municipios su porcentaje fue entre 32 a 45 por ciento mientras que el municipio de Metepec fue el que más porcentaje represente con más del 65 por ciento (ver gráfica no. 14).</w:t>
      </w:r>
    </w:p>
    <w:p>
      <w:pPr>
        <w:pStyle w:val="BodyText"/>
      </w:pPr>
    </w:p>
    <w:p>
      <w:pPr>
        <w:spacing w:before="141" w:after="14"/>
        <w:ind w:left="196" w:right="216" w:firstLine="0"/>
        <w:jc w:val="center"/>
        <w:rPr>
          <w:sz w:val="20"/>
        </w:rPr>
      </w:pPr>
      <w:r>
        <w:rPr/>
        <w:pict>
          <v:group style="position:absolute;margin-left:126.648758pt;margin-top:52.749191pt;width:357.6pt;height:145.4pt;mso-position-horizontal-relative:page;mso-position-vertical-relative:paragraph;z-index:-332416" coordorigin="2533,1055" coordsize="7152,2908">
            <v:line style="position:absolute" from="2539,3598" to="9678,3598" stroked="true" strokeweight=".598302pt" strokecolor="#858585"/>
            <v:shape style="position:absolute;left:2569;top:3508;width:287;height:447" type="#_x0000_t75" stroked="false">
              <v:imagedata r:id="rId173" o:title=""/>
            </v:shape>
            <v:shape style="position:absolute;left:1013;top:6929;width:8941;height:450" coordorigin="1013,6929" coordsize="8941,450" path="m2539,3227l9678,3227m2539,2868l9678,2868e" filled="false" stroked="true" strokeweight=".598623pt" strokecolor="#858585">
              <v:path arrowok="t"/>
            </v:shape>
            <v:shape style="position:absolute;left:3048;top:2694;width:276;height:1260" type="#_x0000_t75" stroked="false">
              <v:imagedata r:id="rId623" o:title=""/>
            </v:shape>
            <v:shape style="position:absolute;left:3527;top:2742;width:276;height:1213" type="#_x0000_t75" stroked="false">
              <v:imagedata r:id="rId624" o:title=""/>
            </v:shape>
            <v:line style="position:absolute" from="2539,2509" to="9678,2509" stroked="true" strokeweight=".598302pt" strokecolor="#858585"/>
            <v:shape style="position:absolute;left:3994;top:2563;width:287;height:1392" type="#_x0000_t75" stroked="false">
              <v:imagedata r:id="rId625" o:title=""/>
            </v:shape>
            <v:shape style="position:absolute;left:1013;top:5564;width:8941;height:465" coordorigin="1013,5564" coordsize="8941,465" path="m2539,2150l9678,2150m2539,1779l9678,1779e" filled="false" stroked="true" strokeweight=".598623pt" strokecolor="#858585">
              <v:path arrowok="t"/>
            </v:shape>
            <v:shape style="position:absolute;left:4474;top:1534;width:276;height:2421" type="#_x0000_t75" stroked="false">
              <v:imagedata r:id="rId626" o:title=""/>
            </v:shape>
            <v:shape style="position:absolute;left:4953;top:2658;width:276;height:1296" type="#_x0000_t75" stroked="false">
              <v:imagedata r:id="rId627" o:title=""/>
            </v:shape>
            <v:shape style="position:absolute;left:5432;top:2635;width:276;height:1320" type="#_x0000_t75" stroked="false">
              <v:imagedata r:id="rId628" o:title=""/>
            </v:shape>
            <v:shape style="position:absolute;left:5899;top:3173;width:287;height:782" type="#_x0000_t75" stroked="false">
              <v:imagedata r:id="rId629" o:title=""/>
            </v:shape>
            <v:shape style="position:absolute;left:6378;top:2443;width:276;height:1512" type="#_x0000_t75" stroked="false">
              <v:imagedata r:id="rId630" o:title=""/>
            </v:shape>
            <v:shape style="position:absolute;left:6857;top:2658;width:276;height:1296" type="#_x0000_t75" stroked="false">
              <v:imagedata r:id="rId627" o:title=""/>
            </v:shape>
            <v:shape style="position:absolute;left:7325;top:2311;width:287;height:1643" type="#_x0000_t75" stroked="false">
              <v:imagedata r:id="rId296" o:title=""/>
            </v:shape>
            <v:shape style="position:absolute;left:7804;top:3640;width:287;height:315" type="#_x0000_t75" stroked="false">
              <v:imagedata r:id="rId631" o:title=""/>
            </v:shape>
            <v:shape style="position:absolute;left:8283;top:2264;width:276;height:1691" type="#_x0000_t75" stroked="false">
              <v:imagedata r:id="rId632" o:title=""/>
            </v:shape>
            <v:shape style="position:absolute;left:8762;top:3089;width:276;height:866" type="#_x0000_t75" stroked="false">
              <v:imagedata r:id="rId633" o:title=""/>
            </v:shape>
            <v:shape style="position:absolute;left:9229;top:3125;width:287;height:830" type="#_x0000_t75" stroked="false">
              <v:imagedata r:id="rId159" o:title=""/>
            </v:shape>
            <v:shape style="position:absolute;left:2713;top:2874;width:276;height:1081" type="#_x0000_t75" stroked="false">
              <v:imagedata r:id="rId634" o:title=""/>
            </v:shape>
            <v:shape style="position:absolute;left:3180;top:1821;width:287;height:2134" type="#_x0000_t75" stroked="false">
              <v:imagedata r:id="rId635" o:title=""/>
            </v:shape>
            <v:shape style="position:absolute;left:3659;top:1605;width:276;height:2349" type="#_x0000_t75" stroked="false">
              <v:imagedata r:id="rId636" o:title=""/>
            </v:shape>
            <v:shape style="position:absolute;left:4138;top:1749;width:276;height:2206" type="#_x0000_t75" stroked="false">
              <v:imagedata r:id="rId637" o:title=""/>
            </v:shape>
            <v:line style="position:absolute" from="2539,1420" to="9678,1420" stroked="true" strokeweight=".598302pt" strokecolor="#858585"/>
            <v:shape style="position:absolute;left:4605;top:1163;width:287;height:2792" type="#_x0000_t75" stroked="false">
              <v:imagedata r:id="rId638" o:title=""/>
            </v:shape>
            <v:shape style="position:absolute;left:5084;top:1809;width:287;height:2146" type="#_x0000_t75" stroked="false">
              <v:imagedata r:id="rId639" o:title=""/>
            </v:shape>
            <v:shape style="position:absolute;left:5564;top:1809;width:276;height:2146" type="#_x0000_t75" stroked="false">
              <v:imagedata r:id="rId640" o:title=""/>
            </v:shape>
            <v:shape style="position:absolute;left:6043;top:2503;width:276;height:1452" type="#_x0000_t75" stroked="false">
              <v:imagedata r:id="rId641" o:title=""/>
            </v:shape>
            <v:shape style="position:absolute;left:6510;top:1629;width:287;height:2325" type="#_x0000_t75" stroked="false">
              <v:imagedata r:id="rId642" o:title=""/>
            </v:shape>
            <v:shape style="position:absolute;left:6989;top:1605;width:276;height:2349" type="#_x0000_t75" stroked="false">
              <v:imagedata r:id="rId636" o:title=""/>
            </v:shape>
            <v:shape style="position:absolute;left:7468;top:1749;width:276;height:2206" type="#_x0000_t75" stroked="false">
              <v:imagedata r:id="rId637" o:title=""/>
            </v:shape>
            <v:shape style="position:absolute;left:7947;top:3029;width:276;height:925" type="#_x0000_t75" stroked="false">
              <v:imagedata r:id="rId643" o:title=""/>
            </v:shape>
            <v:shape style="position:absolute;left:8415;top:1713;width:287;height:2242" type="#_x0000_t75" stroked="false">
              <v:imagedata r:id="rId644" o:title=""/>
            </v:shape>
            <v:shape style="position:absolute;left:8894;top:2216;width:276;height:1739" type="#_x0000_t75" stroked="false">
              <v:imagedata r:id="rId645" o:title=""/>
            </v:shape>
            <v:shape style="position:absolute;left:9373;top:2299;width:276;height:1655" type="#_x0000_t75" stroked="false">
              <v:imagedata r:id="rId323" o:title=""/>
            </v:shape>
            <v:shape style="position:absolute;left:2605;top:3520;width:204;height:431" type="#_x0000_t75" stroked="false">
              <v:imagedata r:id="rId646" o:title=""/>
            </v:shape>
            <v:shape style="position:absolute;left:3084;top:2706;width:192;height:1244" type="#_x0000_t75" stroked="false">
              <v:imagedata r:id="rId647" o:title=""/>
            </v:shape>
            <v:shape style="position:absolute;left:3563;top:2754;width:192;height:1197" type="#_x0000_t75" stroked="false">
              <v:imagedata r:id="rId648" o:title=""/>
            </v:shape>
            <v:shape style="position:absolute;left:4030;top:2575;width:204;height:1376" type="#_x0000_t75" stroked="false">
              <v:imagedata r:id="rId649" o:title=""/>
            </v:shape>
            <v:shape style="position:absolute;left:4510;top:1546;width:192;height:2405" type="#_x0000_t75" stroked="false">
              <v:imagedata r:id="rId650" o:title=""/>
            </v:shape>
            <v:shape style="position:absolute;left:4989;top:2670;width:192;height:1280" type="#_x0000_t75" stroked="false">
              <v:imagedata r:id="rId651" o:title=""/>
            </v:shape>
            <v:shape style="position:absolute;left:5468;top:2646;width:192;height:1304" type="#_x0000_t75" stroked="false">
              <v:imagedata r:id="rId652" o:title=""/>
            </v:shape>
            <v:shape style="position:absolute;left:5935;top:3185;width:204;height:766" type="#_x0000_t75" stroked="false">
              <v:imagedata r:id="rId653" o:title=""/>
            </v:shape>
            <v:shape style="position:absolute;left:6414;top:2455;width:192;height:1496" type="#_x0000_t75" stroked="false">
              <v:imagedata r:id="rId654" o:title=""/>
            </v:shape>
            <v:shape style="position:absolute;left:6893;top:2670;width:192;height:1280" type="#_x0000_t75" stroked="false">
              <v:imagedata r:id="rId655" o:title=""/>
            </v:shape>
            <v:shape style="position:absolute;left:7360;top:2323;width:204;height:1627" type="#_x0000_t75" stroked="false">
              <v:imagedata r:id="rId656" o:title=""/>
            </v:shape>
            <v:shape style="position:absolute;left:7840;top:3652;width:204;height:299" type="#_x0000_t75" stroked="false">
              <v:imagedata r:id="rId657" o:title=""/>
            </v:shape>
            <v:shape style="position:absolute;left:8319;top:2276;width:192;height:1675" type="#_x0000_t75" stroked="false">
              <v:imagedata r:id="rId658" o:title=""/>
            </v:shape>
            <v:shape style="position:absolute;left:8798;top:3101;width:192;height:850" type="#_x0000_t75" stroked="false">
              <v:imagedata r:id="rId659" o:title=""/>
            </v:shape>
            <v:shape style="position:absolute;left:9265;top:3137;width:204;height:814" type="#_x0000_t75" stroked="false">
              <v:imagedata r:id="rId660" o:title=""/>
            </v:shape>
            <v:shape style="position:absolute;left:2749;top:2886;width:192;height:1065" type="#_x0000_t75" stroked="false">
              <v:imagedata r:id="rId661" o:title=""/>
            </v:shape>
            <v:shape style="position:absolute;left:3216;top:1833;width:204;height:2118" type="#_x0000_t75" stroked="false">
              <v:imagedata r:id="rId662" o:title=""/>
            </v:shape>
            <v:shape style="position:absolute;left:3695;top:1617;width:192;height:2333" type="#_x0000_t75" stroked="false">
              <v:imagedata r:id="rId663" o:title=""/>
            </v:shape>
            <v:shape style="position:absolute;left:4174;top:1761;width:192;height:2190" type="#_x0000_t75" stroked="false">
              <v:imagedata r:id="rId664" o:title=""/>
            </v:shape>
            <v:shape style="position:absolute;left:4641;top:1175;width:204;height:2776" type="#_x0000_t75" stroked="false">
              <v:imagedata r:id="rId665" o:title=""/>
            </v:shape>
            <v:shape style="position:absolute;left:5120;top:1821;width:204;height:2130" type="#_x0000_t75" stroked="false">
              <v:imagedata r:id="rId666" o:title=""/>
            </v:shape>
            <v:shape style="position:absolute;left:5600;top:1821;width:192;height:2130" type="#_x0000_t75" stroked="false">
              <v:imagedata r:id="rId667" o:title=""/>
            </v:shape>
            <v:shape style="position:absolute;left:6079;top:2515;width:192;height:1436" type="#_x0000_t75" stroked="false">
              <v:imagedata r:id="rId668" o:title=""/>
            </v:shape>
            <v:shape style="position:absolute;left:6546;top:1641;width:204;height:2309" type="#_x0000_t75" stroked="false">
              <v:imagedata r:id="rId669" o:title=""/>
            </v:shape>
            <v:shape style="position:absolute;left:7025;top:1617;width:192;height:2333" type="#_x0000_t75" stroked="false">
              <v:imagedata r:id="rId670" o:title=""/>
            </v:shape>
            <v:shape style="position:absolute;left:7504;top:1761;width:192;height:2190" type="#_x0000_t75" stroked="false">
              <v:imagedata r:id="rId671" o:title=""/>
            </v:shape>
            <v:shape style="position:absolute;left:7983;top:3041;width:192;height:909" type="#_x0000_t75" stroked="false">
              <v:imagedata r:id="rId672" o:title=""/>
            </v:shape>
            <v:shape style="position:absolute;left:8451;top:1725;width:204;height:2226" type="#_x0000_t75" stroked="false">
              <v:imagedata r:id="rId673" o:title=""/>
            </v:shape>
            <v:shape style="position:absolute;left:8930;top:2228;width:192;height:1723" type="#_x0000_t75" stroked="false">
              <v:imagedata r:id="rId674" o:title=""/>
            </v:shape>
            <v:shape style="position:absolute;left:9409;top:2311;width:192;height:1639" type="#_x0000_t75" stroked="false">
              <v:imagedata r:id="rId675" o:title=""/>
            </v:shape>
            <v:shape style="position:absolute;left:1013;top:4664;width:8941;height:3630" coordorigin="1013,4664" coordsize="8941,3630" path="m2539,1061l9678,1061m2539,3957l2539,1061m2539,3957l9678,3957e" filled="false" stroked="true" strokeweight=".598623pt" strokecolor="#858585">
              <v:path arrowok="t"/>
            </v:shape>
            <w10:wrap type="none"/>
          </v:group>
        </w:pict>
      </w:r>
      <w:r>
        <w:rPr>
          <w:sz w:val="20"/>
        </w:rPr>
        <w:t>Gráfica No. 14 Viviendas con lavadora en la </w:t>
      </w:r>
      <w:r>
        <w:rPr>
          <w:sz w:val="16"/>
        </w:rPr>
        <w:t>ZMT</w:t>
      </w:r>
      <w:r>
        <w:rPr>
          <w:sz w:val="20"/>
        </w:rPr>
        <w:t>, 2000-2010.</w:t>
      </w:r>
    </w:p>
    <w:p>
      <w:pPr>
        <w:pStyle w:val="BodyText"/>
        <w:ind w:left="142"/>
        <w:rPr>
          <w:sz w:val="20"/>
        </w:rPr>
      </w:pPr>
      <w:r>
        <w:rPr>
          <w:sz w:val="20"/>
        </w:rPr>
        <w:pict>
          <v:group style="width:440.85pt;height:246.55pt;mso-position-horizontal-relative:char;mso-position-vertical-relative:line" coordorigin="0,0" coordsize="8817,4931">
            <v:shape style="position:absolute;left:6417;top:3799;width:357;height:310" type="#_x0000_t75" stroked="false">
              <v:imagedata r:id="rId676" o:title=""/>
            </v:shape>
            <v:shape style="position:absolute;left:6690;top:3792;width:1037;height:641" type="#_x0000_t75" stroked="false">
              <v:imagedata r:id="rId677" o:title=""/>
            </v:shape>
            <v:shape style="position:absolute;left:6;top:6;width:8805;height:4919" type="#_x0000_t202" filled="false" stroked="true" strokeweight=".599054pt" strokecolor="#858585">
              <v:textbox inset="0,0,0,0">
                <w:txbxContent>
                  <w:p>
                    <w:pPr>
                      <w:spacing w:before="117"/>
                      <w:ind w:left="953" w:right="0" w:firstLine="0"/>
                      <w:jc w:val="left"/>
                      <w:rPr>
                        <w:rFonts w:ascii="Calibri"/>
                        <w:b/>
                        <w:sz w:val="28"/>
                      </w:rPr>
                    </w:pPr>
                    <w:r>
                      <w:rPr>
                        <w:rFonts w:ascii="Calibri"/>
                        <w:b/>
                        <w:w w:val="105"/>
                        <w:sz w:val="28"/>
                      </w:rPr>
                      <w:t>Viviendas que cuentan con lavadora en la ZMT, 2000-2010</w:t>
                    </w:r>
                  </w:p>
                  <w:p>
                    <w:pPr>
                      <w:spacing w:before="108"/>
                      <w:ind w:left="347" w:right="0" w:firstLine="0"/>
                      <w:jc w:val="left"/>
                      <w:rPr>
                        <w:rFonts w:ascii="Calibri"/>
                        <w:sz w:val="15"/>
                      </w:rPr>
                    </w:pPr>
                    <w:r>
                      <w:rPr>
                        <w:rFonts w:ascii="Calibri"/>
                        <w:w w:val="105"/>
                        <w:sz w:val="15"/>
                      </w:rPr>
                      <w:t>80.0</w:t>
                    </w:r>
                  </w:p>
                  <w:p>
                    <w:pPr>
                      <w:spacing w:line="240" w:lineRule="auto" w:before="7"/>
                      <w:rPr>
                        <w:sz w:val="15"/>
                      </w:rPr>
                    </w:pPr>
                  </w:p>
                  <w:p>
                    <w:pPr>
                      <w:spacing w:before="1"/>
                      <w:ind w:left="347" w:right="0" w:firstLine="0"/>
                      <w:jc w:val="left"/>
                      <w:rPr>
                        <w:rFonts w:ascii="Calibri"/>
                        <w:sz w:val="15"/>
                      </w:rPr>
                    </w:pPr>
                    <w:r>
                      <w:rPr>
                        <w:rFonts w:ascii="Calibri"/>
                        <w:w w:val="105"/>
                        <w:sz w:val="15"/>
                      </w:rPr>
                      <w:t>70.0</w:t>
                    </w:r>
                  </w:p>
                  <w:p>
                    <w:pPr>
                      <w:spacing w:line="240" w:lineRule="auto" w:before="7"/>
                      <w:rPr>
                        <w:sz w:val="15"/>
                      </w:rPr>
                    </w:pPr>
                  </w:p>
                  <w:p>
                    <w:pPr>
                      <w:spacing w:before="0"/>
                      <w:ind w:left="347" w:right="0" w:firstLine="0"/>
                      <w:jc w:val="left"/>
                      <w:rPr>
                        <w:rFonts w:ascii="Calibri"/>
                        <w:sz w:val="15"/>
                      </w:rPr>
                    </w:pPr>
                    <w:r>
                      <w:rPr>
                        <w:rFonts w:ascii="Calibri"/>
                        <w:w w:val="105"/>
                        <w:sz w:val="15"/>
                      </w:rPr>
                      <w:t>60.0</w:t>
                    </w:r>
                  </w:p>
                  <w:p>
                    <w:pPr>
                      <w:spacing w:line="240" w:lineRule="auto" w:before="7"/>
                      <w:rPr>
                        <w:sz w:val="15"/>
                      </w:rPr>
                    </w:pPr>
                  </w:p>
                  <w:p>
                    <w:pPr>
                      <w:spacing w:before="0"/>
                      <w:ind w:left="347" w:right="0" w:firstLine="0"/>
                      <w:jc w:val="left"/>
                      <w:rPr>
                        <w:rFonts w:ascii="Calibri"/>
                        <w:sz w:val="15"/>
                      </w:rPr>
                    </w:pPr>
                    <w:r>
                      <w:rPr>
                        <w:rFonts w:ascii="Calibri"/>
                        <w:w w:val="105"/>
                        <w:sz w:val="15"/>
                      </w:rPr>
                      <w:t>50.0</w:t>
                    </w:r>
                  </w:p>
                  <w:p>
                    <w:pPr>
                      <w:spacing w:line="240" w:lineRule="auto" w:before="7"/>
                      <w:rPr>
                        <w:sz w:val="15"/>
                      </w:rPr>
                    </w:pPr>
                  </w:p>
                  <w:p>
                    <w:pPr>
                      <w:spacing w:before="1"/>
                      <w:ind w:left="347" w:right="0" w:firstLine="0"/>
                      <w:jc w:val="left"/>
                      <w:rPr>
                        <w:rFonts w:ascii="Calibri"/>
                        <w:sz w:val="15"/>
                      </w:rPr>
                    </w:pPr>
                    <w:r>
                      <w:rPr>
                        <w:rFonts w:ascii="Calibri"/>
                        <w:w w:val="105"/>
                        <w:sz w:val="15"/>
                      </w:rPr>
                      <w:t>40.0</w:t>
                    </w:r>
                  </w:p>
                  <w:p>
                    <w:pPr>
                      <w:spacing w:line="240" w:lineRule="auto" w:before="7"/>
                      <w:rPr>
                        <w:sz w:val="15"/>
                      </w:rPr>
                    </w:pPr>
                  </w:p>
                  <w:p>
                    <w:pPr>
                      <w:tabs>
                        <w:tab w:pos="8318" w:val="left" w:leader="none"/>
                      </w:tabs>
                      <w:spacing w:before="0"/>
                      <w:ind w:left="347" w:right="0" w:firstLine="0"/>
                      <w:jc w:val="left"/>
                      <w:rPr>
                        <w:rFonts w:ascii="Calibri"/>
                        <w:sz w:val="15"/>
                      </w:rPr>
                    </w:pPr>
                    <w:r>
                      <w:rPr>
                        <w:rFonts w:ascii="Calibri"/>
                        <w:w w:val="105"/>
                        <w:sz w:val="15"/>
                      </w:rPr>
                      <w:t>30.0</w:t>
                      <w:tab/>
                    </w:r>
                    <w:r>
                      <w:rPr>
                        <w:rFonts w:ascii="Calibri"/>
                        <w:spacing w:val="5"/>
                        <w:w w:val="105"/>
                        <w:position w:val="-7"/>
                        <w:sz w:val="15"/>
                      </w:rPr>
                      <w:t>2000</w:t>
                    </w:r>
                  </w:p>
                  <w:p>
                    <w:pPr>
                      <w:tabs>
                        <w:tab w:pos="8145" w:val="left" w:leader="none"/>
                      </w:tabs>
                      <w:spacing w:before="98"/>
                      <w:ind w:left="347" w:right="0" w:firstLine="0"/>
                      <w:jc w:val="left"/>
                      <w:rPr>
                        <w:rFonts w:ascii="Calibri"/>
                        <w:sz w:val="15"/>
                      </w:rPr>
                    </w:pPr>
                    <w:r>
                      <w:rPr>
                        <w:rFonts w:ascii="Calibri"/>
                        <w:w w:val="105"/>
                        <w:position w:val="2"/>
                        <w:sz w:val="15"/>
                      </w:rPr>
                      <w:t>20.0</w:t>
                      <w:tab/>
                    </w:r>
                    <w:r>
                      <w:rPr>
                        <w:rFonts w:ascii="Calibri"/>
                        <w:sz w:val="15"/>
                      </w:rPr>
                      <w:drawing>
                        <wp:inline distT="0" distB="0" distL="0" distR="0">
                          <wp:extent cx="91538" cy="91439"/>
                          <wp:effectExtent l="0" t="0" r="0" b="0"/>
                          <wp:docPr id="107" name="image649.png" descr=""/>
                          <wp:cNvGraphicFramePr>
                            <a:graphicFrameLocks noChangeAspect="1"/>
                          </wp:cNvGraphicFramePr>
                          <a:graphic>
                            <a:graphicData uri="http://schemas.openxmlformats.org/drawingml/2006/picture">
                              <pic:pic>
                                <pic:nvPicPr>
                                  <pic:cNvPr id="108" name="image649.png"/>
                                  <pic:cNvPicPr/>
                                </pic:nvPicPr>
                                <pic:blipFill>
                                  <a:blip r:embed="rId678" cstate="print"/>
                                  <a:stretch>
                                    <a:fillRect/>
                                  </a:stretch>
                                </pic:blipFill>
                                <pic:spPr>
                                  <a:xfrm>
                                    <a:off x="0" y="0"/>
                                    <a:ext cx="91538" cy="91439"/>
                                  </a:xfrm>
                                  <a:prstGeom prst="rect">
                                    <a:avLst/>
                                  </a:prstGeom>
                                </pic:spPr>
                              </pic:pic>
                            </a:graphicData>
                          </a:graphic>
                        </wp:inline>
                      </w:drawing>
                    </w:r>
                    <w:r>
                      <w:rPr>
                        <w:rFonts w:ascii="Calibri"/>
                        <w:sz w:val="15"/>
                      </w:rPr>
                    </w:r>
                    <w:r>
                      <w:rPr>
                        <w:rFonts w:ascii="Calibri"/>
                        <w:spacing w:val="5"/>
                        <w:w w:val="105"/>
                        <w:position w:val="1"/>
                        <w:sz w:val="15"/>
                      </w:rPr>
                      <w:t>2010</w:t>
                    </w:r>
                  </w:p>
                  <w:p>
                    <w:pPr>
                      <w:spacing w:line="240" w:lineRule="auto" w:before="10"/>
                      <w:rPr>
                        <w:sz w:val="14"/>
                      </w:rPr>
                    </w:pPr>
                  </w:p>
                  <w:p>
                    <w:pPr>
                      <w:spacing w:before="0"/>
                      <w:ind w:left="347" w:right="0" w:firstLine="0"/>
                      <w:jc w:val="left"/>
                      <w:rPr>
                        <w:rFonts w:ascii="Calibri"/>
                        <w:sz w:val="15"/>
                      </w:rPr>
                    </w:pPr>
                    <w:r>
                      <w:rPr>
                        <w:rFonts w:ascii="Calibri"/>
                        <w:w w:val="105"/>
                        <w:sz w:val="15"/>
                      </w:rPr>
                      <w:t>10.0</w:t>
                    </w:r>
                  </w:p>
                  <w:p>
                    <w:pPr>
                      <w:spacing w:line="240" w:lineRule="auto" w:before="7"/>
                      <w:rPr>
                        <w:sz w:val="15"/>
                      </w:rPr>
                    </w:pPr>
                  </w:p>
                  <w:p>
                    <w:pPr>
                      <w:spacing w:before="0"/>
                      <w:ind w:left="436" w:right="0" w:firstLine="0"/>
                      <w:jc w:val="left"/>
                      <w:rPr>
                        <w:rFonts w:ascii="Calibri"/>
                        <w:sz w:val="15"/>
                      </w:rPr>
                    </w:pPr>
                    <w:r>
                      <w:rPr>
                        <w:rFonts w:ascii="Calibri"/>
                        <w:w w:val="105"/>
                        <w:sz w:val="15"/>
                      </w:rPr>
                      <w:t>0.0</w:t>
                    </w:r>
                  </w:p>
                </w:txbxContent>
              </v:textbox>
              <w10:wrap type="none"/>
            </v:shape>
          </v:group>
        </w:pict>
      </w:r>
      <w:r>
        <w:rPr>
          <w:sz w:val="20"/>
        </w:rPr>
      </w:r>
    </w:p>
    <w:p>
      <w:pPr>
        <w:spacing w:before="1"/>
        <w:ind w:left="193" w:right="215" w:firstLine="0"/>
        <w:jc w:val="center"/>
        <w:rPr>
          <w:sz w:val="20"/>
        </w:rPr>
      </w:pPr>
      <w:r>
        <w:rPr/>
        <w:drawing>
          <wp:anchor distT="0" distB="0" distL="0" distR="0" allowOverlap="1" layoutInCell="1" locked="0" behindDoc="1" simplePos="0" relativeHeight="268103063">
            <wp:simplePos x="0" y="0"/>
            <wp:positionH relativeFrom="page">
              <wp:posOffset>1201604</wp:posOffset>
            </wp:positionH>
            <wp:positionV relativeFrom="paragraph">
              <wp:posOffset>-730753</wp:posOffset>
            </wp:positionV>
            <wp:extent cx="1177225" cy="581025"/>
            <wp:effectExtent l="0" t="0" r="0" b="0"/>
            <wp:wrapNone/>
            <wp:docPr id="109" name="image650.png" descr=""/>
            <wp:cNvGraphicFramePr>
              <a:graphicFrameLocks noChangeAspect="1"/>
            </wp:cNvGraphicFramePr>
            <a:graphic>
              <a:graphicData uri="http://schemas.openxmlformats.org/drawingml/2006/picture">
                <pic:pic>
                  <pic:nvPicPr>
                    <pic:cNvPr id="110" name="image650.png"/>
                    <pic:cNvPicPr/>
                  </pic:nvPicPr>
                  <pic:blipFill>
                    <a:blip r:embed="rId679" cstate="print"/>
                    <a:stretch>
                      <a:fillRect/>
                    </a:stretch>
                  </pic:blipFill>
                  <pic:spPr>
                    <a:xfrm>
                      <a:off x="0" y="0"/>
                      <a:ext cx="1177225" cy="581025"/>
                    </a:xfrm>
                    <a:prstGeom prst="rect">
                      <a:avLst/>
                    </a:prstGeom>
                  </pic:spPr>
                </pic:pic>
              </a:graphicData>
            </a:graphic>
          </wp:anchor>
        </w:drawing>
      </w:r>
      <w:r>
        <w:rPr/>
        <w:pict>
          <v:group style="position:absolute;margin-left:194.992859pt;margin-top:-57.359394pt;width:111.9pt;height:32.85pt;mso-position-horizontal-relative:page;mso-position-vertical-relative:paragraph;z-index:-332368" coordorigin="3900,-1147" coordsize="2238,657">
            <v:shape style="position:absolute;left:3900;top:-1147;width:341;height:313" type="#_x0000_t75" stroked="false">
              <v:imagedata r:id="rId680" o:title=""/>
            </v:shape>
            <v:shape style="position:absolute;left:4248;top:-1147;width:1889;height:657" type="#_x0000_t75" stroked="false">
              <v:imagedata r:id="rId681" o:title=""/>
            </v:shape>
            <w10:wrap type="none"/>
          </v:group>
        </w:pict>
      </w:r>
      <w:r>
        <w:rPr/>
        <w:pict>
          <v:group style="position:absolute;margin-left:310.613129pt;margin-top:-57.022736pt;width:91.45pt;height:43.35pt;mso-position-horizontal-relative:page;mso-position-vertical-relative:paragraph;z-index:-332344" coordorigin="6212,-1140" coordsize="1829,867">
            <v:shape style="position:absolute;left:6282;top:-1136;width:328;height:302" type="#_x0000_t75" stroked="false">
              <v:imagedata r:id="rId682" o:title=""/>
            </v:shape>
            <v:shape style="position:absolute;left:6212;top:-1140;width:1829;height:866" type="#_x0000_t75" stroked="false">
              <v:imagedata r:id="rId683" o:title=""/>
            </v:shape>
            <w10:wrap type="none"/>
          </v:group>
        </w:pict>
      </w:r>
      <w:r>
        <w:rPr/>
        <w:drawing>
          <wp:anchor distT="0" distB="0" distL="0" distR="0" allowOverlap="1" layoutInCell="1" locked="0" behindDoc="1" simplePos="0" relativeHeight="268103135">
            <wp:simplePos x="0" y="0"/>
            <wp:positionH relativeFrom="page">
              <wp:posOffset>6286502</wp:posOffset>
            </wp:positionH>
            <wp:positionV relativeFrom="paragraph">
              <wp:posOffset>-1563653</wp:posOffset>
            </wp:positionV>
            <wp:extent cx="91538" cy="99060"/>
            <wp:effectExtent l="0" t="0" r="0" b="0"/>
            <wp:wrapNone/>
            <wp:docPr id="111" name="image655.png" descr=""/>
            <wp:cNvGraphicFramePr>
              <a:graphicFrameLocks noChangeAspect="1"/>
            </wp:cNvGraphicFramePr>
            <a:graphic>
              <a:graphicData uri="http://schemas.openxmlformats.org/drawingml/2006/picture">
                <pic:pic>
                  <pic:nvPicPr>
                    <pic:cNvPr id="112" name="image655.png"/>
                    <pic:cNvPicPr/>
                  </pic:nvPicPr>
                  <pic:blipFill>
                    <a:blip r:embed="rId684" cstate="print"/>
                    <a:stretch>
                      <a:fillRect/>
                    </a:stretch>
                  </pic:blipFill>
                  <pic:spPr>
                    <a:xfrm>
                      <a:off x="0" y="0"/>
                      <a:ext cx="91538" cy="99060"/>
                    </a:xfrm>
                    <a:prstGeom prst="rect">
                      <a:avLst/>
                    </a:prstGeom>
                  </pic:spPr>
                </pic:pic>
              </a:graphicData>
            </a:graphic>
          </wp:anchor>
        </w:drawing>
      </w:r>
      <w:r>
        <w:rPr>
          <w:sz w:val="20"/>
        </w:rPr>
        <w:t>Fuente: Elaboración propia con base en los datos de los Censos de Población y Vivienda INEGI, 2000 y 2010.</w:t>
      </w:r>
    </w:p>
    <w:p>
      <w:pPr>
        <w:pStyle w:val="BodyText"/>
        <w:rPr>
          <w:sz w:val="20"/>
        </w:rPr>
      </w:pPr>
    </w:p>
    <w:p>
      <w:pPr>
        <w:pStyle w:val="BodyText"/>
        <w:rPr>
          <w:sz w:val="16"/>
        </w:rPr>
      </w:pPr>
    </w:p>
    <w:p>
      <w:pPr>
        <w:pStyle w:val="BodyText"/>
        <w:spacing w:line="360" w:lineRule="auto"/>
        <w:ind w:left="102" w:right="116"/>
        <w:jc w:val="both"/>
      </w:pPr>
      <w:r>
        <w:rPr/>
        <w:t>Una década después es decir en el 2010 el municipio con menor porcentaje fue Temoaya con 24.3 por ciento, seguido de los municipios de Almoloya de Juárez, Otzolotepec, Zinacantepec, Xonacatlán con 28, 38, 44 y 46 por ciento respectivamente. Nueve municipios su porcentaje registró entre 57 y 63 por ciento, de nuevo el municipio de Metepec fue el que mayor porcentaje registró más del 75 por ciento de sus viviendas cuentan con lavadora (ver mapa no. 13).</w:t>
      </w:r>
    </w:p>
    <w:p>
      <w:pPr>
        <w:spacing w:after="0" w:line="360" w:lineRule="auto"/>
        <w:jc w:val="both"/>
        <w:sectPr>
          <w:pgSz w:w="12240" w:h="15840"/>
          <w:pgMar w:header="0" w:footer="1003" w:top="1360" w:bottom="1200" w:left="1600" w:right="1580"/>
        </w:sectPr>
      </w:pPr>
    </w:p>
    <w:p>
      <w:pPr>
        <w:spacing w:before="53" w:after="3"/>
        <w:ind w:left="84" w:right="122" w:firstLine="0"/>
        <w:jc w:val="center"/>
        <w:rPr>
          <w:sz w:val="20"/>
        </w:rPr>
      </w:pPr>
      <w:r>
        <w:rPr>
          <w:sz w:val="20"/>
        </w:rPr>
        <w:t>Mapa No. 13 Porcentaje de viviendas con lavadora en la </w:t>
      </w:r>
      <w:r>
        <w:rPr>
          <w:sz w:val="16"/>
        </w:rPr>
        <w:t>ZMT</w:t>
      </w:r>
      <w:r>
        <w:rPr>
          <w:sz w:val="20"/>
        </w:rPr>
        <w:t>, 2000-2010.</w:t>
      </w:r>
    </w:p>
    <w:p>
      <w:pPr>
        <w:pStyle w:val="BodyText"/>
        <w:ind w:left="130"/>
        <w:rPr>
          <w:sz w:val="20"/>
        </w:rPr>
      </w:pPr>
      <w:r>
        <w:rPr>
          <w:sz w:val="20"/>
        </w:rPr>
        <w:drawing>
          <wp:inline distT="0" distB="0" distL="0" distR="0">
            <wp:extent cx="5530693" cy="3911441"/>
            <wp:effectExtent l="0" t="0" r="0" b="0"/>
            <wp:docPr id="113" name="image656.jpeg" descr=""/>
            <wp:cNvGraphicFramePr>
              <a:graphicFrameLocks noChangeAspect="1"/>
            </wp:cNvGraphicFramePr>
            <a:graphic>
              <a:graphicData uri="http://schemas.openxmlformats.org/drawingml/2006/picture">
                <pic:pic>
                  <pic:nvPicPr>
                    <pic:cNvPr id="114" name="image656.jpeg"/>
                    <pic:cNvPicPr/>
                  </pic:nvPicPr>
                  <pic:blipFill>
                    <a:blip r:embed="rId685" cstate="print"/>
                    <a:stretch>
                      <a:fillRect/>
                    </a:stretch>
                  </pic:blipFill>
                  <pic:spPr>
                    <a:xfrm>
                      <a:off x="0" y="0"/>
                      <a:ext cx="5530693" cy="3911441"/>
                    </a:xfrm>
                    <a:prstGeom prst="rect">
                      <a:avLst/>
                    </a:prstGeom>
                  </pic:spPr>
                </pic:pic>
              </a:graphicData>
            </a:graphic>
          </wp:inline>
        </w:drawing>
      </w:r>
      <w:r>
        <w:rPr>
          <w:sz w:val="20"/>
        </w:rPr>
      </w:r>
    </w:p>
    <w:p>
      <w:pPr>
        <w:spacing w:line="360" w:lineRule="auto" w:before="88"/>
        <w:ind w:left="80" w:right="122" w:firstLine="0"/>
        <w:jc w:val="center"/>
        <w:rPr>
          <w:sz w:val="20"/>
        </w:rPr>
      </w:pPr>
      <w:r>
        <w:rPr>
          <w:sz w:val="20"/>
        </w:rPr>
        <w:t>Fuente: Elaboración propia con base en los datos de los Censos de Población y Vivienda INEGI, 2000 y 2010.</w:t>
      </w:r>
    </w:p>
    <w:p>
      <w:pPr>
        <w:pStyle w:val="BodyText"/>
        <w:rPr>
          <w:sz w:val="20"/>
        </w:rPr>
      </w:pPr>
    </w:p>
    <w:p>
      <w:pPr>
        <w:pStyle w:val="BodyText"/>
        <w:rPr>
          <w:sz w:val="20"/>
        </w:rPr>
      </w:pPr>
    </w:p>
    <w:p>
      <w:pPr>
        <w:pStyle w:val="BodyText"/>
        <w:spacing w:line="360" w:lineRule="auto" w:before="157"/>
        <w:ind w:left="102" w:right="139"/>
        <w:jc w:val="both"/>
      </w:pPr>
      <w:r>
        <w:rPr/>
        <w:t>El promedio de la </w:t>
      </w:r>
      <w:r>
        <w:rPr>
          <w:sz w:val="19"/>
        </w:rPr>
        <w:t>ZMT</w:t>
      </w:r>
      <w:r>
        <w:rPr/>
        <w:t>, en el año 2000 fue del 32 por ciento incrementando para el año 2010 en más 53 por ciento, es decir más de la mitad de las viviendas cuentan con lavadoras en esta zona metropolitana del país. En el siguiente apartado se analiza las viviendas que cuentan con el bien de automóvil o camioneta.</w:t>
      </w:r>
    </w:p>
    <w:p>
      <w:pPr>
        <w:pStyle w:val="ListParagraph"/>
        <w:numPr>
          <w:ilvl w:val="2"/>
          <w:numId w:val="23"/>
        </w:numPr>
        <w:tabs>
          <w:tab w:pos="643" w:val="left" w:leader="none"/>
        </w:tabs>
        <w:spacing w:line="240" w:lineRule="auto" w:before="206" w:after="0"/>
        <w:ind w:left="642" w:right="0" w:hanging="540"/>
        <w:jc w:val="both"/>
        <w:rPr>
          <w:rFonts w:ascii="Cambria" w:hAnsi="Cambria"/>
          <w:b/>
          <w:sz w:val="22"/>
        </w:rPr>
      </w:pPr>
      <w:r>
        <w:rPr>
          <w:rFonts w:ascii="Cambria" w:hAnsi="Cambria"/>
          <w:b/>
          <w:color w:val="4F81BC"/>
          <w:sz w:val="22"/>
        </w:rPr>
        <w:t>Viviendas con</w:t>
      </w:r>
      <w:r>
        <w:rPr>
          <w:rFonts w:ascii="Cambria" w:hAnsi="Cambria"/>
          <w:b/>
          <w:color w:val="4F81BC"/>
          <w:spacing w:val="-13"/>
          <w:sz w:val="22"/>
        </w:rPr>
        <w:t> </w:t>
      </w:r>
      <w:r>
        <w:rPr>
          <w:rFonts w:ascii="Cambria" w:hAnsi="Cambria"/>
          <w:b/>
          <w:color w:val="4F81BC"/>
          <w:sz w:val="22"/>
        </w:rPr>
        <w:t>automóvil</w:t>
      </w:r>
    </w:p>
    <w:p>
      <w:pPr>
        <w:pStyle w:val="BodyText"/>
        <w:rPr>
          <w:rFonts w:ascii="Cambria"/>
          <w:b/>
          <w:sz w:val="22"/>
        </w:rPr>
      </w:pPr>
    </w:p>
    <w:p>
      <w:pPr>
        <w:pStyle w:val="BodyText"/>
        <w:spacing w:line="360" w:lineRule="auto" w:before="193"/>
        <w:ind w:left="102" w:right="142"/>
        <w:jc w:val="both"/>
      </w:pPr>
      <w:r>
        <w:rPr/>
        <w:t>En este apartado se analizan las viviendas que cuentan con el bien de automóvil o camioneta, este bien es utilizado para el transporte de personas o mercancías, el automóvil ha sido de gran ayuda para tener movilidad en la zona metropolitana ya que es utilizado para el trabajo, ir a estudiar, a los servicios de salud, también ayuda en la transportación de alimentos y despensas de las personas.</w:t>
      </w:r>
    </w:p>
    <w:p>
      <w:pPr>
        <w:spacing w:after="0" w:line="360" w:lineRule="auto"/>
        <w:jc w:val="both"/>
        <w:sectPr>
          <w:pgSz w:w="12240" w:h="15840"/>
          <w:pgMar w:header="0" w:footer="1003" w:top="1360" w:bottom="1200" w:left="1600" w:right="1560"/>
        </w:sectPr>
      </w:pPr>
    </w:p>
    <w:p>
      <w:pPr>
        <w:pStyle w:val="BodyText"/>
        <w:spacing w:line="360" w:lineRule="auto" w:before="54"/>
        <w:ind w:left="102" w:right="116"/>
        <w:jc w:val="both"/>
      </w:pPr>
      <w:r>
        <w:rPr/>
        <w:t>En el año 2000 los municipios con los menores porcentajes de viviendas con automóvil fueron Temoaya con el 14.4 por ciento, Almoloya de Juárez con 15.9  por ciento y Otzolotepec con 19 por ciento. Once municipios su porcentaje se ubico entre el 20 y 37 por ciento, mientras el municipio de Metepec registró el mayor porcentaje con más del 49 por ciento (ver gráfica no.</w:t>
      </w:r>
      <w:r>
        <w:rPr>
          <w:spacing w:val="-21"/>
        </w:rPr>
        <w:t> </w:t>
      </w:r>
      <w:r>
        <w:rPr/>
        <w:t>15).</w:t>
      </w:r>
    </w:p>
    <w:p>
      <w:pPr>
        <w:pStyle w:val="BodyText"/>
      </w:pPr>
    </w:p>
    <w:p>
      <w:pPr>
        <w:spacing w:before="141" w:after="12"/>
        <w:ind w:left="195" w:right="216" w:firstLine="0"/>
        <w:jc w:val="center"/>
        <w:rPr>
          <w:sz w:val="20"/>
        </w:rPr>
      </w:pPr>
      <w:r>
        <w:rPr/>
        <w:pict>
          <v:group style="position:absolute;margin-left:120.877846pt;margin-top:49.683281pt;width:398.7pt;height:152.6pt;mso-position-horizontal-relative:page;mso-position-vertical-relative:paragraph;z-index:-332248" coordorigin="2418,994" coordsize="7974,3052">
            <v:line style="position:absolute" from="2423,3604" to="10386,3604" stroked="true" strokeweight=".54496pt" strokecolor="#858585"/>
            <v:shape style="position:absolute;left:2472;top:3304;width:284;height:733" type="#_x0000_t75" stroked="false">
              <v:imagedata r:id="rId686" o:title=""/>
            </v:shape>
            <v:line style="position:absolute" from="2423,3168" to="10386,3168" stroked="true" strokeweight=".54496pt" strokecolor="#858585"/>
            <v:shape style="position:absolute;left:2996;top:2967;width:284;height:1070" type="#_x0000_t75" stroked="false">
              <v:imagedata r:id="rId687" o:title=""/>
            </v:shape>
            <v:line style="position:absolute" from="2423,2732" to="10386,2732" stroked="true" strokeweight=".54496pt" strokecolor="#858585"/>
            <v:shape style="position:absolute;left:3530;top:2803;width:284;height:1234" type="#_x0000_t75" stroked="false">
              <v:imagedata r:id="rId561" o:title=""/>
            </v:shape>
            <v:shape style="position:absolute;left:4065;top:2858;width:284;height:1179" type="#_x0000_t75" stroked="false">
              <v:imagedata r:id="rId688" o:title=""/>
            </v:shape>
            <v:shape style="position:absolute;left:953;top:6901;width:10951;height:600" coordorigin="953,6901" coordsize="10951,600" path="m2423,2307l10386,2307m2423,1871l10386,1871e" filled="false" stroked="true" strokeweight=".54518pt" strokecolor="#858585">
              <v:path arrowok="t"/>
            </v:shape>
            <v:shape style="position:absolute;left:4588;top:1833;width:284;height:2204" type="#_x0000_t75" stroked="false">
              <v:imagedata r:id="rId452" o:title=""/>
            </v:shape>
            <v:shape style="position:absolute;left:5123;top:2356;width:284;height:1681" type="#_x0000_t75" stroked="false">
              <v:imagedata r:id="rId689" o:title=""/>
            </v:shape>
            <v:shape style="position:absolute;left:5657;top:2858;width:284;height:1179" type="#_x0000_t75" stroked="false">
              <v:imagedata r:id="rId688" o:title=""/>
            </v:shape>
            <v:shape style="position:absolute;left:6181;top:3174;width:284;height:863" type="#_x0000_t75" stroked="false">
              <v:imagedata r:id="rId690" o:title=""/>
            </v:shape>
            <v:shape style="position:absolute;left:6715;top:2999;width:284;height:1038" type="#_x0000_t75" stroked="false">
              <v:imagedata r:id="rId691" o:title=""/>
            </v:shape>
            <v:shape style="position:absolute;left:7250;top:2956;width:284;height:1081" type="#_x0000_t75" stroked="false">
              <v:imagedata r:id="rId692" o:title=""/>
            </v:shape>
            <v:shape style="position:absolute;left:7773;top:2705;width:284;height:1332" type="#_x0000_t75" stroked="false">
              <v:imagedata r:id="rId693" o:title=""/>
            </v:shape>
            <v:shape style="position:absolute;left:8308;top:3370;width:284;height:667" type="#_x0000_t75" stroked="false">
              <v:imagedata r:id="rId694" o:title=""/>
            </v:shape>
            <v:shape style="position:absolute;left:8842;top:2411;width:284;height:1626" type="#_x0000_t75" stroked="false">
              <v:imagedata r:id="rId695" o:title=""/>
            </v:shape>
            <v:shape style="position:absolute;left:9366;top:3119;width:284;height:918" type="#_x0000_t75" stroked="false">
              <v:imagedata r:id="rId696" o:title=""/>
            </v:shape>
            <v:shape style="position:absolute;left:9900;top:3021;width:284;height:1016" type="#_x0000_t75" stroked="false">
              <v:imagedata r:id="rId697" o:title=""/>
            </v:shape>
            <v:shape style="position:absolute;left:2625;top:2607;width:284;height:1430" type="#_x0000_t75" stroked="false">
              <v:imagedata r:id="rId698" o:title=""/>
            </v:shape>
            <v:shape style="position:absolute;left:3148;top:2182;width:284;height:1855" type="#_x0000_t75" stroked="false">
              <v:imagedata r:id="rId699" o:title=""/>
            </v:shape>
            <v:shape style="position:absolute;left:3683;top:1746;width:284;height:2291" type="#_x0000_t75" stroked="false">
              <v:imagedata r:id="rId572" o:title=""/>
            </v:shape>
            <v:shape style="position:absolute;left:4217;top:2149;width:284;height:1888" type="#_x0000_t75" stroked="false">
              <v:imagedata r:id="rId700" o:title=""/>
            </v:shape>
            <v:line style="position:absolute" from="2423,1435" to="10386,1435" stroked="true" strokeweight=".54496pt" strokecolor="#858585"/>
            <v:shape style="position:absolute;left:4741;top:1386;width:284;height:2651" type="#_x0000_t75" stroked="false">
              <v:imagedata r:id="rId701" o:title=""/>
            </v:shape>
            <v:shape style="position:absolute;left:5275;top:1877;width:284;height:2160" type="#_x0000_t75" stroked="false">
              <v:imagedata r:id="rId702" o:title=""/>
            </v:shape>
            <v:shape style="position:absolute;left:5810;top:2269;width:284;height:1768" type="#_x0000_t75" stroked="false">
              <v:imagedata r:id="rId703" o:title=""/>
            </v:shape>
            <v:shape style="position:absolute;left:6334;top:2563;width:284;height:1474" type="#_x0000_t75" stroked="false">
              <v:imagedata r:id="rId704" o:title=""/>
            </v:shape>
            <v:shape style="position:absolute;left:6868;top:2422;width:284;height:1615" type="#_x0000_t75" stroked="false">
              <v:imagedata r:id="rId705" o:title=""/>
            </v:shape>
            <v:shape style="position:absolute;left:7403;top:1800;width:284;height:2237" type="#_x0000_t75" stroked="false">
              <v:imagedata r:id="rId706" o:title=""/>
            </v:shape>
            <v:shape style="position:absolute;left:7926;top:2193;width:284;height:1844" type="#_x0000_t75" stroked="false">
              <v:imagedata r:id="rId707" o:title=""/>
            </v:shape>
            <v:shape style="position:absolute;left:8461;top:2618;width:284;height:1419" type="#_x0000_t75" stroked="false">
              <v:imagedata r:id="rId708" o:title=""/>
            </v:shape>
            <v:shape style="position:absolute;left:8995;top:1855;width:284;height:2182" type="#_x0000_t75" stroked="false">
              <v:imagedata r:id="rId709" o:title=""/>
            </v:shape>
            <v:shape style="position:absolute;left:9519;top:2487;width:284;height:1550" type="#_x0000_t75" stroked="false">
              <v:imagedata r:id="rId710" o:title=""/>
            </v:shape>
            <v:shape style="position:absolute;left:10053;top:2215;width:284;height:1822" type="#_x0000_t75" stroked="false">
              <v:imagedata r:id="rId711" o:title=""/>
            </v:shape>
            <v:shape style="position:absolute;left:2505;top:3315;width:207;height:719" type="#_x0000_t75" stroked="false">
              <v:imagedata r:id="rId712" o:title=""/>
            </v:shape>
            <v:shape style="position:absolute;left:3028;top:2977;width:207;height:1057" type="#_x0000_t75" stroked="false">
              <v:imagedata r:id="rId713" o:title=""/>
            </v:shape>
            <v:shape style="position:absolute;left:3563;top:2814;width:207;height:1221" type="#_x0000_t75" stroked="false">
              <v:imagedata r:id="rId714" o:title=""/>
            </v:shape>
            <v:shape style="position:absolute;left:4097;top:2868;width:207;height:1166" type="#_x0000_t75" stroked="false">
              <v:imagedata r:id="rId715" o:title=""/>
            </v:shape>
            <v:shape style="position:absolute;left:4621;top:1844;width:207;height:2191" type="#_x0000_t75" stroked="false">
              <v:imagedata r:id="rId716" o:title=""/>
            </v:shape>
            <v:shape style="position:absolute;left:5156;top:2367;width:207;height:1668" type="#_x0000_t75" stroked="false">
              <v:imagedata r:id="rId717" o:title=""/>
            </v:shape>
            <v:shape style="position:absolute;left:5690;top:2868;width:207;height:1166" type="#_x0000_t75" stroked="false">
              <v:imagedata r:id="rId718" o:title=""/>
            </v:shape>
            <v:shape style="position:absolute;left:6214;top:3185;width:207;height:850" type="#_x0000_t75" stroked="false">
              <v:imagedata r:id="rId719" o:title=""/>
            </v:shape>
            <v:shape style="position:absolute;left:6748;top:3010;width:207;height:1025" type="#_x0000_t75" stroked="false">
              <v:imagedata r:id="rId720" o:title=""/>
            </v:shape>
            <v:shape style="position:absolute;left:7283;top:2967;width:207;height:1068" type="#_x0000_t75" stroked="false">
              <v:imagedata r:id="rId721" o:title=""/>
            </v:shape>
            <v:shape style="position:absolute;left:7806;top:2716;width:207;height:1319" type="#_x0000_t75" stroked="false">
              <v:imagedata r:id="rId722" o:title=""/>
            </v:shape>
            <v:shape style="position:absolute;left:8341;top:3381;width:207;height:654" type="#_x0000_t75" stroked="false">
              <v:imagedata r:id="rId723" o:title=""/>
            </v:shape>
            <v:shape style="position:absolute;left:8875;top:2422;width:207;height:1613" type="#_x0000_t75" stroked="false">
              <v:imagedata r:id="rId724" o:title=""/>
            </v:shape>
            <v:shape style="position:absolute;left:9399;top:3130;width:207;height:905" type="#_x0000_t75" stroked="false">
              <v:imagedata r:id="rId725" o:title=""/>
            </v:shape>
            <v:shape style="position:absolute;left:9933;top:3032;width:207;height:1003" type="#_x0000_t75" stroked="false">
              <v:imagedata r:id="rId726" o:title=""/>
            </v:shape>
            <v:shape style="position:absolute;left:2658;top:2618;width:207;height:1417" type="#_x0000_t75" stroked="false">
              <v:imagedata r:id="rId727" o:title=""/>
            </v:shape>
            <v:shape style="position:absolute;left:3181;top:2193;width:207;height:1842" type="#_x0000_t75" stroked="false">
              <v:imagedata r:id="rId728" o:title=""/>
            </v:shape>
            <v:shape style="position:absolute;left:3716;top:1757;width:207;height:2278" type="#_x0000_t75" stroked="false">
              <v:imagedata r:id="rId729" o:title=""/>
            </v:shape>
            <v:shape style="position:absolute;left:4250;top:2160;width:207;height:1875" type="#_x0000_t75" stroked="false">
              <v:imagedata r:id="rId730" o:title=""/>
            </v:shape>
            <v:shape style="position:absolute;left:4774;top:1397;width:207;height:2638" type="#_x0000_t75" stroked="false">
              <v:imagedata r:id="rId731" o:title=""/>
            </v:shape>
            <v:shape style="position:absolute;left:5308;top:1888;width:207;height:2147" type="#_x0000_t75" stroked="false">
              <v:imagedata r:id="rId732" o:title=""/>
            </v:shape>
            <v:shape style="position:absolute;left:5843;top:2280;width:207;height:1755" type="#_x0000_t75" stroked="false">
              <v:imagedata r:id="rId733" o:title=""/>
            </v:shape>
            <v:shape style="position:absolute;left:6366;top:2574;width:207;height:1460" type="#_x0000_t75" stroked="false">
              <v:imagedata r:id="rId734" o:title=""/>
            </v:shape>
            <v:shape style="position:absolute;left:6901;top:2432;width:207;height:1602" type="#_x0000_t75" stroked="false">
              <v:imagedata r:id="rId735" o:title=""/>
            </v:shape>
            <v:shape style="position:absolute;left:7435;top:1811;width:207;height:2223" type="#_x0000_t75" stroked="false">
              <v:imagedata r:id="rId736" o:title=""/>
            </v:shape>
            <v:shape style="position:absolute;left:7959;top:2204;width:207;height:1831" type="#_x0000_t75" stroked="false">
              <v:imagedata r:id="rId737" o:title=""/>
            </v:shape>
            <v:shape style="position:absolute;left:8493;top:2629;width:207;height:1406" type="#_x0000_t75" stroked="false">
              <v:imagedata r:id="rId738" o:title=""/>
            </v:shape>
            <v:shape style="position:absolute;left:9028;top:1866;width:207;height:2169" type="#_x0000_t75" stroked="false">
              <v:imagedata r:id="rId739" o:title=""/>
            </v:shape>
            <v:shape style="position:absolute;left:9551;top:2498;width:207;height:1537" type="#_x0000_t75" stroked="false">
              <v:imagedata r:id="rId740" o:title=""/>
            </v:shape>
            <v:shape style="position:absolute;left:10086;top:2225;width:207;height:1809" type="#_x0000_t75" stroked="false">
              <v:imagedata r:id="rId741" o:title=""/>
            </v:shape>
            <v:shape style="position:absolute;left:953;top:5701;width:10951;height:4185" coordorigin="953,5701" coordsize="10951,4185" path="m2423,999l10386,999m2423,4040l2423,999m2423,4040l10386,4040e" filled="false" stroked="true" strokeweight=".54518pt" strokecolor="#858585">
              <v:path arrowok="t"/>
            </v:shape>
            <w10:wrap type="none"/>
          </v:group>
        </w:pict>
      </w:r>
      <w:r>
        <w:rPr>
          <w:sz w:val="20"/>
        </w:rPr>
        <w:t>Gráfica No. 15 Viviendas con automóvil o camioneta en la </w:t>
      </w:r>
      <w:r>
        <w:rPr>
          <w:sz w:val="16"/>
        </w:rPr>
        <w:t>ZMT</w:t>
      </w:r>
      <w:r>
        <w:rPr>
          <w:sz w:val="20"/>
        </w:rPr>
        <w:t>, 2000-2010.</w:t>
      </w:r>
    </w:p>
    <w:p>
      <w:pPr>
        <w:pStyle w:val="BodyText"/>
        <w:ind w:left="141"/>
        <w:rPr>
          <w:sz w:val="20"/>
        </w:rPr>
      </w:pPr>
      <w:r>
        <w:rPr>
          <w:sz w:val="20"/>
        </w:rPr>
        <w:pict>
          <v:group style="width:440.7pt;height:262.150pt;mso-position-horizontal-relative:char;mso-position-vertical-relative:line" coordorigin="0,0" coordsize="8814,5243">
            <v:shape style="position:absolute;left:2258;top:3857;width:310;height:285" type="#_x0000_t75" stroked="false">
              <v:imagedata r:id="rId742" o:title=""/>
            </v:shape>
            <v:shape style="position:absolute;left:6;top:6;width:8803;height:5232" type="#_x0000_t202" filled="false" stroked="true" strokeweight=".54562pt" strokecolor="#858585">
              <v:textbox inset="0,0,0,0">
                <w:txbxContent>
                  <w:p>
                    <w:pPr>
                      <w:spacing w:before="102"/>
                      <w:ind w:left="1133" w:right="1125" w:firstLine="0"/>
                      <w:jc w:val="center"/>
                      <w:rPr>
                        <w:rFonts w:ascii="Calibri" w:hAnsi="Calibri"/>
                        <w:b/>
                        <w:sz w:val="26"/>
                      </w:rPr>
                    </w:pPr>
                    <w:r>
                      <w:rPr>
                        <w:rFonts w:ascii="Calibri" w:hAnsi="Calibri"/>
                        <w:b/>
                        <w:sz w:val="26"/>
                      </w:rPr>
                      <w:t>Viviendas que cuentan con automóvil en la ZMT, 2000-2010.</w:t>
                    </w:r>
                  </w:p>
                  <w:p>
                    <w:pPr>
                      <w:spacing w:before="94"/>
                      <w:ind w:left="269" w:right="0" w:firstLine="0"/>
                      <w:jc w:val="left"/>
                      <w:rPr>
                        <w:rFonts w:ascii="Calibri"/>
                        <w:sz w:val="14"/>
                      </w:rPr>
                    </w:pPr>
                    <w:r>
                      <w:rPr>
                        <w:rFonts w:ascii="Calibri"/>
                        <w:sz w:val="14"/>
                      </w:rPr>
                      <w:t>70.0</w:t>
                    </w:r>
                  </w:p>
                  <w:p>
                    <w:pPr>
                      <w:spacing w:line="240" w:lineRule="auto" w:before="0"/>
                      <w:rPr>
                        <w:sz w:val="14"/>
                      </w:rPr>
                    </w:pPr>
                  </w:p>
                  <w:p>
                    <w:pPr>
                      <w:spacing w:before="103"/>
                      <w:ind w:left="269" w:right="0" w:firstLine="0"/>
                      <w:jc w:val="left"/>
                      <w:rPr>
                        <w:rFonts w:ascii="Calibri"/>
                        <w:sz w:val="14"/>
                      </w:rPr>
                    </w:pPr>
                    <w:r>
                      <w:rPr>
                        <w:rFonts w:ascii="Calibri"/>
                        <w:sz w:val="14"/>
                      </w:rPr>
                      <w:t>60.0</w:t>
                    </w:r>
                  </w:p>
                  <w:p>
                    <w:pPr>
                      <w:spacing w:line="240" w:lineRule="auto" w:before="0"/>
                      <w:rPr>
                        <w:sz w:val="14"/>
                      </w:rPr>
                    </w:pPr>
                  </w:p>
                  <w:p>
                    <w:pPr>
                      <w:spacing w:before="103"/>
                      <w:ind w:left="269" w:right="0" w:firstLine="0"/>
                      <w:jc w:val="left"/>
                      <w:rPr>
                        <w:rFonts w:ascii="Calibri"/>
                        <w:sz w:val="14"/>
                      </w:rPr>
                    </w:pPr>
                    <w:r>
                      <w:rPr>
                        <w:rFonts w:ascii="Calibri"/>
                        <w:sz w:val="14"/>
                      </w:rPr>
                      <w:t>50.0</w:t>
                    </w:r>
                  </w:p>
                  <w:p>
                    <w:pPr>
                      <w:spacing w:line="240" w:lineRule="auto" w:before="0"/>
                      <w:rPr>
                        <w:sz w:val="14"/>
                      </w:rPr>
                    </w:pPr>
                  </w:p>
                  <w:p>
                    <w:pPr>
                      <w:spacing w:before="103"/>
                      <w:ind w:left="269" w:right="0" w:firstLine="0"/>
                      <w:jc w:val="left"/>
                      <w:rPr>
                        <w:rFonts w:ascii="Calibri"/>
                        <w:sz w:val="14"/>
                      </w:rPr>
                    </w:pPr>
                    <w:r>
                      <w:rPr>
                        <w:rFonts w:ascii="Calibri"/>
                        <w:sz w:val="14"/>
                      </w:rPr>
                      <w:t>40.0</w:t>
                    </w:r>
                  </w:p>
                  <w:p>
                    <w:pPr>
                      <w:spacing w:line="240" w:lineRule="auto" w:before="0"/>
                      <w:rPr>
                        <w:sz w:val="14"/>
                      </w:rPr>
                    </w:pPr>
                  </w:p>
                  <w:p>
                    <w:pPr>
                      <w:spacing w:before="103"/>
                      <w:ind w:left="269" w:right="0" w:firstLine="0"/>
                      <w:jc w:val="left"/>
                      <w:rPr>
                        <w:rFonts w:ascii="Calibri"/>
                        <w:sz w:val="14"/>
                      </w:rPr>
                    </w:pPr>
                    <w:r>
                      <w:rPr>
                        <w:rFonts w:ascii="Calibri"/>
                        <w:sz w:val="14"/>
                      </w:rPr>
                      <w:t>30.0</w:t>
                    </w:r>
                  </w:p>
                  <w:p>
                    <w:pPr>
                      <w:spacing w:line="240" w:lineRule="auto" w:before="0"/>
                      <w:rPr>
                        <w:sz w:val="14"/>
                      </w:rPr>
                    </w:pPr>
                  </w:p>
                  <w:p>
                    <w:pPr>
                      <w:spacing w:before="103"/>
                      <w:ind w:left="269" w:right="0" w:firstLine="0"/>
                      <w:jc w:val="left"/>
                      <w:rPr>
                        <w:rFonts w:ascii="Calibri"/>
                        <w:sz w:val="14"/>
                      </w:rPr>
                    </w:pPr>
                    <w:r>
                      <w:rPr>
                        <w:rFonts w:ascii="Calibri"/>
                        <w:sz w:val="14"/>
                      </w:rPr>
                      <w:t>20.0</w:t>
                    </w:r>
                  </w:p>
                  <w:p>
                    <w:pPr>
                      <w:spacing w:line="240" w:lineRule="auto" w:before="0"/>
                      <w:rPr>
                        <w:sz w:val="14"/>
                      </w:rPr>
                    </w:pPr>
                  </w:p>
                  <w:p>
                    <w:pPr>
                      <w:spacing w:before="103"/>
                      <w:ind w:left="269" w:right="0" w:firstLine="0"/>
                      <w:jc w:val="left"/>
                      <w:rPr>
                        <w:rFonts w:ascii="Calibri"/>
                        <w:sz w:val="14"/>
                      </w:rPr>
                    </w:pPr>
                    <w:r>
                      <w:rPr>
                        <w:rFonts w:ascii="Calibri"/>
                        <w:sz w:val="14"/>
                      </w:rPr>
                      <w:t>10.0</w:t>
                    </w:r>
                  </w:p>
                  <w:p>
                    <w:pPr>
                      <w:spacing w:line="240" w:lineRule="auto" w:before="0"/>
                      <w:rPr>
                        <w:sz w:val="14"/>
                      </w:rPr>
                    </w:pPr>
                  </w:p>
                  <w:p>
                    <w:pPr>
                      <w:spacing w:before="103"/>
                      <w:ind w:left="349" w:right="0" w:firstLine="0"/>
                      <w:jc w:val="left"/>
                      <w:rPr>
                        <w:rFonts w:ascii="Calibri"/>
                        <w:sz w:val="14"/>
                      </w:rPr>
                    </w:pPr>
                    <w:r>
                      <w:rPr>
                        <w:rFonts w:ascii="Calibri"/>
                        <w:sz w:val="14"/>
                      </w:rPr>
                      <w:t>0.0</w:t>
                    </w:r>
                  </w:p>
                  <w:p>
                    <w:pPr>
                      <w:spacing w:line="240" w:lineRule="auto" w:before="6" w:after="0"/>
                      <w:rPr>
                        <w:sz w:val="9"/>
                      </w:rPr>
                    </w:pPr>
                  </w:p>
                  <w:p>
                    <w:pPr>
                      <w:tabs>
                        <w:tab w:pos="2661" w:val="left" w:leader="none"/>
                        <w:tab w:pos="6372" w:val="left" w:leader="none"/>
                      </w:tabs>
                      <w:spacing w:line="240" w:lineRule="auto"/>
                      <w:ind w:left="126" w:right="0" w:firstLine="0"/>
                      <w:rPr>
                        <w:sz w:val="20"/>
                      </w:rPr>
                    </w:pPr>
                    <w:r>
                      <w:rPr>
                        <w:sz w:val="20"/>
                      </w:rPr>
                      <w:drawing>
                        <wp:inline distT="0" distB="0" distL="0" distR="0">
                          <wp:extent cx="532275" cy="533400"/>
                          <wp:effectExtent l="0" t="0" r="0" b="0"/>
                          <wp:docPr id="115" name="image714.png" descr=""/>
                          <wp:cNvGraphicFramePr>
                            <a:graphicFrameLocks noChangeAspect="1"/>
                          </wp:cNvGraphicFramePr>
                          <a:graphic>
                            <a:graphicData uri="http://schemas.openxmlformats.org/drawingml/2006/picture">
                              <pic:pic>
                                <pic:nvPicPr>
                                  <pic:cNvPr id="116" name="image714.png"/>
                                  <pic:cNvPicPr/>
                                </pic:nvPicPr>
                                <pic:blipFill>
                                  <a:blip r:embed="rId743" cstate="print"/>
                                  <a:stretch>
                                    <a:fillRect/>
                                  </a:stretch>
                                </pic:blipFill>
                                <pic:spPr>
                                  <a:xfrm>
                                    <a:off x="0" y="0"/>
                                    <a:ext cx="532275" cy="533400"/>
                                  </a:xfrm>
                                  <a:prstGeom prst="rect">
                                    <a:avLst/>
                                  </a:prstGeom>
                                </pic:spPr>
                              </pic:pic>
                            </a:graphicData>
                          </a:graphic>
                        </wp:inline>
                      </w:drawing>
                    </w:r>
                    <w:r>
                      <w:rPr>
                        <w:sz w:val="20"/>
                      </w:rPr>
                    </w:r>
                    <w:r>
                      <w:rPr>
                        <w:sz w:val="20"/>
                      </w:rPr>
                      <w:tab/>
                    </w:r>
                    <w:r>
                      <w:rPr>
                        <w:position w:val="24"/>
                        <w:sz w:val="20"/>
                      </w:rPr>
                      <w:drawing>
                        <wp:inline distT="0" distB="0" distL="0" distR="0">
                          <wp:extent cx="1282327" cy="381000"/>
                          <wp:effectExtent l="0" t="0" r="0" b="0"/>
                          <wp:docPr id="117" name="image715.png" descr=""/>
                          <wp:cNvGraphicFramePr>
                            <a:graphicFrameLocks noChangeAspect="1"/>
                          </wp:cNvGraphicFramePr>
                          <a:graphic>
                            <a:graphicData uri="http://schemas.openxmlformats.org/drawingml/2006/picture">
                              <pic:pic>
                                <pic:nvPicPr>
                                  <pic:cNvPr id="118" name="image715.png"/>
                                  <pic:cNvPicPr/>
                                </pic:nvPicPr>
                                <pic:blipFill>
                                  <a:blip r:embed="rId744" cstate="print"/>
                                  <a:stretch>
                                    <a:fillRect/>
                                  </a:stretch>
                                </pic:blipFill>
                                <pic:spPr>
                                  <a:xfrm>
                                    <a:off x="0" y="0"/>
                                    <a:ext cx="1282327" cy="381000"/>
                                  </a:xfrm>
                                  <a:prstGeom prst="rect">
                                    <a:avLst/>
                                  </a:prstGeom>
                                </pic:spPr>
                              </pic:pic>
                            </a:graphicData>
                          </a:graphic>
                        </wp:inline>
                      </w:drawing>
                    </w:r>
                    <w:r>
                      <w:rPr>
                        <w:position w:val="24"/>
                        <w:sz w:val="20"/>
                      </w:rPr>
                    </w:r>
                    <w:r>
                      <w:rPr>
                        <w:position w:val="24"/>
                        <w:sz w:val="20"/>
                      </w:rPr>
                      <w:tab/>
                    </w:r>
                    <w:r>
                      <w:rPr>
                        <w:position w:val="45"/>
                        <w:sz w:val="20"/>
                      </w:rPr>
                      <w:drawing>
                        <wp:inline distT="0" distB="0" distL="0" distR="0">
                          <wp:extent cx="270256" cy="242887"/>
                          <wp:effectExtent l="0" t="0" r="0" b="0"/>
                          <wp:docPr id="119" name="image716.png" descr=""/>
                          <wp:cNvGraphicFramePr>
                            <a:graphicFrameLocks noChangeAspect="1"/>
                          </wp:cNvGraphicFramePr>
                          <a:graphic>
                            <a:graphicData uri="http://schemas.openxmlformats.org/drawingml/2006/picture">
                              <pic:pic>
                                <pic:nvPicPr>
                                  <pic:cNvPr id="120" name="image716.png"/>
                                  <pic:cNvPicPr/>
                                </pic:nvPicPr>
                                <pic:blipFill>
                                  <a:blip r:embed="rId745" cstate="print"/>
                                  <a:stretch>
                                    <a:fillRect/>
                                  </a:stretch>
                                </pic:blipFill>
                                <pic:spPr>
                                  <a:xfrm>
                                    <a:off x="0" y="0"/>
                                    <a:ext cx="270256" cy="242887"/>
                                  </a:xfrm>
                                  <a:prstGeom prst="rect">
                                    <a:avLst/>
                                  </a:prstGeom>
                                </pic:spPr>
                              </pic:pic>
                            </a:graphicData>
                          </a:graphic>
                        </wp:inline>
                      </w:drawing>
                    </w:r>
                    <w:r>
                      <w:rPr>
                        <w:position w:val="45"/>
                        <w:sz w:val="20"/>
                      </w:rPr>
                    </w:r>
                  </w:p>
                  <w:p>
                    <w:pPr>
                      <w:spacing w:line="240" w:lineRule="auto" w:before="0"/>
                      <w:rPr>
                        <w:sz w:val="14"/>
                      </w:rPr>
                    </w:pPr>
                  </w:p>
                  <w:p>
                    <w:pPr>
                      <w:spacing w:before="82"/>
                      <w:ind w:left="1133" w:right="1100" w:firstLine="0"/>
                      <w:jc w:val="center"/>
                      <w:rPr>
                        <w:rFonts w:ascii="Calibri"/>
                        <w:sz w:val="14"/>
                      </w:rPr>
                    </w:pPr>
                    <w:r>
                      <w:rPr/>
                      <w:drawing>
                        <wp:inline distT="0" distB="0" distL="0" distR="0">
                          <wp:extent cx="83506" cy="90392"/>
                          <wp:effectExtent l="0" t="0" r="0" b="0"/>
                          <wp:docPr id="121" name="image717.png" descr=""/>
                          <wp:cNvGraphicFramePr>
                            <a:graphicFrameLocks noChangeAspect="1"/>
                          </wp:cNvGraphicFramePr>
                          <a:graphic>
                            <a:graphicData uri="http://schemas.openxmlformats.org/drawingml/2006/picture">
                              <pic:pic>
                                <pic:nvPicPr>
                                  <pic:cNvPr id="122" name="image717.png"/>
                                  <pic:cNvPicPr/>
                                </pic:nvPicPr>
                                <pic:blipFill>
                                  <a:blip r:embed="rId746" cstate="print"/>
                                  <a:stretch>
                                    <a:fillRect/>
                                  </a:stretch>
                                </pic:blipFill>
                                <pic:spPr>
                                  <a:xfrm>
                                    <a:off x="0" y="0"/>
                                    <a:ext cx="83506" cy="90392"/>
                                  </a:xfrm>
                                  <a:prstGeom prst="rect">
                                    <a:avLst/>
                                  </a:prstGeom>
                                </pic:spPr>
                              </pic:pic>
                            </a:graphicData>
                          </a:graphic>
                        </wp:inline>
                      </w:drawing>
                    </w:r>
                    <w:r>
                      <w:rPr/>
                    </w:r>
                    <w:r>
                      <w:rPr>
                        <w:rFonts w:ascii="Calibri"/>
                        <w:position w:val="1"/>
                        <w:sz w:val="14"/>
                      </w:rPr>
                      <w:t>2000 </w:t>
                    </w:r>
                    <w:r>
                      <w:rPr>
                        <w:rFonts w:ascii="Calibri"/>
                        <w:spacing w:val="14"/>
                        <w:position w:val="1"/>
                        <w:sz w:val="14"/>
                      </w:rPr>
                      <w:t> </w:t>
                    </w:r>
                    <w:r>
                      <w:rPr>
                        <w:rFonts w:ascii="Calibri"/>
                        <w:spacing w:val="-2"/>
                        <w:sz w:val="14"/>
                      </w:rPr>
                      <w:drawing>
                        <wp:inline distT="0" distB="0" distL="0" distR="0">
                          <wp:extent cx="83506" cy="90392"/>
                          <wp:effectExtent l="0" t="0" r="0" b="0"/>
                          <wp:docPr id="123" name="image718.png" descr=""/>
                          <wp:cNvGraphicFramePr>
                            <a:graphicFrameLocks noChangeAspect="1"/>
                          </wp:cNvGraphicFramePr>
                          <a:graphic>
                            <a:graphicData uri="http://schemas.openxmlformats.org/drawingml/2006/picture">
                              <pic:pic>
                                <pic:nvPicPr>
                                  <pic:cNvPr id="124" name="image718.png"/>
                                  <pic:cNvPicPr/>
                                </pic:nvPicPr>
                                <pic:blipFill>
                                  <a:blip r:embed="rId747" cstate="print"/>
                                  <a:stretch>
                                    <a:fillRect/>
                                  </a:stretch>
                                </pic:blipFill>
                                <pic:spPr>
                                  <a:xfrm>
                                    <a:off x="0" y="0"/>
                                    <a:ext cx="83506" cy="90392"/>
                                  </a:xfrm>
                                  <a:prstGeom prst="rect">
                                    <a:avLst/>
                                  </a:prstGeom>
                                </pic:spPr>
                              </pic:pic>
                            </a:graphicData>
                          </a:graphic>
                        </wp:inline>
                      </w:drawing>
                    </w:r>
                    <w:r>
                      <w:rPr>
                        <w:rFonts w:ascii="Calibri"/>
                        <w:spacing w:val="-2"/>
                        <w:sz w:val="14"/>
                      </w:rPr>
                    </w:r>
                    <w:r>
                      <w:rPr>
                        <w:rFonts w:ascii="Calibri"/>
                        <w:spacing w:val="4"/>
                        <w:position w:val="1"/>
                        <w:sz w:val="14"/>
                      </w:rPr>
                      <w:t>2010</w:t>
                    </w:r>
                  </w:p>
                </w:txbxContent>
              </v:textbox>
              <w10:wrap type="none"/>
            </v:shape>
          </v:group>
        </w:pict>
      </w:r>
      <w:r>
        <w:rPr>
          <w:sz w:val="20"/>
        </w:rPr>
      </w:r>
    </w:p>
    <w:p>
      <w:pPr>
        <w:spacing w:before="0"/>
        <w:ind w:left="193" w:right="215" w:firstLine="0"/>
        <w:jc w:val="center"/>
        <w:rPr>
          <w:sz w:val="20"/>
        </w:rPr>
      </w:pPr>
      <w:r>
        <w:rPr/>
        <w:pict>
          <v:group style="position:absolute;margin-left:141.827835pt;margin-top:-69.840546pt;width:46.85pt;height:27pt;mso-position-horizontal-relative:page;mso-position-vertical-relative:paragraph;z-index:-332224" coordorigin="2837,-1397" coordsize="937,540">
            <v:shape style="position:absolute;left:2837;top:-1384;width:399;height:376" type="#_x0000_t75" stroked="false">
              <v:imagedata r:id="rId748" o:title=""/>
            </v:shape>
            <v:shape style="position:absolute;left:3217;top:-1397;width:556;height:539" type="#_x0000_t75" stroked="false">
              <v:imagedata r:id="rId749" o:title=""/>
            </v:shape>
            <w10:wrap type="none"/>
          </v:group>
        </w:pict>
      </w:r>
      <w:r>
        <w:rPr/>
        <w:pict>
          <v:group style="position:absolute;margin-left:332.778656pt;margin-top:-69.276695pt;width:67.6pt;height:39.25pt;mso-position-horizontal-relative:page;mso-position-vertical-relative:paragraph;z-index:-332200" coordorigin="6656,-1386" coordsize="1352,785">
            <v:shape style="position:absolute;left:6656;top:-1386;width:298;height:275" type="#_x0000_t75" stroked="false">
              <v:imagedata r:id="rId750" o:title=""/>
            </v:shape>
            <v:shape style="position:absolute;left:6690;top:-1385;width:1317;height:785" type="#_x0000_t75" stroked="false">
              <v:imagedata r:id="rId751" o:title=""/>
            </v:shape>
            <w10:wrap type="none"/>
          </v:group>
        </w:pict>
      </w:r>
      <w:r>
        <w:rPr/>
        <w:pict>
          <v:group style="position:absolute;margin-left:437.7789pt;margin-top:-69.793320pt;width:69.350pt;height:29.25pt;mso-position-horizontal-relative:page;mso-position-vertical-relative:paragraph;z-index:-332176" coordorigin="8756,-1396" coordsize="1387,585">
            <v:shape style="position:absolute;left:8756;top:-1389;width:325;height:282" type="#_x0000_t75" stroked="false">
              <v:imagedata r:id="rId752" o:title=""/>
            </v:shape>
            <v:shape style="position:absolute;left:9101;top:-1396;width:1042;height:584" type="#_x0000_t75" stroked="false">
              <v:imagedata r:id="rId753" o:title=""/>
            </v:shape>
            <w10:wrap type="none"/>
          </v:group>
        </w:pict>
      </w:r>
      <w:r>
        <w:rPr>
          <w:sz w:val="20"/>
        </w:rPr>
        <w:t>Fuente: Elaboración propia con base en los datos de los Censos de Población y Vivienda INEGI, 2000 y 2010.</w:t>
      </w:r>
    </w:p>
    <w:p>
      <w:pPr>
        <w:pStyle w:val="BodyText"/>
        <w:rPr>
          <w:sz w:val="20"/>
        </w:rPr>
      </w:pPr>
    </w:p>
    <w:p>
      <w:pPr>
        <w:pStyle w:val="BodyText"/>
        <w:rPr>
          <w:sz w:val="20"/>
        </w:rPr>
      </w:pPr>
    </w:p>
    <w:p>
      <w:pPr>
        <w:pStyle w:val="BodyText"/>
        <w:rPr>
          <w:sz w:val="20"/>
        </w:rPr>
      </w:pPr>
    </w:p>
    <w:p>
      <w:pPr>
        <w:pStyle w:val="BodyText"/>
        <w:spacing w:line="360" w:lineRule="auto" w:before="139"/>
        <w:ind w:left="102" w:right="122"/>
        <w:jc w:val="both"/>
      </w:pPr>
      <w:r>
        <w:rPr/>
        <w:t>En el año 2010, los municipios con los bajos porcentajes de viviendas con automóvil o camioneta fueron Temoaya, Almoloya de Juárez, Otzolotepec, Xonacatlán, Rayón y Ocoyoacac entre un 31 y 39 por ciento respectivamente. Dentro de un porcentaje entre 41 y 51 por ciento encontramos a ocho municipios y el mayor porcentaje de este bien lo registró el municipio de Metepec con el 60 por ciento (ver mapa no. 14).</w:t>
      </w:r>
    </w:p>
    <w:p>
      <w:pPr>
        <w:spacing w:after="0" w:line="360" w:lineRule="auto"/>
        <w:jc w:val="both"/>
        <w:sectPr>
          <w:pgSz w:w="12240" w:h="15840"/>
          <w:pgMar w:header="0" w:footer="1003" w:top="1360" w:bottom="1200" w:left="1600" w:right="1580"/>
        </w:sectPr>
      </w:pPr>
    </w:p>
    <w:p>
      <w:pPr>
        <w:spacing w:before="53" w:after="3"/>
        <w:ind w:left="81" w:right="122" w:firstLine="0"/>
        <w:jc w:val="center"/>
        <w:rPr>
          <w:sz w:val="20"/>
        </w:rPr>
      </w:pPr>
      <w:r>
        <w:rPr>
          <w:sz w:val="20"/>
        </w:rPr>
        <w:t>Mapa No. 14 Porcentaje de viviendas con automóvil en la </w:t>
      </w:r>
      <w:r>
        <w:rPr>
          <w:sz w:val="16"/>
        </w:rPr>
        <w:t>ZMT</w:t>
      </w:r>
      <w:r>
        <w:rPr>
          <w:sz w:val="20"/>
        </w:rPr>
        <w:t>, 2000-2010.</w:t>
      </w:r>
    </w:p>
    <w:p>
      <w:pPr>
        <w:pStyle w:val="BodyText"/>
        <w:ind w:left="130"/>
        <w:rPr>
          <w:sz w:val="20"/>
        </w:rPr>
      </w:pPr>
      <w:r>
        <w:rPr>
          <w:sz w:val="20"/>
        </w:rPr>
        <w:drawing>
          <wp:inline distT="0" distB="0" distL="0" distR="0">
            <wp:extent cx="5530693" cy="3911441"/>
            <wp:effectExtent l="0" t="0" r="0" b="0"/>
            <wp:docPr id="125" name="image725.jpeg" descr=""/>
            <wp:cNvGraphicFramePr>
              <a:graphicFrameLocks noChangeAspect="1"/>
            </wp:cNvGraphicFramePr>
            <a:graphic>
              <a:graphicData uri="http://schemas.openxmlformats.org/drawingml/2006/picture">
                <pic:pic>
                  <pic:nvPicPr>
                    <pic:cNvPr id="126" name="image725.jpeg"/>
                    <pic:cNvPicPr/>
                  </pic:nvPicPr>
                  <pic:blipFill>
                    <a:blip r:embed="rId754" cstate="print"/>
                    <a:stretch>
                      <a:fillRect/>
                    </a:stretch>
                  </pic:blipFill>
                  <pic:spPr>
                    <a:xfrm>
                      <a:off x="0" y="0"/>
                      <a:ext cx="5530693" cy="3911441"/>
                    </a:xfrm>
                    <a:prstGeom prst="rect">
                      <a:avLst/>
                    </a:prstGeom>
                  </pic:spPr>
                </pic:pic>
              </a:graphicData>
            </a:graphic>
          </wp:inline>
        </w:drawing>
      </w:r>
      <w:r>
        <w:rPr>
          <w:sz w:val="20"/>
        </w:rPr>
      </w:r>
    </w:p>
    <w:p>
      <w:pPr>
        <w:spacing w:before="88"/>
        <w:ind w:left="80" w:right="122" w:firstLine="0"/>
        <w:jc w:val="center"/>
        <w:rPr>
          <w:sz w:val="20"/>
        </w:rPr>
      </w:pPr>
      <w:r>
        <w:rPr>
          <w:sz w:val="20"/>
        </w:rPr>
        <w:t>Fuente: Elaboración propia con base en los datos de los Censos de Población y Vivienda INEGI, 2000 y 2010.</w:t>
      </w:r>
    </w:p>
    <w:p>
      <w:pPr>
        <w:pStyle w:val="BodyText"/>
        <w:rPr>
          <w:sz w:val="20"/>
        </w:rPr>
      </w:pPr>
    </w:p>
    <w:p>
      <w:pPr>
        <w:pStyle w:val="BodyText"/>
        <w:rPr>
          <w:sz w:val="20"/>
        </w:rPr>
      </w:pPr>
    </w:p>
    <w:p>
      <w:pPr>
        <w:pStyle w:val="BodyText"/>
        <w:spacing w:line="360" w:lineRule="auto" w:before="153"/>
        <w:ind w:left="102" w:right="138"/>
        <w:jc w:val="both"/>
      </w:pPr>
      <w:r>
        <w:rPr/>
        <w:t>El promedio de contar con automóvil o camioneta en las viviendas de la </w:t>
      </w:r>
      <w:r>
        <w:rPr>
          <w:sz w:val="19"/>
        </w:rPr>
        <w:t>ZMT</w:t>
      </w:r>
      <w:r>
        <w:rPr/>
        <w:t>, en el año 2000 fue del 26 por ciento, mientras que una década después fue del 42 por ciento es decir, menos de la mitad de las viviendas cuentan con este medio de trasporte. Disponer de este bien depende de los recursos económicos con los que cuenten las personas ya que no siempre es posible adquirirlo, además que una vez que se cuenta con el bien, el mantenimiento resulta</w:t>
      </w:r>
      <w:r>
        <w:rPr>
          <w:spacing w:val="-22"/>
        </w:rPr>
        <w:t> </w:t>
      </w:r>
      <w:r>
        <w:rPr/>
        <w:t>costoso.</w:t>
      </w:r>
    </w:p>
    <w:p>
      <w:pPr>
        <w:pStyle w:val="BodyText"/>
      </w:pPr>
    </w:p>
    <w:p>
      <w:pPr>
        <w:pStyle w:val="BodyText"/>
        <w:spacing w:line="360" w:lineRule="auto" w:before="142"/>
        <w:ind w:left="102" w:right="140"/>
        <w:jc w:val="both"/>
      </w:pPr>
      <w:r>
        <w:rPr/>
        <w:t>Los municipios de Metepec, Chapultepec, San Antonio la Isla y Toluca para el año 2010, la mitad o más de la mitad cuentan con este bien en las viviendas. En el siguiente apartado se analiza las viviendas que cuentan con computadora.</w:t>
      </w:r>
    </w:p>
    <w:p>
      <w:pPr>
        <w:spacing w:after="0" w:line="360" w:lineRule="auto"/>
        <w:jc w:val="both"/>
        <w:sectPr>
          <w:pgSz w:w="12240" w:h="15840"/>
          <w:pgMar w:header="0" w:footer="1003" w:top="1360" w:bottom="1200" w:left="1600" w:right="1560"/>
        </w:sectPr>
      </w:pPr>
    </w:p>
    <w:p>
      <w:pPr>
        <w:pStyle w:val="ListParagraph"/>
        <w:numPr>
          <w:ilvl w:val="2"/>
          <w:numId w:val="23"/>
        </w:numPr>
        <w:tabs>
          <w:tab w:pos="643" w:val="left" w:leader="none"/>
        </w:tabs>
        <w:spacing w:line="240" w:lineRule="auto" w:before="56" w:after="0"/>
        <w:ind w:left="642" w:right="0" w:hanging="540"/>
        <w:jc w:val="both"/>
        <w:rPr>
          <w:rFonts w:ascii="Cambria"/>
          <w:b/>
          <w:sz w:val="22"/>
        </w:rPr>
      </w:pPr>
      <w:r>
        <w:rPr>
          <w:rFonts w:ascii="Cambria"/>
          <w:b/>
          <w:color w:val="4F81BC"/>
          <w:sz w:val="22"/>
        </w:rPr>
        <w:t>Viviendas con</w:t>
      </w:r>
      <w:r>
        <w:rPr>
          <w:rFonts w:ascii="Cambria"/>
          <w:b/>
          <w:color w:val="4F81BC"/>
          <w:spacing w:val="-9"/>
          <w:sz w:val="22"/>
        </w:rPr>
        <w:t> </w:t>
      </w:r>
      <w:r>
        <w:rPr>
          <w:rFonts w:ascii="Cambria"/>
          <w:b/>
          <w:color w:val="4F81BC"/>
          <w:sz w:val="22"/>
        </w:rPr>
        <w:t>computadora</w:t>
      </w:r>
    </w:p>
    <w:p>
      <w:pPr>
        <w:pStyle w:val="BodyText"/>
        <w:rPr>
          <w:rFonts w:ascii="Cambria"/>
          <w:b/>
          <w:sz w:val="22"/>
        </w:rPr>
      </w:pPr>
    </w:p>
    <w:p>
      <w:pPr>
        <w:pStyle w:val="BodyText"/>
        <w:spacing w:line="360" w:lineRule="auto" w:before="193"/>
        <w:ind w:left="102" w:right="118"/>
        <w:jc w:val="both"/>
      </w:pPr>
      <w:r>
        <w:rPr/>
        <w:t>La computadora es una máquina electrónica que recibe y procesa datos para convertirlos en información, contar con este aparato en las viviendas ayuda a los habitantes a realizar trabajos escolares o trabajar a las personas adultas, este bien sustituyó a las máquinas de escribir que se utilizaban en décadas anteriores. Teniendo relevancia para la sociedad al día de hoy ya que simplifica el trabajo por medio de ordenadores, que anteriormente llevaría mucho tiempo en procesar, además de corrección de trabajos e impresión con mayor facilidad.</w:t>
      </w:r>
    </w:p>
    <w:p>
      <w:pPr>
        <w:pStyle w:val="BodyText"/>
      </w:pPr>
    </w:p>
    <w:p>
      <w:pPr>
        <w:pStyle w:val="BodyText"/>
        <w:spacing w:line="360" w:lineRule="auto" w:before="142"/>
        <w:ind w:left="102" w:right="116"/>
        <w:jc w:val="both"/>
      </w:pPr>
      <w:r>
        <w:rPr/>
        <w:t>Para realizar el análisis de este bien solo se cuenta con la información del último censo de población y vivienda del año 2010, encontramos que el municipio de Temoaya registró el más bajo porcentaje con el 8.9 por ciento, Almoloya de Juárez con 11.8 por ciento, Otzolotepec con 12.5 por ciento y Xonacatlán con 19.1 por ciento (ver gráfica no. 16).</w:t>
      </w:r>
    </w:p>
    <w:p>
      <w:pPr>
        <w:pStyle w:val="BodyText"/>
        <w:spacing w:before="4"/>
      </w:pPr>
    </w:p>
    <w:p>
      <w:pPr>
        <w:spacing w:before="0" w:after="13"/>
        <w:ind w:left="195" w:right="216" w:firstLine="0"/>
        <w:jc w:val="center"/>
        <w:rPr>
          <w:sz w:val="20"/>
        </w:rPr>
      </w:pPr>
      <w:r>
        <w:rPr/>
        <w:pict>
          <v:group style="position:absolute;margin-left:120.66037pt;margin-top:41.971855pt;width:368.2pt;height:154.050pt;mso-position-horizontal-relative:page;mso-position-vertical-relative:paragraph;z-index:-332104" coordorigin="2413,839" coordsize="7364,3081">
            <v:line style="position:absolute" from="2419,3403" to="9771,3403" stroked="true" strokeweight=".532968pt" strokecolor="#858585"/>
            <v:shape style="position:absolute;left:2499;top:3259;width:331;height:654" type="#_x0000_t75" stroked="false">
              <v:imagedata r:id="rId755" o:title=""/>
            </v:shape>
            <v:line style="position:absolute" from="2419,2892" to="9771,2892" stroked="true" strokeweight=".532968pt" strokecolor="#858585"/>
            <v:shape style="position:absolute;left:2990;top:2694;width:331;height:1219" type="#_x0000_t75" stroked="false">
              <v:imagedata r:id="rId756" o:title=""/>
            </v:shape>
            <v:line style="position:absolute" from="2419,2380" to="9771,2380" stroked="true" strokeweight=".532968pt" strokecolor="#858585"/>
            <v:shape style="position:absolute;left:3481;top:2417;width:331;height:1496" type="#_x0000_t75" stroked="false">
              <v:imagedata r:id="rId757" o:title=""/>
            </v:shape>
            <v:shape style="position:absolute;left:3971;top:2545;width:331;height:1368" type="#_x0000_t75" stroked="false">
              <v:imagedata r:id="rId758" o:title=""/>
            </v:shape>
            <v:shape style="position:absolute;left:968;top:2739;width:10336;height:720" coordorigin="968,2739" coordsize="10336,720" path="m2419,1868l9771,1868m2419,1357l9771,1357e" filled="false" stroked="true" strokeweight=".53327pt" strokecolor="#858585">
              <v:path arrowok="t"/>
            </v:shape>
            <v:shape style="position:absolute;left:4462;top:1181;width:331;height:2732" type="#_x0000_t75" stroked="false">
              <v:imagedata r:id="rId759" o:title=""/>
            </v:shape>
            <v:shape style="position:absolute;left:4953;top:2652;width:320;height:1261" type="#_x0000_t75" stroked="false">
              <v:imagedata r:id="rId760" o:title=""/>
            </v:shape>
            <v:shape style="position:absolute;left:5444;top:2534;width:320;height:1379" type="#_x0000_t75" stroked="false">
              <v:imagedata r:id="rId761" o:title=""/>
            </v:shape>
            <v:shape style="position:absolute;left:5935;top:3227;width:320;height:686" type="#_x0000_t75" stroked="false">
              <v:imagedata r:id="rId762" o:title=""/>
            </v:shape>
            <v:shape style="position:absolute;left:6426;top:2737;width:320;height:1176" type="#_x0000_t75" stroked="false">
              <v:imagedata r:id="rId763" o:title=""/>
            </v:shape>
            <v:shape style="position:absolute;left:6917;top:2353;width:320;height:1560" type="#_x0000_t75" stroked="false">
              <v:imagedata r:id="rId764" o:title=""/>
            </v:shape>
            <v:shape style="position:absolute;left:7408;top:2524;width:320;height:1389" type="#_x0000_t75" stroked="false">
              <v:imagedata r:id="rId765" o:title=""/>
            </v:shape>
            <v:shape style="position:absolute;left:7898;top:3419;width:320;height:494" type="#_x0000_t75" stroked="false">
              <v:imagedata r:id="rId766" o:title=""/>
            </v:shape>
            <v:shape style="position:absolute;left:8389;top:1980;width:320;height:1933" type="#_x0000_t75" stroked="false">
              <v:imagedata r:id="rId767" o:title=""/>
            </v:shape>
            <v:shape style="position:absolute;left:8880;top:2897;width:320;height:1016" type="#_x0000_t75" stroked="false">
              <v:imagedata r:id="rId768" o:title=""/>
            </v:shape>
            <v:shape style="position:absolute;left:9360;top:2726;width:331;height:1187" type="#_x0000_t75" stroked="false">
              <v:imagedata r:id="rId769" o:title=""/>
            </v:shape>
            <v:shape style="position:absolute;left:2531;top:3270;width:256;height:640" type="#_x0000_t75" stroked="false">
              <v:imagedata r:id="rId770" o:title=""/>
            </v:shape>
            <v:shape style="position:absolute;left:3022;top:2705;width:256;height:1205" type="#_x0000_t75" stroked="false">
              <v:imagedata r:id="rId771" o:title=""/>
            </v:shape>
            <v:shape style="position:absolute;left:3513;top:2428;width:256;height:1482" type="#_x0000_t75" stroked="false">
              <v:imagedata r:id="rId772" o:title=""/>
            </v:shape>
            <v:shape style="position:absolute;left:4003;top:2556;width:256;height:1354" type="#_x0000_t75" stroked="false">
              <v:imagedata r:id="rId773" o:title=""/>
            </v:shape>
            <v:shape style="position:absolute;left:4494;top:1191;width:256;height:2718" type="#_x0000_t75" stroked="false">
              <v:imagedata r:id="rId774" o:title=""/>
            </v:shape>
            <v:shape style="position:absolute;left:4985;top:2662;width:245;height:1247" type="#_x0000_t75" stroked="false">
              <v:imagedata r:id="rId775" o:title=""/>
            </v:shape>
            <v:shape style="position:absolute;left:5476;top:2545;width:245;height:1364" type="#_x0000_t75" stroked="false">
              <v:imagedata r:id="rId776" o:title=""/>
            </v:shape>
            <v:shape style="position:absolute;left:5967;top:3238;width:245;height:672" type="#_x0000_t75" stroked="false">
              <v:imagedata r:id="rId777" o:title=""/>
            </v:shape>
            <v:shape style="position:absolute;left:6458;top:2748;width:245;height:1162" type="#_x0000_t75" stroked="false">
              <v:imagedata r:id="rId778" o:title=""/>
            </v:shape>
            <v:shape style="position:absolute;left:6949;top:2364;width:245;height:1546" type="#_x0000_t75" stroked="false">
              <v:imagedata r:id="rId779" o:title=""/>
            </v:shape>
            <v:shape style="position:absolute;left:7440;top:2534;width:245;height:1375" type="#_x0000_t75" stroked="false">
              <v:imagedata r:id="rId780" o:title=""/>
            </v:shape>
            <v:shape style="position:absolute;left:7931;top:3430;width:245;height:480" type="#_x0000_t75" stroked="false">
              <v:imagedata r:id="rId781" o:title=""/>
            </v:shape>
            <v:shape style="position:absolute;left:8421;top:1991;width:245;height:1919" type="#_x0000_t75" stroked="false">
              <v:imagedata r:id="rId782" o:title=""/>
            </v:shape>
            <v:shape style="position:absolute;left:8912;top:2908;width:245;height:1002" type="#_x0000_t75" stroked="false">
              <v:imagedata r:id="rId783" o:title=""/>
            </v:shape>
            <v:shape style="position:absolute;left:9392;top:2737;width:256;height:1173" type="#_x0000_t75" stroked="false">
              <v:imagedata r:id="rId784" o:title=""/>
            </v:shape>
            <v:shape style="position:absolute;left:968;top:2019;width:10336;height:4320" coordorigin="968,2019" coordsize="10336,4320" path="m2419,845l9771,845m2419,3915l2419,845m2419,3915l9771,3915e" filled="false" stroked="true" strokeweight=".53327pt" strokecolor="#858585">
              <v:path arrowok="t"/>
            </v:shape>
            <w10:wrap type="none"/>
          </v:group>
        </w:pict>
      </w:r>
      <w:r>
        <w:rPr>
          <w:sz w:val="20"/>
        </w:rPr>
        <w:t>Gráfica No. 16 Viviendas con computadora en la </w:t>
      </w:r>
      <w:r>
        <w:rPr>
          <w:sz w:val="16"/>
        </w:rPr>
        <w:t>ZMT</w:t>
      </w:r>
      <w:r>
        <w:rPr>
          <w:sz w:val="20"/>
        </w:rPr>
        <w:t>, 2010.</w:t>
      </w:r>
    </w:p>
    <w:p>
      <w:pPr>
        <w:pStyle w:val="BodyText"/>
        <w:ind w:left="140"/>
        <w:rPr>
          <w:sz w:val="20"/>
        </w:rPr>
      </w:pPr>
      <w:r>
        <w:rPr>
          <w:sz w:val="20"/>
        </w:rPr>
        <w:pict>
          <v:group style="width:440.75pt;height:244.15pt;mso-position-horizontal-relative:char;mso-position-vertical-relative:line" coordorigin="0,0" coordsize="8815,4883">
            <v:shape style="position:absolute;left:2120;top:3871;width:303;height:279" type="#_x0000_t75" stroked="false">
              <v:imagedata r:id="rId785" o:title=""/>
            </v:shape>
            <v:shape style="position:absolute;left:6;top:6;width:8804;height:4872" type="#_x0000_t202" filled="false" stroked="true" strokeweight=".533643pt" strokecolor="#858585">
              <v:textbox inset="0,0,0,0">
                <w:txbxContent>
                  <w:p>
                    <w:pPr>
                      <w:spacing w:before="103"/>
                      <w:ind w:left="1887" w:right="1890" w:firstLine="0"/>
                      <w:jc w:val="center"/>
                      <w:rPr>
                        <w:rFonts w:ascii="Calibri"/>
                        <w:b/>
                        <w:sz w:val="25"/>
                      </w:rPr>
                    </w:pPr>
                    <w:r>
                      <w:rPr>
                        <w:rFonts w:ascii="Calibri"/>
                        <w:b/>
                        <w:w w:val="105"/>
                        <w:sz w:val="25"/>
                      </w:rPr>
                      <w:t>Viviendas con computadora en la ZMT, 2010</w:t>
                    </w:r>
                  </w:p>
                  <w:p>
                    <w:pPr>
                      <w:spacing w:before="90"/>
                      <w:ind w:left="277" w:right="0" w:firstLine="0"/>
                      <w:jc w:val="left"/>
                      <w:rPr>
                        <w:rFonts w:ascii="Calibri"/>
                        <w:sz w:val="14"/>
                      </w:rPr>
                    </w:pPr>
                    <w:r>
                      <w:rPr>
                        <w:rFonts w:ascii="Calibri"/>
                        <w:sz w:val="14"/>
                      </w:rPr>
                      <w:t>60.0</w:t>
                    </w:r>
                  </w:p>
                  <w:p>
                    <w:pPr>
                      <w:spacing w:line="240" w:lineRule="auto" w:before="0"/>
                      <w:rPr>
                        <w:sz w:val="14"/>
                      </w:rPr>
                    </w:pPr>
                  </w:p>
                  <w:p>
                    <w:pPr>
                      <w:spacing w:line="240" w:lineRule="auto" w:before="8"/>
                      <w:rPr>
                        <w:sz w:val="15"/>
                      </w:rPr>
                    </w:pPr>
                  </w:p>
                  <w:p>
                    <w:pPr>
                      <w:spacing w:before="0"/>
                      <w:ind w:left="277" w:right="0" w:firstLine="0"/>
                      <w:jc w:val="left"/>
                      <w:rPr>
                        <w:rFonts w:ascii="Calibri"/>
                        <w:sz w:val="14"/>
                      </w:rPr>
                    </w:pPr>
                    <w:r>
                      <w:rPr>
                        <w:rFonts w:ascii="Calibri"/>
                        <w:sz w:val="14"/>
                      </w:rPr>
                      <w:t>50.0</w:t>
                    </w:r>
                  </w:p>
                  <w:p>
                    <w:pPr>
                      <w:spacing w:line="240" w:lineRule="auto" w:before="0"/>
                      <w:rPr>
                        <w:sz w:val="14"/>
                      </w:rPr>
                    </w:pPr>
                  </w:p>
                  <w:p>
                    <w:pPr>
                      <w:spacing w:line="240" w:lineRule="auto" w:before="8"/>
                      <w:rPr>
                        <w:sz w:val="15"/>
                      </w:rPr>
                    </w:pPr>
                  </w:p>
                  <w:p>
                    <w:pPr>
                      <w:spacing w:before="0"/>
                      <w:ind w:left="277" w:right="0" w:firstLine="0"/>
                      <w:jc w:val="left"/>
                      <w:rPr>
                        <w:rFonts w:ascii="Calibri"/>
                        <w:sz w:val="14"/>
                      </w:rPr>
                    </w:pPr>
                    <w:r>
                      <w:rPr>
                        <w:rFonts w:ascii="Calibri"/>
                        <w:sz w:val="14"/>
                      </w:rPr>
                      <w:t>40.0</w:t>
                    </w:r>
                  </w:p>
                  <w:p>
                    <w:pPr>
                      <w:spacing w:line="240" w:lineRule="auto" w:before="0"/>
                      <w:rPr>
                        <w:sz w:val="14"/>
                      </w:rPr>
                    </w:pPr>
                  </w:p>
                  <w:p>
                    <w:pPr>
                      <w:spacing w:line="240" w:lineRule="auto" w:before="9"/>
                      <w:rPr>
                        <w:sz w:val="15"/>
                      </w:rPr>
                    </w:pPr>
                  </w:p>
                  <w:p>
                    <w:pPr>
                      <w:spacing w:before="0"/>
                      <w:ind w:left="277" w:right="0" w:firstLine="0"/>
                      <w:jc w:val="left"/>
                      <w:rPr>
                        <w:rFonts w:ascii="Calibri"/>
                        <w:sz w:val="14"/>
                      </w:rPr>
                    </w:pPr>
                    <w:r>
                      <w:rPr>
                        <w:rFonts w:ascii="Calibri"/>
                        <w:sz w:val="14"/>
                      </w:rPr>
                      <w:t>30.0</w:t>
                    </w:r>
                  </w:p>
                  <w:p>
                    <w:pPr>
                      <w:spacing w:line="240" w:lineRule="auto" w:before="0"/>
                      <w:rPr>
                        <w:sz w:val="14"/>
                      </w:rPr>
                    </w:pPr>
                  </w:p>
                  <w:p>
                    <w:pPr>
                      <w:spacing w:line="240" w:lineRule="auto" w:before="10"/>
                      <w:rPr>
                        <w:sz w:val="15"/>
                      </w:rPr>
                    </w:pPr>
                  </w:p>
                  <w:p>
                    <w:pPr>
                      <w:tabs>
                        <w:tab w:pos="8216" w:val="left" w:leader="none"/>
                      </w:tabs>
                      <w:spacing w:before="0"/>
                      <w:ind w:left="277" w:right="0" w:firstLine="0"/>
                      <w:jc w:val="left"/>
                      <w:rPr>
                        <w:rFonts w:ascii="Calibri"/>
                        <w:sz w:val="14"/>
                      </w:rPr>
                    </w:pPr>
                    <w:r>
                      <w:rPr>
                        <w:rFonts w:ascii="Calibri"/>
                        <w:position w:val="2"/>
                        <w:sz w:val="14"/>
                      </w:rPr>
                      <w:t>20.0</w:t>
                      <w:tab/>
                    </w:r>
                    <w:r>
                      <w:rPr>
                        <w:rFonts w:ascii="Calibri"/>
                        <w:sz w:val="14"/>
                      </w:rPr>
                      <w:drawing>
                        <wp:inline distT="0" distB="0" distL="0" distR="0">
                          <wp:extent cx="81244" cy="87915"/>
                          <wp:effectExtent l="0" t="0" r="0" b="0"/>
                          <wp:docPr id="127" name="image757.png" descr=""/>
                          <wp:cNvGraphicFramePr>
                            <a:graphicFrameLocks noChangeAspect="1"/>
                          </wp:cNvGraphicFramePr>
                          <a:graphic>
                            <a:graphicData uri="http://schemas.openxmlformats.org/drawingml/2006/picture">
                              <pic:pic>
                                <pic:nvPicPr>
                                  <pic:cNvPr id="128" name="image757.png"/>
                                  <pic:cNvPicPr/>
                                </pic:nvPicPr>
                                <pic:blipFill>
                                  <a:blip r:embed="rId786" cstate="print"/>
                                  <a:stretch>
                                    <a:fillRect/>
                                  </a:stretch>
                                </pic:blipFill>
                                <pic:spPr>
                                  <a:xfrm>
                                    <a:off x="0" y="0"/>
                                    <a:ext cx="81244" cy="87915"/>
                                  </a:xfrm>
                                  <a:prstGeom prst="rect">
                                    <a:avLst/>
                                  </a:prstGeom>
                                </pic:spPr>
                              </pic:pic>
                            </a:graphicData>
                          </a:graphic>
                        </wp:inline>
                      </w:drawing>
                    </w:r>
                    <w:r>
                      <w:rPr>
                        <w:rFonts w:ascii="Calibri"/>
                        <w:sz w:val="14"/>
                      </w:rPr>
                    </w:r>
                    <w:r>
                      <w:rPr>
                        <w:rFonts w:ascii="Calibri"/>
                        <w:spacing w:val="4"/>
                        <w:position w:val="1"/>
                        <w:sz w:val="14"/>
                      </w:rPr>
                      <w:t>2010</w:t>
                    </w:r>
                  </w:p>
                  <w:p>
                    <w:pPr>
                      <w:spacing w:line="240" w:lineRule="auto" w:before="0"/>
                      <w:rPr>
                        <w:sz w:val="16"/>
                      </w:rPr>
                    </w:pPr>
                  </w:p>
                  <w:p>
                    <w:pPr>
                      <w:spacing w:line="240" w:lineRule="auto" w:before="8"/>
                      <w:rPr>
                        <w:sz w:val="12"/>
                      </w:rPr>
                    </w:pPr>
                  </w:p>
                  <w:p>
                    <w:pPr>
                      <w:spacing w:before="0"/>
                      <w:ind w:left="277" w:right="0" w:firstLine="0"/>
                      <w:jc w:val="left"/>
                      <w:rPr>
                        <w:rFonts w:ascii="Calibri"/>
                        <w:sz w:val="14"/>
                      </w:rPr>
                    </w:pPr>
                    <w:r>
                      <w:rPr>
                        <w:rFonts w:ascii="Calibri"/>
                        <w:sz w:val="14"/>
                      </w:rPr>
                      <w:t>10.0</w:t>
                    </w:r>
                  </w:p>
                  <w:p>
                    <w:pPr>
                      <w:spacing w:line="240" w:lineRule="auto" w:before="0"/>
                      <w:rPr>
                        <w:sz w:val="14"/>
                      </w:rPr>
                    </w:pPr>
                  </w:p>
                  <w:p>
                    <w:pPr>
                      <w:spacing w:line="240" w:lineRule="auto" w:before="8"/>
                      <w:rPr>
                        <w:sz w:val="15"/>
                      </w:rPr>
                    </w:pPr>
                  </w:p>
                  <w:p>
                    <w:pPr>
                      <w:spacing w:before="0"/>
                      <w:ind w:left="356" w:right="0" w:firstLine="0"/>
                      <w:jc w:val="left"/>
                      <w:rPr>
                        <w:rFonts w:ascii="Calibri"/>
                        <w:sz w:val="14"/>
                      </w:rPr>
                    </w:pPr>
                    <w:r>
                      <w:rPr>
                        <w:rFonts w:ascii="Calibri"/>
                        <w:sz w:val="14"/>
                      </w:rPr>
                      <w:t>0.0</w:t>
                    </w:r>
                  </w:p>
                </w:txbxContent>
              </v:textbox>
              <w10:wrap type="none"/>
            </v:shape>
          </v:group>
        </w:pict>
      </w:r>
      <w:r>
        <w:rPr>
          <w:sz w:val="20"/>
        </w:rPr>
      </w:r>
    </w:p>
    <w:p>
      <w:pPr>
        <w:spacing w:before="0"/>
        <w:ind w:left="102" w:right="0" w:firstLine="9"/>
        <w:jc w:val="both"/>
        <w:rPr>
          <w:sz w:val="20"/>
        </w:rPr>
      </w:pPr>
      <w:r>
        <w:rPr/>
        <w:drawing>
          <wp:anchor distT="0" distB="0" distL="0" distR="0" allowOverlap="1" layoutInCell="1" locked="0" behindDoc="1" simplePos="0" relativeHeight="268103375">
            <wp:simplePos x="0" y="0"/>
            <wp:positionH relativeFrom="page">
              <wp:posOffset>1189697</wp:posOffset>
            </wp:positionH>
            <wp:positionV relativeFrom="paragraph">
              <wp:posOffset>-650623</wp:posOffset>
            </wp:positionV>
            <wp:extent cx="518179" cy="519112"/>
            <wp:effectExtent l="0" t="0" r="0" b="0"/>
            <wp:wrapNone/>
            <wp:docPr id="129" name="image758.png" descr=""/>
            <wp:cNvGraphicFramePr>
              <a:graphicFrameLocks noChangeAspect="1"/>
            </wp:cNvGraphicFramePr>
            <a:graphic>
              <a:graphicData uri="http://schemas.openxmlformats.org/drawingml/2006/picture">
                <pic:pic>
                  <pic:nvPicPr>
                    <pic:cNvPr id="130" name="image758.png"/>
                    <pic:cNvPicPr/>
                  </pic:nvPicPr>
                  <pic:blipFill>
                    <a:blip r:embed="rId787" cstate="print"/>
                    <a:stretch>
                      <a:fillRect/>
                    </a:stretch>
                  </pic:blipFill>
                  <pic:spPr>
                    <a:xfrm>
                      <a:off x="0" y="0"/>
                      <a:ext cx="518179" cy="519112"/>
                    </a:xfrm>
                    <a:prstGeom prst="rect">
                      <a:avLst/>
                    </a:prstGeom>
                  </pic:spPr>
                </pic:pic>
              </a:graphicData>
            </a:graphic>
          </wp:anchor>
        </w:drawing>
      </w:r>
      <w:r>
        <w:rPr/>
        <w:pict>
          <v:group style="position:absolute;margin-left:139.430389pt;margin-top:-51.12714pt;width:44pt;height:26.4pt;mso-position-horizontal-relative:page;mso-position-vertical-relative:paragraph;z-index:-332056" coordorigin="2789,-1023" coordsize="880,528">
            <v:shape style="position:absolute;left:2789;top:-1017;width:391;height:368" type="#_x0000_t75" stroked="false">
              <v:imagedata r:id="rId788" o:title=""/>
            </v:shape>
            <v:shape style="position:absolute;left:3125;top:-1023;width:544;height:527" type="#_x0000_t75" stroked="false">
              <v:imagedata r:id="rId789" o:title=""/>
            </v:shape>
            <w10:wrap type="none"/>
          </v:group>
        </w:pict>
      </w:r>
      <w:r>
        <w:rPr/>
        <w:drawing>
          <wp:anchor distT="0" distB="0" distL="0" distR="0" allowOverlap="1" layoutInCell="1" locked="0" behindDoc="1" simplePos="0" relativeHeight="268103423">
            <wp:simplePos x="0" y="0"/>
            <wp:positionH relativeFrom="page">
              <wp:posOffset>2695224</wp:posOffset>
            </wp:positionH>
            <wp:positionV relativeFrom="paragraph">
              <wp:posOffset>-652969</wp:posOffset>
            </wp:positionV>
            <wp:extent cx="1190807" cy="376237"/>
            <wp:effectExtent l="0" t="0" r="0" b="0"/>
            <wp:wrapNone/>
            <wp:docPr id="131" name="image761.png" descr=""/>
            <wp:cNvGraphicFramePr>
              <a:graphicFrameLocks noChangeAspect="1"/>
            </wp:cNvGraphicFramePr>
            <a:graphic>
              <a:graphicData uri="http://schemas.openxmlformats.org/drawingml/2006/picture">
                <pic:pic>
                  <pic:nvPicPr>
                    <pic:cNvPr id="132" name="image761.png"/>
                    <pic:cNvPicPr/>
                  </pic:nvPicPr>
                  <pic:blipFill>
                    <a:blip r:embed="rId790" cstate="print"/>
                    <a:stretch>
                      <a:fillRect/>
                    </a:stretch>
                  </pic:blipFill>
                  <pic:spPr>
                    <a:xfrm>
                      <a:off x="0" y="0"/>
                      <a:ext cx="1190807" cy="376237"/>
                    </a:xfrm>
                    <a:prstGeom prst="rect">
                      <a:avLst/>
                    </a:prstGeom>
                  </pic:spPr>
                </pic:pic>
              </a:graphicData>
            </a:graphic>
          </wp:anchor>
        </w:drawing>
      </w:r>
      <w:r>
        <w:rPr/>
        <w:pict>
          <v:group style="position:absolute;margin-left:316.034119pt;margin-top:-50.952324pt;width:87.95pt;height:38.4pt;mso-position-horizontal-relative:page;mso-position-vertical-relative:paragraph;z-index:-332008" coordorigin="6321,-1019" coordsize="1759,768">
            <v:shape style="position:absolute;left:6321;top:-1019;width:292;height:269" type="#_x0000_t75" stroked="false">
              <v:imagedata r:id="rId791" o:title=""/>
            </v:shape>
            <v:shape style="position:absolute;left:6325;top:-1019;width:1754;height:767" type="#_x0000_t75" stroked="false">
              <v:imagedata r:id="rId792" o:title=""/>
            </v:shape>
            <w10:wrap type="none"/>
          </v:group>
        </w:pict>
      </w:r>
      <w:r>
        <w:rPr/>
        <w:pict>
          <v:group style="position:absolute;margin-left:412.930725pt;margin-top:-51.142769pt;width:64.55pt;height:28.65pt;mso-position-horizontal-relative:page;mso-position-vertical-relative:paragraph;z-index:-331984" coordorigin="8259,-1023" coordsize="1291,573">
            <v:shape style="position:absolute;left:8259;top:-1023;width:318;height:276" type="#_x0000_t75" stroked="false">
              <v:imagedata r:id="rId793" o:title=""/>
            </v:shape>
            <v:shape style="position:absolute;left:8567;top:-1022;width:982;height:571" type="#_x0000_t75" stroked="false">
              <v:imagedata r:id="rId794" o:title=""/>
            </v:shape>
            <w10:wrap type="none"/>
          </v:group>
        </w:pict>
      </w:r>
      <w:r>
        <w:rPr>
          <w:sz w:val="20"/>
        </w:rPr>
        <w:t>Fuente: Elaboración propia con base en los datos del Censo de Población y Vivienda INEGI, 2010.</w:t>
      </w:r>
    </w:p>
    <w:p>
      <w:pPr>
        <w:pStyle w:val="BodyText"/>
        <w:rPr>
          <w:sz w:val="20"/>
        </w:rPr>
      </w:pPr>
    </w:p>
    <w:p>
      <w:pPr>
        <w:pStyle w:val="BodyText"/>
        <w:spacing w:before="2"/>
        <w:rPr>
          <w:sz w:val="16"/>
        </w:rPr>
      </w:pPr>
    </w:p>
    <w:p>
      <w:pPr>
        <w:pStyle w:val="BodyText"/>
        <w:spacing w:line="360" w:lineRule="auto"/>
        <w:ind w:left="102" w:right="125"/>
        <w:jc w:val="both"/>
      </w:pPr>
      <w:r>
        <w:rPr/>
        <w:t>Nueve municipios se encuentran entre un rango del 22 y 29 por ciento, el  municipio</w:t>
      </w:r>
      <w:r>
        <w:rPr>
          <w:spacing w:val="39"/>
        </w:rPr>
        <w:t> </w:t>
      </w:r>
      <w:r>
        <w:rPr/>
        <w:t>de</w:t>
      </w:r>
      <w:r>
        <w:rPr>
          <w:spacing w:val="37"/>
        </w:rPr>
        <w:t> </w:t>
      </w:r>
      <w:r>
        <w:rPr/>
        <w:t>Toluca</w:t>
      </w:r>
      <w:r>
        <w:rPr>
          <w:spacing w:val="39"/>
        </w:rPr>
        <w:t> </w:t>
      </w:r>
      <w:r>
        <w:rPr/>
        <w:t>registró</w:t>
      </w:r>
      <w:r>
        <w:rPr>
          <w:spacing w:val="38"/>
        </w:rPr>
        <w:t> </w:t>
      </w:r>
      <w:r>
        <w:rPr/>
        <w:t>un</w:t>
      </w:r>
      <w:r>
        <w:rPr>
          <w:spacing w:val="39"/>
        </w:rPr>
        <w:t> </w:t>
      </w:r>
      <w:r>
        <w:rPr/>
        <w:t>37</w:t>
      </w:r>
      <w:r>
        <w:rPr>
          <w:spacing w:val="39"/>
        </w:rPr>
        <w:t> </w:t>
      </w:r>
      <w:r>
        <w:rPr/>
        <w:t>por</w:t>
      </w:r>
      <w:r>
        <w:rPr>
          <w:spacing w:val="38"/>
        </w:rPr>
        <w:t> </w:t>
      </w:r>
      <w:r>
        <w:rPr/>
        <w:t>ciento,</w:t>
      </w:r>
      <w:r>
        <w:rPr>
          <w:spacing w:val="38"/>
        </w:rPr>
        <w:t> </w:t>
      </w:r>
      <w:r>
        <w:rPr/>
        <w:t>que</w:t>
      </w:r>
      <w:r>
        <w:rPr>
          <w:spacing w:val="39"/>
        </w:rPr>
        <w:t> </w:t>
      </w:r>
      <w:r>
        <w:rPr/>
        <w:t>sus</w:t>
      </w:r>
      <w:r>
        <w:rPr>
          <w:spacing w:val="38"/>
        </w:rPr>
        <w:t> </w:t>
      </w:r>
      <w:r>
        <w:rPr/>
        <w:t>viviendas</w:t>
      </w:r>
      <w:r>
        <w:rPr>
          <w:spacing w:val="38"/>
        </w:rPr>
        <w:t> </w:t>
      </w:r>
      <w:r>
        <w:rPr/>
        <w:t>contaban</w:t>
      </w:r>
      <w:r>
        <w:rPr>
          <w:spacing w:val="37"/>
        </w:rPr>
        <w:t> </w:t>
      </w:r>
      <w:r>
        <w:rPr/>
        <w:t>con</w:t>
      </w:r>
    </w:p>
    <w:p>
      <w:pPr>
        <w:spacing w:after="0" w:line="360" w:lineRule="auto"/>
        <w:jc w:val="both"/>
        <w:sectPr>
          <w:pgSz w:w="12240" w:h="15840"/>
          <w:pgMar w:header="0" w:footer="1003" w:top="1360" w:bottom="1200" w:left="1600" w:right="1580"/>
        </w:sectPr>
      </w:pPr>
    </w:p>
    <w:p>
      <w:pPr>
        <w:pStyle w:val="BodyText"/>
        <w:spacing w:line="360" w:lineRule="auto" w:before="54"/>
        <w:ind w:left="102" w:right="142"/>
        <w:jc w:val="both"/>
      </w:pPr>
      <w:r>
        <w:rPr/>
        <w:t>este bien y Metepec fue el municipio con el mayor porcentaje con más del 52 por ciento significa que más de la mitad de sus viviendas cuentan con este bien (ver mapa no. 15).</w:t>
      </w:r>
    </w:p>
    <w:p>
      <w:pPr>
        <w:pStyle w:val="BodyText"/>
      </w:pPr>
    </w:p>
    <w:p>
      <w:pPr>
        <w:pStyle w:val="BodyText"/>
        <w:spacing w:line="360" w:lineRule="auto" w:before="142"/>
        <w:ind w:left="102" w:right="140"/>
        <w:jc w:val="both"/>
      </w:pPr>
      <w:r>
        <w:rPr/>
        <w:t>Al día de hoy es necesario que las personas cuenten con una computadora ya sea para hacer trabajos escolares principalmente niños y jóvenes así como trabajos formales a profesionistas y personas adultas. El contar o no con una computadora depende de diversos factores y no necesariamente se aplica a la realidad de ciertos municipios de la zona. El promedio de la </w:t>
      </w:r>
      <w:r>
        <w:rPr>
          <w:sz w:val="19"/>
        </w:rPr>
        <w:t>ZMT</w:t>
      </w:r>
      <w:r>
        <w:rPr/>
        <w:t>, fue en el año 2010 del 24.6 de las viviendas que cuentan con computadora.</w:t>
      </w:r>
    </w:p>
    <w:p>
      <w:pPr>
        <w:pStyle w:val="BodyText"/>
      </w:pPr>
    </w:p>
    <w:p>
      <w:pPr>
        <w:spacing w:before="141" w:after="2"/>
        <w:ind w:left="81" w:right="122" w:firstLine="0"/>
        <w:jc w:val="center"/>
        <w:rPr>
          <w:sz w:val="20"/>
        </w:rPr>
      </w:pPr>
      <w:r>
        <w:rPr>
          <w:sz w:val="20"/>
        </w:rPr>
        <w:t>Mapa No. 15 Porcentaje de viviendas con computadora en la </w:t>
      </w:r>
      <w:r>
        <w:rPr>
          <w:sz w:val="16"/>
        </w:rPr>
        <w:t>ZMT</w:t>
      </w:r>
      <w:r>
        <w:rPr>
          <w:sz w:val="20"/>
        </w:rPr>
        <w:t>, 2010.</w:t>
      </w:r>
    </w:p>
    <w:p>
      <w:pPr>
        <w:pStyle w:val="BodyText"/>
        <w:ind w:left="130"/>
        <w:rPr>
          <w:sz w:val="20"/>
        </w:rPr>
      </w:pPr>
      <w:r>
        <w:rPr>
          <w:sz w:val="20"/>
        </w:rPr>
        <w:drawing>
          <wp:inline distT="0" distB="0" distL="0" distR="0">
            <wp:extent cx="5532818" cy="3911441"/>
            <wp:effectExtent l="0" t="0" r="0" b="0"/>
            <wp:docPr id="133" name="image766.jpeg" descr=""/>
            <wp:cNvGraphicFramePr>
              <a:graphicFrameLocks noChangeAspect="1"/>
            </wp:cNvGraphicFramePr>
            <a:graphic>
              <a:graphicData uri="http://schemas.openxmlformats.org/drawingml/2006/picture">
                <pic:pic>
                  <pic:nvPicPr>
                    <pic:cNvPr id="134" name="image766.jpeg"/>
                    <pic:cNvPicPr/>
                  </pic:nvPicPr>
                  <pic:blipFill>
                    <a:blip r:embed="rId795" cstate="print"/>
                    <a:stretch>
                      <a:fillRect/>
                    </a:stretch>
                  </pic:blipFill>
                  <pic:spPr>
                    <a:xfrm>
                      <a:off x="0" y="0"/>
                      <a:ext cx="5532818" cy="3911441"/>
                    </a:xfrm>
                    <a:prstGeom prst="rect">
                      <a:avLst/>
                    </a:prstGeom>
                  </pic:spPr>
                </pic:pic>
              </a:graphicData>
            </a:graphic>
          </wp:inline>
        </w:drawing>
      </w:r>
      <w:r>
        <w:rPr>
          <w:sz w:val="20"/>
        </w:rPr>
      </w:r>
    </w:p>
    <w:p>
      <w:pPr>
        <w:spacing w:line="242" w:lineRule="auto" w:before="86"/>
        <w:ind w:left="80" w:right="122" w:firstLine="0"/>
        <w:jc w:val="center"/>
        <w:rPr>
          <w:sz w:val="20"/>
        </w:rPr>
      </w:pPr>
      <w:r>
        <w:rPr>
          <w:sz w:val="20"/>
        </w:rPr>
        <w:t>Fuente: Elaboración propia con base en los datos de los Censos de Población y Vivienda INEGI, 2010.</w:t>
      </w:r>
    </w:p>
    <w:p>
      <w:pPr>
        <w:pStyle w:val="BodyText"/>
        <w:rPr>
          <w:sz w:val="17"/>
        </w:rPr>
      </w:pPr>
    </w:p>
    <w:p>
      <w:pPr>
        <w:pStyle w:val="BodyText"/>
        <w:spacing w:line="360" w:lineRule="auto"/>
        <w:ind w:left="102" w:right="145"/>
        <w:jc w:val="both"/>
      </w:pPr>
      <w:r>
        <w:rPr/>
        <w:t>El Estado debe facilitar a la población la obtención de nuevas tecnologías en este caso la adquisición de computadoras para sus habitantes, es inexcusable la obtención de estos</w:t>
      </w:r>
      <w:r>
        <w:rPr>
          <w:spacing w:val="50"/>
        </w:rPr>
        <w:t> </w:t>
      </w:r>
      <w:r>
        <w:rPr/>
        <w:t>aparatos electrodomésticos</w:t>
      </w:r>
      <w:r>
        <w:rPr>
          <w:spacing w:val="50"/>
        </w:rPr>
        <w:t> </w:t>
      </w:r>
      <w:r>
        <w:rPr/>
        <w:t>ya</w:t>
      </w:r>
      <w:r>
        <w:rPr>
          <w:spacing w:val="51"/>
        </w:rPr>
        <w:t> </w:t>
      </w:r>
      <w:r>
        <w:rPr/>
        <w:t>que</w:t>
      </w:r>
      <w:r>
        <w:rPr>
          <w:spacing w:val="51"/>
        </w:rPr>
        <w:t> </w:t>
      </w:r>
      <w:r>
        <w:rPr/>
        <w:t>son medios</w:t>
      </w:r>
      <w:r>
        <w:rPr>
          <w:spacing w:val="50"/>
        </w:rPr>
        <w:t> </w:t>
      </w:r>
      <w:r>
        <w:rPr/>
        <w:t>que</w:t>
      </w:r>
      <w:r>
        <w:rPr>
          <w:spacing w:val="51"/>
        </w:rPr>
        <w:t> </w:t>
      </w:r>
      <w:r>
        <w:rPr/>
        <w:t>si son</w:t>
      </w:r>
    </w:p>
    <w:p>
      <w:pPr>
        <w:spacing w:after="0" w:line="360" w:lineRule="auto"/>
        <w:jc w:val="both"/>
        <w:sectPr>
          <w:pgSz w:w="12240" w:h="15840"/>
          <w:pgMar w:header="0" w:footer="1003" w:top="1360" w:bottom="1200" w:left="1600" w:right="1560"/>
        </w:sectPr>
      </w:pPr>
    </w:p>
    <w:p>
      <w:pPr>
        <w:pStyle w:val="BodyText"/>
        <w:spacing w:line="360" w:lineRule="auto" w:before="54"/>
        <w:ind w:left="102" w:right="101"/>
        <w:jc w:val="both"/>
      </w:pPr>
      <w:r>
        <w:rPr/>
        <w:t>aprovechados de la manera correcta pueden brindar oportunidades de educación y trabajo para la población. En el siguiente apartado se analizan las viviendas que cuentan con internet y que va ligado con las computadoras</w:t>
      </w:r>
      <w:r>
        <w:rPr>
          <w:spacing w:val="-33"/>
        </w:rPr>
        <w:t> </w:t>
      </w:r>
      <w:r>
        <w:rPr/>
        <w:t>relativamente.</w:t>
      </w:r>
    </w:p>
    <w:p>
      <w:pPr>
        <w:pStyle w:val="ListParagraph"/>
        <w:numPr>
          <w:ilvl w:val="2"/>
          <w:numId w:val="23"/>
        </w:numPr>
        <w:tabs>
          <w:tab w:pos="643" w:val="left" w:leader="none"/>
        </w:tabs>
        <w:spacing w:line="240" w:lineRule="auto" w:before="206" w:after="0"/>
        <w:ind w:left="642" w:right="0" w:hanging="540"/>
        <w:jc w:val="both"/>
        <w:rPr>
          <w:rFonts w:ascii="Cambria"/>
          <w:b/>
          <w:sz w:val="22"/>
        </w:rPr>
      </w:pPr>
      <w:r>
        <w:rPr>
          <w:rFonts w:ascii="Cambria"/>
          <w:b/>
          <w:color w:val="4F81BC"/>
          <w:sz w:val="22"/>
        </w:rPr>
        <w:t>Viviendas con</w:t>
      </w:r>
      <w:r>
        <w:rPr>
          <w:rFonts w:ascii="Cambria"/>
          <w:b/>
          <w:color w:val="4F81BC"/>
          <w:spacing w:val="-6"/>
          <w:sz w:val="22"/>
        </w:rPr>
        <w:t> </w:t>
      </w:r>
      <w:r>
        <w:rPr>
          <w:rFonts w:ascii="Cambria"/>
          <w:b/>
          <w:color w:val="4F81BC"/>
          <w:sz w:val="22"/>
        </w:rPr>
        <w:t>internet</w:t>
      </w:r>
    </w:p>
    <w:p>
      <w:pPr>
        <w:pStyle w:val="BodyText"/>
        <w:rPr>
          <w:rFonts w:ascii="Cambria"/>
          <w:b/>
          <w:sz w:val="22"/>
        </w:rPr>
      </w:pPr>
    </w:p>
    <w:p>
      <w:pPr>
        <w:pStyle w:val="BodyText"/>
        <w:spacing w:line="360" w:lineRule="auto" w:before="193"/>
        <w:ind w:left="102" w:right="100"/>
        <w:jc w:val="both"/>
      </w:pPr>
      <w:r>
        <w:rPr/>
        <w:t>Contar con internet en las viviendas en la </w:t>
      </w:r>
      <w:r>
        <w:rPr>
          <w:sz w:val="19"/>
        </w:rPr>
        <w:t>ZMT</w:t>
      </w:r>
      <w:r>
        <w:rPr/>
        <w:t>, da la posibilidad de conectarse a las redes de comunicación internacionales, ya sea por medio de una computadora, tableta o teléfono inteligente, entre los servicios que los habitantes pueden realizar se encuentran; envío de correos electrónicos, transmisión de archivos, conversaciones de línea, mensajería instantánea, telefonía, televisión, juegos en línea. Además de facilitar nuevas modalidades de contratación</w:t>
      </w:r>
      <w:r>
        <w:rPr>
          <w:spacing w:val="-28"/>
        </w:rPr>
        <w:t> </w:t>
      </w:r>
      <w:r>
        <w:rPr/>
        <w:t>laboral.</w:t>
      </w:r>
    </w:p>
    <w:p>
      <w:pPr>
        <w:pStyle w:val="BodyText"/>
      </w:pPr>
    </w:p>
    <w:p>
      <w:pPr>
        <w:pStyle w:val="BodyText"/>
        <w:spacing w:line="360" w:lineRule="auto" w:before="142"/>
        <w:ind w:left="102" w:right="98"/>
        <w:jc w:val="both"/>
      </w:pPr>
      <w:r>
        <w:rPr/>
        <w:t>En el año 2010 el municipio con menor porcentaje de las viviendas con internet fue el Temoaya con 3.9 por ciento, Otzolotepec 5.6 por ciento, Almoloya de Juárez 5.8 por ciento y Xonacatlán con el 9.3 por ciento. Nueve municipios se encontraron con un porcentaje entre el 10 y 17 por ciento, mientras el municipio Toluca</w:t>
      </w:r>
      <w:r>
        <w:rPr>
          <w:spacing w:val="23"/>
        </w:rPr>
        <w:t> </w:t>
      </w:r>
      <w:r>
        <w:rPr/>
        <w:t>registró</w:t>
      </w:r>
    </w:p>
    <w:p>
      <w:pPr>
        <w:pStyle w:val="BodyText"/>
        <w:spacing w:line="360" w:lineRule="auto" w:before="5"/>
        <w:ind w:left="102" w:right="107"/>
        <w:jc w:val="both"/>
      </w:pPr>
      <w:r>
        <w:rPr/>
        <w:t>26.9 por ciento de viviendas con internet y Metepec fue el municipio con el mayor porcentaje con el 42.7 por ciento (ver gráfica 17).</w:t>
      </w:r>
    </w:p>
    <w:p>
      <w:pPr>
        <w:spacing w:after="0" w:line="360" w:lineRule="auto"/>
        <w:jc w:val="both"/>
        <w:sectPr>
          <w:pgSz w:w="12240" w:h="15840"/>
          <w:pgMar w:header="0" w:footer="1003" w:top="1360" w:bottom="1200" w:left="1600" w:right="1600"/>
        </w:sectPr>
      </w:pPr>
    </w:p>
    <w:p>
      <w:pPr>
        <w:spacing w:before="53" w:after="13"/>
        <w:ind w:left="198" w:right="216" w:firstLine="0"/>
        <w:jc w:val="center"/>
        <w:rPr>
          <w:sz w:val="20"/>
        </w:rPr>
      </w:pPr>
      <w:r>
        <w:rPr/>
        <w:pict>
          <v:group style="position:absolute;margin-left:117.559074pt;margin-top:43.289768pt;width:402.8pt;height:161.35pt;mso-position-horizontal-relative:page;mso-position-vertical-relative:paragraph;z-index:-331912" coordorigin="2351,866" coordsize="8056,3227">
            <v:line style="position:absolute" from="2357,3731" to="10402,3731" stroked="true" strokeweight=".508804pt" strokecolor="#858585"/>
            <v:shape style="position:absolute;left:2453;top:3634;width:336;height:450" type="#_x0000_t75" stroked="false">
              <v:imagedata r:id="rId797" o:title=""/>
            </v:shape>
            <v:line style="position:absolute" from="2357,3375" to="10402,3375" stroked="true" strokeweight=".508804pt" strokecolor="#858585"/>
            <v:shape style="position:absolute;left:2993;top:3156;width:336;height:928" type="#_x0000_t75" stroked="false">
              <v:imagedata r:id="rId798" o:title=""/>
            </v:shape>
            <v:shape style="position:absolute;left:3533;top:3319;width:336;height:766" type="#_x0000_t75" stroked="false">
              <v:imagedata r:id="rId799" o:title=""/>
            </v:shape>
            <v:line style="position:absolute" from="2357,3018" to="10402,3018" stroked="true" strokeweight=".508804pt" strokecolor="#858585"/>
            <v:shape style="position:absolute;left:4062;top:2962;width:336;height:1122" type="#_x0000_t75" stroked="false">
              <v:imagedata r:id="rId800" o:title=""/>
            </v:shape>
            <v:shape style="position:absolute;left:923;top:8067;width:11851;height:2115" coordorigin="923,8067" coordsize="11851,2115" path="m2357,2662l10402,2662m2357,2296l10402,2296m2357,1940l10402,1940m2357,1584l10402,1584m2357,1227l10402,1227e" filled="false" stroked="true" strokeweight=".508988pt" strokecolor="#858585">
              <v:path arrowok="t"/>
            </v:shape>
            <v:shape style="position:absolute;left:4602;top:988;width:336;height:3096" type="#_x0000_t75" stroked="false">
              <v:imagedata r:id="rId801" o:title=""/>
            </v:shape>
            <v:shape style="position:absolute;left:5142;top:2962;width:336;height:1122" type="#_x0000_t75" stroked="false">
              <v:imagedata r:id="rId800" o:title=""/>
            </v:shape>
            <v:shape style="position:absolute;left:5671;top:3085;width:336;height:1000" type="#_x0000_t75" stroked="false">
              <v:imagedata r:id="rId802" o:title=""/>
            </v:shape>
            <v:shape style="position:absolute;left:6211;top:3644;width:336;height:440" type="#_x0000_t75" stroked="false">
              <v:imagedata r:id="rId803" o:title=""/>
            </v:shape>
            <v:shape style="position:absolute;left:6741;top:3176;width:346;height:908" type="#_x0000_t75" stroked="false">
              <v:imagedata r:id="rId804" o:title=""/>
            </v:shape>
            <v:shape style="position:absolute;left:7280;top:3186;width:336;height:898" type="#_x0000_t75" stroked="false">
              <v:imagedata r:id="rId805" o:title=""/>
            </v:shape>
            <v:shape style="position:absolute;left:7820;top:2800;width:336;height:1284" type="#_x0000_t75" stroked="false">
              <v:imagedata r:id="rId806" o:title=""/>
            </v:shape>
            <v:shape style="position:absolute;left:8350;top:3766;width:346;height:318" type="#_x0000_t75" stroked="false">
              <v:imagedata r:id="rId807" o:title=""/>
            </v:shape>
            <v:shape style="position:absolute;left:8889;top:2118;width:336;height:1966" type="#_x0000_t75" stroked="false">
              <v:imagedata r:id="rId808" o:title=""/>
            </v:shape>
            <v:shape style="position:absolute;left:9429;top:3380;width:336;height:704" type="#_x0000_t75" stroked="false">
              <v:imagedata r:id="rId809" o:title=""/>
            </v:shape>
            <v:shape style="position:absolute;left:9959;top:3074;width:346;height:1010" type="#_x0000_t75" stroked="false">
              <v:imagedata r:id="rId810" o:title=""/>
            </v:shape>
            <v:shape style="position:absolute;left:2484;top:3644;width:265;height:438" type="#_x0000_t75" stroked="false">
              <v:imagedata r:id="rId811" o:title=""/>
            </v:shape>
            <v:shape style="position:absolute;left:3024;top:3166;width:265;height:916" type="#_x0000_t75" stroked="false">
              <v:imagedata r:id="rId812" o:title=""/>
            </v:shape>
            <v:shape style="position:absolute;left:3563;top:3329;width:265;height:753" type="#_x0000_t75" stroked="false">
              <v:imagedata r:id="rId813" o:title=""/>
            </v:shape>
            <v:shape style="position:absolute;left:4093;top:2973;width:265;height:1109" type="#_x0000_t75" stroked="false">
              <v:imagedata r:id="rId814" o:title=""/>
            </v:shape>
            <v:shape style="position:absolute;left:4633;top:998;width:265;height:3083" type="#_x0000_t75" stroked="false">
              <v:imagedata r:id="rId815" o:title=""/>
            </v:shape>
            <v:shape style="position:absolute;left:5172;top:2973;width:265;height:1109" type="#_x0000_t75" stroked="false">
              <v:imagedata r:id="rId816" o:title=""/>
            </v:shape>
            <v:shape style="position:absolute;left:5702;top:3095;width:265;height:987" type="#_x0000_t75" stroked="false">
              <v:imagedata r:id="rId817" o:title=""/>
            </v:shape>
            <v:shape style="position:absolute;left:6242;top:3654;width:265;height:427" type="#_x0000_t75" stroked="false">
              <v:imagedata r:id="rId818" o:title=""/>
            </v:shape>
            <v:shape style="position:absolute;left:6771;top:3186;width:275;height:895" type="#_x0000_t75" stroked="false">
              <v:imagedata r:id="rId819" o:title=""/>
            </v:shape>
            <v:shape style="position:absolute;left:7311;top:3196;width:265;height:885" type="#_x0000_t75" stroked="false">
              <v:imagedata r:id="rId820" o:title=""/>
            </v:shape>
            <v:shape style="position:absolute;left:7851;top:2810;width:265;height:1272" type="#_x0000_t75" stroked="false">
              <v:imagedata r:id="rId821" o:title=""/>
            </v:shape>
            <v:shape style="position:absolute;left:8380;top:3776;width:275;height:305" type="#_x0000_t75" stroked="false">
              <v:imagedata r:id="rId822" o:title=""/>
            </v:shape>
            <v:shape style="position:absolute;left:8920;top:2128;width:265;height:1954" type="#_x0000_t75" stroked="false">
              <v:imagedata r:id="rId823" o:title=""/>
            </v:shape>
            <v:shape style="position:absolute;left:9460;top:3390;width:265;height:692" type="#_x0000_t75" stroked="false">
              <v:imagedata r:id="rId824" o:title=""/>
            </v:shape>
            <v:shape style="position:absolute;left:9989;top:3085;width:275;height:997" type="#_x0000_t75" stroked="false">
              <v:imagedata r:id="rId825" o:title=""/>
            </v:shape>
            <v:shape style="position:absolute;left:923;top:7542;width:11851;height:4740" coordorigin="923,7542" coordsize="11851,4740" path="m2357,871l10402,871m2357,4087l2357,871m2357,4087l10402,4087e" filled="false" stroked="true" strokeweight=".508988pt" strokecolor="#858585">
              <v:path arrowok="t"/>
            </v:shape>
            <w10:wrap type="none"/>
          </v:group>
        </w:pict>
      </w:r>
      <w:r>
        <w:rPr>
          <w:sz w:val="20"/>
        </w:rPr>
        <w:t>Gráfica No. 17 Viviendas con internet en la </w:t>
      </w:r>
      <w:r>
        <w:rPr>
          <w:sz w:val="16"/>
        </w:rPr>
        <w:t>ZMT</w:t>
      </w:r>
      <w:r>
        <w:rPr>
          <w:sz w:val="20"/>
        </w:rPr>
        <w:t>, 2010.</w:t>
      </w:r>
    </w:p>
    <w:p>
      <w:pPr>
        <w:pStyle w:val="BodyText"/>
        <w:ind w:left="140"/>
        <w:rPr>
          <w:sz w:val="20"/>
        </w:rPr>
      </w:pPr>
      <w:r>
        <w:rPr>
          <w:sz w:val="20"/>
        </w:rPr>
        <w:pict>
          <v:group style="width:441pt;height:263.650pt;mso-position-horizontal-relative:char;mso-position-vertical-relative:line" coordorigin="0,0" coordsize="8820,5273">
            <v:shape style="position:absolute;left:2231;top:3978;width:290;height:266" type="#_x0000_t75" stroked="false">
              <v:imagedata r:id="rId826" o:title=""/>
            </v:shape>
            <v:shape style="position:absolute;left:6;top:6;width:8809;height:5262" type="#_x0000_t202" filled="false" stroked="true" strokeweight=".50941pt" strokecolor="#858585">
              <v:textbox inset="0,0,0,0">
                <w:txbxContent>
                  <w:p>
                    <w:pPr>
                      <w:spacing w:before="97"/>
                      <w:ind w:left="1768" w:right="1762" w:firstLine="0"/>
                      <w:jc w:val="center"/>
                      <w:rPr>
                        <w:rFonts w:ascii="Calibri"/>
                        <w:b/>
                        <w:sz w:val="24"/>
                      </w:rPr>
                    </w:pPr>
                    <w:r>
                      <w:rPr>
                        <w:rFonts w:ascii="Calibri"/>
                        <w:b/>
                        <w:sz w:val="24"/>
                      </w:rPr>
                      <w:t>Viviendas que cuentan con internet en la ZMT, 2010.</w:t>
                    </w:r>
                  </w:p>
                  <w:p>
                    <w:pPr>
                      <w:spacing w:before="89"/>
                      <w:ind w:left="231" w:right="0" w:firstLine="0"/>
                      <w:jc w:val="left"/>
                      <w:rPr>
                        <w:rFonts w:ascii="Calibri"/>
                        <w:sz w:val="13"/>
                      </w:rPr>
                    </w:pPr>
                    <w:r>
                      <w:rPr>
                        <w:rFonts w:ascii="Calibri"/>
                        <w:sz w:val="13"/>
                      </w:rPr>
                      <w:t>45.0</w:t>
                    </w:r>
                  </w:p>
                  <w:p>
                    <w:pPr>
                      <w:spacing w:line="240" w:lineRule="auto" w:before="4"/>
                      <w:rPr>
                        <w:sz w:val="17"/>
                      </w:rPr>
                    </w:pPr>
                  </w:p>
                  <w:p>
                    <w:pPr>
                      <w:spacing w:before="0"/>
                      <w:ind w:left="231" w:right="0" w:firstLine="0"/>
                      <w:jc w:val="left"/>
                      <w:rPr>
                        <w:rFonts w:ascii="Calibri"/>
                        <w:sz w:val="13"/>
                      </w:rPr>
                    </w:pPr>
                    <w:r>
                      <w:rPr>
                        <w:rFonts w:ascii="Calibri"/>
                        <w:sz w:val="13"/>
                      </w:rPr>
                      <w:t>40.0</w:t>
                    </w:r>
                  </w:p>
                  <w:p>
                    <w:pPr>
                      <w:spacing w:line="240" w:lineRule="auto" w:before="4"/>
                      <w:rPr>
                        <w:sz w:val="17"/>
                      </w:rPr>
                    </w:pPr>
                  </w:p>
                  <w:p>
                    <w:pPr>
                      <w:spacing w:before="0"/>
                      <w:ind w:left="231" w:right="0" w:firstLine="0"/>
                      <w:jc w:val="left"/>
                      <w:rPr>
                        <w:rFonts w:ascii="Calibri"/>
                        <w:sz w:val="13"/>
                      </w:rPr>
                    </w:pPr>
                    <w:r>
                      <w:rPr>
                        <w:rFonts w:ascii="Calibri"/>
                        <w:sz w:val="13"/>
                      </w:rPr>
                      <w:t>35.0</w:t>
                    </w:r>
                  </w:p>
                  <w:p>
                    <w:pPr>
                      <w:spacing w:line="240" w:lineRule="auto" w:before="4"/>
                      <w:rPr>
                        <w:sz w:val="17"/>
                      </w:rPr>
                    </w:pPr>
                  </w:p>
                  <w:p>
                    <w:pPr>
                      <w:spacing w:before="0"/>
                      <w:ind w:left="231" w:right="0" w:firstLine="0"/>
                      <w:jc w:val="left"/>
                      <w:rPr>
                        <w:rFonts w:ascii="Calibri"/>
                        <w:sz w:val="13"/>
                      </w:rPr>
                    </w:pPr>
                    <w:r>
                      <w:rPr>
                        <w:rFonts w:ascii="Calibri"/>
                        <w:sz w:val="13"/>
                      </w:rPr>
                      <w:t>30.0</w:t>
                    </w:r>
                  </w:p>
                  <w:p>
                    <w:pPr>
                      <w:spacing w:line="240" w:lineRule="auto" w:before="3"/>
                      <w:rPr>
                        <w:sz w:val="17"/>
                      </w:rPr>
                    </w:pPr>
                  </w:p>
                  <w:p>
                    <w:pPr>
                      <w:spacing w:before="0"/>
                      <w:ind w:left="231" w:right="0" w:firstLine="0"/>
                      <w:jc w:val="left"/>
                      <w:rPr>
                        <w:rFonts w:ascii="Calibri"/>
                        <w:sz w:val="13"/>
                      </w:rPr>
                    </w:pPr>
                    <w:r>
                      <w:rPr>
                        <w:rFonts w:ascii="Calibri"/>
                        <w:sz w:val="13"/>
                      </w:rPr>
                      <w:t>25.0</w:t>
                    </w:r>
                  </w:p>
                  <w:p>
                    <w:pPr>
                      <w:spacing w:line="240" w:lineRule="auto" w:before="4"/>
                      <w:rPr>
                        <w:sz w:val="17"/>
                      </w:rPr>
                    </w:pPr>
                  </w:p>
                  <w:p>
                    <w:pPr>
                      <w:spacing w:before="0"/>
                      <w:ind w:left="231" w:right="0" w:firstLine="0"/>
                      <w:jc w:val="left"/>
                      <w:rPr>
                        <w:rFonts w:ascii="Calibri"/>
                        <w:sz w:val="13"/>
                      </w:rPr>
                    </w:pPr>
                    <w:r>
                      <w:rPr>
                        <w:rFonts w:ascii="Calibri"/>
                        <w:sz w:val="13"/>
                      </w:rPr>
                      <w:t>20.0</w:t>
                    </w:r>
                  </w:p>
                  <w:p>
                    <w:pPr>
                      <w:spacing w:line="240" w:lineRule="auto" w:before="4"/>
                      <w:rPr>
                        <w:sz w:val="17"/>
                      </w:rPr>
                    </w:pPr>
                  </w:p>
                  <w:p>
                    <w:pPr>
                      <w:spacing w:before="0"/>
                      <w:ind w:left="231" w:right="0" w:firstLine="0"/>
                      <w:jc w:val="left"/>
                      <w:rPr>
                        <w:rFonts w:ascii="Calibri"/>
                        <w:sz w:val="13"/>
                      </w:rPr>
                    </w:pPr>
                    <w:r>
                      <w:rPr>
                        <w:rFonts w:ascii="Calibri"/>
                        <w:sz w:val="13"/>
                      </w:rPr>
                      <w:t>15.0</w:t>
                    </w:r>
                  </w:p>
                  <w:p>
                    <w:pPr>
                      <w:spacing w:line="240" w:lineRule="auto" w:before="4"/>
                      <w:rPr>
                        <w:sz w:val="17"/>
                      </w:rPr>
                    </w:pPr>
                  </w:p>
                  <w:p>
                    <w:pPr>
                      <w:spacing w:before="0"/>
                      <w:ind w:left="231" w:right="0" w:firstLine="0"/>
                      <w:jc w:val="left"/>
                      <w:rPr>
                        <w:rFonts w:ascii="Calibri"/>
                        <w:sz w:val="13"/>
                      </w:rPr>
                    </w:pPr>
                    <w:r>
                      <w:rPr>
                        <w:rFonts w:ascii="Calibri"/>
                        <w:sz w:val="13"/>
                      </w:rPr>
                      <w:t>10.0</w:t>
                    </w:r>
                  </w:p>
                  <w:p>
                    <w:pPr>
                      <w:spacing w:line="240" w:lineRule="auto" w:before="3"/>
                      <w:rPr>
                        <w:sz w:val="17"/>
                      </w:rPr>
                    </w:pPr>
                  </w:p>
                  <w:p>
                    <w:pPr>
                      <w:spacing w:before="0"/>
                      <w:ind w:left="306" w:right="0" w:firstLine="0"/>
                      <w:jc w:val="left"/>
                      <w:rPr>
                        <w:rFonts w:ascii="Calibri"/>
                        <w:sz w:val="13"/>
                      </w:rPr>
                    </w:pPr>
                    <w:r>
                      <w:rPr>
                        <w:rFonts w:ascii="Calibri"/>
                        <w:sz w:val="13"/>
                      </w:rPr>
                      <w:t>5.0</w:t>
                    </w:r>
                  </w:p>
                  <w:p>
                    <w:pPr>
                      <w:spacing w:line="240" w:lineRule="auto" w:before="4"/>
                      <w:rPr>
                        <w:sz w:val="17"/>
                      </w:rPr>
                    </w:pPr>
                  </w:p>
                  <w:p>
                    <w:pPr>
                      <w:spacing w:before="0"/>
                      <w:ind w:left="306" w:right="0" w:firstLine="0"/>
                      <w:jc w:val="left"/>
                      <w:rPr>
                        <w:rFonts w:ascii="Calibri"/>
                        <w:sz w:val="13"/>
                      </w:rPr>
                    </w:pPr>
                    <w:r>
                      <w:rPr>
                        <w:rFonts w:ascii="Calibri"/>
                        <w:sz w:val="13"/>
                      </w:rPr>
                      <w:t>0.0</w:t>
                    </w:r>
                  </w:p>
                  <w:p>
                    <w:pPr>
                      <w:spacing w:line="240" w:lineRule="auto" w:before="10" w:after="1"/>
                      <w:rPr>
                        <w:sz w:val="8"/>
                      </w:rPr>
                    </w:pPr>
                  </w:p>
                  <w:p>
                    <w:pPr>
                      <w:tabs>
                        <w:tab w:pos="6396" w:val="left" w:leader="none"/>
                      </w:tabs>
                      <w:spacing w:line="240" w:lineRule="auto"/>
                      <w:ind w:left="118" w:right="0" w:firstLine="0"/>
                      <w:rPr>
                        <w:sz w:val="20"/>
                      </w:rPr>
                    </w:pPr>
                    <w:r>
                      <w:rPr>
                        <w:sz w:val="20"/>
                      </w:rPr>
                      <w:drawing>
                        <wp:inline distT="0" distB="0" distL="0" distR="0">
                          <wp:extent cx="494207" cy="495300"/>
                          <wp:effectExtent l="0" t="0" r="0" b="0"/>
                          <wp:docPr id="135" name="image797.png" descr=""/>
                          <wp:cNvGraphicFramePr>
                            <a:graphicFrameLocks noChangeAspect="1"/>
                          </wp:cNvGraphicFramePr>
                          <a:graphic>
                            <a:graphicData uri="http://schemas.openxmlformats.org/drawingml/2006/picture">
                              <pic:pic>
                                <pic:nvPicPr>
                                  <pic:cNvPr id="136" name="image797.png"/>
                                  <pic:cNvPicPr/>
                                </pic:nvPicPr>
                                <pic:blipFill>
                                  <a:blip r:embed="rId827" cstate="print"/>
                                  <a:stretch>
                                    <a:fillRect/>
                                  </a:stretch>
                                </pic:blipFill>
                                <pic:spPr>
                                  <a:xfrm>
                                    <a:off x="0" y="0"/>
                                    <a:ext cx="494207" cy="495300"/>
                                  </a:xfrm>
                                  <a:prstGeom prst="rect">
                                    <a:avLst/>
                                  </a:prstGeom>
                                </pic:spPr>
                              </pic:pic>
                            </a:graphicData>
                          </a:graphic>
                        </wp:inline>
                      </w:drawing>
                    </w:r>
                    <w:r>
                      <w:rPr>
                        <w:sz w:val="20"/>
                      </w:rPr>
                    </w:r>
                    <w:r>
                      <w:rPr>
                        <w:sz w:val="20"/>
                      </w:rPr>
                      <w:tab/>
                    </w:r>
                    <w:r>
                      <w:rPr>
                        <w:position w:val="41"/>
                        <w:sz w:val="20"/>
                      </w:rPr>
                      <w:drawing>
                        <wp:inline distT="0" distB="0" distL="0" distR="0">
                          <wp:extent cx="254425" cy="228600"/>
                          <wp:effectExtent l="0" t="0" r="0" b="0"/>
                          <wp:docPr id="137" name="image798.png" descr=""/>
                          <wp:cNvGraphicFramePr>
                            <a:graphicFrameLocks noChangeAspect="1"/>
                          </wp:cNvGraphicFramePr>
                          <a:graphic>
                            <a:graphicData uri="http://schemas.openxmlformats.org/drawingml/2006/picture">
                              <pic:pic>
                                <pic:nvPicPr>
                                  <pic:cNvPr id="138" name="image798.png"/>
                                  <pic:cNvPicPr/>
                                </pic:nvPicPr>
                                <pic:blipFill>
                                  <a:blip r:embed="rId828" cstate="print"/>
                                  <a:stretch>
                                    <a:fillRect/>
                                  </a:stretch>
                                </pic:blipFill>
                                <pic:spPr>
                                  <a:xfrm>
                                    <a:off x="0" y="0"/>
                                    <a:ext cx="254425" cy="228600"/>
                                  </a:xfrm>
                                  <a:prstGeom prst="rect">
                                    <a:avLst/>
                                  </a:prstGeom>
                                </pic:spPr>
                              </pic:pic>
                            </a:graphicData>
                          </a:graphic>
                        </wp:inline>
                      </w:drawing>
                    </w:r>
                    <w:r>
                      <w:rPr>
                        <w:position w:val="41"/>
                        <w:sz w:val="20"/>
                      </w:rPr>
                    </w:r>
                  </w:p>
                  <w:p>
                    <w:pPr>
                      <w:spacing w:line="240" w:lineRule="auto" w:before="0"/>
                      <w:rPr>
                        <w:sz w:val="12"/>
                      </w:rPr>
                    </w:pPr>
                  </w:p>
                  <w:p>
                    <w:pPr>
                      <w:spacing w:before="92"/>
                      <w:ind w:left="1768" w:right="1745" w:firstLine="0"/>
                      <w:jc w:val="center"/>
                      <w:rPr>
                        <w:rFonts w:ascii="Calibri"/>
                        <w:sz w:val="13"/>
                      </w:rPr>
                    </w:pPr>
                    <w:r>
                      <w:rPr/>
                      <w:drawing>
                        <wp:inline distT="0" distB="0" distL="0" distR="0">
                          <wp:extent cx="84261" cy="84200"/>
                          <wp:effectExtent l="0" t="0" r="0" b="0"/>
                          <wp:docPr id="139" name="image799.png" descr=""/>
                          <wp:cNvGraphicFramePr>
                            <a:graphicFrameLocks noChangeAspect="1"/>
                          </wp:cNvGraphicFramePr>
                          <a:graphic>
                            <a:graphicData uri="http://schemas.openxmlformats.org/drawingml/2006/picture">
                              <pic:pic>
                                <pic:nvPicPr>
                                  <pic:cNvPr id="140" name="image799.png"/>
                                  <pic:cNvPicPr/>
                                </pic:nvPicPr>
                                <pic:blipFill>
                                  <a:blip r:embed="rId829" cstate="print"/>
                                  <a:stretch>
                                    <a:fillRect/>
                                  </a:stretch>
                                </pic:blipFill>
                                <pic:spPr>
                                  <a:xfrm>
                                    <a:off x="0" y="0"/>
                                    <a:ext cx="84261" cy="84200"/>
                                  </a:xfrm>
                                  <a:prstGeom prst="rect">
                                    <a:avLst/>
                                  </a:prstGeom>
                                </pic:spPr>
                              </pic:pic>
                            </a:graphicData>
                          </a:graphic>
                        </wp:inline>
                      </w:drawing>
                    </w:r>
                    <w:r>
                      <w:rPr/>
                    </w:r>
                    <w:r>
                      <w:rPr>
                        <w:rFonts w:ascii="Calibri"/>
                        <w:spacing w:val="4"/>
                        <w:position w:val="1"/>
                        <w:sz w:val="13"/>
                      </w:rPr>
                      <w:t>2010</w:t>
                    </w:r>
                  </w:p>
                </w:txbxContent>
              </v:textbox>
              <w10:wrap type="none"/>
            </v:shape>
          </v:group>
        </w:pict>
      </w:r>
      <w:r>
        <w:rPr>
          <w:sz w:val="20"/>
        </w:rPr>
      </w:r>
    </w:p>
    <w:p>
      <w:pPr>
        <w:spacing w:before="0"/>
        <w:ind w:left="102" w:right="0" w:firstLine="9"/>
        <w:jc w:val="both"/>
        <w:rPr>
          <w:sz w:val="20"/>
        </w:rPr>
      </w:pPr>
      <w:r>
        <w:rPr/>
        <w:pict>
          <v:group style="position:absolute;margin-left:140.192154pt;margin-top:-65.155022pt;width:45.75pt;height:25.2pt;mso-position-horizontal-relative:page;mso-position-vertical-relative:paragraph;z-index:-331888" coordorigin="2804,-1303" coordsize="915,504">
            <v:shape style="position:absolute;left:2804;top:-1291;width:373;height:351" type="#_x0000_t75" stroked="false">
              <v:imagedata r:id="rId830" o:title=""/>
            </v:shape>
            <v:shape style="position:absolute;left:3200;top:-1303;width:518;height:503" type="#_x0000_t75" stroked="false">
              <v:imagedata r:id="rId831" o:title=""/>
            </v:shape>
            <w10:wrap type="none"/>
          </v:group>
        </w:pict>
      </w:r>
      <w:r>
        <w:rPr/>
        <w:pict>
          <v:group style="position:absolute;margin-left:219.929855pt;margin-top:-65.083771pt;width:100.1pt;height:27.95pt;mso-position-horizontal-relative:page;mso-position-vertical-relative:paragraph;z-index:-331864" coordorigin="4399,-1302" coordsize="2002,559">
            <v:shape style="position:absolute;left:4399;top:-1301;width:391;height:376" type="#_x0000_t75" stroked="false">
              <v:imagedata r:id="rId832" o:title=""/>
            </v:shape>
            <v:shape style="position:absolute;left:4753;top:-1302;width:1647;height:558" type="#_x0000_t75" stroked="false">
              <v:imagedata r:id="rId833" o:title=""/>
            </v:shape>
            <w10:wrap type="none"/>
          </v:group>
        </w:pict>
      </w:r>
      <w:r>
        <w:rPr/>
        <w:pict>
          <v:group style="position:absolute;margin-left:332.708069pt;margin-top:-64.628555pt;width:67.2pt;height:36.65pt;mso-position-horizontal-relative:page;mso-position-vertical-relative:paragraph;z-index:-331840" coordorigin="6654,-1293" coordsize="1344,733">
            <v:shape style="position:absolute;left:6654;top:-1293;width:279;height:256" type="#_x0000_t75" stroked="false">
              <v:imagedata r:id="rId834" o:title=""/>
            </v:shape>
            <v:shape style="position:absolute;left:6727;top:-1292;width:1270;height:733" type="#_x0000_t75" stroked="false">
              <v:imagedata r:id="rId835" o:title=""/>
            </v:shape>
            <w10:wrap type="none"/>
          </v:group>
        </w:pict>
      </w:r>
      <w:r>
        <w:rPr/>
        <w:pict>
          <v:group style="position:absolute;margin-left:438.87381pt;margin-top:-65.110886pt;width:68.850pt;height:27.3pt;mso-position-horizontal-relative:page;mso-position-vertical-relative:paragraph;z-index:-331816" coordorigin="8777,-1302" coordsize="1377,546">
            <v:shape style="position:absolute;left:8777;top:-1296;width:303;height:263" type="#_x0000_t75" stroked="false">
              <v:imagedata r:id="rId836" o:title=""/>
            </v:shape>
            <v:shape style="position:absolute;left:9140;top:-1302;width:1013;height:545" type="#_x0000_t75" stroked="false">
              <v:imagedata r:id="rId837" o:title=""/>
            </v:shape>
            <w10:wrap type="none"/>
          </v:group>
        </w:pict>
      </w:r>
      <w:r>
        <w:rPr>
          <w:sz w:val="20"/>
        </w:rPr>
        <w:t>Fuente: Elaboración propia con base en los datos del Censo de Población y Vivienda INEGI, 2010.</w:t>
      </w:r>
    </w:p>
    <w:p>
      <w:pPr>
        <w:pStyle w:val="BodyText"/>
        <w:rPr>
          <w:sz w:val="20"/>
        </w:rPr>
      </w:pPr>
    </w:p>
    <w:p>
      <w:pPr>
        <w:pStyle w:val="BodyText"/>
        <w:rPr>
          <w:sz w:val="16"/>
        </w:rPr>
      </w:pPr>
    </w:p>
    <w:p>
      <w:pPr>
        <w:pStyle w:val="BodyText"/>
        <w:spacing w:line="360" w:lineRule="auto"/>
        <w:ind w:left="102" w:right="117"/>
        <w:jc w:val="both"/>
      </w:pPr>
      <w:r>
        <w:rPr/>
        <w:t>El internet al día de hoy tiene un impacto en las viviendas que cuentan con este bien en la </w:t>
      </w:r>
      <w:r>
        <w:rPr>
          <w:sz w:val="19"/>
        </w:rPr>
        <w:t>ZMT</w:t>
      </w:r>
      <w:r>
        <w:rPr/>
        <w:t>, ya que pueden realizar trabajo, actividades académicas, distracción cuando hay ocio y tener conocimiento a nivel mundial. El promedio de la zona metropolitana en el año 2010 de viviendas que contaron con internet fue del 14.3 por ciento, es decir, que la minoría cuenta con este bien en su vivienda (ver mapa no. 16).</w:t>
      </w:r>
    </w:p>
    <w:p>
      <w:pPr>
        <w:spacing w:after="0" w:line="360" w:lineRule="auto"/>
        <w:jc w:val="both"/>
        <w:sectPr>
          <w:footerReference w:type="default" r:id="rId796"/>
          <w:pgSz w:w="12240" w:h="15840"/>
          <w:pgMar w:footer="1003" w:header="0" w:top="1360" w:bottom="1200" w:left="1600" w:right="1580"/>
          <w:pgNumType w:start="160"/>
        </w:sectPr>
      </w:pPr>
    </w:p>
    <w:p>
      <w:pPr>
        <w:spacing w:before="53" w:after="3"/>
        <w:ind w:left="82" w:right="122" w:firstLine="0"/>
        <w:jc w:val="center"/>
        <w:rPr>
          <w:sz w:val="20"/>
        </w:rPr>
      </w:pPr>
      <w:r>
        <w:rPr>
          <w:sz w:val="20"/>
        </w:rPr>
        <w:t>Mapa No. 16 Porcentaje de viviendas con internet en la </w:t>
      </w:r>
      <w:r>
        <w:rPr>
          <w:sz w:val="16"/>
        </w:rPr>
        <w:t>ZMT</w:t>
      </w:r>
      <w:r>
        <w:rPr>
          <w:sz w:val="20"/>
        </w:rPr>
        <w:t>, 2010.</w:t>
      </w:r>
    </w:p>
    <w:p>
      <w:pPr>
        <w:pStyle w:val="BodyText"/>
        <w:ind w:left="130"/>
        <w:rPr>
          <w:sz w:val="20"/>
        </w:rPr>
      </w:pPr>
      <w:r>
        <w:rPr>
          <w:sz w:val="20"/>
        </w:rPr>
        <w:drawing>
          <wp:inline distT="0" distB="0" distL="0" distR="0">
            <wp:extent cx="5530693" cy="3911441"/>
            <wp:effectExtent l="0" t="0" r="0" b="0"/>
            <wp:docPr id="141" name="image808.jpeg" descr=""/>
            <wp:cNvGraphicFramePr>
              <a:graphicFrameLocks noChangeAspect="1"/>
            </wp:cNvGraphicFramePr>
            <a:graphic>
              <a:graphicData uri="http://schemas.openxmlformats.org/drawingml/2006/picture">
                <pic:pic>
                  <pic:nvPicPr>
                    <pic:cNvPr id="142" name="image808.jpeg"/>
                    <pic:cNvPicPr/>
                  </pic:nvPicPr>
                  <pic:blipFill>
                    <a:blip r:embed="rId838" cstate="print"/>
                    <a:stretch>
                      <a:fillRect/>
                    </a:stretch>
                  </pic:blipFill>
                  <pic:spPr>
                    <a:xfrm>
                      <a:off x="0" y="0"/>
                      <a:ext cx="5530693" cy="3911441"/>
                    </a:xfrm>
                    <a:prstGeom prst="rect">
                      <a:avLst/>
                    </a:prstGeom>
                  </pic:spPr>
                </pic:pic>
              </a:graphicData>
            </a:graphic>
          </wp:inline>
        </w:drawing>
      </w:r>
      <w:r>
        <w:rPr>
          <w:sz w:val="20"/>
        </w:rPr>
      </w:r>
    </w:p>
    <w:p>
      <w:pPr>
        <w:spacing w:before="88"/>
        <w:ind w:left="80" w:right="122" w:firstLine="0"/>
        <w:jc w:val="center"/>
        <w:rPr>
          <w:sz w:val="20"/>
        </w:rPr>
      </w:pPr>
      <w:r>
        <w:rPr>
          <w:sz w:val="20"/>
        </w:rPr>
        <w:t>Fuente: Elaboración propia con base en los datos de los Censos de Población y Vivienda INEGI, 2010.</w:t>
      </w:r>
    </w:p>
    <w:p>
      <w:pPr>
        <w:pStyle w:val="BodyText"/>
        <w:rPr>
          <w:sz w:val="20"/>
        </w:rPr>
      </w:pPr>
    </w:p>
    <w:p>
      <w:pPr>
        <w:pStyle w:val="BodyText"/>
        <w:rPr>
          <w:sz w:val="20"/>
        </w:rPr>
      </w:pPr>
    </w:p>
    <w:p>
      <w:pPr>
        <w:pStyle w:val="BodyText"/>
        <w:spacing w:line="360" w:lineRule="auto" w:before="153"/>
        <w:ind w:left="102" w:right="139"/>
        <w:jc w:val="both"/>
      </w:pPr>
      <w:r>
        <w:rPr/>
        <w:t>Cuando se cuenta con este bien en las viviendas, las personas tienen acceso fácil e inmediato a una cantidad extensa y diversa información en línea, este medio de comunicación ha logrado romper las barreras físicas entre los lugares geográficos más remotos. En pleno siglo XXI es inaceptable que solo el 15 por ciento de las viviendas en la zona metropolitana cuente con internet. Aunque en ocasiones es indispensable cubrir otras necesidades más apremiantes en la población en condiciones de pobreza. En el siguiente apartado se analiza las viviendas que cuentan con teléfono fijo.</w:t>
      </w:r>
    </w:p>
    <w:p>
      <w:pPr>
        <w:pStyle w:val="ListParagraph"/>
        <w:numPr>
          <w:ilvl w:val="2"/>
          <w:numId w:val="24"/>
        </w:numPr>
        <w:tabs>
          <w:tab w:pos="643" w:val="left" w:leader="none"/>
        </w:tabs>
        <w:spacing w:line="240" w:lineRule="auto" w:before="206" w:after="0"/>
        <w:ind w:left="642" w:right="0" w:hanging="540"/>
        <w:jc w:val="both"/>
        <w:rPr>
          <w:rFonts w:ascii="Cambria" w:hAnsi="Cambria"/>
          <w:b/>
          <w:sz w:val="22"/>
        </w:rPr>
      </w:pPr>
      <w:r>
        <w:rPr>
          <w:rFonts w:ascii="Cambria" w:hAnsi="Cambria"/>
          <w:b/>
          <w:color w:val="4F81BC"/>
          <w:sz w:val="22"/>
        </w:rPr>
        <w:t>Viviendas con</w:t>
      </w:r>
      <w:r>
        <w:rPr>
          <w:rFonts w:ascii="Cambria" w:hAnsi="Cambria"/>
          <w:b/>
          <w:color w:val="4F81BC"/>
          <w:spacing w:val="-5"/>
          <w:sz w:val="22"/>
        </w:rPr>
        <w:t> </w:t>
      </w:r>
      <w:r>
        <w:rPr>
          <w:rFonts w:ascii="Cambria" w:hAnsi="Cambria"/>
          <w:b/>
          <w:color w:val="4F81BC"/>
          <w:sz w:val="22"/>
        </w:rPr>
        <w:t>teléfono</w:t>
      </w:r>
    </w:p>
    <w:p>
      <w:pPr>
        <w:pStyle w:val="BodyText"/>
        <w:rPr>
          <w:rFonts w:ascii="Cambria"/>
          <w:b/>
          <w:sz w:val="22"/>
        </w:rPr>
      </w:pPr>
    </w:p>
    <w:p>
      <w:pPr>
        <w:pStyle w:val="BodyText"/>
        <w:spacing w:line="360" w:lineRule="auto" w:before="193"/>
        <w:ind w:left="102" w:right="134"/>
        <w:jc w:val="both"/>
      </w:pPr>
      <w:r>
        <w:rPr/>
        <w:t>Las personas que cuentan con teléfono en las viviendas, tienen acceso a estar comunicadas con sus familiares, amigos, trabajo, escuelas u oficinas, ya que el teléfono es un dispositivo de telecomunicación internacional.</w:t>
      </w:r>
    </w:p>
    <w:p>
      <w:pPr>
        <w:spacing w:after="0" w:line="360" w:lineRule="auto"/>
        <w:jc w:val="both"/>
        <w:sectPr>
          <w:pgSz w:w="12240" w:h="15840"/>
          <w:pgMar w:header="0" w:footer="1003" w:top="1360" w:bottom="1200" w:left="1600" w:right="1560"/>
        </w:sectPr>
      </w:pPr>
    </w:p>
    <w:p>
      <w:pPr>
        <w:pStyle w:val="BodyText"/>
        <w:spacing w:line="360" w:lineRule="auto" w:before="54"/>
        <w:ind w:left="102" w:right="141"/>
        <w:jc w:val="both"/>
      </w:pPr>
      <w:r>
        <w:rPr/>
        <w:t>Temoaya en el 2000 fue el municipio con menor porcentaje de viviendas con teléfono con el 5.7 por ciento, seguido de Almoloya de Juárez con el 9 por ciento y Otzolotepec con el 9.4 por ciento de este bien. Diez municipios de la zona metropolitana registraron un porcentaje entre el 14 y 26 por ciento, mientras que el municipio de Toluca registro un 43 por ciento y Metepec más del 60 por ciento de viviendas con teléfono (ver gráfica no. 18).</w:t>
      </w:r>
    </w:p>
    <w:p>
      <w:pPr>
        <w:pStyle w:val="BodyText"/>
      </w:pPr>
    </w:p>
    <w:p>
      <w:pPr>
        <w:pStyle w:val="BodyText"/>
      </w:pPr>
    </w:p>
    <w:p>
      <w:pPr>
        <w:pStyle w:val="BodyText"/>
        <w:spacing w:before="1"/>
      </w:pPr>
    </w:p>
    <w:p>
      <w:pPr>
        <w:spacing w:before="1" w:after="13"/>
        <w:ind w:left="81" w:right="122" w:firstLine="0"/>
        <w:jc w:val="center"/>
        <w:rPr>
          <w:sz w:val="20"/>
        </w:rPr>
      </w:pPr>
      <w:r>
        <w:rPr/>
        <w:pict>
          <v:group style="position:absolute;margin-left:120.888893pt;margin-top:42.26601pt;width:367.95pt;height:176.6pt;mso-position-horizontal-relative:page;mso-position-vertical-relative:paragraph;z-index:-331744" coordorigin="2418,845" coordsize="7359,3532">
            <v:line style="position:absolute" from="2423,3867" to="9771,3867" stroked="true" strokeweight=".536645pt" strokecolor="#858585"/>
            <v:shape style="position:absolute;left:2472;top:3872;width:269;height:497" type="#_x0000_t75" stroked="false">
              <v:imagedata r:id="rId839" o:title=""/>
            </v:shape>
            <v:shape style="position:absolute;left:2955;top:3550;width:269;height:819" type="#_x0000_t75" stroked="false">
              <v:imagedata r:id="rId840" o:title=""/>
            </v:shape>
            <v:line style="position:absolute" from="2423,3362" to="9771,3362" stroked="true" strokeweight=".536645pt" strokecolor="#858585"/>
            <v:shape style="position:absolute;left:3449;top:3346;width:269;height:1023" type="#_x0000_t75" stroked="false">
              <v:imagedata r:id="rId841" o:title=""/>
            </v:shape>
            <v:shape style="position:absolute;left:3933;top:3260;width:269;height:1109" type="#_x0000_t75" stroked="false">
              <v:imagedata r:id="rId842" o:title=""/>
            </v:shape>
            <v:shape style="position:absolute;left:968;top:5183;width:10261;height:2100" coordorigin="968,5183" coordsize="10261,2100" path="m2423,2858l9771,2858m2423,2364l9771,2364m2423,1860l9771,1860m2423,1355l9771,1355e" filled="false" stroked="true" strokeweight=".53688pt" strokecolor="#858585">
              <v:path arrowok="t"/>
            </v:shape>
            <v:shape style="position:absolute;left:4427;top:1264;width:269;height:3105" type="#_x0000_t75" stroked="false">
              <v:imagedata r:id="rId843" o:title=""/>
            </v:shape>
            <v:shape style="position:absolute;left:4921;top:3003;width:269;height:1367" type="#_x0000_t75" stroked="false">
              <v:imagedata r:id="rId844" o:title=""/>
            </v:shape>
            <v:shape style="position:absolute;left:5404;top:3335;width:269;height:1034" type="#_x0000_t75" stroked="false">
              <v:imagedata r:id="rId845" o:title=""/>
            </v:shape>
            <v:shape style="position:absolute;left:5898;top:3851;width:269;height:519" type="#_x0000_t75" stroked="false">
              <v:imagedata r:id="rId846" o:title=""/>
            </v:shape>
            <v:shape style="position:absolute;left:6382;top:3454;width:269;height:916" type="#_x0000_t75" stroked="false">
              <v:imagedata r:id="rId847" o:title=""/>
            </v:shape>
            <v:shape style="position:absolute;left:6876;top:3496;width:269;height:873" type="#_x0000_t75" stroked="false">
              <v:imagedata r:id="rId848" o:title=""/>
            </v:shape>
            <v:shape style="position:absolute;left:7359;top:2981;width:279;height:1388" type="#_x0000_t75" stroked="false">
              <v:imagedata r:id="rId849" o:title=""/>
            </v:shape>
            <v:shape style="position:absolute;left:7854;top:4044;width:269;height:326" type="#_x0000_t75" stroked="false">
              <v:imagedata r:id="rId850" o:title=""/>
            </v:shape>
            <v:shape style="position:absolute;left:8348;top:2166;width:269;height:2204" type="#_x0000_t75" stroked="false">
              <v:imagedata r:id="rId851" o:title=""/>
            </v:shape>
            <v:shape style="position:absolute;left:8831;top:3604;width:269;height:766" type="#_x0000_t75" stroked="false">
              <v:imagedata r:id="rId852" o:title=""/>
            </v:shape>
            <v:shape style="position:absolute;left:9325;top:3378;width:269;height:991" type="#_x0000_t75" stroked="false">
              <v:imagedata r:id="rId853" o:title=""/>
            </v:shape>
            <v:shape style="position:absolute;left:2611;top:3529;width:269;height:841" type="#_x0000_t75" stroked="false">
              <v:imagedata r:id="rId854" o:title=""/>
            </v:shape>
            <v:shape style="position:absolute;left:3095;top:2863;width:269;height:1506" type="#_x0000_t75" stroked="false">
              <v:imagedata r:id="rId855" o:title=""/>
            </v:shape>
            <v:shape style="position:absolute;left:3589;top:3142;width:269;height:1227" type="#_x0000_t75" stroked="false">
              <v:imagedata r:id="rId856" o:title=""/>
            </v:shape>
            <v:shape style="position:absolute;left:4072;top:2820;width:269;height:1549" type="#_x0000_t75" stroked="false">
              <v:imagedata r:id="rId857" o:title=""/>
            </v:shape>
            <v:shape style="position:absolute;left:4566;top:1167;width:269;height:3202" type="#_x0000_t75" stroked="false">
              <v:imagedata r:id="rId858" o:title=""/>
            </v:shape>
            <v:shape style="position:absolute;left:5061;top:2531;width:269;height:1839" type="#_x0000_t75" stroked="false">
              <v:imagedata r:id="rId859" o:title=""/>
            </v:shape>
            <v:shape style="position:absolute;left:5544;top:2777;width:269;height:1592" type="#_x0000_t75" stroked="false">
              <v:imagedata r:id="rId860" o:title=""/>
            </v:shape>
            <v:shape style="position:absolute;left:6038;top:3615;width:269;height:755" type="#_x0000_t75" stroked="false">
              <v:imagedata r:id="rId861" o:title=""/>
            </v:shape>
            <v:shape style="position:absolute;left:6521;top:2777;width:269;height:1592" type="#_x0000_t75" stroked="false">
              <v:imagedata r:id="rId860" o:title=""/>
            </v:shape>
            <v:shape style="position:absolute;left:7016;top:3378;width:269;height:991" type="#_x0000_t75" stroked="false">
              <v:imagedata r:id="rId853" o:title=""/>
            </v:shape>
            <v:shape style="position:absolute;left:7510;top:2853;width:269;height:1517" type="#_x0000_t75" stroked="false">
              <v:imagedata r:id="rId862" o:title=""/>
            </v:shape>
            <v:shape style="position:absolute;left:7993;top:3818;width:269;height:551" type="#_x0000_t75" stroked="false">
              <v:imagedata r:id="rId863" o:title=""/>
            </v:shape>
            <v:shape style="position:absolute;left:8487;top:1940;width:269;height:2429" type="#_x0000_t75" stroked="false">
              <v:imagedata r:id="rId864" o:title=""/>
            </v:shape>
            <v:shape style="position:absolute;left:8971;top:3325;width:269;height:1045" type="#_x0000_t75" stroked="false">
              <v:imagedata r:id="rId865" o:title=""/>
            </v:shape>
            <v:shape style="position:absolute;left:9465;top:2606;width:269;height:1764" type="#_x0000_t75" stroked="false">
              <v:imagedata r:id="rId866" o:title=""/>
            </v:shape>
            <v:shape style="position:absolute;left:2504;top:3883;width:193;height:483" type="#_x0000_t75" stroked="false">
              <v:imagedata r:id="rId867" o:title=""/>
            </v:shape>
            <v:shape style="position:absolute;left:2987;top:3561;width:193;height:805" type="#_x0000_t75" stroked="false">
              <v:imagedata r:id="rId868" o:title=""/>
            </v:shape>
            <v:shape style="position:absolute;left:3481;top:3357;width:193;height:1009" type="#_x0000_t75" stroked="false">
              <v:imagedata r:id="rId869" o:title=""/>
            </v:shape>
            <v:shape style="position:absolute;left:3965;top:3271;width:193;height:1095" type="#_x0000_t75" stroked="false">
              <v:imagedata r:id="rId870" o:title=""/>
            </v:shape>
            <v:shape style="position:absolute;left:4459;top:1275;width:193;height:3091" type="#_x0000_t75" stroked="false">
              <v:imagedata r:id="rId871" o:title=""/>
            </v:shape>
            <v:shape style="position:absolute;left:4953;top:3013;width:193;height:1352" type="#_x0000_t75" stroked="false">
              <v:imagedata r:id="rId872" o:title=""/>
            </v:shape>
            <v:shape style="position:absolute;left:5436;top:3346;width:193;height:1020" type="#_x0000_t75" stroked="false">
              <v:imagedata r:id="rId873" o:title=""/>
            </v:shape>
            <v:shape style="position:absolute;left:5931;top:3861;width:193;height:504" type="#_x0000_t75" stroked="false">
              <v:imagedata r:id="rId874" o:title=""/>
            </v:shape>
            <v:shape style="position:absolute;left:6414;top:3464;width:193;height:902" type="#_x0000_t75" stroked="false">
              <v:imagedata r:id="rId875" o:title=""/>
            </v:shape>
            <v:shape style="position:absolute;left:6908;top:3507;width:193;height:859" type="#_x0000_t75" stroked="false">
              <v:imagedata r:id="rId876" o:title=""/>
            </v:shape>
            <v:shape style="position:absolute;left:7392;top:2992;width:204;height:1374" type="#_x0000_t75" stroked="false">
              <v:imagedata r:id="rId877" o:title=""/>
            </v:shape>
            <v:shape style="position:absolute;left:7886;top:4055;width:193;height:311" type="#_x0000_t75" stroked="false">
              <v:imagedata r:id="rId878" o:title=""/>
            </v:shape>
            <v:shape style="position:absolute;left:8380;top:2176;width:193;height:2190" type="#_x0000_t75" stroked="false">
              <v:imagedata r:id="rId879" o:title=""/>
            </v:shape>
            <v:shape style="position:absolute;left:8863;top:3615;width:193;height:751" type="#_x0000_t75" stroked="false">
              <v:imagedata r:id="rId880" o:title=""/>
            </v:shape>
            <v:shape style="position:absolute;left:9357;top:3389;width:193;height:977" type="#_x0000_t75" stroked="false">
              <v:imagedata r:id="rId881" o:title=""/>
            </v:shape>
            <v:shape style="position:absolute;left:2643;top:3539;width:193;height:826" type="#_x0000_t75" stroked="false">
              <v:imagedata r:id="rId882" o:title=""/>
            </v:shape>
            <v:shape style="position:absolute;left:3127;top:2874;width:193;height:1492" type="#_x0000_t75" stroked="false">
              <v:imagedata r:id="rId883" o:title=""/>
            </v:shape>
            <v:shape style="position:absolute;left:3621;top:3153;width:193;height:1213" type="#_x0000_t75" stroked="false">
              <v:imagedata r:id="rId884" o:title=""/>
            </v:shape>
            <v:shape style="position:absolute;left:4104;top:2831;width:193;height:1535" type="#_x0000_t75" stroked="false">
              <v:imagedata r:id="rId885" o:title=""/>
            </v:shape>
            <v:shape style="position:absolute;left:4599;top:1178;width:193;height:3188" type="#_x0000_t75" stroked="false">
              <v:imagedata r:id="rId886" o:title=""/>
            </v:shape>
            <v:shape style="position:absolute;left:5093;top:2541;width:193;height:1825" type="#_x0000_t75" stroked="false">
              <v:imagedata r:id="rId887" o:title=""/>
            </v:shape>
            <v:shape style="position:absolute;left:5576;top:2788;width:193;height:1578" type="#_x0000_t75" stroked="false">
              <v:imagedata r:id="rId888" o:title=""/>
            </v:shape>
            <v:shape style="position:absolute;left:6070;top:3625;width:193;height:741" type="#_x0000_t75" stroked="false">
              <v:imagedata r:id="rId889" o:title=""/>
            </v:shape>
            <v:shape style="position:absolute;left:6554;top:2788;width:193;height:1578" type="#_x0000_t75" stroked="false">
              <v:imagedata r:id="rId890" o:title=""/>
            </v:shape>
            <v:shape style="position:absolute;left:7048;top:3389;width:193;height:977" type="#_x0000_t75" stroked="false">
              <v:imagedata r:id="rId891" o:title=""/>
            </v:shape>
            <v:shape style="position:absolute;left:7542;top:2863;width:193;height:1503" type="#_x0000_t75" stroked="false">
              <v:imagedata r:id="rId892" o:title=""/>
            </v:shape>
            <v:shape style="position:absolute;left:8025;top:3829;width:193;height:537" type="#_x0000_t75" stroked="false">
              <v:imagedata r:id="rId893" o:title=""/>
            </v:shape>
            <v:shape style="position:absolute;left:8520;top:1951;width:193;height:2415" type="#_x0000_t75" stroked="false">
              <v:imagedata r:id="rId894" o:title=""/>
            </v:shape>
            <v:shape style="position:absolute;left:9003;top:3335;width:193;height:1030" type="#_x0000_t75" stroked="false">
              <v:imagedata r:id="rId895" o:title=""/>
            </v:shape>
            <v:shape style="position:absolute;left:9497;top:2616;width:193;height:1749" type="#_x0000_t75" stroked="false">
              <v:imagedata r:id="rId896" o:title=""/>
            </v:shape>
            <v:shape style="position:absolute;left:968;top:4478;width:10261;height:4920" coordorigin="968,4478" coordsize="10261,4920" path="m2423,851l9771,851m2423,4371l2423,851m2423,4371l9771,4371e" filled="false" stroked="true" strokeweight=".53688pt" strokecolor="#858585">
              <v:path arrowok="t"/>
            </v:shape>
            <w10:wrap type="none"/>
          </v:group>
        </w:pict>
      </w:r>
      <w:r>
        <w:rPr>
          <w:sz w:val="20"/>
        </w:rPr>
        <w:t>Gráfica No. 18 Viviendas con teléfono en la </w:t>
      </w:r>
      <w:r>
        <w:rPr>
          <w:sz w:val="16"/>
        </w:rPr>
        <w:t>ZMT</w:t>
      </w:r>
      <w:r>
        <w:rPr>
          <w:sz w:val="20"/>
        </w:rPr>
        <w:t>, 2000-2010.</w:t>
      </w:r>
    </w:p>
    <w:p>
      <w:pPr>
        <w:pStyle w:val="BodyText"/>
        <w:ind w:left="141"/>
        <w:rPr>
          <w:sz w:val="20"/>
        </w:rPr>
      </w:pPr>
      <w:r>
        <w:rPr>
          <w:sz w:val="20"/>
        </w:rPr>
        <w:pict>
          <v:group style="width:441pt;height:267.3pt;mso-position-horizontal-relative:char;mso-position-vertical-relative:line" coordorigin="0,0" coordsize="8820,5346">
            <v:shape style="position:absolute;left:2122;top:4328;width:305;height:280" type="#_x0000_t75" stroked="false">
              <v:imagedata r:id="rId897" o:title=""/>
            </v:shape>
            <v:shape style="position:absolute;left:6;top:6;width:8809;height:5335" type="#_x0000_t202" filled="false" stroked="true" strokeweight=".537308pt" strokecolor="#858585">
              <v:textbox inset="0,0,0,0">
                <w:txbxContent>
                  <w:p>
                    <w:pPr>
                      <w:spacing w:before="106"/>
                      <w:ind w:left="2022" w:right="0" w:firstLine="0"/>
                      <w:jc w:val="left"/>
                      <w:rPr>
                        <w:rFonts w:ascii="Calibri" w:hAnsi="Calibri"/>
                        <w:b/>
                        <w:sz w:val="25"/>
                      </w:rPr>
                    </w:pPr>
                    <w:r>
                      <w:rPr>
                        <w:rFonts w:ascii="Calibri" w:hAnsi="Calibri"/>
                        <w:b/>
                        <w:w w:val="105"/>
                        <w:sz w:val="25"/>
                      </w:rPr>
                      <w:t>Viviendas con teléfono en la ZMT, 2000-2010</w:t>
                    </w:r>
                  </w:p>
                  <w:p>
                    <w:pPr>
                      <w:spacing w:before="92"/>
                      <w:ind w:left="286" w:right="0" w:firstLine="0"/>
                      <w:jc w:val="left"/>
                      <w:rPr>
                        <w:rFonts w:ascii="Calibri"/>
                        <w:sz w:val="14"/>
                      </w:rPr>
                    </w:pPr>
                    <w:r>
                      <w:rPr>
                        <w:rFonts w:ascii="Calibri"/>
                        <w:sz w:val="14"/>
                      </w:rPr>
                      <w:t>70.0</w:t>
                    </w:r>
                  </w:p>
                  <w:p>
                    <w:pPr>
                      <w:spacing w:line="240" w:lineRule="auto" w:before="0"/>
                      <w:rPr>
                        <w:sz w:val="14"/>
                      </w:rPr>
                    </w:pPr>
                  </w:p>
                  <w:p>
                    <w:pPr>
                      <w:spacing w:line="240" w:lineRule="auto" w:before="11"/>
                      <w:rPr>
                        <w:sz w:val="14"/>
                      </w:rPr>
                    </w:pPr>
                  </w:p>
                  <w:p>
                    <w:pPr>
                      <w:spacing w:before="0"/>
                      <w:ind w:left="286" w:right="0" w:firstLine="0"/>
                      <w:jc w:val="left"/>
                      <w:rPr>
                        <w:rFonts w:ascii="Calibri"/>
                        <w:sz w:val="14"/>
                      </w:rPr>
                    </w:pPr>
                    <w:r>
                      <w:rPr>
                        <w:rFonts w:ascii="Calibri"/>
                        <w:sz w:val="14"/>
                      </w:rPr>
                      <w:t>60.0</w:t>
                    </w:r>
                  </w:p>
                  <w:p>
                    <w:pPr>
                      <w:spacing w:line="240" w:lineRule="auto" w:before="0"/>
                      <w:rPr>
                        <w:sz w:val="14"/>
                      </w:rPr>
                    </w:pPr>
                  </w:p>
                  <w:p>
                    <w:pPr>
                      <w:spacing w:line="240" w:lineRule="auto" w:before="0"/>
                      <w:rPr>
                        <w:sz w:val="15"/>
                      </w:rPr>
                    </w:pPr>
                  </w:p>
                  <w:p>
                    <w:pPr>
                      <w:spacing w:before="0"/>
                      <w:ind w:left="286" w:right="0" w:firstLine="0"/>
                      <w:jc w:val="left"/>
                      <w:rPr>
                        <w:rFonts w:ascii="Calibri"/>
                        <w:sz w:val="14"/>
                      </w:rPr>
                    </w:pPr>
                    <w:r>
                      <w:rPr>
                        <w:rFonts w:ascii="Calibri"/>
                        <w:sz w:val="14"/>
                      </w:rPr>
                      <w:t>50.0</w:t>
                    </w:r>
                  </w:p>
                  <w:p>
                    <w:pPr>
                      <w:spacing w:line="240" w:lineRule="auto" w:before="0"/>
                      <w:rPr>
                        <w:sz w:val="14"/>
                      </w:rPr>
                    </w:pPr>
                  </w:p>
                  <w:p>
                    <w:pPr>
                      <w:spacing w:line="240" w:lineRule="auto" w:before="11"/>
                      <w:rPr>
                        <w:sz w:val="14"/>
                      </w:rPr>
                    </w:pPr>
                  </w:p>
                  <w:p>
                    <w:pPr>
                      <w:spacing w:before="0"/>
                      <w:ind w:left="286" w:right="0" w:firstLine="0"/>
                      <w:jc w:val="left"/>
                      <w:rPr>
                        <w:rFonts w:ascii="Calibri"/>
                        <w:sz w:val="14"/>
                      </w:rPr>
                    </w:pPr>
                    <w:r>
                      <w:rPr>
                        <w:rFonts w:ascii="Calibri"/>
                        <w:sz w:val="14"/>
                      </w:rPr>
                      <w:t>40.0</w:t>
                    </w:r>
                  </w:p>
                  <w:p>
                    <w:pPr>
                      <w:spacing w:line="240" w:lineRule="auto" w:before="0"/>
                      <w:rPr>
                        <w:sz w:val="14"/>
                      </w:rPr>
                    </w:pPr>
                  </w:p>
                  <w:p>
                    <w:pPr>
                      <w:spacing w:line="240" w:lineRule="auto" w:before="0"/>
                      <w:rPr>
                        <w:sz w:val="15"/>
                      </w:rPr>
                    </w:pPr>
                  </w:p>
                  <w:p>
                    <w:pPr>
                      <w:spacing w:line="160" w:lineRule="exact" w:before="0"/>
                      <w:ind w:left="286" w:right="0" w:firstLine="0"/>
                      <w:jc w:val="left"/>
                      <w:rPr>
                        <w:rFonts w:ascii="Calibri"/>
                        <w:sz w:val="14"/>
                      </w:rPr>
                    </w:pPr>
                    <w:r>
                      <w:rPr>
                        <w:rFonts w:ascii="Calibri"/>
                        <w:sz w:val="14"/>
                      </w:rPr>
                      <w:t>30.0</w:t>
                    </w:r>
                  </w:p>
                  <w:p>
                    <w:pPr>
                      <w:spacing w:line="160" w:lineRule="exact" w:before="0"/>
                      <w:ind w:left="0" w:right="122" w:firstLine="0"/>
                      <w:jc w:val="right"/>
                      <w:rPr>
                        <w:rFonts w:ascii="Calibri"/>
                        <w:sz w:val="14"/>
                      </w:rPr>
                    </w:pPr>
                    <w:r>
                      <w:rPr/>
                      <w:drawing>
                        <wp:inline distT="0" distB="0" distL="0" distR="0">
                          <wp:extent cx="82368" cy="89153"/>
                          <wp:effectExtent l="0" t="0" r="0" b="0"/>
                          <wp:docPr id="143" name="image868.png" descr=""/>
                          <wp:cNvGraphicFramePr>
                            <a:graphicFrameLocks noChangeAspect="1"/>
                          </wp:cNvGraphicFramePr>
                          <a:graphic>
                            <a:graphicData uri="http://schemas.openxmlformats.org/drawingml/2006/picture">
                              <pic:pic>
                                <pic:nvPicPr>
                                  <pic:cNvPr id="144" name="image868.png"/>
                                  <pic:cNvPicPr/>
                                </pic:nvPicPr>
                                <pic:blipFill>
                                  <a:blip r:embed="rId898" cstate="print"/>
                                  <a:stretch>
                                    <a:fillRect/>
                                  </a:stretch>
                                </pic:blipFill>
                                <pic:spPr>
                                  <a:xfrm>
                                    <a:off x="0" y="0"/>
                                    <a:ext cx="82368" cy="89153"/>
                                  </a:xfrm>
                                  <a:prstGeom prst="rect">
                                    <a:avLst/>
                                  </a:prstGeom>
                                </pic:spPr>
                              </pic:pic>
                            </a:graphicData>
                          </a:graphic>
                        </wp:inline>
                      </w:drawing>
                    </w:r>
                    <w:r>
                      <w:rPr/>
                    </w:r>
                    <w:r>
                      <w:rPr>
                        <w:rFonts w:ascii="Calibri"/>
                        <w:spacing w:val="2"/>
                        <w:position w:val="1"/>
                        <w:sz w:val="14"/>
                      </w:rPr>
                      <w:t>2000</w:t>
                    </w:r>
                  </w:p>
                  <w:p>
                    <w:pPr>
                      <w:spacing w:line="134" w:lineRule="exact" w:before="86"/>
                      <w:ind w:left="0" w:right="122" w:firstLine="0"/>
                      <w:jc w:val="right"/>
                      <w:rPr>
                        <w:rFonts w:ascii="Calibri"/>
                        <w:sz w:val="14"/>
                      </w:rPr>
                    </w:pPr>
                    <w:r>
                      <w:rPr/>
                      <w:drawing>
                        <wp:inline distT="0" distB="0" distL="0" distR="0">
                          <wp:extent cx="82368" cy="82296"/>
                          <wp:effectExtent l="0" t="0" r="0" b="0"/>
                          <wp:docPr id="145" name="image869.png" descr=""/>
                          <wp:cNvGraphicFramePr>
                            <a:graphicFrameLocks noChangeAspect="1"/>
                          </wp:cNvGraphicFramePr>
                          <a:graphic>
                            <a:graphicData uri="http://schemas.openxmlformats.org/drawingml/2006/picture">
                              <pic:pic>
                                <pic:nvPicPr>
                                  <pic:cNvPr id="146" name="image869.png"/>
                                  <pic:cNvPicPr/>
                                </pic:nvPicPr>
                                <pic:blipFill>
                                  <a:blip r:embed="rId899" cstate="print"/>
                                  <a:stretch>
                                    <a:fillRect/>
                                  </a:stretch>
                                </pic:blipFill>
                                <pic:spPr>
                                  <a:xfrm>
                                    <a:off x="0" y="0"/>
                                    <a:ext cx="82368" cy="82296"/>
                                  </a:xfrm>
                                  <a:prstGeom prst="rect">
                                    <a:avLst/>
                                  </a:prstGeom>
                                </pic:spPr>
                              </pic:pic>
                            </a:graphicData>
                          </a:graphic>
                        </wp:inline>
                      </w:drawing>
                    </w:r>
                    <w:r>
                      <w:rPr/>
                    </w:r>
                    <w:r>
                      <w:rPr>
                        <w:rFonts w:ascii="Calibri"/>
                        <w:spacing w:val="2"/>
                        <w:position w:val="1"/>
                        <w:sz w:val="14"/>
                      </w:rPr>
                      <w:t>2010</w:t>
                    </w:r>
                  </w:p>
                  <w:p>
                    <w:pPr>
                      <w:spacing w:line="134" w:lineRule="exact" w:before="0"/>
                      <w:ind w:left="286" w:right="0" w:firstLine="0"/>
                      <w:jc w:val="left"/>
                      <w:rPr>
                        <w:rFonts w:ascii="Calibri"/>
                        <w:sz w:val="14"/>
                      </w:rPr>
                    </w:pPr>
                    <w:r>
                      <w:rPr>
                        <w:rFonts w:ascii="Calibri"/>
                        <w:sz w:val="14"/>
                      </w:rPr>
                      <w:t>20.0</w:t>
                    </w:r>
                  </w:p>
                  <w:p>
                    <w:pPr>
                      <w:spacing w:line="240" w:lineRule="auto" w:before="0"/>
                      <w:rPr>
                        <w:sz w:val="14"/>
                      </w:rPr>
                    </w:pPr>
                  </w:p>
                  <w:p>
                    <w:pPr>
                      <w:spacing w:line="240" w:lineRule="auto" w:before="0"/>
                      <w:rPr>
                        <w:sz w:val="15"/>
                      </w:rPr>
                    </w:pPr>
                  </w:p>
                  <w:p>
                    <w:pPr>
                      <w:spacing w:before="0"/>
                      <w:ind w:left="286" w:right="0" w:firstLine="0"/>
                      <w:jc w:val="left"/>
                      <w:rPr>
                        <w:rFonts w:ascii="Calibri"/>
                        <w:sz w:val="14"/>
                      </w:rPr>
                    </w:pPr>
                    <w:r>
                      <w:rPr>
                        <w:rFonts w:ascii="Calibri"/>
                        <w:sz w:val="14"/>
                      </w:rPr>
                      <w:t>10.0</w:t>
                    </w:r>
                  </w:p>
                  <w:p>
                    <w:pPr>
                      <w:spacing w:line="240" w:lineRule="auto" w:before="0"/>
                      <w:rPr>
                        <w:sz w:val="14"/>
                      </w:rPr>
                    </w:pPr>
                  </w:p>
                  <w:p>
                    <w:pPr>
                      <w:spacing w:line="240" w:lineRule="auto" w:before="11"/>
                      <w:rPr>
                        <w:sz w:val="14"/>
                      </w:rPr>
                    </w:pPr>
                  </w:p>
                  <w:p>
                    <w:pPr>
                      <w:spacing w:before="0"/>
                      <w:ind w:left="355" w:right="0" w:firstLine="0"/>
                      <w:jc w:val="left"/>
                      <w:rPr>
                        <w:rFonts w:ascii="Calibri"/>
                        <w:sz w:val="14"/>
                      </w:rPr>
                    </w:pPr>
                    <w:r>
                      <w:rPr>
                        <w:rFonts w:ascii="Calibri"/>
                        <w:sz w:val="14"/>
                      </w:rPr>
                      <w:t>0.0</w:t>
                    </w:r>
                  </w:p>
                </w:txbxContent>
              </v:textbox>
              <w10:wrap type="none"/>
            </v:shape>
          </v:group>
        </w:pict>
      </w:r>
      <w:r>
        <w:rPr>
          <w:sz w:val="20"/>
        </w:rPr>
      </w:r>
    </w:p>
    <w:p>
      <w:pPr>
        <w:spacing w:line="357" w:lineRule="auto" w:before="0"/>
        <w:ind w:left="80" w:right="122" w:firstLine="0"/>
        <w:jc w:val="center"/>
        <w:rPr>
          <w:sz w:val="20"/>
        </w:rPr>
      </w:pPr>
      <w:r>
        <w:rPr/>
        <w:drawing>
          <wp:anchor distT="0" distB="0" distL="0" distR="0" allowOverlap="1" layoutInCell="1" locked="0" behindDoc="1" simplePos="0" relativeHeight="268103735">
            <wp:simplePos x="0" y="0"/>
            <wp:positionH relativeFrom="page">
              <wp:posOffset>1189622</wp:posOffset>
            </wp:positionH>
            <wp:positionV relativeFrom="paragraph">
              <wp:posOffset>-654089</wp:posOffset>
            </wp:positionV>
            <wp:extent cx="522803" cy="523875"/>
            <wp:effectExtent l="0" t="0" r="0" b="0"/>
            <wp:wrapNone/>
            <wp:docPr id="147" name="image870.png" descr=""/>
            <wp:cNvGraphicFramePr>
              <a:graphicFrameLocks noChangeAspect="1"/>
            </wp:cNvGraphicFramePr>
            <a:graphic>
              <a:graphicData uri="http://schemas.openxmlformats.org/drawingml/2006/picture">
                <pic:pic>
                  <pic:nvPicPr>
                    <pic:cNvPr id="148" name="image870.png"/>
                    <pic:cNvPicPr/>
                  </pic:nvPicPr>
                  <pic:blipFill>
                    <a:blip r:embed="rId900" cstate="print"/>
                    <a:stretch>
                      <a:fillRect/>
                    </a:stretch>
                  </pic:blipFill>
                  <pic:spPr>
                    <a:xfrm>
                      <a:off x="0" y="0"/>
                      <a:ext cx="522803" cy="523875"/>
                    </a:xfrm>
                    <a:prstGeom prst="rect">
                      <a:avLst/>
                    </a:prstGeom>
                  </pic:spPr>
                </pic:pic>
              </a:graphicData>
            </a:graphic>
          </wp:anchor>
        </w:drawing>
      </w:r>
      <w:r>
        <w:rPr/>
        <w:pict>
          <v:group style="position:absolute;margin-left:139.543243pt;margin-top:-51.399345pt;width:44.1pt;height:26.55pt;mso-position-horizontal-relative:page;mso-position-vertical-relative:paragraph;z-index:-331696" coordorigin="2791,-1028" coordsize="882,531">
            <v:shape style="position:absolute;left:2791;top:-1023;width:393;height:371" type="#_x0000_t75" stroked="false">
              <v:imagedata r:id="rId901" o:title=""/>
            </v:shape>
            <v:shape style="position:absolute;left:3125;top:-1028;width:547;height:531" type="#_x0000_t75" stroked="false">
              <v:imagedata r:id="rId902" o:title=""/>
            </v:shape>
            <w10:wrap type="none"/>
          </v:group>
        </w:pict>
      </w:r>
      <w:r>
        <w:rPr/>
        <w:drawing>
          <wp:anchor distT="0" distB="0" distL="0" distR="0" allowOverlap="1" layoutInCell="1" locked="0" behindDoc="1" simplePos="0" relativeHeight="268103783">
            <wp:simplePos x="0" y="0"/>
            <wp:positionH relativeFrom="page">
              <wp:posOffset>2695729</wp:posOffset>
            </wp:positionH>
            <wp:positionV relativeFrom="paragraph">
              <wp:posOffset>-656461</wp:posOffset>
            </wp:positionV>
            <wp:extent cx="1183511" cy="376237"/>
            <wp:effectExtent l="0" t="0" r="0" b="0"/>
            <wp:wrapNone/>
            <wp:docPr id="149" name="image873.png" descr=""/>
            <wp:cNvGraphicFramePr>
              <a:graphicFrameLocks noChangeAspect="1"/>
            </wp:cNvGraphicFramePr>
            <a:graphic>
              <a:graphicData uri="http://schemas.openxmlformats.org/drawingml/2006/picture">
                <pic:pic>
                  <pic:nvPicPr>
                    <pic:cNvPr id="150" name="image873.png"/>
                    <pic:cNvPicPr/>
                  </pic:nvPicPr>
                  <pic:blipFill>
                    <a:blip r:embed="rId903" cstate="print"/>
                    <a:stretch>
                      <a:fillRect/>
                    </a:stretch>
                  </pic:blipFill>
                  <pic:spPr>
                    <a:xfrm>
                      <a:off x="0" y="0"/>
                      <a:ext cx="1183511" cy="376237"/>
                    </a:xfrm>
                    <a:prstGeom prst="rect">
                      <a:avLst/>
                    </a:prstGeom>
                  </pic:spPr>
                </pic:pic>
              </a:graphicData>
            </a:graphic>
          </wp:anchor>
        </w:drawing>
      </w:r>
      <w:r>
        <w:rPr/>
        <w:pict>
          <v:group style="position:absolute;margin-left:316.025513pt;margin-top:-51.223316pt;width:87.95pt;height:38.7pt;mso-position-horizontal-relative:page;mso-position-vertical-relative:paragraph;z-index:-331648" coordorigin="6321,-1024" coordsize="1759,774">
            <v:shape style="position:absolute;left:6321;top:-1024;width:294;height:270" type="#_x0000_t75" stroked="false">
              <v:imagedata r:id="rId904" o:title=""/>
            </v:shape>
            <v:shape style="position:absolute;left:6321;top:-1024;width:1758;height:773" type="#_x0000_t75" stroked="false">
              <v:imagedata r:id="rId905" o:title=""/>
            </v:shape>
            <w10:wrap type="none"/>
          </v:group>
        </w:pict>
      </w:r>
      <w:r>
        <w:rPr/>
        <w:pict>
          <v:group style="position:absolute;margin-left:412.82074pt;margin-top:-51.415787pt;width:64.6500pt;height:28.85pt;mso-position-horizontal-relative:page;mso-position-vertical-relative:paragraph;z-index:-331624" coordorigin="8256,-1028" coordsize="1293,577">
            <v:shape style="position:absolute;left:8256;top:-1028;width:320;height:278" type="#_x0000_t75" stroked="false">
              <v:imagedata r:id="rId906" o:title=""/>
            </v:shape>
            <v:shape style="position:absolute;left:8563;top:-1027;width:985;height:575" type="#_x0000_t75" stroked="false">
              <v:imagedata r:id="rId907" o:title=""/>
            </v:shape>
            <w10:wrap type="none"/>
          </v:group>
        </w:pict>
      </w:r>
      <w:r>
        <w:rPr>
          <w:sz w:val="20"/>
        </w:rPr>
        <w:t>Fuente: Elaboración propia con base en los datos de los Censos de Población y Vivienda INEGI, 2000, 2010.</w:t>
      </w:r>
    </w:p>
    <w:p>
      <w:pPr>
        <w:pStyle w:val="BodyText"/>
        <w:rPr>
          <w:sz w:val="20"/>
        </w:rPr>
      </w:pPr>
    </w:p>
    <w:p>
      <w:pPr>
        <w:pStyle w:val="BodyText"/>
        <w:spacing w:before="8"/>
        <w:rPr>
          <w:sz w:val="16"/>
        </w:rPr>
      </w:pPr>
    </w:p>
    <w:p>
      <w:pPr>
        <w:pStyle w:val="BodyText"/>
        <w:spacing w:line="360" w:lineRule="auto" w:before="1"/>
        <w:ind w:left="102" w:right="143"/>
        <w:jc w:val="both"/>
      </w:pPr>
      <w:r>
        <w:rPr/>
        <w:t>Para el 2010 de nueva cuenta Temoaya fue el municipio con menor porcentaje de viviendas con teléfono con el 10 por ciento, Otzolotepec con el 14 por ciento, Almoloya de Juárez con el 15 por ciento, San Antonio la Isla con el 18 por ciento y Xonacatlán con el 19 por ciento. Ocho municipios registraron entre un 23 y 35 por ciento, el municipio de Toluca registró más del 47 por ciento y Metepec más del 62 por ciento (ver mapa no. 17).</w:t>
      </w:r>
    </w:p>
    <w:p>
      <w:pPr>
        <w:spacing w:after="0" w:line="360" w:lineRule="auto"/>
        <w:jc w:val="both"/>
        <w:sectPr>
          <w:pgSz w:w="12240" w:h="15840"/>
          <w:pgMar w:header="0" w:footer="1003" w:top="1360" w:bottom="1200" w:left="1600" w:right="1560"/>
        </w:sectPr>
      </w:pPr>
    </w:p>
    <w:p>
      <w:pPr>
        <w:spacing w:before="53" w:after="3"/>
        <w:ind w:left="81" w:right="122" w:firstLine="0"/>
        <w:jc w:val="center"/>
        <w:rPr>
          <w:sz w:val="20"/>
        </w:rPr>
      </w:pPr>
      <w:r>
        <w:rPr>
          <w:sz w:val="20"/>
        </w:rPr>
        <w:t>Mapa No. 17 Porcentaje de viviendas con teléfono en la </w:t>
      </w:r>
      <w:r>
        <w:rPr>
          <w:sz w:val="16"/>
        </w:rPr>
        <w:t>ZMT</w:t>
      </w:r>
      <w:r>
        <w:rPr>
          <w:sz w:val="20"/>
        </w:rPr>
        <w:t>, 2000-2010.</w:t>
      </w:r>
    </w:p>
    <w:p>
      <w:pPr>
        <w:pStyle w:val="BodyText"/>
        <w:ind w:left="130"/>
        <w:rPr>
          <w:sz w:val="20"/>
        </w:rPr>
      </w:pPr>
      <w:r>
        <w:rPr>
          <w:sz w:val="20"/>
        </w:rPr>
        <w:drawing>
          <wp:inline distT="0" distB="0" distL="0" distR="0">
            <wp:extent cx="5530693" cy="3911441"/>
            <wp:effectExtent l="0" t="0" r="0" b="0"/>
            <wp:docPr id="151" name="image878.jpeg" descr=""/>
            <wp:cNvGraphicFramePr>
              <a:graphicFrameLocks noChangeAspect="1"/>
            </wp:cNvGraphicFramePr>
            <a:graphic>
              <a:graphicData uri="http://schemas.openxmlformats.org/drawingml/2006/picture">
                <pic:pic>
                  <pic:nvPicPr>
                    <pic:cNvPr id="152" name="image878.jpeg"/>
                    <pic:cNvPicPr/>
                  </pic:nvPicPr>
                  <pic:blipFill>
                    <a:blip r:embed="rId908" cstate="print"/>
                    <a:stretch>
                      <a:fillRect/>
                    </a:stretch>
                  </pic:blipFill>
                  <pic:spPr>
                    <a:xfrm>
                      <a:off x="0" y="0"/>
                      <a:ext cx="5530693" cy="3911441"/>
                    </a:xfrm>
                    <a:prstGeom prst="rect">
                      <a:avLst/>
                    </a:prstGeom>
                  </pic:spPr>
                </pic:pic>
              </a:graphicData>
            </a:graphic>
          </wp:inline>
        </w:drawing>
      </w:r>
      <w:r>
        <w:rPr>
          <w:sz w:val="20"/>
        </w:rPr>
      </w:r>
    </w:p>
    <w:p>
      <w:pPr>
        <w:spacing w:before="88"/>
        <w:ind w:left="85" w:right="122" w:firstLine="0"/>
        <w:jc w:val="center"/>
        <w:rPr>
          <w:sz w:val="20"/>
        </w:rPr>
      </w:pPr>
      <w:r>
        <w:rPr>
          <w:sz w:val="20"/>
        </w:rPr>
        <w:t>Fuente: Elaboración propia con base en los datos de los Censos de Población y Vivienda INEGI, 2000 y 2010.</w:t>
      </w:r>
    </w:p>
    <w:p>
      <w:pPr>
        <w:pStyle w:val="BodyText"/>
        <w:rPr>
          <w:sz w:val="20"/>
        </w:rPr>
      </w:pPr>
    </w:p>
    <w:p>
      <w:pPr>
        <w:pStyle w:val="BodyText"/>
        <w:spacing w:before="2"/>
        <w:rPr>
          <w:sz w:val="16"/>
        </w:rPr>
      </w:pPr>
    </w:p>
    <w:p>
      <w:pPr>
        <w:pStyle w:val="BodyText"/>
        <w:spacing w:line="360" w:lineRule="auto"/>
        <w:ind w:left="102" w:right="138"/>
        <w:jc w:val="both"/>
      </w:pPr>
      <w:r>
        <w:rPr/>
        <w:t>En términos generales el promedio de la </w:t>
      </w:r>
      <w:r>
        <w:rPr>
          <w:sz w:val="19"/>
        </w:rPr>
        <w:t>ZMT</w:t>
      </w:r>
      <w:r>
        <w:rPr/>
        <w:t>, en el año 2000 fue de 21.6 por ciento, mientras que una década después fue de 28.8 por ciento, incrementando más de un 7 por ciento de viviendas que contaron con teléfono, una respuesta probable es que la población cuente con celulares. En el siguiente apartado se analiza las viviendas que cuentan con celular.</w:t>
      </w:r>
    </w:p>
    <w:p>
      <w:pPr>
        <w:pStyle w:val="BodyText"/>
      </w:pPr>
    </w:p>
    <w:p>
      <w:pPr>
        <w:pStyle w:val="BodyText"/>
        <w:spacing w:before="10"/>
        <w:rPr>
          <w:sz w:val="29"/>
        </w:rPr>
      </w:pPr>
    </w:p>
    <w:p>
      <w:pPr>
        <w:pStyle w:val="ListParagraph"/>
        <w:numPr>
          <w:ilvl w:val="2"/>
          <w:numId w:val="24"/>
        </w:numPr>
        <w:tabs>
          <w:tab w:pos="772" w:val="left" w:leader="none"/>
        </w:tabs>
        <w:spacing w:line="240" w:lineRule="auto" w:before="0" w:after="0"/>
        <w:ind w:left="772" w:right="0" w:hanging="670"/>
        <w:jc w:val="both"/>
        <w:rPr>
          <w:rFonts w:ascii="Cambria" w:hAnsi="Cambria"/>
          <w:b/>
          <w:sz w:val="22"/>
        </w:rPr>
      </w:pPr>
      <w:r>
        <w:rPr>
          <w:rFonts w:ascii="Cambria" w:hAnsi="Cambria"/>
          <w:b/>
          <w:color w:val="4F81BC"/>
          <w:sz w:val="22"/>
        </w:rPr>
        <w:t>Viviendas con teléfono</w:t>
      </w:r>
      <w:r>
        <w:rPr>
          <w:rFonts w:ascii="Cambria" w:hAnsi="Cambria"/>
          <w:b/>
          <w:color w:val="4F81BC"/>
          <w:spacing w:val="-9"/>
          <w:sz w:val="22"/>
        </w:rPr>
        <w:t> </w:t>
      </w:r>
      <w:r>
        <w:rPr>
          <w:rFonts w:ascii="Cambria" w:hAnsi="Cambria"/>
          <w:b/>
          <w:color w:val="4F81BC"/>
          <w:sz w:val="22"/>
        </w:rPr>
        <w:t>celular</w:t>
      </w:r>
    </w:p>
    <w:p>
      <w:pPr>
        <w:pStyle w:val="BodyText"/>
        <w:rPr>
          <w:rFonts w:ascii="Cambria"/>
          <w:b/>
          <w:sz w:val="22"/>
        </w:rPr>
      </w:pPr>
    </w:p>
    <w:p>
      <w:pPr>
        <w:pStyle w:val="BodyText"/>
        <w:spacing w:line="360" w:lineRule="auto" w:before="193"/>
        <w:ind w:left="102" w:right="142"/>
        <w:jc w:val="both"/>
      </w:pPr>
      <w:r>
        <w:rPr/>
        <w:t>En este apartado se analizan las viviendas que cuentan con teléfono celular (móvil), el cual es un dispositivo electrónico para telecomunicaciones personales con red inalámbrica, solo se cuenta con información del último censo de población y vivienda del año 2010.</w:t>
      </w:r>
    </w:p>
    <w:p>
      <w:pPr>
        <w:spacing w:after="0" w:line="360" w:lineRule="auto"/>
        <w:jc w:val="both"/>
        <w:sectPr>
          <w:pgSz w:w="12240" w:h="15840"/>
          <w:pgMar w:header="0" w:footer="1003" w:top="1360" w:bottom="1200" w:left="1600" w:right="1560"/>
        </w:sectPr>
      </w:pPr>
    </w:p>
    <w:p>
      <w:pPr>
        <w:pStyle w:val="BodyText"/>
        <w:spacing w:line="360" w:lineRule="auto" w:before="54"/>
        <w:ind w:left="102" w:right="117"/>
        <w:jc w:val="both"/>
      </w:pPr>
      <w:r>
        <w:rPr/>
        <w:t>En la grafica no. 19 se observa que los porcentajes de viviendas que cuentan con teléfono celular en términos generales en la </w:t>
      </w:r>
      <w:r>
        <w:rPr>
          <w:sz w:val="19"/>
        </w:rPr>
        <w:t>ZMT</w:t>
      </w:r>
      <w:r>
        <w:rPr/>
        <w:t>, son más altos que las viviendas que cuentan con teléfono, posiblemente porque los celulares son de menor costo comparado con el costo de adquirir una línea telefónica con alguna empresa o compañía privada y las rentas mensuales que se pagan por usar este servicio (ver gráfica 19).</w:t>
      </w:r>
    </w:p>
    <w:p>
      <w:pPr>
        <w:pStyle w:val="BodyText"/>
      </w:pPr>
    </w:p>
    <w:p>
      <w:pPr>
        <w:pStyle w:val="BodyText"/>
      </w:pPr>
    </w:p>
    <w:p>
      <w:pPr>
        <w:pStyle w:val="BodyText"/>
        <w:spacing w:before="1"/>
      </w:pPr>
    </w:p>
    <w:p>
      <w:pPr>
        <w:spacing w:before="1" w:after="14"/>
        <w:ind w:left="195" w:right="216" w:firstLine="0"/>
        <w:jc w:val="center"/>
        <w:rPr>
          <w:sz w:val="20"/>
        </w:rPr>
      </w:pPr>
      <w:r>
        <w:rPr/>
        <w:pict>
          <v:group style="position:absolute;margin-left:124.807564pt;margin-top:45.267189pt;width:394.15pt;height:156.8pt;mso-position-horizontal-relative:page;mso-position-vertical-relative:paragraph;z-index:-331552" coordorigin="2496,905" coordsize="7883,3136">
            <v:shape style="position:absolute;left:983;top:6713;width:10021;height:1770" coordorigin="983,6713" coordsize="10021,1770" path="m2502,3693l10373,3693m2502,3339l10373,3339m2502,2997l10373,2997m2502,2644l10373,2644m2502,2302l10373,2302e" filled="false" stroked="true" strokeweight=".589199pt" strokecolor="#858585">
              <v:path arrowok="t"/>
            </v:shape>
            <v:shape style="position:absolute;left:2591;top:2202;width:353;height:1829" type="#_x0000_t75" stroked="false">
              <v:imagedata r:id="rId909" o:title=""/>
            </v:shape>
            <v:line style="position:absolute" from="2502,1948" to="10373,1948" stroked="true" strokeweight=".589275pt" strokecolor="#858585"/>
            <v:shape style="position:absolute;left:3109;top:1813;width:353;height:2218" type="#_x0000_t75" stroked="false">
              <v:imagedata r:id="rId910" o:title=""/>
            </v:shape>
            <v:line style="position:absolute" from="2502,1607" to="10373,1607" stroked="true" strokeweight=".589275pt" strokecolor="#858585"/>
            <v:shape style="position:absolute;left:3639;top:1448;width:353;height:2584" type="#_x0000_t75" stroked="false">
              <v:imagedata r:id="rId911" o:title=""/>
            </v:shape>
            <v:shape style="position:absolute;left:4158;top:1825;width:353;height:2206" type="#_x0000_t75" stroked="false">
              <v:imagedata r:id="rId912" o:title=""/>
            </v:shape>
            <v:line style="position:absolute" from="2502,1253" to="10373,1253" stroked="true" strokeweight=".589275pt" strokecolor="#858585"/>
            <v:shape style="position:absolute;left:4688;top:1318;width:353;height:2713" type="#_x0000_t75" stroked="false">
              <v:imagedata r:id="rId913" o:title=""/>
            </v:shape>
            <v:shape style="position:absolute;left:5206;top:1836;width:353;height:2195" type="#_x0000_t75" stroked="false">
              <v:imagedata r:id="rId914" o:title=""/>
            </v:shape>
            <v:shape style="position:absolute;left:5736;top:1895;width:353;height:2136" type="#_x0000_t75" stroked="false">
              <v:imagedata r:id="rId767" o:title=""/>
            </v:shape>
            <v:shape style="position:absolute;left:6255;top:2178;width:353;height:1853" type="#_x0000_t75" stroked="false">
              <v:imagedata r:id="rId915" o:title=""/>
            </v:shape>
            <v:shape style="position:absolute;left:6785;top:2143;width:353;height:1888" type="#_x0000_t75" stroked="false">
              <v:imagedata r:id="rId916" o:title=""/>
            </v:shape>
            <v:shape style="position:absolute;left:7304;top:1506;width:353;height:2525" type="#_x0000_t75" stroked="false">
              <v:imagedata r:id="rId917" o:title=""/>
            </v:shape>
            <v:shape style="position:absolute;left:7834;top:1742;width:353;height:2289" type="#_x0000_t75" stroked="false">
              <v:imagedata r:id="rId918" o:title=""/>
            </v:shape>
            <v:shape style="position:absolute;left:8364;top:2437;width:342;height:1594" type="#_x0000_t75" stroked="false">
              <v:imagedata r:id="rId525" o:title=""/>
            </v:shape>
            <v:shape style="position:absolute;left:8882;top:1613;width:353;height:2419" type="#_x0000_t75" stroked="false">
              <v:imagedata r:id="rId919" o:title=""/>
            </v:shape>
            <v:shape style="position:absolute;left:9413;top:2025;width:342;height:2006" type="#_x0000_t75" stroked="false">
              <v:imagedata r:id="rId920" o:title=""/>
            </v:shape>
            <v:shape style="position:absolute;left:9931;top:2096;width:353;height:1935" type="#_x0000_t75" stroked="false">
              <v:imagedata r:id="rId921" o:title=""/>
            </v:shape>
            <v:shape style="position:absolute;left:2626;top:2214;width:271;height:1815" type="#_x0000_t75" stroked="false">
              <v:imagedata r:id="rId922" o:title=""/>
            </v:shape>
            <v:shape style="position:absolute;left:3144;top:1825;width:271;height:2204" type="#_x0000_t75" stroked="false">
              <v:imagedata r:id="rId923" o:title=""/>
            </v:shape>
            <v:shape style="position:absolute;left:3675;top:1459;width:271;height:2569" type="#_x0000_t75" stroked="false">
              <v:imagedata r:id="rId924" o:title=""/>
            </v:shape>
            <v:shape style="position:absolute;left:4193;top:1836;width:271;height:2192" type="#_x0000_t75" stroked="false">
              <v:imagedata r:id="rId925" o:title=""/>
            </v:shape>
            <v:shape style="position:absolute;left:4723;top:1330;width:271;height:2699" type="#_x0000_t75" stroked="false">
              <v:imagedata r:id="rId926" o:title=""/>
            </v:shape>
            <v:shape style="position:absolute;left:5242;top:1848;width:271;height:2180" type="#_x0000_t75" stroked="false">
              <v:imagedata r:id="rId927" o:title=""/>
            </v:shape>
            <v:shape style="position:absolute;left:5772;top:1907;width:271;height:2121" type="#_x0000_t75" stroked="false">
              <v:imagedata r:id="rId928" o:title=""/>
            </v:shape>
            <v:shape style="position:absolute;left:6290;top:2190;width:271;height:1839" type="#_x0000_t75" stroked="false">
              <v:imagedata r:id="rId929" o:title=""/>
            </v:shape>
            <v:shape style="position:absolute;left:6820;top:2155;width:271;height:1874" type="#_x0000_t75" stroked="false">
              <v:imagedata r:id="rId930" o:title=""/>
            </v:shape>
            <v:shape style="position:absolute;left:7339;top:1518;width:271;height:2510" type="#_x0000_t75" stroked="false">
              <v:imagedata r:id="rId931" o:title=""/>
            </v:shape>
            <v:shape style="position:absolute;left:7869;top:1754;width:271;height:2275" type="#_x0000_t75" stroked="false">
              <v:imagedata r:id="rId932" o:title=""/>
            </v:shape>
            <v:shape style="position:absolute;left:8399;top:2449;width:259;height:1579" type="#_x0000_t75" stroked="false">
              <v:imagedata r:id="rId933" o:title=""/>
            </v:shape>
            <v:shape style="position:absolute;left:8918;top:1624;width:271;height:2404" type="#_x0000_t75" stroked="false">
              <v:imagedata r:id="rId934" o:title=""/>
            </v:shape>
            <v:shape style="position:absolute;left:9448;top:2037;width:259;height:1992" type="#_x0000_t75" stroked="false">
              <v:imagedata r:id="rId935" o:title=""/>
            </v:shape>
            <v:shape style="position:absolute;left:9966;top:2107;width:271;height:1921" type="#_x0000_t75" stroked="false">
              <v:imagedata r:id="rId936" o:title=""/>
            </v:shape>
            <v:shape style="position:absolute;left:983;top:4943;width:10021;height:3975" coordorigin="983,4943" coordsize="10021,3975" path="m2502,911l10373,911m2502,4035l2502,911m2502,4035l10373,4035e" filled="false" stroked="true" strokeweight=".589199pt" strokecolor="#858585">
              <v:path arrowok="t"/>
            </v:shape>
            <w10:wrap type="none"/>
          </v:group>
        </w:pict>
      </w:r>
      <w:r>
        <w:rPr>
          <w:sz w:val="20"/>
        </w:rPr>
        <w:t>Gráfica No. 19 Viviendas con teléfono celular en la </w:t>
      </w:r>
      <w:r>
        <w:rPr>
          <w:sz w:val="16"/>
        </w:rPr>
        <w:t>ZMT</w:t>
      </w:r>
      <w:r>
        <w:rPr>
          <w:sz w:val="20"/>
        </w:rPr>
        <w:t>, 2010.</w:t>
      </w:r>
    </w:p>
    <w:p>
      <w:pPr>
        <w:pStyle w:val="BodyText"/>
        <w:ind w:left="142"/>
        <w:rPr>
          <w:sz w:val="20"/>
        </w:rPr>
      </w:pPr>
      <w:r>
        <w:rPr>
          <w:sz w:val="20"/>
        </w:rPr>
        <w:pict>
          <v:group style="width:440.7pt;height:275.25pt;mso-position-horizontal-relative:char;mso-position-vertical-relative:line" coordorigin="0,0" coordsize="8814,5505">
            <v:shape style="position:absolute;left:6992;top:4012;width:351;height:305" type="#_x0000_t75" stroked="false">
              <v:imagedata r:id="rId937" o:title=""/>
            </v:shape>
            <v:shape style="position:absolute;left:7315;top:4005;width:1077;height:632" type="#_x0000_t75" stroked="false">
              <v:imagedata r:id="rId938" o:title=""/>
            </v:shape>
            <v:shape style="position:absolute;left:6;top:6;width:8802;height:5493" type="#_x0000_t202" filled="false" stroked="true" strokeweight=".589822pt" strokecolor="#858585">
              <v:textbox inset="0,0,0,0">
                <w:txbxContent>
                  <w:p>
                    <w:pPr>
                      <w:spacing w:before="111"/>
                      <w:ind w:left="190" w:right="190" w:firstLine="0"/>
                      <w:jc w:val="center"/>
                      <w:rPr>
                        <w:rFonts w:ascii="Calibri" w:hAnsi="Calibri"/>
                        <w:b/>
                        <w:sz w:val="28"/>
                      </w:rPr>
                    </w:pPr>
                    <w:r>
                      <w:rPr>
                        <w:rFonts w:ascii="Calibri" w:hAnsi="Calibri"/>
                        <w:b/>
                        <w:sz w:val="28"/>
                      </w:rPr>
                      <w:t>Viviendas con teléfono celular en la ZMT, 2010.</w:t>
                    </w:r>
                  </w:p>
                  <w:p>
                    <w:pPr>
                      <w:spacing w:before="104"/>
                      <w:ind w:left="314" w:right="0" w:firstLine="0"/>
                      <w:jc w:val="left"/>
                      <w:rPr>
                        <w:rFonts w:ascii="Calibri"/>
                        <w:sz w:val="15"/>
                      </w:rPr>
                    </w:pPr>
                    <w:r>
                      <w:rPr>
                        <w:rFonts w:ascii="Calibri"/>
                        <w:sz w:val="15"/>
                      </w:rPr>
                      <w:t>90.0</w:t>
                    </w:r>
                  </w:p>
                  <w:p>
                    <w:pPr>
                      <w:spacing w:line="240" w:lineRule="auto" w:before="3"/>
                      <w:rPr>
                        <w:sz w:val="14"/>
                      </w:rPr>
                    </w:pPr>
                  </w:p>
                  <w:p>
                    <w:pPr>
                      <w:spacing w:before="0"/>
                      <w:ind w:left="314" w:right="0" w:firstLine="0"/>
                      <w:jc w:val="left"/>
                      <w:rPr>
                        <w:rFonts w:ascii="Calibri"/>
                        <w:sz w:val="15"/>
                      </w:rPr>
                    </w:pPr>
                    <w:r>
                      <w:rPr>
                        <w:rFonts w:ascii="Calibri"/>
                        <w:sz w:val="15"/>
                      </w:rPr>
                      <w:t>80.0</w:t>
                    </w:r>
                  </w:p>
                  <w:p>
                    <w:pPr>
                      <w:spacing w:line="240" w:lineRule="auto" w:before="3"/>
                      <w:rPr>
                        <w:sz w:val="14"/>
                      </w:rPr>
                    </w:pPr>
                  </w:p>
                  <w:p>
                    <w:pPr>
                      <w:spacing w:before="1"/>
                      <w:ind w:left="314" w:right="0" w:firstLine="0"/>
                      <w:jc w:val="left"/>
                      <w:rPr>
                        <w:rFonts w:ascii="Calibri"/>
                        <w:sz w:val="15"/>
                      </w:rPr>
                    </w:pPr>
                    <w:r>
                      <w:rPr>
                        <w:rFonts w:ascii="Calibri"/>
                        <w:sz w:val="15"/>
                      </w:rPr>
                      <w:t>70.0</w:t>
                    </w:r>
                  </w:p>
                  <w:p>
                    <w:pPr>
                      <w:spacing w:line="240" w:lineRule="auto" w:before="3"/>
                      <w:rPr>
                        <w:sz w:val="14"/>
                      </w:rPr>
                    </w:pPr>
                  </w:p>
                  <w:p>
                    <w:pPr>
                      <w:spacing w:before="1"/>
                      <w:ind w:left="314" w:right="0" w:firstLine="0"/>
                      <w:jc w:val="left"/>
                      <w:rPr>
                        <w:rFonts w:ascii="Calibri"/>
                        <w:sz w:val="15"/>
                      </w:rPr>
                    </w:pPr>
                    <w:r>
                      <w:rPr>
                        <w:rFonts w:ascii="Calibri"/>
                        <w:sz w:val="15"/>
                      </w:rPr>
                      <w:t>60.0</w:t>
                    </w:r>
                  </w:p>
                  <w:p>
                    <w:pPr>
                      <w:spacing w:line="240" w:lineRule="auto" w:before="3"/>
                      <w:rPr>
                        <w:sz w:val="14"/>
                      </w:rPr>
                    </w:pPr>
                  </w:p>
                  <w:p>
                    <w:pPr>
                      <w:spacing w:before="0"/>
                      <w:ind w:left="314" w:right="0" w:firstLine="0"/>
                      <w:jc w:val="left"/>
                      <w:rPr>
                        <w:rFonts w:ascii="Calibri"/>
                        <w:sz w:val="15"/>
                      </w:rPr>
                    </w:pPr>
                    <w:r>
                      <w:rPr>
                        <w:rFonts w:ascii="Calibri"/>
                        <w:sz w:val="15"/>
                      </w:rPr>
                      <w:t>50.0</w:t>
                    </w:r>
                  </w:p>
                  <w:p>
                    <w:pPr>
                      <w:spacing w:line="240" w:lineRule="auto" w:before="3"/>
                      <w:rPr>
                        <w:sz w:val="14"/>
                      </w:rPr>
                    </w:pPr>
                  </w:p>
                  <w:p>
                    <w:pPr>
                      <w:spacing w:before="1"/>
                      <w:ind w:left="314" w:right="0" w:firstLine="0"/>
                      <w:jc w:val="left"/>
                      <w:rPr>
                        <w:rFonts w:ascii="Calibri"/>
                        <w:sz w:val="15"/>
                      </w:rPr>
                    </w:pPr>
                    <w:r>
                      <w:rPr>
                        <w:rFonts w:ascii="Calibri"/>
                        <w:sz w:val="15"/>
                      </w:rPr>
                      <w:t>40.0</w:t>
                    </w:r>
                  </w:p>
                  <w:p>
                    <w:pPr>
                      <w:spacing w:line="240" w:lineRule="auto" w:before="3"/>
                      <w:rPr>
                        <w:sz w:val="14"/>
                      </w:rPr>
                    </w:pPr>
                  </w:p>
                  <w:p>
                    <w:pPr>
                      <w:spacing w:before="1"/>
                      <w:ind w:left="314" w:right="0" w:firstLine="0"/>
                      <w:jc w:val="left"/>
                      <w:rPr>
                        <w:rFonts w:ascii="Calibri"/>
                        <w:sz w:val="15"/>
                      </w:rPr>
                    </w:pPr>
                    <w:r>
                      <w:rPr>
                        <w:rFonts w:ascii="Calibri"/>
                        <w:sz w:val="15"/>
                      </w:rPr>
                      <w:t>30.0</w:t>
                    </w:r>
                  </w:p>
                  <w:p>
                    <w:pPr>
                      <w:spacing w:line="240" w:lineRule="auto" w:before="3"/>
                      <w:rPr>
                        <w:sz w:val="14"/>
                      </w:rPr>
                    </w:pPr>
                  </w:p>
                  <w:p>
                    <w:pPr>
                      <w:spacing w:before="0"/>
                      <w:ind w:left="314" w:right="0" w:firstLine="0"/>
                      <w:jc w:val="left"/>
                      <w:rPr>
                        <w:rFonts w:ascii="Calibri"/>
                        <w:sz w:val="15"/>
                      </w:rPr>
                    </w:pPr>
                    <w:r>
                      <w:rPr>
                        <w:rFonts w:ascii="Calibri"/>
                        <w:sz w:val="15"/>
                      </w:rPr>
                      <w:t>20.0</w:t>
                    </w:r>
                  </w:p>
                  <w:p>
                    <w:pPr>
                      <w:spacing w:line="240" w:lineRule="auto" w:before="3"/>
                      <w:rPr>
                        <w:sz w:val="14"/>
                      </w:rPr>
                    </w:pPr>
                  </w:p>
                  <w:p>
                    <w:pPr>
                      <w:spacing w:before="1"/>
                      <w:ind w:left="314" w:right="0" w:firstLine="0"/>
                      <w:jc w:val="left"/>
                      <w:rPr>
                        <w:rFonts w:ascii="Calibri"/>
                        <w:sz w:val="15"/>
                      </w:rPr>
                    </w:pPr>
                    <w:r>
                      <w:rPr>
                        <w:rFonts w:ascii="Calibri"/>
                        <w:sz w:val="15"/>
                      </w:rPr>
                      <w:t>10.0</w:t>
                    </w:r>
                  </w:p>
                  <w:p>
                    <w:pPr>
                      <w:spacing w:line="240" w:lineRule="auto" w:before="3"/>
                      <w:rPr>
                        <w:sz w:val="14"/>
                      </w:rPr>
                    </w:pPr>
                  </w:p>
                  <w:p>
                    <w:pPr>
                      <w:spacing w:before="0"/>
                      <w:ind w:left="401" w:right="0" w:firstLine="0"/>
                      <w:jc w:val="left"/>
                      <w:rPr>
                        <w:rFonts w:ascii="Calibri"/>
                        <w:sz w:val="15"/>
                      </w:rPr>
                    </w:pPr>
                    <w:r>
                      <w:rPr>
                        <w:rFonts w:ascii="Calibri"/>
                        <w:sz w:val="15"/>
                      </w:rPr>
                      <w:t>0.0</w:t>
                    </w:r>
                  </w:p>
                  <w:p>
                    <w:pPr>
                      <w:spacing w:line="240" w:lineRule="auto" w:before="4" w:after="0"/>
                      <w:rPr>
                        <w:sz w:val="10"/>
                      </w:rPr>
                    </w:pPr>
                  </w:p>
                  <w:p>
                    <w:pPr>
                      <w:spacing w:line="240" w:lineRule="auto"/>
                      <w:ind w:left="135" w:right="0" w:firstLine="0"/>
                      <w:rPr>
                        <w:sz w:val="20"/>
                      </w:rPr>
                    </w:pPr>
                    <w:r>
                      <w:rPr>
                        <w:sz w:val="20"/>
                      </w:rPr>
                      <w:drawing>
                        <wp:inline distT="0" distB="0" distL="0" distR="0">
                          <wp:extent cx="1237962" cy="576262"/>
                          <wp:effectExtent l="0" t="0" r="0" b="0"/>
                          <wp:docPr id="153" name="image909.png" descr=""/>
                          <wp:cNvGraphicFramePr>
                            <a:graphicFrameLocks noChangeAspect="1"/>
                          </wp:cNvGraphicFramePr>
                          <a:graphic>
                            <a:graphicData uri="http://schemas.openxmlformats.org/drawingml/2006/picture">
                              <pic:pic>
                                <pic:nvPicPr>
                                  <pic:cNvPr id="154" name="image909.png"/>
                                  <pic:cNvPicPr/>
                                </pic:nvPicPr>
                                <pic:blipFill>
                                  <a:blip r:embed="rId939" cstate="print"/>
                                  <a:stretch>
                                    <a:fillRect/>
                                  </a:stretch>
                                </pic:blipFill>
                                <pic:spPr>
                                  <a:xfrm>
                                    <a:off x="0" y="0"/>
                                    <a:ext cx="1237962" cy="576262"/>
                                  </a:xfrm>
                                  <a:prstGeom prst="rect">
                                    <a:avLst/>
                                  </a:prstGeom>
                                </pic:spPr>
                              </pic:pic>
                            </a:graphicData>
                          </a:graphic>
                        </wp:inline>
                      </w:drawing>
                    </w:r>
                    <w:r>
                      <w:rPr>
                        <w:sz w:val="20"/>
                      </w:rPr>
                    </w:r>
                  </w:p>
                  <w:p>
                    <w:pPr>
                      <w:spacing w:line="240" w:lineRule="auto" w:before="0"/>
                      <w:rPr>
                        <w:sz w:val="14"/>
                      </w:rPr>
                    </w:pPr>
                  </w:p>
                  <w:p>
                    <w:pPr>
                      <w:spacing w:before="103"/>
                      <w:ind w:left="190" w:right="163" w:firstLine="0"/>
                      <w:jc w:val="center"/>
                      <w:rPr>
                        <w:rFonts w:ascii="Calibri"/>
                        <w:sz w:val="15"/>
                      </w:rPr>
                    </w:pPr>
                    <w:r>
                      <w:rPr/>
                      <w:drawing>
                        <wp:inline distT="0" distB="0" distL="0" distR="0">
                          <wp:extent cx="97796" cy="97821"/>
                          <wp:effectExtent l="0" t="0" r="0" b="0"/>
                          <wp:docPr id="155" name="image910.png" descr=""/>
                          <wp:cNvGraphicFramePr>
                            <a:graphicFrameLocks noChangeAspect="1"/>
                          </wp:cNvGraphicFramePr>
                          <a:graphic>
                            <a:graphicData uri="http://schemas.openxmlformats.org/drawingml/2006/picture">
                              <pic:pic>
                                <pic:nvPicPr>
                                  <pic:cNvPr id="156" name="image910.png"/>
                                  <pic:cNvPicPr/>
                                </pic:nvPicPr>
                                <pic:blipFill>
                                  <a:blip r:embed="rId940" cstate="print"/>
                                  <a:stretch>
                                    <a:fillRect/>
                                  </a:stretch>
                                </pic:blipFill>
                                <pic:spPr>
                                  <a:xfrm>
                                    <a:off x="0" y="0"/>
                                    <a:ext cx="97796" cy="97821"/>
                                  </a:xfrm>
                                  <a:prstGeom prst="rect">
                                    <a:avLst/>
                                  </a:prstGeom>
                                </pic:spPr>
                              </pic:pic>
                            </a:graphicData>
                          </a:graphic>
                        </wp:inline>
                      </w:drawing>
                    </w:r>
                    <w:r>
                      <w:rPr/>
                    </w:r>
                    <w:r>
                      <w:rPr>
                        <w:rFonts w:ascii="Calibri"/>
                        <w:spacing w:val="4"/>
                        <w:position w:val="1"/>
                        <w:sz w:val="15"/>
                      </w:rPr>
                      <w:t>2010</w:t>
                    </w:r>
                  </w:p>
                </w:txbxContent>
              </v:textbox>
              <w10:wrap type="none"/>
            </v:shape>
          </v:group>
        </w:pict>
      </w:r>
      <w:r>
        <w:rPr>
          <w:sz w:val="20"/>
        </w:rPr>
      </w:r>
    </w:p>
    <w:p>
      <w:pPr>
        <w:spacing w:before="1"/>
        <w:ind w:left="102" w:right="0" w:firstLine="9"/>
        <w:jc w:val="both"/>
        <w:rPr>
          <w:sz w:val="20"/>
        </w:rPr>
      </w:pPr>
      <w:r>
        <w:rPr/>
        <w:pict>
          <v:group style="position:absolute;margin-left:201.721085pt;margin-top:-75.390587pt;width:121.35pt;height:32.35pt;mso-position-horizontal-relative:page;mso-position-vertical-relative:paragraph;z-index:-331528" coordorigin="4034,-1508" coordsize="2427,647">
            <v:shape style="position:absolute;left:4034;top:-1508;width:335;height:308" type="#_x0000_t75" stroked="false">
              <v:imagedata r:id="rId941" o:title=""/>
            </v:shape>
            <v:shape style="position:absolute;left:4433;top:-1507;width:2028;height:647" type="#_x0000_t75" stroked="false">
              <v:imagedata r:id="rId942" o:title=""/>
            </v:shape>
            <w10:wrap type="none"/>
          </v:group>
        </w:pict>
      </w:r>
      <w:r>
        <w:rPr/>
        <w:pict>
          <v:group style="position:absolute;margin-left:332.412201pt;margin-top:-75.059006pt;width:95.6pt;height:42.7pt;mso-position-horizontal-relative:page;mso-position-vertical-relative:paragraph;z-index:-331504" coordorigin="6648,-1501" coordsize="1912,854">
            <v:shape style="position:absolute;left:6660;top:-1497;width:323;height:297" type="#_x0000_t75" stroked="false">
              <v:imagedata r:id="rId943" o:title=""/>
            </v:shape>
            <v:shape style="position:absolute;left:6648;top:-1501;width:1912;height:853" type="#_x0000_t75" stroked="false">
              <v:imagedata r:id="rId944" o:title=""/>
            </v:shape>
            <w10:wrap type="none"/>
          </v:group>
        </w:pict>
      </w:r>
      <w:r>
        <w:rPr>
          <w:sz w:val="20"/>
        </w:rPr>
        <w:t>Fuente: Elaboración propia con base en los datos del Censo de Población y Vivienda INEGI, 2010.</w:t>
      </w:r>
    </w:p>
    <w:p>
      <w:pPr>
        <w:pStyle w:val="BodyText"/>
        <w:rPr>
          <w:sz w:val="20"/>
        </w:rPr>
      </w:pPr>
    </w:p>
    <w:p>
      <w:pPr>
        <w:pStyle w:val="BodyText"/>
        <w:rPr>
          <w:sz w:val="16"/>
        </w:rPr>
      </w:pPr>
    </w:p>
    <w:p>
      <w:pPr>
        <w:pStyle w:val="BodyText"/>
        <w:spacing w:line="360" w:lineRule="auto"/>
        <w:ind w:left="102" w:right="121"/>
        <w:jc w:val="both"/>
      </w:pPr>
      <w:r>
        <w:rPr/>
        <w:t>Para el año 2010, Temoaya registró el menor porcentaje de viviendas con celular con el 44 por ciento es decir, menos de la mitad de las viviendas contaban con este bien, once municipios de la zona registraron entre un 51 y 68 por ciento, mientras que los municipios con los mayores porcentajes fueron San Antonio la Isla con el 71 por ciento, Chapultepec con el 73 por ciento y Metepec con más del 76 por ciento, municipio con el mayor porcentaje de viviendas con este bien (ver mapa no.</w:t>
      </w:r>
      <w:r>
        <w:rPr>
          <w:spacing w:val="-6"/>
        </w:rPr>
        <w:t> </w:t>
      </w:r>
      <w:r>
        <w:rPr/>
        <w:t>18).</w:t>
      </w:r>
    </w:p>
    <w:p>
      <w:pPr>
        <w:spacing w:after="0" w:line="360" w:lineRule="auto"/>
        <w:jc w:val="both"/>
        <w:sectPr>
          <w:pgSz w:w="12240" w:h="15840"/>
          <w:pgMar w:header="0" w:footer="1003" w:top="1360" w:bottom="1200" w:left="1600" w:right="1580"/>
        </w:sectPr>
      </w:pPr>
    </w:p>
    <w:p>
      <w:pPr>
        <w:spacing w:before="53" w:after="3"/>
        <w:ind w:left="81" w:right="122" w:firstLine="0"/>
        <w:jc w:val="center"/>
        <w:rPr>
          <w:sz w:val="20"/>
        </w:rPr>
      </w:pPr>
      <w:r>
        <w:rPr>
          <w:sz w:val="20"/>
        </w:rPr>
        <w:t>Mapa No. 18 Porcentaje de viviendas con teléfono celular en la </w:t>
      </w:r>
      <w:r>
        <w:rPr>
          <w:sz w:val="16"/>
        </w:rPr>
        <w:t>ZMT</w:t>
      </w:r>
      <w:r>
        <w:rPr>
          <w:sz w:val="20"/>
        </w:rPr>
        <w:t>, 2010.</w:t>
      </w:r>
    </w:p>
    <w:p>
      <w:pPr>
        <w:pStyle w:val="BodyText"/>
        <w:ind w:left="130"/>
        <w:rPr>
          <w:sz w:val="20"/>
        </w:rPr>
      </w:pPr>
      <w:r>
        <w:rPr>
          <w:sz w:val="20"/>
        </w:rPr>
        <w:drawing>
          <wp:inline distT="0" distB="0" distL="0" distR="0">
            <wp:extent cx="5530693" cy="3911441"/>
            <wp:effectExtent l="0" t="0" r="0" b="0"/>
            <wp:docPr id="157" name="image915.jpeg" descr=""/>
            <wp:cNvGraphicFramePr>
              <a:graphicFrameLocks noChangeAspect="1"/>
            </wp:cNvGraphicFramePr>
            <a:graphic>
              <a:graphicData uri="http://schemas.openxmlformats.org/drawingml/2006/picture">
                <pic:pic>
                  <pic:nvPicPr>
                    <pic:cNvPr id="158" name="image915.jpeg"/>
                    <pic:cNvPicPr/>
                  </pic:nvPicPr>
                  <pic:blipFill>
                    <a:blip r:embed="rId945" cstate="print"/>
                    <a:stretch>
                      <a:fillRect/>
                    </a:stretch>
                  </pic:blipFill>
                  <pic:spPr>
                    <a:xfrm>
                      <a:off x="0" y="0"/>
                      <a:ext cx="5530693" cy="3911441"/>
                    </a:xfrm>
                    <a:prstGeom prst="rect">
                      <a:avLst/>
                    </a:prstGeom>
                  </pic:spPr>
                </pic:pic>
              </a:graphicData>
            </a:graphic>
          </wp:inline>
        </w:drawing>
      </w:r>
      <w:r>
        <w:rPr>
          <w:sz w:val="20"/>
        </w:rPr>
      </w:r>
    </w:p>
    <w:p>
      <w:pPr>
        <w:spacing w:before="88"/>
        <w:ind w:left="80" w:right="122" w:firstLine="0"/>
        <w:jc w:val="center"/>
        <w:rPr>
          <w:sz w:val="20"/>
        </w:rPr>
      </w:pPr>
      <w:r>
        <w:rPr>
          <w:sz w:val="20"/>
        </w:rPr>
        <w:t>Fuente: Elaboración propia con base en los datos de los Censos de Población y Vivienda INEGI, 2010.</w:t>
      </w:r>
    </w:p>
    <w:p>
      <w:pPr>
        <w:pStyle w:val="BodyText"/>
        <w:rPr>
          <w:sz w:val="20"/>
        </w:rPr>
      </w:pPr>
    </w:p>
    <w:p>
      <w:pPr>
        <w:pStyle w:val="BodyText"/>
        <w:rPr>
          <w:sz w:val="20"/>
        </w:rPr>
      </w:pPr>
    </w:p>
    <w:p>
      <w:pPr>
        <w:pStyle w:val="BodyText"/>
        <w:spacing w:line="360" w:lineRule="auto" w:before="153"/>
        <w:ind w:left="102" w:right="137"/>
        <w:jc w:val="both"/>
      </w:pPr>
      <w:r>
        <w:rPr/>
        <w:t>Lo que respecta al promedio de viviendas con teléfono celular en la </w:t>
      </w:r>
      <w:r>
        <w:rPr>
          <w:sz w:val="19"/>
        </w:rPr>
        <w:t>ZMT</w:t>
      </w:r>
      <w:r>
        <w:rPr/>
        <w:t>, fue de más del 60 por ciento, es decir, es más factible contar con este bien en la vivienda que el teléfono fijo, las personas entonces tienen la posibilidad de comunicarse más por celular que por teléfono fijo. A continuación se analiza el último bien considerado en la investigación que son las viviendas que cuentan con boiler.</w:t>
      </w:r>
    </w:p>
    <w:p>
      <w:pPr>
        <w:pStyle w:val="ListParagraph"/>
        <w:numPr>
          <w:ilvl w:val="2"/>
          <w:numId w:val="24"/>
        </w:numPr>
        <w:tabs>
          <w:tab w:pos="772" w:val="left" w:leader="none"/>
        </w:tabs>
        <w:spacing w:line="240" w:lineRule="auto" w:before="203" w:after="0"/>
        <w:ind w:left="772" w:right="0" w:hanging="670"/>
        <w:jc w:val="both"/>
        <w:rPr>
          <w:rFonts w:ascii="Cambria"/>
          <w:b/>
          <w:sz w:val="22"/>
        </w:rPr>
      </w:pPr>
      <w:r>
        <w:rPr>
          <w:rFonts w:ascii="Cambria"/>
          <w:b/>
          <w:color w:val="4F81BC"/>
          <w:sz w:val="22"/>
        </w:rPr>
        <w:t>Viviendas con</w:t>
      </w:r>
      <w:r>
        <w:rPr>
          <w:rFonts w:ascii="Cambria"/>
          <w:b/>
          <w:color w:val="4F81BC"/>
          <w:spacing w:val="-7"/>
          <w:sz w:val="22"/>
        </w:rPr>
        <w:t> </w:t>
      </w:r>
      <w:r>
        <w:rPr>
          <w:rFonts w:ascii="Cambria"/>
          <w:b/>
          <w:color w:val="4F81BC"/>
          <w:sz w:val="22"/>
        </w:rPr>
        <w:t>boiler</w:t>
      </w:r>
    </w:p>
    <w:p>
      <w:pPr>
        <w:pStyle w:val="BodyText"/>
        <w:rPr>
          <w:rFonts w:ascii="Cambria"/>
          <w:b/>
          <w:sz w:val="22"/>
        </w:rPr>
      </w:pPr>
    </w:p>
    <w:p>
      <w:pPr>
        <w:pStyle w:val="BodyText"/>
        <w:spacing w:line="360" w:lineRule="auto" w:before="196"/>
        <w:ind w:left="102" w:right="137"/>
        <w:jc w:val="both"/>
      </w:pPr>
      <w:r>
        <w:rPr/>
        <w:t>El boiler en términos prácticos es una caldera consta de un recipiente cerrado donde el agua se calienta, utilizado en los estratos sociales altos en las viviendas en el baño y la cocina principalmente para bañarse o lavar los trastes de la cocina. Sin embargo para la investigación solo se cuenta con la información del censo de población y vivienda del año 2000.</w:t>
      </w:r>
    </w:p>
    <w:p>
      <w:pPr>
        <w:spacing w:after="0" w:line="360" w:lineRule="auto"/>
        <w:jc w:val="both"/>
        <w:sectPr>
          <w:pgSz w:w="12240" w:h="15840"/>
          <w:pgMar w:header="0" w:footer="1003" w:top="1360" w:bottom="1200" w:left="1600" w:right="1560"/>
        </w:sectPr>
      </w:pPr>
    </w:p>
    <w:p>
      <w:pPr>
        <w:pStyle w:val="BodyText"/>
        <w:spacing w:line="360" w:lineRule="auto" w:before="54"/>
        <w:ind w:left="102" w:right="116"/>
        <w:jc w:val="both"/>
      </w:pPr>
      <w:r>
        <w:rPr/>
        <w:t>El municipio de Temoaya en el 2000 fue el que menor porcentaje de viviendas contaban con boiler con el 12.8 por ciento, Almoloya de Juárez con el 18.5 por ciento, Otzolotepec con 25.4 por ciento, Xonacatlán con 30.2 por ciento, Zinacantepec con 33 por ciento, San Antonio la Isla con 34 por ciento (ver gráfica no. 20).</w:t>
      </w:r>
    </w:p>
    <w:p>
      <w:pPr>
        <w:pStyle w:val="BodyText"/>
      </w:pPr>
    </w:p>
    <w:p>
      <w:pPr>
        <w:pStyle w:val="BodyText"/>
        <w:spacing w:line="360" w:lineRule="auto" w:before="142"/>
        <w:ind w:left="102" w:right="126"/>
        <w:jc w:val="both"/>
      </w:pPr>
      <w:r>
        <w:rPr/>
        <w:t>Siete municipios de la zona metropolitana registraron entre 41 y 46 por ciento, mientras que Toluca registró más del 57 por ciento y Metepec con el mayor porcentaje de viviendas con boiler registró más del 78 por ciento.</w:t>
      </w:r>
    </w:p>
    <w:p>
      <w:pPr>
        <w:pStyle w:val="BodyText"/>
      </w:pPr>
    </w:p>
    <w:p>
      <w:pPr>
        <w:spacing w:before="141" w:after="13"/>
        <w:ind w:left="198" w:right="216" w:firstLine="0"/>
        <w:jc w:val="center"/>
        <w:rPr>
          <w:sz w:val="20"/>
        </w:rPr>
      </w:pPr>
      <w:r>
        <w:rPr>
          <w:sz w:val="20"/>
        </w:rPr>
        <w:t>Gráfica No. 20 Viviendas con boiler en la </w:t>
      </w:r>
      <w:r>
        <w:rPr>
          <w:sz w:val="16"/>
        </w:rPr>
        <w:t>ZMT</w:t>
      </w:r>
      <w:r>
        <w:rPr>
          <w:sz w:val="20"/>
        </w:rPr>
        <w:t>, 2000.</w:t>
      </w:r>
    </w:p>
    <w:p>
      <w:pPr>
        <w:pStyle w:val="BodyText"/>
        <w:ind w:left="140"/>
        <w:rPr>
          <w:sz w:val="20"/>
        </w:rPr>
      </w:pPr>
      <w:r>
        <w:rPr>
          <w:sz w:val="20"/>
        </w:rPr>
        <w:pict>
          <v:group style="width:440.75pt;height:253pt;mso-position-horizontal-relative:char;mso-position-vertical-relative:line" coordorigin="0,0" coordsize="8815,5060">
            <v:line style="position:absolute" from="679,3482" to="8028,3482" stroked="true" strokeweight=".534802pt" strokecolor="#858585"/>
            <v:line style="position:absolute" from="679,3129" to="8028,3129" stroked="true" strokeweight=".534802pt" strokecolor="#858585"/>
            <v:shape style="position:absolute;left:760;top:3134;width:332;height:709" type="#_x0000_t75" stroked="false">
              <v:imagedata r:id="rId946" o:title=""/>
            </v:shape>
            <v:line style="position:absolute" from="679,2765" to="8028,2765" stroked="true" strokeweight=".534802pt" strokecolor="#858585"/>
            <v:line style="position:absolute" from="679,2401" to="8028,2401" stroked="true" strokeweight=".534802pt" strokecolor="#858585"/>
            <v:shape style="position:absolute;left:1252;top:2236;width:332;height:1608" type="#_x0000_t75" stroked="false">
              <v:imagedata r:id="rId947" o:title=""/>
            </v:shape>
            <v:shape style="position:absolute;left:1744;top:2300;width:321;height:1544" type="#_x0000_t75" stroked="false">
              <v:imagedata r:id="rId948" o:title=""/>
            </v:shape>
            <v:shape style="position:absolute;left:2236;top:2300;width:321;height:1544" type="#_x0000_t75" stroked="false">
              <v:imagedata r:id="rId948" o:title=""/>
            </v:shape>
            <v:line style="position:absolute" from="679,2048" to="8028,2048" stroked="true" strokeweight=".534802pt" strokecolor="#858585"/>
            <v:line style="position:absolute" from="679,1685" to="8028,1685" stroked="true" strokeweight=".534802pt" strokecolor="#858585"/>
            <v:line style="position:absolute" from="679,1321" to="8028,1321" stroked="true" strokeweight=".534802pt" strokecolor="#858585"/>
            <v:line style="position:absolute" from="679,968" to="8028,968" stroked="true" strokeweight=".534802pt" strokecolor="#858585"/>
            <v:shape style="position:absolute;left:2728;top:973;width:321;height:2870" type="#_x0000_t75" stroked="false">
              <v:imagedata r:id="rId949" o:title=""/>
            </v:shape>
            <v:shape style="position:absolute;left:3209;top:2139;width:332;height:1704" type="#_x0000_t75" stroked="false">
              <v:imagedata r:id="rId950" o:title=""/>
            </v:shape>
            <v:shape style="position:absolute;left:3701;top:2139;width:332;height:1704" type="#_x0000_t75" stroked="false">
              <v:imagedata r:id="rId950" o:title=""/>
            </v:shape>
            <v:shape style="position:absolute;left:4193;top:2888;width:321;height:955" type="#_x0000_t75" stroked="false">
              <v:imagedata r:id="rId951" o:title=""/>
            </v:shape>
            <v:shape style="position:absolute;left:4685;top:2150;width:321;height:1694" type="#_x0000_t75" stroked="false">
              <v:imagedata r:id="rId952" o:title=""/>
            </v:shape>
            <v:shape style="position:absolute;left:5177;top:2578;width:321;height:1266" type="#_x0000_t75" stroked="false">
              <v:imagedata r:id="rId760" o:title=""/>
            </v:shape>
            <v:shape style="position:absolute;left:5658;top:2139;width:332;height:1704" type="#_x0000_t75" stroked="false">
              <v:imagedata r:id="rId950" o:title=""/>
            </v:shape>
            <v:shape style="position:absolute;left:6151;top:3337;width:332;height:506" type="#_x0000_t75" stroked="false">
              <v:imagedata r:id="rId953" o:title=""/>
            </v:shape>
            <v:shape style="position:absolute;left:6643;top:1744;width:321;height:2100" type="#_x0000_t75" stroked="false">
              <v:imagedata r:id="rId954" o:title=""/>
            </v:shape>
            <v:shape style="position:absolute;left:7135;top:2717;width:321;height:1127" type="#_x0000_t75" stroked="false">
              <v:imagedata r:id="rId955" o:title=""/>
            </v:shape>
            <v:shape style="position:absolute;left:7627;top:2610;width:321;height:1234" type="#_x0000_t75" stroked="false">
              <v:imagedata r:id="rId956" o:title=""/>
            </v:shape>
            <v:shape style="position:absolute;left:792;top:3145;width:257;height:695" type="#_x0000_t75" stroked="false">
              <v:imagedata r:id="rId957" o:title=""/>
            </v:shape>
            <v:shape style="position:absolute;left:1284;top:2246;width:257;height:1594" type="#_x0000_t75" stroked="false">
              <v:imagedata r:id="rId958" o:title=""/>
            </v:shape>
            <v:shape style="position:absolute;left:1776;top:2310;width:246;height:1530" type="#_x0000_t75" stroked="false">
              <v:imagedata r:id="rId959" o:title=""/>
            </v:shape>
            <v:shape style="position:absolute;left:2268;top:2310;width:246;height:1530" type="#_x0000_t75" stroked="false">
              <v:imagedata r:id="rId960" o:title=""/>
            </v:shape>
            <v:shape style="position:absolute;left:2760;top:984;width:246;height:2856" type="#_x0000_t75" stroked="false">
              <v:imagedata r:id="rId961" o:title=""/>
            </v:shape>
            <v:shape style="position:absolute;left:3241;top:2150;width:257;height:1690" type="#_x0000_t75" stroked="false">
              <v:imagedata r:id="rId962" o:title=""/>
            </v:shape>
            <v:shape style="position:absolute;left:3733;top:2150;width:257;height:1690" type="#_x0000_t75" stroked="false">
              <v:imagedata r:id="rId963" o:title=""/>
            </v:shape>
            <v:shape style="position:absolute;left:4225;top:2899;width:246;height:941" type="#_x0000_t75" stroked="false">
              <v:imagedata r:id="rId964" o:title=""/>
            </v:shape>
            <v:shape style="position:absolute;left:4717;top:2161;width:246;height:1679" type="#_x0000_t75" stroked="false">
              <v:imagedata r:id="rId965" o:title=""/>
            </v:shape>
            <v:shape style="position:absolute;left:5209;top:2589;width:246;height:1251" type="#_x0000_t75" stroked="false">
              <v:imagedata r:id="rId966" o:title=""/>
            </v:shape>
            <v:shape style="position:absolute;left:5691;top:2150;width:257;height:1690" type="#_x0000_t75" stroked="false">
              <v:imagedata r:id="rId967" o:title=""/>
            </v:shape>
            <v:shape style="position:absolute;left:6183;top:3348;width:257;height:492" type="#_x0000_t75" stroked="false">
              <v:imagedata r:id="rId968" o:title=""/>
            </v:shape>
            <v:shape style="position:absolute;left:6675;top:1754;width:246;height:2086" type="#_x0000_t75" stroked="false">
              <v:imagedata r:id="rId969" o:title=""/>
            </v:shape>
            <v:shape style="position:absolute;left:7167;top:2728;width:246;height:1112" type="#_x0000_t75" stroked="false">
              <v:imagedata r:id="rId970" o:title=""/>
            </v:shape>
            <v:shape style="position:absolute;left:7659;top:2621;width:246;height:1219" type="#_x0000_t75" stroked="false">
              <v:imagedata r:id="rId971" o:title=""/>
            </v:shape>
            <v:line style="position:absolute" from="679,604" to="8028,604" stroked="true" strokeweight=".534802pt" strokecolor="#858585"/>
            <v:line style="position:absolute" from="679,3845" to="679,604" stroked="true" strokeweight=".534813pt" strokecolor="#858585"/>
            <v:line style="position:absolute" from="679,3845" to="8028,3845" stroked="true" strokeweight=".534802pt" strokecolor="#858585"/>
            <v:shape style="position:absolute;left:131;top:4043;width:821;height:823" type="#_x0000_t75" stroked="false">
              <v:imagedata r:id="rId972" o:title=""/>
            </v:shape>
            <v:shape style="position:absolute;left:1046;top:4051;width:392;height:369" type="#_x0000_t75" stroked="false">
              <v:imagedata r:id="rId973" o:title=""/>
            </v:shape>
            <v:shape style="position:absolute;left:1382;top:4046;width:545;height:529" type="#_x0000_t75" stroked="false">
              <v:imagedata r:id="rId974" o:title=""/>
            </v:shape>
            <v:shape style="position:absolute;left:2118;top:4047;width:304;height:280" type="#_x0000_t75" stroked="false">
              <v:imagedata r:id="rId975" o:title=""/>
            </v:shape>
            <v:shape style="position:absolute;left:2501;top:4040;width:1874;height:594" type="#_x0000_t75" stroked="false">
              <v:imagedata r:id="rId976" o:title=""/>
            </v:shape>
            <v:shape style="position:absolute;left:4576;top:4049;width:293;height:270" type="#_x0000_t75" stroked="false">
              <v:imagedata r:id="rId977" o:title=""/>
            </v:shape>
            <v:shape style="position:absolute;left:4579;top:4049;width:1755;height:770" type="#_x0000_t75" stroked="false">
              <v:imagedata r:id="rId978" o:title=""/>
            </v:shape>
            <v:shape style="position:absolute;left:6513;top:4045;width:319;height:277" type="#_x0000_t75" stroked="false">
              <v:imagedata r:id="rId979" o:title=""/>
            </v:shape>
            <v:shape style="position:absolute;left:6821;top:4047;width:983;height:573" type="#_x0000_t75" stroked="false">
              <v:imagedata r:id="rId980" o:title=""/>
            </v:shape>
            <v:shape style="position:absolute;left:8226;top:2674;width:128;height:128" type="#_x0000_t75" stroked="false">
              <v:imagedata r:id="rId981" o:title=""/>
            </v:shape>
            <v:rect style="position:absolute;left:6;top:6;width:8803;height:5049" filled="false" stroked="true" strokeweight=".535340pt" strokecolor="#858585"/>
            <v:shape style="position:absolute;left:2435;top:161;width:3935;height:258" type="#_x0000_t202" filled="false" stroked="false">
              <v:textbox inset="0,0,0,0">
                <w:txbxContent>
                  <w:p>
                    <w:pPr>
                      <w:spacing w:line="257" w:lineRule="exact" w:before="0"/>
                      <w:ind w:left="0" w:right="0" w:firstLine="0"/>
                      <w:jc w:val="left"/>
                      <w:rPr>
                        <w:rFonts w:ascii="Calibri"/>
                        <w:b/>
                        <w:sz w:val="25"/>
                      </w:rPr>
                    </w:pPr>
                    <w:r>
                      <w:rPr>
                        <w:rFonts w:ascii="Calibri"/>
                        <w:b/>
                        <w:w w:val="105"/>
                        <w:sz w:val="25"/>
                      </w:rPr>
                      <w:t>Viviendas</w:t>
                    </w:r>
                    <w:r>
                      <w:rPr>
                        <w:rFonts w:ascii="Calibri"/>
                        <w:b/>
                        <w:spacing w:val="-27"/>
                        <w:w w:val="105"/>
                        <w:sz w:val="25"/>
                      </w:rPr>
                      <w:t> </w:t>
                    </w:r>
                    <w:r>
                      <w:rPr>
                        <w:rFonts w:ascii="Calibri"/>
                        <w:b/>
                        <w:w w:val="105"/>
                        <w:sz w:val="25"/>
                      </w:rPr>
                      <w:t>con</w:t>
                    </w:r>
                    <w:r>
                      <w:rPr>
                        <w:rFonts w:ascii="Calibri"/>
                        <w:b/>
                        <w:spacing w:val="-21"/>
                        <w:w w:val="105"/>
                        <w:sz w:val="25"/>
                      </w:rPr>
                      <w:t> </w:t>
                    </w:r>
                    <w:r>
                      <w:rPr>
                        <w:rFonts w:ascii="Calibri"/>
                        <w:b/>
                        <w:w w:val="105"/>
                        <w:sz w:val="25"/>
                      </w:rPr>
                      <w:t>boiler</w:t>
                    </w:r>
                    <w:r>
                      <w:rPr>
                        <w:rFonts w:ascii="Calibri"/>
                        <w:b/>
                        <w:spacing w:val="-20"/>
                        <w:w w:val="105"/>
                        <w:sz w:val="25"/>
                      </w:rPr>
                      <w:t> </w:t>
                    </w:r>
                    <w:r>
                      <w:rPr>
                        <w:rFonts w:ascii="Calibri"/>
                        <w:b/>
                        <w:w w:val="105"/>
                        <w:sz w:val="25"/>
                      </w:rPr>
                      <w:t>en</w:t>
                    </w:r>
                    <w:r>
                      <w:rPr>
                        <w:rFonts w:ascii="Calibri"/>
                        <w:b/>
                        <w:spacing w:val="-22"/>
                        <w:w w:val="105"/>
                        <w:sz w:val="25"/>
                      </w:rPr>
                      <w:t> </w:t>
                    </w:r>
                    <w:r>
                      <w:rPr>
                        <w:rFonts w:ascii="Calibri"/>
                        <w:b/>
                        <w:w w:val="105"/>
                        <w:sz w:val="25"/>
                      </w:rPr>
                      <w:t>el</w:t>
                    </w:r>
                    <w:r>
                      <w:rPr>
                        <w:rFonts w:ascii="Calibri"/>
                        <w:b/>
                        <w:spacing w:val="-15"/>
                        <w:w w:val="105"/>
                        <w:sz w:val="25"/>
                      </w:rPr>
                      <w:t> </w:t>
                    </w:r>
                    <w:r>
                      <w:rPr>
                        <w:rFonts w:ascii="Calibri"/>
                        <w:b/>
                        <w:spacing w:val="-4"/>
                        <w:w w:val="105"/>
                        <w:sz w:val="25"/>
                      </w:rPr>
                      <w:t>ZMT,</w:t>
                    </w:r>
                    <w:r>
                      <w:rPr>
                        <w:rFonts w:ascii="Calibri"/>
                        <w:b/>
                        <w:spacing w:val="-31"/>
                        <w:w w:val="105"/>
                        <w:sz w:val="25"/>
                      </w:rPr>
                      <w:t> </w:t>
                    </w:r>
                    <w:r>
                      <w:rPr>
                        <w:rFonts w:ascii="Calibri"/>
                        <w:b/>
                        <w:w w:val="105"/>
                        <w:sz w:val="25"/>
                      </w:rPr>
                      <w:t>2000.</w:t>
                    </w:r>
                  </w:p>
                </w:txbxContent>
              </v:textbox>
              <w10:wrap type="none"/>
            </v:shape>
            <v:shape style="position:absolute;left:290;top:541;width:253;height:2307" type="#_x0000_t202" filled="false" stroked="false">
              <v:textbox inset="0,0,0,0">
                <w:txbxContent>
                  <w:p>
                    <w:pPr>
                      <w:spacing w:line="142" w:lineRule="exact" w:before="0"/>
                      <w:ind w:left="0" w:right="-16" w:firstLine="0"/>
                      <w:jc w:val="left"/>
                      <w:rPr>
                        <w:rFonts w:ascii="Calibri"/>
                        <w:sz w:val="14"/>
                      </w:rPr>
                    </w:pPr>
                    <w:r>
                      <w:rPr>
                        <w:rFonts w:ascii="Calibri"/>
                        <w:sz w:val="14"/>
                      </w:rPr>
                      <w:t>90.0</w:t>
                    </w:r>
                  </w:p>
                  <w:p>
                    <w:pPr>
                      <w:spacing w:line="240" w:lineRule="auto" w:before="6"/>
                      <w:rPr>
                        <w:sz w:val="16"/>
                      </w:rPr>
                    </w:pPr>
                  </w:p>
                  <w:p>
                    <w:pPr>
                      <w:spacing w:before="0"/>
                      <w:ind w:left="0" w:right="-16" w:firstLine="0"/>
                      <w:jc w:val="left"/>
                      <w:rPr>
                        <w:rFonts w:ascii="Calibri"/>
                        <w:sz w:val="14"/>
                      </w:rPr>
                    </w:pPr>
                    <w:r>
                      <w:rPr>
                        <w:rFonts w:ascii="Calibri"/>
                        <w:sz w:val="14"/>
                      </w:rPr>
                      <w:t>80.0</w:t>
                    </w:r>
                  </w:p>
                  <w:p>
                    <w:pPr>
                      <w:spacing w:line="240" w:lineRule="auto" w:before="6"/>
                      <w:rPr>
                        <w:sz w:val="16"/>
                      </w:rPr>
                    </w:pPr>
                  </w:p>
                  <w:p>
                    <w:pPr>
                      <w:spacing w:before="0"/>
                      <w:ind w:left="0" w:right="-16" w:firstLine="0"/>
                      <w:jc w:val="left"/>
                      <w:rPr>
                        <w:rFonts w:ascii="Calibri"/>
                        <w:sz w:val="14"/>
                      </w:rPr>
                    </w:pPr>
                    <w:r>
                      <w:rPr>
                        <w:rFonts w:ascii="Calibri"/>
                        <w:sz w:val="14"/>
                      </w:rPr>
                      <w:t>70.0</w:t>
                    </w:r>
                  </w:p>
                  <w:p>
                    <w:pPr>
                      <w:spacing w:line="240" w:lineRule="auto" w:before="5"/>
                      <w:rPr>
                        <w:sz w:val="16"/>
                      </w:rPr>
                    </w:pPr>
                  </w:p>
                  <w:p>
                    <w:pPr>
                      <w:spacing w:before="1"/>
                      <w:ind w:left="0" w:right="-16" w:firstLine="0"/>
                      <w:jc w:val="left"/>
                      <w:rPr>
                        <w:rFonts w:ascii="Calibri"/>
                        <w:sz w:val="14"/>
                      </w:rPr>
                    </w:pPr>
                    <w:r>
                      <w:rPr>
                        <w:rFonts w:ascii="Calibri"/>
                        <w:sz w:val="14"/>
                      </w:rPr>
                      <w:t>60.0</w:t>
                    </w:r>
                  </w:p>
                  <w:p>
                    <w:pPr>
                      <w:spacing w:line="240" w:lineRule="auto" w:before="6"/>
                      <w:rPr>
                        <w:sz w:val="16"/>
                      </w:rPr>
                    </w:pPr>
                  </w:p>
                  <w:p>
                    <w:pPr>
                      <w:spacing w:before="0"/>
                      <w:ind w:left="0" w:right="-16" w:firstLine="0"/>
                      <w:jc w:val="left"/>
                      <w:rPr>
                        <w:rFonts w:ascii="Calibri"/>
                        <w:sz w:val="14"/>
                      </w:rPr>
                    </w:pPr>
                    <w:r>
                      <w:rPr>
                        <w:rFonts w:ascii="Calibri"/>
                        <w:sz w:val="14"/>
                      </w:rPr>
                      <w:t>50.0</w:t>
                    </w:r>
                  </w:p>
                  <w:p>
                    <w:pPr>
                      <w:spacing w:line="240" w:lineRule="auto" w:before="6"/>
                      <w:rPr>
                        <w:sz w:val="16"/>
                      </w:rPr>
                    </w:pPr>
                  </w:p>
                  <w:p>
                    <w:pPr>
                      <w:spacing w:before="0"/>
                      <w:ind w:left="0" w:right="-16" w:firstLine="0"/>
                      <w:jc w:val="left"/>
                      <w:rPr>
                        <w:rFonts w:ascii="Calibri"/>
                        <w:sz w:val="14"/>
                      </w:rPr>
                    </w:pPr>
                    <w:r>
                      <w:rPr>
                        <w:rFonts w:ascii="Calibri"/>
                        <w:sz w:val="14"/>
                      </w:rPr>
                      <w:t>40.0</w:t>
                    </w:r>
                  </w:p>
                  <w:p>
                    <w:pPr>
                      <w:spacing w:line="240" w:lineRule="auto" w:before="6"/>
                      <w:rPr>
                        <w:sz w:val="16"/>
                      </w:rPr>
                    </w:pPr>
                  </w:p>
                  <w:p>
                    <w:pPr>
                      <w:spacing w:line="168" w:lineRule="exact" w:before="0"/>
                      <w:ind w:left="0" w:right="-16" w:firstLine="0"/>
                      <w:jc w:val="left"/>
                      <w:rPr>
                        <w:rFonts w:ascii="Calibri"/>
                        <w:sz w:val="14"/>
                      </w:rPr>
                    </w:pPr>
                    <w:r>
                      <w:rPr>
                        <w:rFonts w:ascii="Calibri"/>
                        <w:sz w:val="14"/>
                      </w:rPr>
                      <w:t>30.0</w:t>
                    </w:r>
                  </w:p>
                </w:txbxContent>
              </v:textbox>
              <w10:wrap type="none"/>
            </v:shape>
            <v:shape style="position:absolute;left:8380;top:2691;width:300;height:140" type="#_x0000_t202" filled="false" stroked="false">
              <v:textbox inset="0,0,0,0">
                <w:txbxContent>
                  <w:p>
                    <w:pPr>
                      <w:spacing w:line="139" w:lineRule="exact" w:before="0"/>
                      <w:ind w:left="0" w:right="-4" w:firstLine="0"/>
                      <w:jc w:val="left"/>
                      <w:rPr>
                        <w:rFonts w:ascii="Calibri"/>
                        <w:sz w:val="14"/>
                      </w:rPr>
                    </w:pPr>
                    <w:r>
                      <w:rPr>
                        <w:rFonts w:ascii="Calibri"/>
                        <w:sz w:val="14"/>
                      </w:rPr>
                      <w:t>2000</w:t>
                    </w:r>
                  </w:p>
                </w:txbxContent>
              </v:textbox>
              <w10:wrap type="none"/>
            </v:shape>
            <v:shape style="position:absolute;left:290;top:3069;width:257;height:862" type="#_x0000_t202" filled="false" stroked="false">
              <v:textbox inset="0,0,0,0">
                <w:txbxContent>
                  <w:p>
                    <w:pPr>
                      <w:spacing w:line="142" w:lineRule="exact" w:before="0"/>
                      <w:ind w:left="0" w:right="-12" w:firstLine="0"/>
                      <w:jc w:val="left"/>
                      <w:rPr>
                        <w:rFonts w:ascii="Calibri"/>
                        <w:sz w:val="14"/>
                      </w:rPr>
                    </w:pPr>
                    <w:r>
                      <w:rPr>
                        <w:rFonts w:ascii="Calibri"/>
                        <w:sz w:val="14"/>
                      </w:rPr>
                      <w:t>20.0</w:t>
                    </w:r>
                  </w:p>
                  <w:p>
                    <w:pPr>
                      <w:spacing w:line="240" w:lineRule="auto" w:before="6"/>
                      <w:rPr>
                        <w:sz w:val="16"/>
                      </w:rPr>
                    </w:pPr>
                  </w:p>
                  <w:p>
                    <w:pPr>
                      <w:spacing w:before="0"/>
                      <w:ind w:left="0" w:right="-12" w:firstLine="0"/>
                      <w:jc w:val="left"/>
                      <w:rPr>
                        <w:rFonts w:ascii="Calibri"/>
                        <w:sz w:val="14"/>
                      </w:rPr>
                    </w:pPr>
                    <w:r>
                      <w:rPr>
                        <w:rFonts w:ascii="Calibri"/>
                        <w:sz w:val="14"/>
                      </w:rPr>
                      <w:t>10.0</w:t>
                    </w:r>
                  </w:p>
                  <w:p>
                    <w:pPr>
                      <w:spacing w:line="240" w:lineRule="auto" w:before="6"/>
                      <w:rPr>
                        <w:sz w:val="16"/>
                      </w:rPr>
                    </w:pPr>
                  </w:p>
                  <w:p>
                    <w:pPr>
                      <w:spacing w:line="168" w:lineRule="exact" w:before="0"/>
                      <w:ind w:left="79" w:right="-20" w:firstLine="0"/>
                      <w:jc w:val="left"/>
                      <w:rPr>
                        <w:rFonts w:ascii="Calibri"/>
                        <w:sz w:val="14"/>
                      </w:rPr>
                    </w:pPr>
                    <w:r>
                      <w:rPr>
                        <w:rFonts w:ascii="Calibri"/>
                        <w:sz w:val="14"/>
                      </w:rPr>
                      <w:t>0.0</w:t>
                    </w:r>
                  </w:p>
                </w:txbxContent>
              </v:textbox>
              <w10:wrap type="none"/>
            </v:shape>
          </v:group>
        </w:pict>
      </w:r>
      <w:r>
        <w:rPr>
          <w:sz w:val="20"/>
        </w:rPr>
      </w:r>
    </w:p>
    <w:p>
      <w:pPr>
        <w:spacing w:before="0"/>
        <w:ind w:left="102" w:right="0" w:firstLine="9"/>
        <w:jc w:val="both"/>
        <w:rPr>
          <w:sz w:val="20"/>
        </w:rPr>
      </w:pPr>
      <w:r>
        <w:rPr>
          <w:sz w:val="20"/>
        </w:rPr>
        <w:t>Fuente: Elaboración propia con base en los datos del Censo de Población y Vivienda INEGI, 2000.</w:t>
      </w:r>
    </w:p>
    <w:p>
      <w:pPr>
        <w:pStyle w:val="BodyText"/>
        <w:rPr>
          <w:sz w:val="20"/>
        </w:rPr>
      </w:pPr>
    </w:p>
    <w:p>
      <w:pPr>
        <w:pStyle w:val="BodyText"/>
        <w:rPr>
          <w:sz w:val="16"/>
        </w:rPr>
      </w:pPr>
    </w:p>
    <w:p>
      <w:pPr>
        <w:pStyle w:val="BodyText"/>
        <w:spacing w:line="360" w:lineRule="auto"/>
        <w:ind w:left="102" w:right="114"/>
        <w:jc w:val="both"/>
      </w:pPr>
      <w:r>
        <w:rPr/>
        <w:t>Contar con la información en otros periodos de esta variable nos daría una idea si las viviendas mejoraron o empeoraron en tener este bien. El promedio de las viviendas que contaron con este bien en la </w:t>
      </w:r>
      <w:r>
        <w:rPr>
          <w:sz w:val="19"/>
        </w:rPr>
        <w:t>ZMT</w:t>
      </w:r>
      <w:r>
        <w:rPr/>
        <w:t>, en el año 2000 fue del 40 por ciento.</w:t>
      </w:r>
    </w:p>
    <w:p>
      <w:pPr>
        <w:pStyle w:val="BodyText"/>
      </w:pPr>
    </w:p>
    <w:p>
      <w:pPr>
        <w:pStyle w:val="BodyText"/>
        <w:spacing w:line="360" w:lineRule="auto" w:before="142"/>
        <w:ind w:left="102" w:right="117"/>
        <w:jc w:val="both"/>
      </w:pPr>
      <w:r>
        <w:rPr/>
        <w:t>A continuación se presenta una matriz con los porcentajes más altos y bajos de  los servicios públicos, materiales de construcción y bienes en las viviendas de </w:t>
      </w:r>
      <w:r>
        <w:rPr>
          <w:spacing w:val="55"/>
        </w:rPr>
        <w:t> </w:t>
      </w:r>
      <w:r>
        <w:rPr/>
        <w:t>los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4"/>
        <w:jc w:val="both"/>
      </w:pPr>
      <w:r>
        <w:rPr/>
        <w:t>municipios que integran la zona metropolitana de Toluca durante el periodo 1990- 2010.</w:t>
      </w:r>
    </w:p>
    <w:p>
      <w:pPr>
        <w:pStyle w:val="BodyText"/>
      </w:pPr>
    </w:p>
    <w:p>
      <w:pPr>
        <w:pStyle w:val="BodyText"/>
        <w:spacing w:line="360" w:lineRule="auto" w:before="142"/>
        <w:ind w:left="102" w:right="117"/>
        <w:jc w:val="both"/>
      </w:pPr>
      <w:r>
        <w:rPr/>
        <w:t>Al hacer el análisis de tres dimensiones de la habitabilidad de las viviendas de los quince municipios que integran la zona metropolitana de Toluca, encontramos que en la dimensión de servicios públicos, el municipio de Chapultepec de 1990 a  2010 fue el más alto en contar con el servicio de agua, mientras que San Mateo Atenco es el más rezagado registrando al 2010 el 71 por ciento, el servicio de energía eléctrica Chapultepec, Metepec, y Rayón registraron los más altos porcentajes en el periodo estudiado, mientras que Almoloya de Juárez en 2010 registró el 96 por ciento, en drenaje y sanitario los municipios de Metepec y Rayón son los mejores ubicados, encontrando Almoloya de Juárez con los menores registros 71 y 77 por ciento</w:t>
      </w:r>
      <w:r>
        <w:rPr>
          <w:spacing w:val="-14"/>
        </w:rPr>
        <w:t> </w:t>
      </w:r>
      <w:r>
        <w:rPr/>
        <w:t>respectivamente.</w:t>
      </w:r>
    </w:p>
    <w:p>
      <w:pPr>
        <w:pStyle w:val="BodyText"/>
      </w:pPr>
    </w:p>
    <w:p>
      <w:pPr>
        <w:pStyle w:val="BodyText"/>
        <w:spacing w:line="360" w:lineRule="auto" w:before="142"/>
        <w:ind w:left="102" w:right="120"/>
        <w:jc w:val="both"/>
      </w:pPr>
      <w:r>
        <w:rPr/>
        <w:t>En resumen de esta dimensión los mayores porcentajes de servicios públicos están en los municipios de Metepec, Chapultepec y Rayón, mientras que el municipio de Almoloya de Juárez es el que cuenta con los menores porcentajes respecto a los servicios públicos que cuentan sus viviendas.</w:t>
      </w:r>
    </w:p>
    <w:p>
      <w:pPr>
        <w:pStyle w:val="BodyText"/>
      </w:pPr>
    </w:p>
    <w:p>
      <w:pPr>
        <w:pStyle w:val="BodyText"/>
        <w:spacing w:line="360" w:lineRule="auto" w:before="142"/>
        <w:ind w:left="102" w:right="117"/>
        <w:jc w:val="both"/>
      </w:pPr>
      <w:r>
        <w:rPr/>
        <w:t>Lo que respecta la dimensión de los materiales de construcción,  encontramos entre un 16 y 18 por ciento de las viviendas de los municipios de Temoaya, Otzolotepec, Xonacatlán cuentan con techos precarios es decir, los materiales del techo son de lámina, cartón o desechos, con piso de tierra en las viviendas de Temoaya 15 por ciento y Otzolotepec 13 por ciento en 2010. Las viviendas del municipio de Metepec son las que cuentan con los materiales más sólidos y durables.</w:t>
      </w:r>
    </w:p>
    <w:p>
      <w:pPr>
        <w:pStyle w:val="BodyText"/>
      </w:pPr>
    </w:p>
    <w:p>
      <w:pPr>
        <w:pStyle w:val="BodyText"/>
        <w:spacing w:line="360" w:lineRule="auto" w:before="142"/>
        <w:ind w:left="102" w:right="122"/>
        <w:jc w:val="both"/>
      </w:pPr>
      <w:r>
        <w:rPr/>
        <w:t>En la tercera dimensión encontramos que los mayores porcentajes de bienes con los que cuentan las viviendas se encuentran en el municipio de Metepec, mientras que los menores porcentajes son los que registra el municipio de Temoaya en el periodo 2000-2010 (ver matriz no. 15).</w:t>
      </w:r>
    </w:p>
    <w:p>
      <w:pPr>
        <w:spacing w:after="0" w:line="360" w:lineRule="auto"/>
        <w:jc w:val="both"/>
        <w:sectPr>
          <w:pgSz w:w="12240" w:h="15840"/>
          <w:pgMar w:header="0" w:footer="1003" w:top="1360" w:bottom="1200" w:left="1600" w:right="1580"/>
        </w:sectPr>
      </w:pPr>
    </w:p>
    <w:p>
      <w:pPr>
        <w:spacing w:before="53"/>
        <w:ind w:left="212" w:right="260" w:firstLine="0"/>
        <w:jc w:val="center"/>
        <w:rPr>
          <w:sz w:val="20"/>
        </w:rPr>
      </w:pPr>
      <w:r>
        <w:rPr>
          <w:sz w:val="20"/>
        </w:rPr>
        <w:t>Cuadro No. 15 Matriz de servicios públicos, materiales de construcción y bienes en las viviendas en la </w:t>
      </w:r>
      <w:r>
        <w:rPr>
          <w:sz w:val="16"/>
        </w:rPr>
        <w:t>ZMT</w:t>
      </w:r>
      <w:r>
        <w:rPr>
          <w:sz w:val="20"/>
        </w:rPr>
        <w:t>, 1990-2010.</w:t>
      </w:r>
    </w:p>
    <w:p>
      <w:pPr>
        <w:pStyle w:val="BodyText"/>
        <w:rPr>
          <w:sz w:val="20"/>
        </w:rPr>
      </w:pPr>
    </w:p>
    <w:p>
      <w:pPr>
        <w:pStyle w:val="BodyText"/>
        <w:spacing w:before="4"/>
        <w:rPr>
          <w:sz w:val="16"/>
        </w:rPr>
      </w:pPr>
    </w:p>
    <w:tbl>
      <w:tblPr>
        <w:tblW w:w="0" w:type="auto"/>
        <w:jc w:val="left"/>
        <w:tblInd w:w="130"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406"/>
        <w:gridCol w:w="1104"/>
        <w:gridCol w:w="1104"/>
        <w:gridCol w:w="1215"/>
        <w:gridCol w:w="1551"/>
        <w:gridCol w:w="913"/>
        <w:gridCol w:w="1526"/>
      </w:tblGrid>
      <w:tr>
        <w:trPr>
          <w:trHeight w:val="375" w:hRule="exact"/>
        </w:trPr>
        <w:tc>
          <w:tcPr>
            <w:tcW w:w="8817" w:type="dxa"/>
            <w:gridSpan w:val="7"/>
            <w:tcBorders>
              <w:left w:val="single" w:sz="7" w:space="0" w:color="000000"/>
              <w:bottom w:val="single" w:sz="5" w:space="0" w:color="000000"/>
              <w:right w:val="single" w:sz="7" w:space="0" w:color="000000"/>
            </w:tcBorders>
            <w:shd w:val="clear" w:color="auto" w:fill="BEBEBE"/>
          </w:tcPr>
          <w:p>
            <w:pPr>
              <w:pStyle w:val="TableParagraph"/>
              <w:spacing w:before="87"/>
              <w:ind w:left="3263" w:right="3263"/>
              <w:jc w:val="center"/>
              <w:rPr>
                <w:rFonts w:ascii="Arial"/>
                <w:b/>
                <w:sz w:val="15"/>
              </w:rPr>
            </w:pPr>
            <w:r>
              <w:rPr>
                <w:rFonts w:ascii="Arial"/>
                <w:b/>
                <w:w w:val="105"/>
                <w:sz w:val="15"/>
              </w:rPr>
              <w:t>Zona Metropolitana de Toluca</w:t>
            </w:r>
          </w:p>
        </w:tc>
      </w:tr>
      <w:tr>
        <w:trPr>
          <w:trHeight w:val="194" w:hRule="exact"/>
        </w:trPr>
        <w:tc>
          <w:tcPr>
            <w:tcW w:w="1406" w:type="dxa"/>
            <w:vMerge w:val="restart"/>
            <w:tcBorders>
              <w:top w:val="single" w:sz="5" w:space="0" w:color="000000"/>
              <w:left w:val="single" w:sz="7" w:space="0" w:color="000000"/>
              <w:right w:val="single" w:sz="5" w:space="0" w:color="000000"/>
            </w:tcBorders>
            <w:shd w:val="clear" w:color="auto" w:fill="BEBEBE"/>
          </w:tcPr>
          <w:p>
            <w:pPr>
              <w:pStyle w:val="TableParagraph"/>
              <w:spacing w:line="278" w:lineRule="auto"/>
              <w:ind w:left="372" w:right="342" w:hanging="22"/>
              <w:rPr>
                <w:rFonts w:ascii="Arial"/>
                <w:b/>
                <w:sz w:val="15"/>
              </w:rPr>
            </w:pPr>
            <w:r>
              <w:rPr>
                <w:rFonts w:ascii="Arial"/>
                <w:b/>
                <w:sz w:val="15"/>
              </w:rPr>
              <w:t>Servicios </w:t>
            </w:r>
            <w:r>
              <w:rPr>
                <w:rFonts w:ascii="Arial"/>
                <w:b/>
                <w:w w:val="105"/>
                <w:sz w:val="15"/>
              </w:rPr>
              <w:t>Publicos</w:t>
            </w:r>
          </w:p>
        </w:tc>
        <w:tc>
          <w:tcPr>
            <w:tcW w:w="3422" w:type="dxa"/>
            <w:gridSpan w:val="3"/>
            <w:tcBorders>
              <w:top w:val="single" w:sz="5" w:space="0" w:color="000000"/>
              <w:left w:val="single" w:sz="5" w:space="0" w:color="000000"/>
              <w:bottom w:val="single" w:sz="5" w:space="0" w:color="000000"/>
              <w:right w:val="single" w:sz="5" w:space="0" w:color="000000"/>
            </w:tcBorders>
            <w:shd w:val="clear" w:color="auto" w:fill="BEBEBE"/>
          </w:tcPr>
          <w:p>
            <w:pPr>
              <w:pStyle w:val="TableParagraph"/>
              <w:spacing w:before="1"/>
              <w:ind w:left="1057"/>
              <w:rPr>
                <w:rFonts w:ascii="Arial"/>
                <w:b/>
                <w:sz w:val="15"/>
              </w:rPr>
            </w:pPr>
            <w:r>
              <w:rPr>
                <w:rFonts w:ascii="Arial"/>
                <w:b/>
                <w:sz w:val="15"/>
              </w:rPr>
              <w:t>Altos porcentajes</w:t>
            </w:r>
          </w:p>
        </w:tc>
        <w:tc>
          <w:tcPr>
            <w:tcW w:w="3989" w:type="dxa"/>
            <w:gridSpan w:val="3"/>
            <w:tcBorders>
              <w:top w:val="single" w:sz="5" w:space="0" w:color="000000"/>
              <w:left w:val="single" w:sz="5" w:space="0" w:color="000000"/>
              <w:bottom w:val="single" w:sz="5" w:space="0" w:color="000000"/>
              <w:right w:val="single" w:sz="7" w:space="0" w:color="000000"/>
            </w:tcBorders>
            <w:shd w:val="clear" w:color="auto" w:fill="BEBEBE"/>
          </w:tcPr>
          <w:p>
            <w:pPr>
              <w:pStyle w:val="TableParagraph"/>
              <w:spacing w:before="1"/>
              <w:ind w:left="1322"/>
              <w:rPr>
                <w:rFonts w:ascii="Arial"/>
                <w:b/>
                <w:sz w:val="15"/>
              </w:rPr>
            </w:pPr>
            <w:r>
              <w:rPr>
                <w:rFonts w:ascii="Arial"/>
                <w:b/>
                <w:sz w:val="15"/>
              </w:rPr>
              <w:t>Bajos porcentajes</w:t>
            </w:r>
          </w:p>
        </w:tc>
      </w:tr>
      <w:tr>
        <w:trPr>
          <w:trHeight w:val="194" w:hRule="exact"/>
        </w:trPr>
        <w:tc>
          <w:tcPr>
            <w:tcW w:w="1406" w:type="dxa"/>
            <w:vMerge/>
            <w:tcBorders>
              <w:left w:val="single" w:sz="7" w:space="0" w:color="000000"/>
              <w:bottom w:val="single" w:sz="5" w:space="0" w:color="000000"/>
              <w:right w:val="single" w:sz="5" w:space="0" w:color="000000"/>
            </w:tcBorders>
            <w:shd w:val="clear" w:color="auto" w:fill="BEBEBE"/>
          </w:tcPr>
          <w:p>
            <w:pPr/>
          </w:p>
        </w:tc>
        <w:tc>
          <w:tcPr>
            <w:tcW w:w="1104" w:type="dxa"/>
            <w:tcBorders>
              <w:top w:val="single" w:sz="5" w:space="0" w:color="000000"/>
              <w:left w:val="single" w:sz="5" w:space="0" w:color="000000"/>
              <w:bottom w:val="single" w:sz="5" w:space="0" w:color="000000"/>
              <w:right w:val="single" w:sz="5" w:space="0" w:color="000000"/>
            </w:tcBorders>
            <w:shd w:val="clear" w:color="auto" w:fill="BEBEBE"/>
          </w:tcPr>
          <w:p>
            <w:pPr>
              <w:pStyle w:val="TableParagraph"/>
              <w:spacing w:before="1"/>
              <w:ind w:right="19"/>
              <w:jc w:val="right"/>
              <w:rPr>
                <w:rFonts w:ascii="Arial"/>
                <w:b/>
                <w:sz w:val="15"/>
              </w:rPr>
            </w:pPr>
            <w:r>
              <w:rPr>
                <w:rFonts w:ascii="Arial"/>
                <w:b/>
                <w:sz w:val="15"/>
              </w:rPr>
              <w:t>1990</w:t>
            </w:r>
          </w:p>
        </w:tc>
        <w:tc>
          <w:tcPr>
            <w:tcW w:w="1104" w:type="dxa"/>
            <w:tcBorders>
              <w:top w:val="single" w:sz="5" w:space="0" w:color="000000"/>
              <w:left w:val="single" w:sz="5" w:space="0" w:color="000000"/>
              <w:bottom w:val="single" w:sz="5" w:space="0" w:color="000000"/>
              <w:right w:val="single" w:sz="5" w:space="0" w:color="000000"/>
            </w:tcBorders>
            <w:shd w:val="clear" w:color="auto" w:fill="BEBEBE"/>
          </w:tcPr>
          <w:p>
            <w:pPr>
              <w:pStyle w:val="TableParagraph"/>
              <w:spacing w:before="1"/>
              <w:ind w:right="19"/>
              <w:jc w:val="right"/>
              <w:rPr>
                <w:rFonts w:ascii="Arial"/>
                <w:b/>
                <w:sz w:val="15"/>
              </w:rPr>
            </w:pPr>
            <w:r>
              <w:rPr>
                <w:rFonts w:ascii="Arial"/>
                <w:b/>
                <w:sz w:val="15"/>
              </w:rPr>
              <w:t>2000</w:t>
            </w:r>
          </w:p>
        </w:tc>
        <w:tc>
          <w:tcPr>
            <w:tcW w:w="1215" w:type="dxa"/>
            <w:tcBorders>
              <w:top w:val="single" w:sz="5" w:space="0" w:color="000000"/>
              <w:left w:val="single" w:sz="5" w:space="0" w:color="000000"/>
              <w:bottom w:val="single" w:sz="5" w:space="0" w:color="000000"/>
              <w:right w:val="single" w:sz="5" w:space="0" w:color="000000"/>
            </w:tcBorders>
            <w:shd w:val="clear" w:color="auto" w:fill="BEBEBE"/>
          </w:tcPr>
          <w:p>
            <w:pPr>
              <w:pStyle w:val="TableParagraph"/>
              <w:spacing w:before="1"/>
              <w:ind w:right="19"/>
              <w:jc w:val="right"/>
              <w:rPr>
                <w:rFonts w:ascii="Arial"/>
                <w:b/>
                <w:sz w:val="15"/>
              </w:rPr>
            </w:pPr>
            <w:r>
              <w:rPr>
                <w:rFonts w:ascii="Arial"/>
                <w:b/>
                <w:sz w:val="15"/>
              </w:rPr>
              <w:t>2010</w:t>
            </w:r>
          </w:p>
        </w:tc>
        <w:tc>
          <w:tcPr>
            <w:tcW w:w="1551" w:type="dxa"/>
            <w:tcBorders>
              <w:top w:val="single" w:sz="5" w:space="0" w:color="000000"/>
              <w:left w:val="single" w:sz="5" w:space="0" w:color="000000"/>
              <w:bottom w:val="single" w:sz="5" w:space="0" w:color="000000"/>
              <w:right w:val="single" w:sz="5" w:space="0" w:color="000000"/>
            </w:tcBorders>
            <w:shd w:val="clear" w:color="auto" w:fill="BEBEBE"/>
          </w:tcPr>
          <w:p>
            <w:pPr>
              <w:pStyle w:val="TableParagraph"/>
              <w:spacing w:before="1"/>
              <w:ind w:right="19"/>
              <w:jc w:val="right"/>
              <w:rPr>
                <w:rFonts w:ascii="Arial"/>
                <w:b/>
                <w:sz w:val="15"/>
              </w:rPr>
            </w:pPr>
            <w:r>
              <w:rPr>
                <w:rFonts w:ascii="Arial"/>
                <w:b/>
                <w:sz w:val="15"/>
              </w:rPr>
              <w:t>1990</w:t>
            </w:r>
          </w:p>
        </w:tc>
        <w:tc>
          <w:tcPr>
            <w:tcW w:w="913" w:type="dxa"/>
            <w:tcBorders>
              <w:top w:val="single" w:sz="5" w:space="0" w:color="000000"/>
              <w:left w:val="single" w:sz="5" w:space="0" w:color="000000"/>
              <w:bottom w:val="single" w:sz="5" w:space="0" w:color="000000"/>
              <w:right w:val="single" w:sz="5" w:space="0" w:color="000000"/>
            </w:tcBorders>
            <w:shd w:val="clear" w:color="auto" w:fill="BEBEBE"/>
          </w:tcPr>
          <w:p>
            <w:pPr>
              <w:pStyle w:val="TableParagraph"/>
              <w:spacing w:before="1"/>
              <w:ind w:right="19"/>
              <w:jc w:val="right"/>
              <w:rPr>
                <w:rFonts w:ascii="Arial"/>
                <w:b/>
                <w:sz w:val="15"/>
              </w:rPr>
            </w:pPr>
            <w:r>
              <w:rPr>
                <w:rFonts w:ascii="Arial"/>
                <w:b/>
                <w:sz w:val="15"/>
              </w:rPr>
              <w:t>2000</w:t>
            </w:r>
          </w:p>
        </w:tc>
        <w:tc>
          <w:tcPr>
            <w:tcW w:w="1526" w:type="dxa"/>
            <w:tcBorders>
              <w:top w:val="single" w:sz="5" w:space="0" w:color="000000"/>
              <w:left w:val="single" w:sz="5" w:space="0" w:color="000000"/>
              <w:bottom w:val="single" w:sz="5" w:space="0" w:color="000000"/>
              <w:right w:val="single" w:sz="7" w:space="0" w:color="000000"/>
            </w:tcBorders>
            <w:shd w:val="clear" w:color="auto" w:fill="BEBEBE"/>
          </w:tcPr>
          <w:p>
            <w:pPr>
              <w:pStyle w:val="TableParagraph"/>
              <w:spacing w:before="1"/>
              <w:ind w:right="13"/>
              <w:jc w:val="right"/>
              <w:rPr>
                <w:rFonts w:ascii="Arial"/>
                <w:b/>
                <w:sz w:val="15"/>
              </w:rPr>
            </w:pPr>
            <w:r>
              <w:rPr>
                <w:rFonts w:ascii="Arial"/>
                <w:b/>
                <w:sz w:val="15"/>
              </w:rPr>
              <w:t>2010</w:t>
            </w:r>
          </w:p>
        </w:tc>
      </w:tr>
      <w:tr>
        <w:trPr>
          <w:trHeight w:val="472" w:hRule="exact"/>
        </w:trPr>
        <w:tc>
          <w:tcPr>
            <w:tcW w:w="1406" w:type="dxa"/>
            <w:tcBorders>
              <w:top w:val="single" w:sz="5" w:space="0" w:color="000000"/>
              <w:left w:val="single" w:sz="7" w:space="0" w:color="000000"/>
              <w:bottom w:val="single" w:sz="5" w:space="0" w:color="000000"/>
              <w:right w:val="single" w:sz="5" w:space="0" w:color="000000"/>
            </w:tcBorders>
          </w:tcPr>
          <w:p>
            <w:pPr>
              <w:pStyle w:val="TableParagraph"/>
              <w:rPr>
                <w:rFonts w:ascii="Arial"/>
                <w:sz w:val="12"/>
              </w:rPr>
            </w:pPr>
          </w:p>
          <w:p>
            <w:pPr>
              <w:pStyle w:val="TableParagraph"/>
              <w:spacing w:before="7"/>
              <w:rPr>
                <w:rFonts w:ascii="Arial"/>
                <w:sz w:val="14"/>
              </w:rPr>
            </w:pPr>
          </w:p>
          <w:p>
            <w:pPr>
              <w:pStyle w:val="TableParagraph"/>
              <w:ind w:left="12" w:right="342"/>
              <w:rPr>
                <w:rFonts w:ascii="Arial"/>
                <w:sz w:val="13"/>
              </w:rPr>
            </w:pPr>
            <w:r>
              <w:rPr>
                <w:rFonts w:ascii="Arial"/>
                <w:sz w:val="13"/>
              </w:rPr>
              <w:t>Agua</w:t>
            </w:r>
          </w:p>
        </w:tc>
        <w:tc>
          <w:tcPr>
            <w:tcW w:w="1104"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spacing w:before="4"/>
              <w:rPr>
                <w:rFonts w:ascii="Arial"/>
                <w:sz w:val="14"/>
              </w:rPr>
            </w:pPr>
          </w:p>
          <w:p>
            <w:pPr>
              <w:pStyle w:val="TableParagraph"/>
              <w:ind w:left="18"/>
              <w:rPr>
                <w:rFonts w:ascii="Arial"/>
                <w:sz w:val="13"/>
              </w:rPr>
            </w:pPr>
            <w:r>
              <w:rPr>
                <w:rFonts w:ascii="Arial"/>
                <w:sz w:val="13"/>
              </w:rPr>
              <w:t>Chapultepec 97%</w:t>
            </w:r>
          </w:p>
        </w:tc>
        <w:tc>
          <w:tcPr>
            <w:tcW w:w="1104"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spacing w:before="4"/>
              <w:rPr>
                <w:rFonts w:ascii="Arial"/>
                <w:sz w:val="14"/>
              </w:rPr>
            </w:pPr>
          </w:p>
          <w:p>
            <w:pPr>
              <w:pStyle w:val="TableParagraph"/>
              <w:ind w:left="18"/>
              <w:rPr>
                <w:rFonts w:ascii="Arial"/>
                <w:sz w:val="13"/>
              </w:rPr>
            </w:pPr>
            <w:r>
              <w:rPr>
                <w:rFonts w:ascii="Arial"/>
                <w:sz w:val="13"/>
              </w:rPr>
              <w:t>Chapultepec 95%</w:t>
            </w:r>
          </w:p>
        </w:tc>
        <w:tc>
          <w:tcPr>
            <w:tcW w:w="1215" w:type="dxa"/>
            <w:tcBorders>
              <w:top w:val="single" w:sz="5" w:space="0" w:color="000000"/>
              <w:left w:val="single" w:sz="5" w:space="0" w:color="000000"/>
              <w:bottom w:val="single" w:sz="5" w:space="0" w:color="000000"/>
              <w:right w:val="single" w:sz="5" w:space="0" w:color="000000"/>
            </w:tcBorders>
          </w:tcPr>
          <w:p>
            <w:pPr>
              <w:pStyle w:val="TableParagraph"/>
              <w:spacing w:before="5"/>
              <w:rPr>
                <w:rFonts w:ascii="Arial"/>
                <w:sz w:val="12"/>
              </w:rPr>
            </w:pPr>
          </w:p>
          <w:p>
            <w:pPr>
              <w:pStyle w:val="TableParagraph"/>
              <w:ind w:left="18"/>
              <w:rPr>
                <w:rFonts w:ascii="Arial"/>
                <w:sz w:val="13"/>
              </w:rPr>
            </w:pPr>
            <w:r>
              <w:rPr>
                <w:rFonts w:ascii="Arial"/>
                <w:w w:val="95"/>
                <w:sz w:val="13"/>
              </w:rPr>
              <w:t>Chapultepec 95%,</w:t>
            </w:r>
          </w:p>
          <w:p>
            <w:pPr>
              <w:pStyle w:val="TableParagraph"/>
              <w:spacing w:before="10"/>
              <w:ind w:left="18"/>
              <w:rPr>
                <w:rFonts w:ascii="Arial"/>
                <w:sz w:val="13"/>
              </w:rPr>
            </w:pPr>
            <w:r>
              <w:rPr>
                <w:rFonts w:ascii="Arial"/>
                <w:sz w:val="13"/>
              </w:rPr>
              <w:t>Temoaya 95%</w:t>
            </w:r>
          </w:p>
        </w:tc>
        <w:tc>
          <w:tcPr>
            <w:tcW w:w="1551"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spacing w:before="7"/>
              <w:rPr>
                <w:rFonts w:ascii="Arial"/>
                <w:sz w:val="14"/>
              </w:rPr>
            </w:pPr>
          </w:p>
          <w:p>
            <w:pPr>
              <w:pStyle w:val="TableParagraph"/>
              <w:ind w:left="18"/>
              <w:rPr>
                <w:rFonts w:ascii="Arial" w:hAnsi="Arial"/>
                <w:sz w:val="13"/>
              </w:rPr>
            </w:pPr>
            <w:r>
              <w:rPr>
                <w:rFonts w:ascii="Arial" w:hAnsi="Arial"/>
                <w:sz w:val="13"/>
              </w:rPr>
              <w:t>Almoloya de Juárez 49%</w:t>
            </w:r>
          </w:p>
        </w:tc>
        <w:tc>
          <w:tcPr>
            <w:tcW w:w="913" w:type="dxa"/>
            <w:tcBorders>
              <w:top w:val="single" w:sz="5" w:space="0" w:color="000000"/>
              <w:left w:val="single" w:sz="5" w:space="0" w:color="000000"/>
              <w:bottom w:val="single" w:sz="5" w:space="0" w:color="000000"/>
              <w:right w:val="single" w:sz="5" w:space="0" w:color="000000"/>
            </w:tcBorders>
          </w:tcPr>
          <w:p>
            <w:pPr>
              <w:pStyle w:val="TableParagraph"/>
              <w:spacing w:before="5"/>
              <w:rPr>
                <w:rFonts w:ascii="Arial"/>
                <w:sz w:val="12"/>
              </w:rPr>
            </w:pPr>
          </w:p>
          <w:p>
            <w:pPr>
              <w:pStyle w:val="TableParagraph"/>
              <w:spacing w:line="256" w:lineRule="auto"/>
              <w:ind w:left="18" w:right="146"/>
              <w:rPr>
                <w:rFonts w:ascii="Arial" w:hAnsi="Arial"/>
                <w:sz w:val="13"/>
              </w:rPr>
            </w:pPr>
            <w:r>
              <w:rPr>
                <w:rFonts w:ascii="Arial" w:hAnsi="Arial"/>
                <w:sz w:val="13"/>
              </w:rPr>
              <w:t>Almoloya de Juárez 59%</w:t>
            </w:r>
          </w:p>
        </w:tc>
        <w:tc>
          <w:tcPr>
            <w:tcW w:w="1526" w:type="dxa"/>
            <w:tcBorders>
              <w:top w:val="single" w:sz="5" w:space="0" w:color="000000"/>
              <w:left w:val="single" w:sz="5" w:space="0" w:color="000000"/>
              <w:bottom w:val="single" w:sz="5" w:space="0" w:color="000000"/>
              <w:right w:val="single" w:sz="7" w:space="0" w:color="000000"/>
            </w:tcBorders>
          </w:tcPr>
          <w:p>
            <w:pPr>
              <w:pStyle w:val="TableParagraph"/>
              <w:spacing w:before="5"/>
              <w:rPr>
                <w:rFonts w:ascii="Arial"/>
                <w:sz w:val="12"/>
              </w:rPr>
            </w:pPr>
          </w:p>
          <w:p>
            <w:pPr>
              <w:pStyle w:val="TableParagraph"/>
              <w:spacing w:line="256" w:lineRule="auto"/>
              <w:ind w:left="18"/>
              <w:rPr>
                <w:rFonts w:ascii="Arial" w:hAnsi="Arial"/>
                <w:sz w:val="13"/>
              </w:rPr>
            </w:pPr>
            <w:r>
              <w:rPr>
                <w:rFonts w:ascii="Arial" w:hAnsi="Arial"/>
                <w:sz w:val="13"/>
              </w:rPr>
              <w:t>San Mateo Atenco 71%, Almoloya de Juárez 75%</w:t>
            </w:r>
          </w:p>
        </w:tc>
      </w:tr>
      <w:tr>
        <w:trPr>
          <w:trHeight w:val="703" w:hRule="exact"/>
        </w:trPr>
        <w:tc>
          <w:tcPr>
            <w:tcW w:w="1406" w:type="dxa"/>
            <w:tcBorders>
              <w:top w:val="single" w:sz="5" w:space="0" w:color="000000"/>
              <w:left w:val="single" w:sz="7" w:space="0" w:color="000000"/>
              <w:bottom w:val="single" w:sz="5" w:space="0" w:color="000000"/>
              <w:right w:val="single" w:sz="5" w:space="0" w:color="000000"/>
            </w:tcBorders>
          </w:tcPr>
          <w:p>
            <w:pPr>
              <w:pStyle w:val="TableParagraph"/>
              <w:rPr>
                <w:rFonts w:ascii="Arial"/>
                <w:sz w:val="12"/>
              </w:rPr>
            </w:pPr>
          </w:p>
          <w:p>
            <w:pPr>
              <w:pStyle w:val="TableParagraph"/>
              <w:rPr>
                <w:rFonts w:ascii="Arial"/>
                <w:sz w:val="12"/>
              </w:rPr>
            </w:pPr>
          </w:p>
          <w:p>
            <w:pPr>
              <w:pStyle w:val="TableParagraph"/>
              <w:rPr>
                <w:rFonts w:ascii="Arial"/>
                <w:sz w:val="12"/>
              </w:rPr>
            </w:pPr>
          </w:p>
          <w:p>
            <w:pPr>
              <w:pStyle w:val="TableParagraph"/>
              <w:spacing w:before="8"/>
              <w:rPr>
                <w:rFonts w:ascii="Arial"/>
                <w:sz w:val="10"/>
              </w:rPr>
            </w:pPr>
          </w:p>
          <w:p>
            <w:pPr>
              <w:pStyle w:val="TableParagraph"/>
              <w:spacing w:before="1"/>
              <w:ind w:left="12" w:right="342"/>
              <w:rPr>
                <w:rFonts w:ascii="Arial" w:hAnsi="Arial"/>
                <w:sz w:val="13"/>
              </w:rPr>
            </w:pPr>
            <w:r>
              <w:rPr>
                <w:rFonts w:ascii="Arial" w:hAnsi="Arial"/>
                <w:sz w:val="13"/>
              </w:rPr>
              <w:t>Energía Eléctrica</w:t>
            </w:r>
          </w:p>
        </w:tc>
        <w:tc>
          <w:tcPr>
            <w:tcW w:w="1104"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rPr>
                <w:rFonts w:ascii="Arial"/>
                <w:sz w:val="12"/>
              </w:rPr>
            </w:pPr>
          </w:p>
          <w:p>
            <w:pPr>
              <w:pStyle w:val="TableParagraph"/>
              <w:rPr>
                <w:rFonts w:ascii="Arial"/>
                <w:sz w:val="12"/>
              </w:rPr>
            </w:pPr>
          </w:p>
          <w:p>
            <w:pPr>
              <w:pStyle w:val="TableParagraph"/>
              <w:spacing w:before="5"/>
              <w:rPr>
                <w:rFonts w:ascii="Arial"/>
                <w:sz w:val="10"/>
              </w:rPr>
            </w:pPr>
          </w:p>
          <w:p>
            <w:pPr>
              <w:pStyle w:val="TableParagraph"/>
              <w:ind w:left="18"/>
              <w:rPr>
                <w:rFonts w:ascii="Arial"/>
                <w:sz w:val="13"/>
              </w:rPr>
            </w:pPr>
            <w:r>
              <w:rPr>
                <w:rFonts w:ascii="Arial"/>
                <w:sz w:val="13"/>
              </w:rPr>
              <w:t>Chapultepec 99%</w:t>
            </w:r>
          </w:p>
        </w:tc>
        <w:tc>
          <w:tcPr>
            <w:tcW w:w="1104"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rPr>
                <w:rFonts w:ascii="Arial"/>
                <w:sz w:val="12"/>
              </w:rPr>
            </w:pPr>
          </w:p>
          <w:p>
            <w:pPr>
              <w:pStyle w:val="TableParagraph"/>
              <w:rPr>
                <w:rFonts w:ascii="Arial"/>
                <w:sz w:val="12"/>
              </w:rPr>
            </w:pPr>
          </w:p>
          <w:p>
            <w:pPr>
              <w:pStyle w:val="TableParagraph"/>
              <w:spacing w:before="8"/>
              <w:rPr>
                <w:rFonts w:ascii="Arial"/>
                <w:sz w:val="10"/>
              </w:rPr>
            </w:pPr>
          </w:p>
          <w:p>
            <w:pPr>
              <w:pStyle w:val="TableParagraph"/>
              <w:spacing w:before="1"/>
              <w:ind w:left="18"/>
              <w:rPr>
                <w:rFonts w:ascii="Arial"/>
                <w:sz w:val="13"/>
              </w:rPr>
            </w:pPr>
            <w:r>
              <w:rPr>
                <w:rFonts w:ascii="Arial"/>
                <w:sz w:val="13"/>
              </w:rPr>
              <w:t>Metepec 99%</w:t>
            </w:r>
          </w:p>
        </w:tc>
        <w:tc>
          <w:tcPr>
            <w:tcW w:w="1215"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rPr>
                <w:rFonts w:ascii="Arial"/>
                <w:sz w:val="12"/>
              </w:rPr>
            </w:pPr>
          </w:p>
          <w:p>
            <w:pPr>
              <w:pStyle w:val="TableParagraph"/>
              <w:spacing w:before="98"/>
              <w:ind w:left="10" w:right="9"/>
              <w:jc w:val="center"/>
              <w:rPr>
                <w:rFonts w:ascii="Arial" w:hAnsi="Arial"/>
                <w:sz w:val="13"/>
              </w:rPr>
            </w:pPr>
            <w:r>
              <w:rPr>
                <w:rFonts w:ascii="Arial" w:hAnsi="Arial"/>
                <w:sz w:val="13"/>
              </w:rPr>
              <w:t>Rayón 99%,</w:t>
            </w:r>
          </w:p>
          <w:p>
            <w:pPr>
              <w:pStyle w:val="TableParagraph"/>
              <w:spacing w:before="10"/>
              <w:ind w:left="11" w:right="8"/>
              <w:jc w:val="center"/>
              <w:rPr>
                <w:rFonts w:ascii="Arial" w:hAnsi="Arial"/>
                <w:sz w:val="13"/>
              </w:rPr>
            </w:pPr>
            <w:r>
              <w:rPr>
                <w:rFonts w:ascii="Arial" w:hAnsi="Arial"/>
                <w:sz w:val="13"/>
              </w:rPr>
              <w:t>Xonacatlán 99%</w:t>
            </w:r>
          </w:p>
        </w:tc>
        <w:tc>
          <w:tcPr>
            <w:tcW w:w="1551"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rPr>
                <w:rFonts w:ascii="Arial"/>
                <w:sz w:val="12"/>
              </w:rPr>
            </w:pPr>
          </w:p>
          <w:p>
            <w:pPr>
              <w:pStyle w:val="TableParagraph"/>
              <w:rPr>
                <w:rFonts w:ascii="Arial"/>
                <w:sz w:val="12"/>
              </w:rPr>
            </w:pPr>
          </w:p>
          <w:p>
            <w:pPr>
              <w:pStyle w:val="TableParagraph"/>
              <w:spacing w:before="8"/>
              <w:rPr>
                <w:rFonts w:ascii="Arial"/>
                <w:sz w:val="10"/>
              </w:rPr>
            </w:pPr>
          </w:p>
          <w:p>
            <w:pPr>
              <w:pStyle w:val="TableParagraph"/>
              <w:spacing w:before="1"/>
              <w:ind w:left="18"/>
              <w:rPr>
                <w:rFonts w:ascii="Arial" w:hAnsi="Arial"/>
                <w:sz w:val="13"/>
              </w:rPr>
            </w:pPr>
            <w:r>
              <w:rPr>
                <w:rFonts w:ascii="Arial" w:hAnsi="Arial"/>
                <w:sz w:val="13"/>
              </w:rPr>
              <w:t>Almoloya de Juárez 75%</w:t>
            </w:r>
          </w:p>
        </w:tc>
        <w:tc>
          <w:tcPr>
            <w:tcW w:w="913"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rPr>
                <w:rFonts w:ascii="Arial"/>
                <w:sz w:val="12"/>
              </w:rPr>
            </w:pPr>
          </w:p>
          <w:p>
            <w:pPr>
              <w:pStyle w:val="TableParagraph"/>
              <w:spacing w:line="256" w:lineRule="auto" w:before="98"/>
              <w:ind w:left="18" w:right="146"/>
              <w:rPr>
                <w:rFonts w:ascii="Arial" w:hAnsi="Arial"/>
                <w:sz w:val="13"/>
              </w:rPr>
            </w:pPr>
            <w:r>
              <w:rPr>
                <w:rFonts w:ascii="Arial" w:hAnsi="Arial"/>
                <w:sz w:val="13"/>
              </w:rPr>
              <w:t>Almoloya de Juárez 89%</w:t>
            </w:r>
          </w:p>
        </w:tc>
        <w:tc>
          <w:tcPr>
            <w:tcW w:w="1526" w:type="dxa"/>
            <w:tcBorders>
              <w:top w:val="single" w:sz="5" w:space="0" w:color="000000"/>
              <w:left w:val="single" w:sz="5" w:space="0" w:color="000000"/>
              <w:bottom w:val="single" w:sz="5" w:space="0" w:color="000000"/>
              <w:right w:val="single" w:sz="7" w:space="0" w:color="000000"/>
            </w:tcBorders>
          </w:tcPr>
          <w:p>
            <w:pPr>
              <w:pStyle w:val="TableParagraph"/>
              <w:spacing w:line="256" w:lineRule="auto" w:before="29"/>
              <w:ind w:left="13" w:right="7"/>
              <w:jc w:val="center"/>
              <w:rPr>
                <w:rFonts w:ascii="Arial" w:hAnsi="Arial"/>
                <w:sz w:val="13"/>
              </w:rPr>
            </w:pPr>
            <w:r>
              <w:rPr>
                <w:rFonts w:ascii="Arial" w:hAnsi="Arial"/>
                <w:sz w:val="13"/>
              </w:rPr>
              <w:t>Almoloya de Juárez 96%, San Antonio la Isla 96%, San Mateo Atenco 96%,Toluca 96%</w:t>
            </w:r>
          </w:p>
        </w:tc>
      </w:tr>
      <w:tr>
        <w:trPr>
          <w:trHeight w:val="314" w:hRule="exact"/>
        </w:trPr>
        <w:tc>
          <w:tcPr>
            <w:tcW w:w="1406" w:type="dxa"/>
            <w:tcBorders>
              <w:top w:val="single" w:sz="5" w:space="0" w:color="000000"/>
              <w:left w:val="single" w:sz="7" w:space="0" w:color="000000"/>
              <w:bottom w:val="single" w:sz="5" w:space="0" w:color="000000"/>
              <w:right w:val="single" w:sz="5" w:space="0" w:color="000000"/>
            </w:tcBorders>
          </w:tcPr>
          <w:p>
            <w:pPr>
              <w:pStyle w:val="TableParagraph"/>
              <w:spacing w:before="11"/>
              <w:rPr>
                <w:rFonts w:ascii="Arial"/>
                <w:sz w:val="12"/>
              </w:rPr>
            </w:pPr>
          </w:p>
          <w:p>
            <w:pPr>
              <w:pStyle w:val="TableParagraph"/>
              <w:ind w:left="12" w:right="342"/>
              <w:rPr>
                <w:rFonts w:ascii="Arial"/>
                <w:sz w:val="13"/>
              </w:rPr>
            </w:pPr>
            <w:r>
              <w:rPr>
                <w:rFonts w:ascii="Arial"/>
                <w:sz w:val="13"/>
              </w:rPr>
              <w:t>Drenaje</w:t>
            </w:r>
          </w:p>
        </w:tc>
        <w:tc>
          <w:tcPr>
            <w:tcW w:w="1104" w:type="dxa"/>
            <w:tcBorders>
              <w:top w:val="single" w:sz="5" w:space="0" w:color="000000"/>
              <w:left w:val="single" w:sz="5" w:space="0" w:color="000000"/>
              <w:bottom w:val="single" w:sz="5" w:space="0" w:color="000000"/>
              <w:right w:val="single" w:sz="5" w:space="0" w:color="000000"/>
            </w:tcBorders>
          </w:tcPr>
          <w:p>
            <w:pPr>
              <w:pStyle w:val="TableParagraph"/>
              <w:spacing w:before="11"/>
              <w:rPr>
                <w:rFonts w:ascii="Arial"/>
                <w:sz w:val="12"/>
              </w:rPr>
            </w:pPr>
          </w:p>
          <w:p>
            <w:pPr>
              <w:pStyle w:val="TableParagraph"/>
              <w:ind w:left="18"/>
              <w:rPr>
                <w:rFonts w:ascii="Arial"/>
                <w:sz w:val="13"/>
              </w:rPr>
            </w:pPr>
            <w:r>
              <w:rPr>
                <w:rFonts w:ascii="Arial"/>
                <w:sz w:val="13"/>
              </w:rPr>
              <w:t>Metepec 92%</w:t>
            </w:r>
          </w:p>
        </w:tc>
        <w:tc>
          <w:tcPr>
            <w:tcW w:w="1104" w:type="dxa"/>
            <w:tcBorders>
              <w:top w:val="single" w:sz="5" w:space="0" w:color="000000"/>
              <w:left w:val="single" w:sz="5" w:space="0" w:color="000000"/>
              <w:bottom w:val="single" w:sz="5" w:space="0" w:color="000000"/>
              <w:right w:val="single" w:sz="5" w:space="0" w:color="000000"/>
            </w:tcBorders>
          </w:tcPr>
          <w:p>
            <w:pPr>
              <w:pStyle w:val="TableParagraph"/>
              <w:spacing w:before="11"/>
              <w:rPr>
                <w:rFonts w:ascii="Arial"/>
                <w:sz w:val="12"/>
              </w:rPr>
            </w:pPr>
          </w:p>
          <w:p>
            <w:pPr>
              <w:pStyle w:val="TableParagraph"/>
              <w:ind w:left="18"/>
              <w:rPr>
                <w:rFonts w:ascii="Arial"/>
                <w:sz w:val="13"/>
              </w:rPr>
            </w:pPr>
            <w:r>
              <w:rPr>
                <w:rFonts w:ascii="Arial"/>
                <w:sz w:val="13"/>
              </w:rPr>
              <w:t>Metepec 97%</w:t>
            </w:r>
          </w:p>
        </w:tc>
        <w:tc>
          <w:tcPr>
            <w:tcW w:w="1215" w:type="dxa"/>
            <w:tcBorders>
              <w:top w:val="single" w:sz="5" w:space="0" w:color="000000"/>
              <w:left w:val="single" w:sz="5" w:space="0" w:color="000000"/>
              <w:bottom w:val="single" w:sz="5" w:space="0" w:color="000000"/>
              <w:right w:val="single" w:sz="5" w:space="0" w:color="000000"/>
            </w:tcBorders>
          </w:tcPr>
          <w:p>
            <w:pPr>
              <w:pStyle w:val="TableParagraph"/>
              <w:spacing w:line="135" w:lineRule="exact"/>
              <w:ind w:left="11" w:right="9"/>
              <w:jc w:val="center"/>
              <w:rPr>
                <w:rFonts w:ascii="Arial" w:hAnsi="Arial"/>
                <w:sz w:val="13"/>
              </w:rPr>
            </w:pPr>
            <w:r>
              <w:rPr>
                <w:rFonts w:ascii="Arial" w:hAnsi="Arial"/>
                <w:sz w:val="13"/>
              </w:rPr>
              <w:t>Almoloya de Juárez</w:t>
            </w:r>
          </w:p>
          <w:p>
            <w:pPr>
              <w:pStyle w:val="TableParagraph"/>
              <w:spacing w:before="10"/>
              <w:ind w:left="11" w:right="9"/>
              <w:jc w:val="center"/>
              <w:rPr>
                <w:rFonts w:ascii="Arial"/>
                <w:sz w:val="13"/>
              </w:rPr>
            </w:pPr>
            <w:r>
              <w:rPr>
                <w:rFonts w:ascii="Arial"/>
                <w:sz w:val="13"/>
              </w:rPr>
              <w:t>71%</w:t>
            </w:r>
          </w:p>
        </w:tc>
        <w:tc>
          <w:tcPr>
            <w:tcW w:w="1551" w:type="dxa"/>
            <w:tcBorders>
              <w:top w:val="single" w:sz="5" w:space="0" w:color="000000"/>
              <w:left w:val="single" w:sz="5" w:space="0" w:color="000000"/>
              <w:bottom w:val="single" w:sz="5" w:space="0" w:color="000000"/>
              <w:right w:val="single" w:sz="5" w:space="0" w:color="000000"/>
            </w:tcBorders>
          </w:tcPr>
          <w:p>
            <w:pPr>
              <w:pStyle w:val="TableParagraph"/>
              <w:spacing w:before="11"/>
              <w:rPr>
                <w:rFonts w:ascii="Arial"/>
                <w:sz w:val="12"/>
              </w:rPr>
            </w:pPr>
          </w:p>
          <w:p>
            <w:pPr>
              <w:pStyle w:val="TableParagraph"/>
              <w:ind w:left="18"/>
              <w:rPr>
                <w:rFonts w:ascii="Arial" w:hAnsi="Arial"/>
                <w:sz w:val="13"/>
              </w:rPr>
            </w:pPr>
            <w:r>
              <w:rPr>
                <w:rFonts w:ascii="Arial" w:hAnsi="Arial"/>
                <w:sz w:val="13"/>
              </w:rPr>
              <w:t>Almoloya de Juárez 20%</w:t>
            </w:r>
          </w:p>
        </w:tc>
        <w:tc>
          <w:tcPr>
            <w:tcW w:w="913" w:type="dxa"/>
            <w:tcBorders>
              <w:top w:val="single" w:sz="5" w:space="0" w:color="000000"/>
              <w:left w:val="single" w:sz="5" w:space="0" w:color="000000"/>
              <w:bottom w:val="single" w:sz="5" w:space="0" w:color="000000"/>
              <w:right w:val="single" w:sz="5" w:space="0" w:color="000000"/>
            </w:tcBorders>
          </w:tcPr>
          <w:p>
            <w:pPr>
              <w:pStyle w:val="TableParagraph"/>
              <w:spacing w:line="135" w:lineRule="exact"/>
              <w:ind w:left="18"/>
              <w:rPr>
                <w:rFonts w:ascii="Arial"/>
                <w:sz w:val="13"/>
              </w:rPr>
            </w:pPr>
            <w:r>
              <w:rPr>
                <w:rFonts w:ascii="Arial"/>
                <w:sz w:val="13"/>
              </w:rPr>
              <w:t>Almoloya de</w:t>
            </w:r>
          </w:p>
          <w:p>
            <w:pPr>
              <w:pStyle w:val="TableParagraph"/>
              <w:spacing w:before="10"/>
              <w:ind w:left="18" w:right="146"/>
              <w:rPr>
                <w:rFonts w:ascii="Arial" w:hAnsi="Arial"/>
                <w:sz w:val="13"/>
              </w:rPr>
            </w:pPr>
            <w:r>
              <w:rPr>
                <w:rFonts w:ascii="Arial" w:hAnsi="Arial"/>
                <w:sz w:val="13"/>
              </w:rPr>
              <w:t>Juárez 39%</w:t>
            </w:r>
          </w:p>
        </w:tc>
        <w:tc>
          <w:tcPr>
            <w:tcW w:w="1526" w:type="dxa"/>
            <w:tcBorders>
              <w:top w:val="single" w:sz="5" w:space="0" w:color="000000"/>
              <w:left w:val="single" w:sz="5" w:space="0" w:color="000000"/>
              <w:bottom w:val="single" w:sz="5" w:space="0" w:color="000000"/>
              <w:right w:val="single" w:sz="7" w:space="0" w:color="000000"/>
            </w:tcBorders>
          </w:tcPr>
          <w:p>
            <w:pPr>
              <w:pStyle w:val="TableParagraph"/>
              <w:spacing w:before="11"/>
              <w:rPr>
                <w:rFonts w:ascii="Arial"/>
                <w:sz w:val="12"/>
              </w:rPr>
            </w:pPr>
          </w:p>
          <w:p>
            <w:pPr>
              <w:pStyle w:val="TableParagraph"/>
              <w:ind w:left="431"/>
              <w:rPr>
                <w:rFonts w:ascii="Arial" w:hAnsi="Arial"/>
                <w:sz w:val="13"/>
              </w:rPr>
            </w:pPr>
            <w:r>
              <w:rPr>
                <w:rFonts w:ascii="Arial" w:hAnsi="Arial"/>
                <w:sz w:val="13"/>
              </w:rPr>
              <w:t>Rayón 98%</w:t>
            </w:r>
          </w:p>
        </w:tc>
      </w:tr>
      <w:tr>
        <w:trPr>
          <w:trHeight w:val="185" w:hRule="exact"/>
        </w:trPr>
        <w:tc>
          <w:tcPr>
            <w:tcW w:w="1406" w:type="dxa"/>
            <w:tcBorders>
              <w:top w:val="single" w:sz="5" w:space="0" w:color="000000"/>
              <w:left w:val="single" w:sz="7" w:space="0" w:color="000000"/>
              <w:bottom w:val="single" w:sz="5" w:space="0" w:color="000000"/>
              <w:right w:val="single" w:sz="5" w:space="0" w:color="000000"/>
            </w:tcBorders>
          </w:tcPr>
          <w:p>
            <w:pPr>
              <w:pStyle w:val="TableParagraph"/>
              <w:spacing w:before="20"/>
              <w:ind w:left="12" w:right="3"/>
              <w:rPr>
                <w:rFonts w:ascii="Arial"/>
                <w:sz w:val="13"/>
              </w:rPr>
            </w:pPr>
            <w:r>
              <w:rPr>
                <w:rFonts w:ascii="Arial"/>
                <w:sz w:val="13"/>
              </w:rPr>
              <w:t>Sanitario o excusado</w:t>
            </w:r>
          </w:p>
        </w:tc>
        <w:tc>
          <w:tcPr>
            <w:tcW w:w="1104" w:type="dxa"/>
            <w:tcBorders>
              <w:top w:val="single" w:sz="5" w:space="0" w:color="000000"/>
              <w:left w:val="single" w:sz="5" w:space="0" w:color="000000"/>
              <w:bottom w:val="single" w:sz="5" w:space="0" w:color="000000"/>
              <w:right w:val="single" w:sz="5" w:space="0" w:color="000000"/>
            </w:tcBorders>
          </w:tcPr>
          <w:p>
            <w:pPr/>
          </w:p>
        </w:tc>
        <w:tc>
          <w:tcPr>
            <w:tcW w:w="1104"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sz w:val="13"/>
              </w:rPr>
            </w:pPr>
            <w:r>
              <w:rPr>
                <w:rFonts w:ascii="Arial"/>
                <w:sz w:val="13"/>
              </w:rPr>
              <w:t>Metepec 95%</w:t>
            </w:r>
          </w:p>
        </w:tc>
        <w:tc>
          <w:tcPr>
            <w:tcW w:w="1215" w:type="dxa"/>
            <w:tcBorders>
              <w:top w:val="single" w:sz="5" w:space="0" w:color="000000"/>
              <w:left w:val="single" w:sz="5" w:space="0" w:color="000000"/>
              <w:bottom w:val="single" w:sz="5" w:space="0" w:color="000000"/>
              <w:right w:val="single" w:sz="5" w:space="0" w:color="000000"/>
            </w:tcBorders>
          </w:tcPr>
          <w:p>
            <w:pPr>
              <w:pStyle w:val="TableParagraph"/>
              <w:spacing w:before="20"/>
              <w:ind w:left="274"/>
              <w:rPr>
                <w:rFonts w:ascii="Arial" w:hAnsi="Arial"/>
                <w:sz w:val="13"/>
              </w:rPr>
            </w:pPr>
            <w:r>
              <w:rPr>
                <w:rFonts w:ascii="Arial" w:hAnsi="Arial"/>
                <w:sz w:val="13"/>
              </w:rPr>
              <w:t>Rayón 98%</w:t>
            </w:r>
          </w:p>
        </w:tc>
        <w:tc>
          <w:tcPr>
            <w:tcW w:w="1551" w:type="dxa"/>
            <w:tcBorders>
              <w:top w:val="single" w:sz="5" w:space="0" w:color="000000"/>
              <w:left w:val="single" w:sz="5" w:space="0" w:color="000000"/>
              <w:bottom w:val="single" w:sz="5" w:space="0" w:color="000000"/>
              <w:right w:val="single" w:sz="5" w:space="0" w:color="000000"/>
            </w:tcBorders>
          </w:tcPr>
          <w:p>
            <w:pPr/>
          </w:p>
        </w:tc>
        <w:tc>
          <w:tcPr>
            <w:tcW w:w="913"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sz w:val="13"/>
              </w:rPr>
            </w:pPr>
            <w:r>
              <w:rPr>
                <w:rFonts w:ascii="Arial"/>
                <w:sz w:val="13"/>
              </w:rPr>
              <w:t>Temoaya 46%</w:t>
            </w:r>
          </w:p>
        </w:tc>
        <w:tc>
          <w:tcPr>
            <w:tcW w:w="1526" w:type="dxa"/>
            <w:tcBorders>
              <w:top w:val="single" w:sz="5" w:space="0" w:color="000000"/>
              <w:left w:val="single" w:sz="5" w:space="0" w:color="000000"/>
              <w:bottom w:val="single" w:sz="5" w:space="0" w:color="000000"/>
              <w:right w:val="single" w:sz="7" w:space="0" w:color="000000"/>
            </w:tcBorders>
          </w:tcPr>
          <w:p>
            <w:pPr>
              <w:pStyle w:val="TableParagraph"/>
              <w:spacing w:before="20"/>
              <w:ind w:left="18"/>
              <w:rPr>
                <w:rFonts w:ascii="Arial" w:hAnsi="Arial"/>
                <w:sz w:val="13"/>
              </w:rPr>
            </w:pPr>
            <w:r>
              <w:rPr>
                <w:rFonts w:ascii="Arial" w:hAnsi="Arial"/>
                <w:sz w:val="13"/>
              </w:rPr>
              <w:t>Almoloya de Juárez 77%</w:t>
            </w:r>
          </w:p>
        </w:tc>
      </w:tr>
      <w:tr>
        <w:trPr>
          <w:trHeight w:val="195" w:hRule="exact"/>
        </w:trPr>
        <w:tc>
          <w:tcPr>
            <w:tcW w:w="1406" w:type="dxa"/>
            <w:vMerge w:val="restart"/>
            <w:tcBorders>
              <w:top w:val="single" w:sz="5" w:space="0" w:color="000000"/>
              <w:left w:val="single" w:sz="7" w:space="0" w:color="000000"/>
              <w:right w:val="single" w:sz="5" w:space="0" w:color="000000"/>
            </w:tcBorders>
            <w:shd w:val="clear" w:color="auto" w:fill="BEBEBE"/>
          </w:tcPr>
          <w:p>
            <w:pPr>
              <w:pStyle w:val="TableParagraph"/>
              <w:spacing w:line="278" w:lineRule="auto"/>
              <w:ind w:left="197" w:right="3" w:firstLine="6"/>
              <w:rPr>
                <w:rFonts w:ascii="Arial" w:hAnsi="Arial"/>
                <w:b/>
                <w:sz w:val="15"/>
              </w:rPr>
            </w:pPr>
            <w:r>
              <w:rPr>
                <w:rFonts w:ascii="Arial" w:hAnsi="Arial"/>
                <w:b/>
                <w:w w:val="105"/>
                <w:sz w:val="15"/>
              </w:rPr>
              <w:t>Materiales de </w:t>
            </w:r>
            <w:r>
              <w:rPr>
                <w:rFonts w:ascii="Arial" w:hAnsi="Arial"/>
                <w:b/>
                <w:sz w:val="15"/>
              </w:rPr>
              <w:t>Construcción</w:t>
            </w:r>
          </w:p>
        </w:tc>
        <w:tc>
          <w:tcPr>
            <w:tcW w:w="3422" w:type="dxa"/>
            <w:gridSpan w:val="3"/>
            <w:tcBorders>
              <w:top w:val="single" w:sz="5" w:space="0" w:color="000000"/>
              <w:left w:val="single" w:sz="5" w:space="0" w:color="000000"/>
              <w:bottom w:val="single" w:sz="5" w:space="0" w:color="000000"/>
              <w:right w:val="single" w:sz="5" w:space="0" w:color="000000"/>
            </w:tcBorders>
            <w:shd w:val="clear" w:color="auto" w:fill="BEBEBE"/>
          </w:tcPr>
          <w:p>
            <w:pPr>
              <w:pStyle w:val="TableParagraph"/>
              <w:spacing w:before="1"/>
              <w:ind w:left="1057"/>
              <w:rPr>
                <w:rFonts w:ascii="Arial"/>
                <w:b/>
                <w:sz w:val="15"/>
              </w:rPr>
            </w:pPr>
            <w:r>
              <w:rPr>
                <w:rFonts w:ascii="Arial"/>
                <w:b/>
                <w:sz w:val="15"/>
              </w:rPr>
              <w:t>Altos porcentajes</w:t>
            </w:r>
          </w:p>
        </w:tc>
        <w:tc>
          <w:tcPr>
            <w:tcW w:w="3989" w:type="dxa"/>
            <w:gridSpan w:val="3"/>
            <w:tcBorders>
              <w:top w:val="single" w:sz="5" w:space="0" w:color="000000"/>
              <w:left w:val="single" w:sz="5" w:space="0" w:color="000000"/>
              <w:bottom w:val="single" w:sz="5" w:space="0" w:color="000000"/>
              <w:right w:val="single" w:sz="7" w:space="0" w:color="000000"/>
            </w:tcBorders>
            <w:shd w:val="clear" w:color="auto" w:fill="BEBEBE"/>
          </w:tcPr>
          <w:p>
            <w:pPr>
              <w:pStyle w:val="TableParagraph"/>
              <w:spacing w:before="1"/>
              <w:ind w:left="1322"/>
              <w:rPr>
                <w:rFonts w:ascii="Arial"/>
                <w:b/>
                <w:sz w:val="15"/>
              </w:rPr>
            </w:pPr>
            <w:r>
              <w:rPr>
                <w:rFonts w:ascii="Arial"/>
                <w:b/>
                <w:sz w:val="15"/>
              </w:rPr>
              <w:t>Bajos porcentajes</w:t>
            </w:r>
          </w:p>
        </w:tc>
      </w:tr>
      <w:tr>
        <w:trPr>
          <w:trHeight w:val="194" w:hRule="exact"/>
        </w:trPr>
        <w:tc>
          <w:tcPr>
            <w:tcW w:w="1406" w:type="dxa"/>
            <w:vMerge/>
            <w:tcBorders>
              <w:left w:val="single" w:sz="7" w:space="0" w:color="000000"/>
              <w:bottom w:val="single" w:sz="5" w:space="0" w:color="000000"/>
              <w:right w:val="single" w:sz="5" w:space="0" w:color="000000"/>
            </w:tcBorders>
            <w:shd w:val="clear" w:color="auto" w:fill="BEBEBE"/>
          </w:tcPr>
          <w:p>
            <w:pPr/>
          </w:p>
        </w:tc>
        <w:tc>
          <w:tcPr>
            <w:tcW w:w="1104" w:type="dxa"/>
            <w:tcBorders>
              <w:top w:val="single" w:sz="5" w:space="0" w:color="000000"/>
              <w:left w:val="single" w:sz="5" w:space="0" w:color="000000"/>
              <w:bottom w:val="single" w:sz="5" w:space="0" w:color="000000"/>
              <w:right w:val="single" w:sz="5" w:space="0" w:color="000000"/>
            </w:tcBorders>
            <w:shd w:val="clear" w:color="auto" w:fill="BEBEBE"/>
          </w:tcPr>
          <w:p>
            <w:pPr>
              <w:pStyle w:val="TableParagraph"/>
              <w:spacing w:before="1"/>
              <w:ind w:right="19"/>
              <w:jc w:val="right"/>
              <w:rPr>
                <w:rFonts w:ascii="Arial"/>
                <w:b/>
                <w:sz w:val="15"/>
              </w:rPr>
            </w:pPr>
            <w:r>
              <w:rPr>
                <w:rFonts w:ascii="Arial"/>
                <w:b/>
                <w:sz w:val="15"/>
              </w:rPr>
              <w:t>1990</w:t>
            </w:r>
          </w:p>
        </w:tc>
        <w:tc>
          <w:tcPr>
            <w:tcW w:w="1104" w:type="dxa"/>
            <w:tcBorders>
              <w:top w:val="single" w:sz="5" w:space="0" w:color="000000"/>
              <w:left w:val="single" w:sz="5" w:space="0" w:color="000000"/>
              <w:bottom w:val="single" w:sz="5" w:space="0" w:color="000000"/>
              <w:right w:val="single" w:sz="5" w:space="0" w:color="000000"/>
            </w:tcBorders>
            <w:shd w:val="clear" w:color="auto" w:fill="BEBEBE"/>
          </w:tcPr>
          <w:p>
            <w:pPr>
              <w:pStyle w:val="TableParagraph"/>
              <w:spacing w:before="1"/>
              <w:ind w:right="19"/>
              <w:jc w:val="right"/>
              <w:rPr>
                <w:rFonts w:ascii="Arial"/>
                <w:b/>
                <w:sz w:val="15"/>
              </w:rPr>
            </w:pPr>
            <w:r>
              <w:rPr>
                <w:rFonts w:ascii="Arial"/>
                <w:b/>
                <w:sz w:val="15"/>
              </w:rPr>
              <w:t>2000</w:t>
            </w:r>
          </w:p>
        </w:tc>
        <w:tc>
          <w:tcPr>
            <w:tcW w:w="1215" w:type="dxa"/>
            <w:tcBorders>
              <w:top w:val="single" w:sz="5" w:space="0" w:color="000000"/>
              <w:left w:val="single" w:sz="5" w:space="0" w:color="000000"/>
              <w:bottom w:val="single" w:sz="5" w:space="0" w:color="000000"/>
              <w:right w:val="single" w:sz="5" w:space="0" w:color="000000"/>
            </w:tcBorders>
            <w:shd w:val="clear" w:color="auto" w:fill="BEBEBE"/>
          </w:tcPr>
          <w:p>
            <w:pPr>
              <w:pStyle w:val="TableParagraph"/>
              <w:spacing w:before="1"/>
              <w:ind w:right="19"/>
              <w:jc w:val="right"/>
              <w:rPr>
                <w:rFonts w:ascii="Arial"/>
                <w:b/>
                <w:sz w:val="15"/>
              </w:rPr>
            </w:pPr>
            <w:r>
              <w:rPr>
                <w:rFonts w:ascii="Arial"/>
                <w:b/>
                <w:sz w:val="15"/>
              </w:rPr>
              <w:t>2010</w:t>
            </w:r>
          </w:p>
        </w:tc>
        <w:tc>
          <w:tcPr>
            <w:tcW w:w="1551" w:type="dxa"/>
            <w:tcBorders>
              <w:top w:val="single" w:sz="5" w:space="0" w:color="000000"/>
              <w:left w:val="single" w:sz="5" w:space="0" w:color="000000"/>
              <w:bottom w:val="single" w:sz="5" w:space="0" w:color="000000"/>
              <w:right w:val="single" w:sz="5" w:space="0" w:color="000000"/>
            </w:tcBorders>
            <w:shd w:val="clear" w:color="auto" w:fill="BEBEBE"/>
          </w:tcPr>
          <w:p>
            <w:pPr>
              <w:pStyle w:val="TableParagraph"/>
              <w:spacing w:before="1"/>
              <w:ind w:right="19"/>
              <w:jc w:val="right"/>
              <w:rPr>
                <w:rFonts w:ascii="Arial"/>
                <w:b/>
                <w:sz w:val="15"/>
              </w:rPr>
            </w:pPr>
            <w:r>
              <w:rPr>
                <w:rFonts w:ascii="Arial"/>
                <w:b/>
                <w:sz w:val="15"/>
              </w:rPr>
              <w:t>1990</w:t>
            </w:r>
          </w:p>
        </w:tc>
        <w:tc>
          <w:tcPr>
            <w:tcW w:w="913" w:type="dxa"/>
            <w:tcBorders>
              <w:top w:val="single" w:sz="5" w:space="0" w:color="000000"/>
              <w:left w:val="single" w:sz="5" w:space="0" w:color="000000"/>
              <w:bottom w:val="single" w:sz="5" w:space="0" w:color="000000"/>
              <w:right w:val="single" w:sz="5" w:space="0" w:color="000000"/>
            </w:tcBorders>
            <w:shd w:val="clear" w:color="auto" w:fill="BEBEBE"/>
          </w:tcPr>
          <w:p>
            <w:pPr>
              <w:pStyle w:val="TableParagraph"/>
              <w:spacing w:before="1"/>
              <w:ind w:right="19"/>
              <w:jc w:val="right"/>
              <w:rPr>
                <w:rFonts w:ascii="Arial"/>
                <w:b/>
                <w:sz w:val="15"/>
              </w:rPr>
            </w:pPr>
            <w:r>
              <w:rPr>
                <w:rFonts w:ascii="Arial"/>
                <w:b/>
                <w:sz w:val="15"/>
              </w:rPr>
              <w:t>2000</w:t>
            </w:r>
          </w:p>
        </w:tc>
        <w:tc>
          <w:tcPr>
            <w:tcW w:w="1526" w:type="dxa"/>
            <w:tcBorders>
              <w:top w:val="single" w:sz="5" w:space="0" w:color="000000"/>
              <w:left w:val="single" w:sz="5" w:space="0" w:color="000000"/>
              <w:bottom w:val="single" w:sz="5" w:space="0" w:color="000000"/>
              <w:right w:val="single" w:sz="7" w:space="0" w:color="000000"/>
            </w:tcBorders>
            <w:shd w:val="clear" w:color="auto" w:fill="BEBEBE"/>
          </w:tcPr>
          <w:p>
            <w:pPr>
              <w:pStyle w:val="TableParagraph"/>
              <w:spacing w:before="1"/>
              <w:ind w:right="13"/>
              <w:jc w:val="right"/>
              <w:rPr>
                <w:rFonts w:ascii="Arial"/>
                <w:b/>
                <w:sz w:val="15"/>
              </w:rPr>
            </w:pPr>
            <w:r>
              <w:rPr>
                <w:rFonts w:ascii="Arial"/>
                <w:b/>
                <w:sz w:val="15"/>
              </w:rPr>
              <w:t>2010</w:t>
            </w:r>
          </w:p>
        </w:tc>
      </w:tr>
      <w:tr>
        <w:trPr>
          <w:trHeight w:val="555" w:hRule="exact"/>
        </w:trPr>
        <w:tc>
          <w:tcPr>
            <w:tcW w:w="1406" w:type="dxa"/>
            <w:tcBorders>
              <w:top w:val="single" w:sz="5" w:space="0" w:color="000000"/>
              <w:left w:val="single" w:sz="7" w:space="0" w:color="000000"/>
              <w:bottom w:val="single" w:sz="5" w:space="0" w:color="000000"/>
              <w:right w:val="single" w:sz="5" w:space="0" w:color="000000"/>
            </w:tcBorders>
          </w:tcPr>
          <w:p>
            <w:pPr>
              <w:pStyle w:val="TableParagraph"/>
              <w:rPr>
                <w:rFonts w:ascii="Arial"/>
                <w:sz w:val="12"/>
              </w:rPr>
            </w:pPr>
          </w:p>
          <w:p>
            <w:pPr>
              <w:pStyle w:val="TableParagraph"/>
              <w:spacing w:line="256" w:lineRule="auto" w:before="88"/>
              <w:ind w:left="12" w:right="3"/>
              <w:rPr>
                <w:rFonts w:ascii="Arial" w:hAnsi="Arial"/>
                <w:sz w:val="13"/>
              </w:rPr>
            </w:pPr>
            <w:r>
              <w:rPr>
                <w:rFonts w:ascii="Arial" w:hAnsi="Arial"/>
                <w:sz w:val="13"/>
              </w:rPr>
              <w:t>Techo lamina, cartón, desechos</w:t>
            </w:r>
          </w:p>
        </w:tc>
        <w:tc>
          <w:tcPr>
            <w:tcW w:w="1104" w:type="dxa"/>
            <w:tcBorders>
              <w:top w:val="single" w:sz="5" w:space="0" w:color="000000"/>
              <w:left w:val="single" w:sz="5" w:space="0" w:color="000000"/>
              <w:bottom w:val="single" w:sz="5" w:space="0" w:color="000000"/>
              <w:right w:val="single" w:sz="5" w:space="0" w:color="000000"/>
            </w:tcBorders>
          </w:tcPr>
          <w:p>
            <w:pPr>
              <w:pStyle w:val="TableParagraph"/>
              <w:spacing w:before="66"/>
              <w:ind w:left="114"/>
              <w:rPr>
                <w:rFonts w:ascii="Arial"/>
                <w:sz w:val="13"/>
              </w:rPr>
            </w:pPr>
            <w:r>
              <w:rPr>
                <w:rFonts w:ascii="Arial"/>
                <w:sz w:val="13"/>
              </w:rPr>
              <w:t>Temoaya 18%,</w:t>
            </w:r>
          </w:p>
          <w:p>
            <w:pPr>
              <w:pStyle w:val="TableParagraph"/>
              <w:spacing w:before="10"/>
              <w:ind w:left="36"/>
              <w:rPr>
                <w:rFonts w:ascii="Arial"/>
                <w:sz w:val="13"/>
              </w:rPr>
            </w:pPr>
            <w:r>
              <w:rPr>
                <w:rFonts w:ascii="Arial"/>
                <w:sz w:val="13"/>
              </w:rPr>
              <w:t>Otzolotepec 17%,</w:t>
            </w:r>
          </w:p>
          <w:p>
            <w:pPr>
              <w:pStyle w:val="TableParagraph"/>
              <w:spacing w:before="10"/>
              <w:ind w:left="80"/>
              <w:rPr>
                <w:rFonts w:ascii="Arial" w:hAnsi="Arial"/>
                <w:sz w:val="13"/>
              </w:rPr>
            </w:pPr>
            <w:r>
              <w:rPr>
                <w:rFonts w:ascii="Arial" w:hAnsi="Arial"/>
                <w:sz w:val="13"/>
              </w:rPr>
              <w:t>Xonacatlán 16%</w:t>
            </w:r>
          </w:p>
        </w:tc>
        <w:tc>
          <w:tcPr>
            <w:tcW w:w="1104"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rPr>
                <w:rFonts w:ascii="Arial"/>
                <w:sz w:val="12"/>
              </w:rPr>
            </w:pPr>
          </w:p>
          <w:p>
            <w:pPr>
              <w:pStyle w:val="TableParagraph"/>
              <w:spacing w:before="10"/>
              <w:rPr>
                <w:rFonts w:ascii="Arial"/>
                <w:sz w:val="9"/>
              </w:rPr>
            </w:pPr>
          </w:p>
          <w:p>
            <w:pPr>
              <w:pStyle w:val="TableParagraph"/>
              <w:ind w:left="18"/>
              <w:rPr>
                <w:rFonts w:ascii="Arial"/>
                <w:sz w:val="13"/>
              </w:rPr>
            </w:pPr>
            <w:r>
              <w:rPr>
                <w:rFonts w:ascii="Arial"/>
                <w:sz w:val="13"/>
              </w:rPr>
              <w:t>Otzolotepec 13%</w:t>
            </w:r>
          </w:p>
        </w:tc>
        <w:tc>
          <w:tcPr>
            <w:tcW w:w="1215" w:type="dxa"/>
            <w:tcBorders>
              <w:top w:val="single" w:sz="5" w:space="0" w:color="000000"/>
              <w:left w:val="single" w:sz="5" w:space="0" w:color="000000"/>
              <w:bottom w:val="single" w:sz="5" w:space="0" w:color="000000"/>
              <w:right w:val="single" w:sz="5" w:space="0" w:color="000000"/>
            </w:tcBorders>
          </w:tcPr>
          <w:p>
            <w:pPr/>
          </w:p>
        </w:tc>
        <w:tc>
          <w:tcPr>
            <w:tcW w:w="1551"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rPr>
                <w:rFonts w:ascii="Arial"/>
                <w:sz w:val="12"/>
              </w:rPr>
            </w:pPr>
          </w:p>
          <w:p>
            <w:pPr>
              <w:pStyle w:val="TableParagraph"/>
              <w:spacing w:before="10"/>
              <w:rPr>
                <w:rFonts w:ascii="Arial"/>
                <w:sz w:val="9"/>
              </w:rPr>
            </w:pPr>
          </w:p>
          <w:p>
            <w:pPr>
              <w:pStyle w:val="TableParagraph"/>
              <w:ind w:left="18"/>
              <w:rPr>
                <w:rFonts w:ascii="Arial"/>
                <w:sz w:val="13"/>
              </w:rPr>
            </w:pPr>
            <w:r>
              <w:rPr>
                <w:rFonts w:ascii="Arial"/>
                <w:sz w:val="13"/>
              </w:rPr>
              <w:t>Metepec 3%</w:t>
            </w:r>
          </w:p>
        </w:tc>
        <w:tc>
          <w:tcPr>
            <w:tcW w:w="913"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rPr>
                <w:rFonts w:ascii="Arial"/>
                <w:sz w:val="12"/>
              </w:rPr>
            </w:pPr>
          </w:p>
          <w:p>
            <w:pPr>
              <w:pStyle w:val="TableParagraph"/>
              <w:spacing w:before="10"/>
              <w:rPr>
                <w:rFonts w:ascii="Arial"/>
                <w:sz w:val="9"/>
              </w:rPr>
            </w:pPr>
          </w:p>
          <w:p>
            <w:pPr>
              <w:pStyle w:val="TableParagraph"/>
              <w:ind w:left="18"/>
              <w:rPr>
                <w:rFonts w:ascii="Arial"/>
                <w:sz w:val="13"/>
              </w:rPr>
            </w:pPr>
            <w:r>
              <w:rPr>
                <w:rFonts w:ascii="Arial"/>
                <w:sz w:val="13"/>
              </w:rPr>
              <w:t>Metepec 1%</w:t>
            </w:r>
          </w:p>
        </w:tc>
        <w:tc>
          <w:tcPr>
            <w:tcW w:w="1526" w:type="dxa"/>
            <w:tcBorders>
              <w:top w:val="single" w:sz="5" w:space="0" w:color="000000"/>
              <w:left w:val="single" w:sz="5" w:space="0" w:color="000000"/>
              <w:bottom w:val="single" w:sz="5" w:space="0" w:color="000000"/>
              <w:right w:val="single" w:sz="7" w:space="0" w:color="000000"/>
            </w:tcBorders>
          </w:tcPr>
          <w:p>
            <w:pPr/>
          </w:p>
        </w:tc>
      </w:tr>
      <w:tr>
        <w:trPr>
          <w:trHeight w:val="980" w:hRule="exact"/>
        </w:trPr>
        <w:tc>
          <w:tcPr>
            <w:tcW w:w="1406" w:type="dxa"/>
            <w:tcBorders>
              <w:top w:val="single" w:sz="5" w:space="0" w:color="000000"/>
              <w:left w:val="single" w:sz="7" w:space="0" w:color="000000"/>
              <w:bottom w:val="single" w:sz="5" w:space="0" w:color="000000"/>
              <w:right w:val="single" w:sz="5" w:space="0" w:color="000000"/>
            </w:tcBorders>
          </w:tcPr>
          <w:p>
            <w:pPr>
              <w:pStyle w:val="TableParagraph"/>
              <w:rPr>
                <w:rFonts w:ascii="Arial"/>
                <w:sz w:val="12"/>
              </w:rPr>
            </w:pPr>
          </w:p>
          <w:p>
            <w:pPr>
              <w:pStyle w:val="TableParagraph"/>
              <w:rPr>
                <w:rFonts w:ascii="Arial"/>
                <w:sz w:val="12"/>
              </w:rPr>
            </w:pPr>
          </w:p>
          <w:p>
            <w:pPr>
              <w:pStyle w:val="TableParagraph"/>
              <w:rPr>
                <w:rFonts w:ascii="Arial"/>
                <w:sz w:val="12"/>
              </w:rPr>
            </w:pPr>
          </w:p>
          <w:p>
            <w:pPr>
              <w:pStyle w:val="TableParagraph"/>
              <w:rPr>
                <w:rFonts w:ascii="Arial"/>
                <w:sz w:val="12"/>
              </w:rPr>
            </w:pPr>
          </w:p>
          <w:p>
            <w:pPr>
              <w:pStyle w:val="TableParagraph"/>
              <w:spacing w:line="256" w:lineRule="auto" w:before="100"/>
              <w:ind w:left="12" w:right="3"/>
              <w:rPr>
                <w:rFonts w:ascii="Arial" w:hAnsi="Arial"/>
                <w:sz w:val="13"/>
              </w:rPr>
            </w:pPr>
            <w:r>
              <w:rPr>
                <w:rFonts w:ascii="Arial" w:hAnsi="Arial"/>
                <w:sz w:val="13"/>
              </w:rPr>
              <w:t>Paredes desechos, lamina, cartón</w:t>
            </w:r>
          </w:p>
        </w:tc>
        <w:tc>
          <w:tcPr>
            <w:tcW w:w="1104" w:type="dxa"/>
            <w:tcBorders>
              <w:top w:val="single" w:sz="5" w:space="0" w:color="000000"/>
              <w:left w:val="single" w:sz="5" w:space="0" w:color="000000"/>
              <w:bottom w:val="single" w:sz="5" w:space="0" w:color="000000"/>
              <w:right w:val="single" w:sz="5" w:space="0" w:color="000000"/>
            </w:tcBorders>
          </w:tcPr>
          <w:p>
            <w:pPr>
              <w:pStyle w:val="TableParagraph"/>
              <w:spacing w:before="10"/>
              <w:rPr>
                <w:rFonts w:ascii="Arial"/>
                <w:sz w:val="14"/>
              </w:rPr>
            </w:pPr>
          </w:p>
          <w:p>
            <w:pPr>
              <w:pStyle w:val="TableParagraph"/>
              <w:spacing w:line="256" w:lineRule="auto"/>
              <w:ind w:left="87" w:right="81"/>
              <w:jc w:val="center"/>
              <w:rPr>
                <w:rFonts w:ascii="Arial"/>
                <w:sz w:val="13"/>
              </w:rPr>
            </w:pPr>
            <w:r>
              <w:rPr>
                <w:rFonts w:ascii="Arial"/>
                <w:sz w:val="13"/>
              </w:rPr>
              <w:t>San Antonio la Isla 1%,</w:t>
            </w:r>
          </w:p>
          <w:p>
            <w:pPr>
              <w:pStyle w:val="TableParagraph"/>
              <w:ind w:left="1" w:right="2"/>
              <w:jc w:val="center"/>
              <w:rPr>
                <w:rFonts w:ascii="Arial"/>
                <w:sz w:val="13"/>
              </w:rPr>
            </w:pPr>
            <w:r>
              <w:rPr>
                <w:rFonts w:ascii="Arial"/>
                <w:sz w:val="13"/>
              </w:rPr>
              <w:t>Mexicaltzingo 1%,</w:t>
            </w:r>
          </w:p>
          <w:p>
            <w:pPr>
              <w:pStyle w:val="TableParagraph"/>
              <w:spacing w:before="10"/>
              <w:ind w:left="87" w:right="86"/>
              <w:jc w:val="center"/>
              <w:rPr>
                <w:rFonts w:ascii="Arial"/>
                <w:sz w:val="13"/>
              </w:rPr>
            </w:pPr>
            <w:r>
              <w:rPr>
                <w:rFonts w:ascii="Arial"/>
                <w:sz w:val="13"/>
              </w:rPr>
              <w:t>Temoaya 1%,</w:t>
            </w:r>
          </w:p>
          <w:p>
            <w:pPr>
              <w:pStyle w:val="TableParagraph"/>
              <w:spacing w:before="10"/>
              <w:ind w:left="114"/>
              <w:rPr>
                <w:rFonts w:ascii="Arial" w:hAnsi="Arial"/>
                <w:sz w:val="13"/>
              </w:rPr>
            </w:pPr>
            <w:r>
              <w:rPr>
                <w:rFonts w:ascii="Arial" w:hAnsi="Arial"/>
                <w:sz w:val="13"/>
              </w:rPr>
              <w:t>Xonacatlán 1%</w:t>
            </w:r>
          </w:p>
        </w:tc>
        <w:tc>
          <w:tcPr>
            <w:tcW w:w="1104" w:type="dxa"/>
            <w:tcBorders>
              <w:top w:val="single" w:sz="5" w:space="0" w:color="000000"/>
              <w:left w:val="single" w:sz="5" w:space="0" w:color="000000"/>
              <w:bottom w:val="single" w:sz="5" w:space="0" w:color="000000"/>
              <w:right w:val="single" w:sz="5" w:space="0" w:color="000000"/>
            </w:tcBorders>
          </w:tcPr>
          <w:p>
            <w:pPr>
              <w:pStyle w:val="TableParagraph"/>
              <w:spacing w:line="256" w:lineRule="auto" w:before="10"/>
              <w:ind w:left="71" w:right="71"/>
              <w:jc w:val="center"/>
              <w:rPr>
                <w:rFonts w:ascii="Arial" w:hAnsi="Arial"/>
                <w:sz w:val="13"/>
              </w:rPr>
            </w:pPr>
            <w:r>
              <w:rPr>
                <w:rFonts w:ascii="Arial" w:hAnsi="Arial"/>
                <w:sz w:val="13"/>
              </w:rPr>
              <w:t>Temoaya 0.5%, Chapultepec 0.5%, Rayón</w:t>
            </w:r>
          </w:p>
          <w:p>
            <w:pPr>
              <w:pStyle w:val="TableParagraph"/>
              <w:ind w:left="71" w:right="68"/>
              <w:jc w:val="center"/>
              <w:rPr>
                <w:rFonts w:ascii="Arial"/>
                <w:sz w:val="13"/>
              </w:rPr>
            </w:pPr>
            <w:r>
              <w:rPr>
                <w:rFonts w:ascii="Arial"/>
                <w:sz w:val="13"/>
              </w:rPr>
              <w:t>0.5%, San</w:t>
            </w:r>
          </w:p>
          <w:p>
            <w:pPr>
              <w:pStyle w:val="TableParagraph"/>
              <w:spacing w:line="256" w:lineRule="auto" w:before="10"/>
              <w:ind w:left="71" w:right="69"/>
              <w:jc w:val="center"/>
              <w:rPr>
                <w:rFonts w:ascii="Arial"/>
                <w:sz w:val="13"/>
              </w:rPr>
            </w:pPr>
            <w:r>
              <w:rPr>
                <w:rFonts w:ascii="Arial"/>
                <w:sz w:val="13"/>
              </w:rPr>
              <w:t>Antonio la Isla 0.5%</w:t>
            </w:r>
          </w:p>
        </w:tc>
        <w:tc>
          <w:tcPr>
            <w:tcW w:w="1215" w:type="dxa"/>
            <w:tcBorders>
              <w:top w:val="single" w:sz="5" w:space="0" w:color="000000"/>
              <w:left w:val="single" w:sz="5" w:space="0" w:color="000000"/>
              <w:bottom w:val="single" w:sz="5" w:space="0" w:color="000000"/>
              <w:right w:val="single" w:sz="5" w:space="0" w:color="000000"/>
            </w:tcBorders>
          </w:tcPr>
          <w:p>
            <w:pPr/>
          </w:p>
        </w:tc>
        <w:tc>
          <w:tcPr>
            <w:tcW w:w="1551"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spacing w:before="9"/>
              <w:rPr>
                <w:rFonts w:ascii="Arial"/>
                <w:sz w:val="16"/>
              </w:rPr>
            </w:pPr>
          </w:p>
          <w:p>
            <w:pPr>
              <w:pStyle w:val="TableParagraph"/>
              <w:ind w:left="4"/>
              <w:jc w:val="center"/>
              <w:rPr>
                <w:rFonts w:ascii="Arial"/>
                <w:sz w:val="13"/>
              </w:rPr>
            </w:pPr>
            <w:r>
              <w:rPr>
                <w:rFonts w:ascii="Arial"/>
                <w:sz w:val="13"/>
              </w:rPr>
              <w:t>Calimaya 0.5%,</w:t>
            </w:r>
          </w:p>
          <w:p>
            <w:pPr>
              <w:pStyle w:val="TableParagraph"/>
              <w:spacing w:before="10"/>
              <w:ind w:left="3"/>
              <w:jc w:val="center"/>
              <w:rPr>
                <w:rFonts w:ascii="Arial"/>
                <w:sz w:val="13"/>
              </w:rPr>
            </w:pPr>
            <w:r>
              <w:rPr>
                <w:rFonts w:ascii="Arial"/>
                <w:sz w:val="13"/>
              </w:rPr>
              <w:t>Chapultepec 0.5%, Lerma</w:t>
            </w:r>
          </w:p>
          <w:p>
            <w:pPr>
              <w:pStyle w:val="TableParagraph"/>
              <w:spacing w:before="10"/>
              <w:ind w:left="4"/>
              <w:jc w:val="center"/>
              <w:rPr>
                <w:rFonts w:ascii="Arial"/>
                <w:sz w:val="13"/>
              </w:rPr>
            </w:pPr>
            <w:r>
              <w:rPr>
                <w:rFonts w:ascii="Arial"/>
                <w:sz w:val="13"/>
              </w:rPr>
              <w:t>0.5%, Ocoyoacac 0.5%,</w:t>
            </w:r>
          </w:p>
          <w:p>
            <w:pPr>
              <w:pStyle w:val="TableParagraph"/>
              <w:spacing w:before="10"/>
              <w:ind w:left="7"/>
              <w:jc w:val="center"/>
              <w:rPr>
                <w:rFonts w:ascii="Arial" w:hAnsi="Arial"/>
                <w:sz w:val="13"/>
              </w:rPr>
            </w:pPr>
            <w:r>
              <w:rPr>
                <w:rFonts w:ascii="Arial" w:hAnsi="Arial"/>
                <w:sz w:val="13"/>
              </w:rPr>
              <w:t>Rayón 0.5%</w:t>
            </w:r>
          </w:p>
        </w:tc>
        <w:tc>
          <w:tcPr>
            <w:tcW w:w="913"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spacing w:before="9"/>
              <w:rPr>
                <w:rFonts w:ascii="Arial"/>
                <w:sz w:val="16"/>
              </w:rPr>
            </w:pPr>
          </w:p>
          <w:p>
            <w:pPr>
              <w:pStyle w:val="TableParagraph"/>
              <w:spacing w:line="256" w:lineRule="auto"/>
              <w:ind w:left="30" w:right="28"/>
              <w:jc w:val="center"/>
              <w:rPr>
                <w:rFonts w:ascii="Arial"/>
                <w:sz w:val="13"/>
              </w:rPr>
            </w:pPr>
            <w:r>
              <w:rPr>
                <w:rFonts w:ascii="Arial"/>
                <w:w w:val="95"/>
                <w:sz w:val="13"/>
              </w:rPr>
              <w:t>Mexicaltzingo </w:t>
            </w:r>
            <w:r>
              <w:rPr>
                <w:rFonts w:ascii="Arial"/>
                <w:sz w:val="13"/>
              </w:rPr>
              <w:t>0.4%, San</w:t>
            </w:r>
          </w:p>
          <w:p>
            <w:pPr>
              <w:pStyle w:val="TableParagraph"/>
              <w:spacing w:line="256" w:lineRule="auto"/>
              <w:ind w:left="31" w:right="28"/>
              <w:jc w:val="center"/>
              <w:rPr>
                <w:rFonts w:ascii="Arial"/>
                <w:sz w:val="13"/>
              </w:rPr>
            </w:pPr>
            <w:r>
              <w:rPr>
                <w:rFonts w:ascii="Arial"/>
                <w:sz w:val="13"/>
              </w:rPr>
              <w:t>Mateo Atenco 0.5%</w:t>
            </w:r>
          </w:p>
        </w:tc>
        <w:tc>
          <w:tcPr>
            <w:tcW w:w="1526" w:type="dxa"/>
            <w:tcBorders>
              <w:top w:val="single" w:sz="5" w:space="0" w:color="000000"/>
              <w:left w:val="single" w:sz="5" w:space="0" w:color="000000"/>
              <w:bottom w:val="single" w:sz="5" w:space="0" w:color="000000"/>
              <w:right w:val="single" w:sz="7" w:space="0" w:color="000000"/>
            </w:tcBorders>
          </w:tcPr>
          <w:p>
            <w:pPr/>
          </w:p>
        </w:tc>
      </w:tr>
      <w:tr>
        <w:trPr>
          <w:trHeight w:val="666" w:hRule="exact"/>
        </w:trPr>
        <w:tc>
          <w:tcPr>
            <w:tcW w:w="1406" w:type="dxa"/>
            <w:tcBorders>
              <w:top w:val="single" w:sz="5" w:space="0" w:color="000000"/>
              <w:left w:val="single" w:sz="7" w:space="0" w:color="000000"/>
              <w:bottom w:val="single" w:sz="5" w:space="0" w:color="000000"/>
              <w:right w:val="single" w:sz="5" w:space="0" w:color="000000"/>
            </w:tcBorders>
          </w:tcPr>
          <w:p>
            <w:pPr>
              <w:pStyle w:val="TableParagraph"/>
              <w:rPr>
                <w:rFonts w:ascii="Arial"/>
                <w:sz w:val="12"/>
              </w:rPr>
            </w:pPr>
          </w:p>
          <w:p>
            <w:pPr>
              <w:pStyle w:val="TableParagraph"/>
              <w:rPr>
                <w:rFonts w:ascii="Arial"/>
                <w:sz w:val="12"/>
              </w:rPr>
            </w:pPr>
          </w:p>
          <w:p>
            <w:pPr>
              <w:pStyle w:val="TableParagraph"/>
              <w:rPr>
                <w:rFonts w:ascii="Arial"/>
                <w:sz w:val="12"/>
              </w:rPr>
            </w:pPr>
          </w:p>
          <w:p>
            <w:pPr>
              <w:pStyle w:val="TableParagraph"/>
              <w:spacing w:before="87"/>
              <w:ind w:left="12" w:right="342"/>
              <w:rPr>
                <w:rFonts w:ascii="Arial"/>
                <w:sz w:val="13"/>
              </w:rPr>
            </w:pPr>
            <w:r>
              <w:rPr>
                <w:rFonts w:ascii="Arial"/>
                <w:sz w:val="13"/>
              </w:rPr>
              <w:t>Piso de Tierra</w:t>
            </w:r>
          </w:p>
        </w:tc>
        <w:tc>
          <w:tcPr>
            <w:tcW w:w="1104" w:type="dxa"/>
            <w:tcBorders>
              <w:top w:val="single" w:sz="5" w:space="0" w:color="000000"/>
              <w:left w:val="single" w:sz="5" w:space="0" w:color="000000"/>
              <w:bottom w:val="single" w:sz="5" w:space="0" w:color="000000"/>
              <w:right w:val="single" w:sz="5" w:space="0" w:color="000000"/>
            </w:tcBorders>
          </w:tcPr>
          <w:p>
            <w:pPr>
              <w:pStyle w:val="TableParagraph"/>
              <w:spacing w:line="256" w:lineRule="auto" w:before="16"/>
              <w:ind w:left="191" w:hanging="78"/>
              <w:rPr>
                <w:rFonts w:ascii="Arial" w:hAnsi="Arial"/>
                <w:sz w:val="13"/>
              </w:rPr>
            </w:pPr>
            <w:r>
              <w:rPr>
                <w:rFonts w:ascii="Arial" w:hAnsi="Arial"/>
                <w:sz w:val="13"/>
              </w:rPr>
              <w:t>Temoaya 51%, Almoloya de Juárez 40%,</w:t>
            </w:r>
          </w:p>
          <w:p>
            <w:pPr>
              <w:pStyle w:val="TableParagraph"/>
              <w:ind w:left="55"/>
              <w:rPr>
                <w:rFonts w:ascii="Arial"/>
                <w:sz w:val="13"/>
              </w:rPr>
            </w:pPr>
            <w:r>
              <w:rPr>
                <w:rFonts w:ascii="Arial"/>
                <w:sz w:val="13"/>
              </w:rPr>
              <w:t>Otzolotepec 40%</w:t>
            </w:r>
          </w:p>
        </w:tc>
        <w:tc>
          <w:tcPr>
            <w:tcW w:w="1104" w:type="dxa"/>
            <w:tcBorders>
              <w:top w:val="single" w:sz="5" w:space="0" w:color="000000"/>
              <w:left w:val="single" w:sz="5" w:space="0" w:color="000000"/>
              <w:bottom w:val="single" w:sz="5" w:space="0" w:color="000000"/>
              <w:right w:val="single" w:sz="5" w:space="0" w:color="000000"/>
            </w:tcBorders>
          </w:tcPr>
          <w:p>
            <w:pPr>
              <w:pStyle w:val="TableParagraph"/>
              <w:spacing w:line="256" w:lineRule="auto" w:before="16"/>
              <w:ind w:left="191" w:hanging="78"/>
              <w:rPr>
                <w:rFonts w:ascii="Arial" w:hAnsi="Arial"/>
                <w:sz w:val="13"/>
              </w:rPr>
            </w:pPr>
            <w:r>
              <w:rPr>
                <w:rFonts w:ascii="Arial" w:hAnsi="Arial"/>
                <w:sz w:val="13"/>
              </w:rPr>
              <w:t>Temoaya 37%, Almoloya de Juárez 22%,</w:t>
            </w:r>
          </w:p>
          <w:p>
            <w:pPr>
              <w:pStyle w:val="TableParagraph"/>
              <w:ind w:left="55"/>
              <w:rPr>
                <w:rFonts w:ascii="Arial"/>
                <w:sz w:val="13"/>
              </w:rPr>
            </w:pPr>
            <w:r>
              <w:rPr>
                <w:rFonts w:ascii="Arial"/>
                <w:sz w:val="13"/>
              </w:rPr>
              <w:t>Otzolotepec 22%</w:t>
            </w:r>
          </w:p>
        </w:tc>
        <w:tc>
          <w:tcPr>
            <w:tcW w:w="1215"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spacing w:before="4"/>
              <w:rPr>
                <w:rFonts w:ascii="Arial"/>
                <w:sz w:val="17"/>
              </w:rPr>
            </w:pPr>
          </w:p>
          <w:p>
            <w:pPr>
              <w:pStyle w:val="TableParagraph"/>
              <w:ind w:left="169"/>
              <w:rPr>
                <w:rFonts w:ascii="Arial"/>
                <w:sz w:val="13"/>
              </w:rPr>
            </w:pPr>
            <w:r>
              <w:rPr>
                <w:rFonts w:ascii="Arial"/>
                <w:sz w:val="13"/>
              </w:rPr>
              <w:t>Temoaya 15%,</w:t>
            </w:r>
          </w:p>
          <w:p>
            <w:pPr>
              <w:pStyle w:val="TableParagraph"/>
              <w:spacing w:before="10"/>
              <w:ind w:left="110"/>
              <w:rPr>
                <w:rFonts w:ascii="Arial"/>
                <w:sz w:val="13"/>
              </w:rPr>
            </w:pPr>
            <w:r>
              <w:rPr>
                <w:rFonts w:ascii="Arial"/>
                <w:sz w:val="13"/>
              </w:rPr>
              <w:t>Otzolotepec 13%</w:t>
            </w:r>
          </w:p>
        </w:tc>
        <w:tc>
          <w:tcPr>
            <w:tcW w:w="1551"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rPr>
                <w:rFonts w:ascii="Arial"/>
                <w:sz w:val="12"/>
              </w:rPr>
            </w:pPr>
          </w:p>
          <w:p>
            <w:pPr>
              <w:pStyle w:val="TableParagraph"/>
              <w:rPr>
                <w:rFonts w:ascii="Arial"/>
                <w:sz w:val="12"/>
              </w:rPr>
            </w:pPr>
          </w:p>
          <w:p>
            <w:pPr>
              <w:pStyle w:val="TableParagraph"/>
              <w:spacing w:before="87"/>
              <w:ind w:left="18"/>
              <w:rPr>
                <w:rFonts w:ascii="Arial"/>
                <w:sz w:val="13"/>
              </w:rPr>
            </w:pPr>
            <w:r>
              <w:rPr>
                <w:rFonts w:ascii="Arial"/>
                <w:sz w:val="13"/>
              </w:rPr>
              <w:t>Metepec 7%</w:t>
            </w:r>
          </w:p>
        </w:tc>
        <w:tc>
          <w:tcPr>
            <w:tcW w:w="913"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rPr>
                <w:rFonts w:ascii="Arial"/>
                <w:sz w:val="12"/>
              </w:rPr>
            </w:pPr>
          </w:p>
          <w:p>
            <w:pPr>
              <w:pStyle w:val="TableParagraph"/>
              <w:rPr>
                <w:rFonts w:ascii="Arial"/>
                <w:sz w:val="12"/>
              </w:rPr>
            </w:pPr>
          </w:p>
          <w:p>
            <w:pPr>
              <w:pStyle w:val="TableParagraph"/>
              <w:spacing w:before="87"/>
              <w:ind w:left="18"/>
              <w:rPr>
                <w:rFonts w:ascii="Arial"/>
                <w:sz w:val="13"/>
              </w:rPr>
            </w:pPr>
            <w:r>
              <w:rPr>
                <w:rFonts w:ascii="Arial"/>
                <w:sz w:val="13"/>
              </w:rPr>
              <w:t>Metepec 3%</w:t>
            </w:r>
          </w:p>
        </w:tc>
        <w:tc>
          <w:tcPr>
            <w:tcW w:w="1526" w:type="dxa"/>
            <w:tcBorders>
              <w:top w:val="single" w:sz="5" w:space="0" w:color="000000"/>
              <w:left w:val="single" w:sz="5" w:space="0" w:color="000000"/>
              <w:bottom w:val="single" w:sz="5" w:space="0" w:color="000000"/>
              <w:right w:val="single" w:sz="7" w:space="0" w:color="000000"/>
            </w:tcBorders>
          </w:tcPr>
          <w:p>
            <w:pPr>
              <w:pStyle w:val="TableParagraph"/>
              <w:rPr>
                <w:rFonts w:ascii="Arial"/>
                <w:sz w:val="12"/>
              </w:rPr>
            </w:pPr>
          </w:p>
          <w:p>
            <w:pPr>
              <w:pStyle w:val="TableParagraph"/>
              <w:spacing w:before="4"/>
              <w:rPr>
                <w:rFonts w:ascii="Arial"/>
                <w:sz w:val="17"/>
              </w:rPr>
            </w:pPr>
          </w:p>
          <w:p>
            <w:pPr>
              <w:pStyle w:val="TableParagraph"/>
              <w:ind w:left="13" w:right="7"/>
              <w:jc w:val="center"/>
              <w:rPr>
                <w:rFonts w:ascii="Arial" w:hAnsi="Arial"/>
                <w:sz w:val="13"/>
              </w:rPr>
            </w:pPr>
            <w:r>
              <w:rPr>
                <w:rFonts w:ascii="Arial" w:hAnsi="Arial"/>
                <w:sz w:val="13"/>
              </w:rPr>
              <w:t>Chapultepec 3%, Rayón</w:t>
            </w:r>
          </w:p>
          <w:p>
            <w:pPr>
              <w:pStyle w:val="TableParagraph"/>
              <w:spacing w:before="10"/>
              <w:ind w:left="13" w:right="7"/>
              <w:jc w:val="center"/>
              <w:rPr>
                <w:rFonts w:ascii="Arial"/>
                <w:sz w:val="13"/>
              </w:rPr>
            </w:pPr>
            <w:r>
              <w:rPr>
                <w:rFonts w:ascii="Arial"/>
                <w:sz w:val="13"/>
              </w:rPr>
              <w:t>4%</w:t>
            </w:r>
          </w:p>
        </w:tc>
      </w:tr>
      <w:tr>
        <w:trPr>
          <w:trHeight w:val="545" w:hRule="exact"/>
        </w:trPr>
        <w:tc>
          <w:tcPr>
            <w:tcW w:w="1406" w:type="dxa"/>
            <w:tcBorders>
              <w:top w:val="single" w:sz="5" w:space="0" w:color="000000"/>
              <w:left w:val="single" w:sz="7" w:space="0" w:color="000000"/>
              <w:bottom w:val="single" w:sz="5" w:space="0" w:color="000000"/>
              <w:right w:val="single" w:sz="5" w:space="0" w:color="000000"/>
            </w:tcBorders>
          </w:tcPr>
          <w:p>
            <w:pPr>
              <w:pStyle w:val="TableParagraph"/>
              <w:rPr>
                <w:rFonts w:ascii="Arial"/>
                <w:sz w:val="12"/>
              </w:rPr>
            </w:pPr>
          </w:p>
          <w:p>
            <w:pPr>
              <w:pStyle w:val="TableParagraph"/>
              <w:rPr>
                <w:rFonts w:ascii="Arial"/>
                <w:sz w:val="12"/>
              </w:rPr>
            </w:pPr>
          </w:p>
          <w:p>
            <w:pPr>
              <w:pStyle w:val="TableParagraph"/>
              <w:spacing w:before="104"/>
              <w:ind w:left="12" w:right="3"/>
              <w:rPr>
                <w:rFonts w:ascii="Arial"/>
                <w:sz w:val="13"/>
              </w:rPr>
            </w:pPr>
            <w:r>
              <w:rPr>
                <w:rFonts w:ascii="Arial"/>
                <w:sz w:val="13"/>
              </w:rPr>
              <w:t>Viviendas no propias</w:t>
            </w:r>
          </w:p>
        </w:tc>
        <w:tc>
          <w:tcPr>
            <w:tcW w:w="1104" w:type="dxa"/>
            <w:tcBorders>
              <w:top w:val="single" w:sz="5" w:space="0" w:color="000000"/>
              <w:left w:val="single" w:sz="5" w:space="0" w:color="000000"/>
              <w:bottom w:val="single" w:sz="5" w:space="0" w:color="000000"/>
              <w:right w:val="single" w:sz="5" w:space="0" w:color="000000"/>
            </w:tcBorders>
          </w:tcPr>
          <w:p>
            <w:pPr>
              <w:pStyle w:val="TableParagraph"/>
              <w:spacing w:line="256" w:lineRule="auto" w:before="57"/>
              <w:ind w:left="34" w:right="28"/>
              <w:jc w:val="center"/>
              <w:rPr>
                <w:rFonts w:ascii="Arial"/>
                <w:sz w:val="13"/>
              </w:rPr>
            </w:pPr>
            <w:r>
              <w:rPr>
                <w:rFonts w:ascii="Arial"/>
                <w:sz w:val="13"/>
              </w:rPr>
              <w:t>Toluca 25%, San Antonio la Isla 20%</w:t>
            </w:r>
          </w:p>
        </w:tc>
        <w:tc>
          <w:tcPr>
            <w:tcW w:w="1104"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spacing w:before="79"/>
              <w:ind w:left="187"/>
              <w:rPr>
                <w:rFonts w:ascii="Arial"/>
                <w:sz w:val="13"/>
              </w:rPr>
            </w:pPr>
            <w:r>
              <w:rPr>
                <w:rFonts w:ascii="Arial"/>
                <w:sz w:val="13"/>
              </w:rPr>
              <w:t>Toluca 22%,</w:t>
            </w:r>
          </w:p>
          <w:p>
            <w:pPr>
              <w:pStyle w:val="TableParagraph"/>
              <w:spacing w:before="10"/>
              <w:ind w:left="154"/>
              <w:rPr>
                <w:rFonts w:ascii="Arial"/>
                <w:sz w:val="13"/>
              </w:rPr>
            </w:pPr>
            <w:r>
              <w:rPr>
                <w:rFonts w:ascii="Arial"/>
                <w:sz w:val="13"/>
              </w:rPr>
              <w:t>Metepec 22%</w:t>
            </w:r>
          </w:p>
        </w:tc>
        <w:tc>
          <w:tcPr>
            <w:tcW w:w="1215" w:type="dxa"/>
            <w:tcBorders>
              <w:top w:val="single" w:sz="5" w:space="0" w:color="000000"/>
              <w:left w:val="single" w:sz="5" w:space="0" w:color="000000"/>
              <w:bottom w:val="single" w:sz="5" w:space="0" w:color="000000"/>
              <w:right w:val="single" w:sz="5" w:space="0" w:color="000000"/>
            </w:tcBorders>
          </w:tcPr>
          <w:p>
            <w:pPr/>
          </w:p>
        </w:tc>
        <w:tc>
          <w:tcPr>
            <w:tcW w:w="1551"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rPr>
                <w:rFonts w:ascii="Arial"/>
                <w:sz w:val="12"/>
              </w:rPr>
            </w:pPr>
          </w:p>
          <w:p>
            <w:pPr>
              <w:pStyle w:val="TableParagraph"/>
              <w:spacing w:before="104"/>
              <w:ind w:left="18"/>
              <w:rPr>
                <w:rFonts w:ascii="Arial"/>
                <w:sz w:val="13"/>
              </w:rPr>
            </w:pPr>
            <w:r>
              <w:rPr>
                <w:rFonts w:ascii="Arial"/>
                <w:sz w:val="13"/>
              </w:rPr>
              <w:t>Temoaya 4%</w:t>
            </w:r>
          </w:p>
        </w:tc>
        <w:tc>
          <w:tcPr>
            <w:tcW w:w="913"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rPr>
                <w:rFonts w:ascii="Arial"/>
                <w:sz w:val="12"/>
              </w:rPr>
            </w:pPr>
          </w:p>
          <w:p>
            <w:pPr>
              <w:pStyle w:val="TableParagraph"/>
              <w:spacing w:before="104"/>
              <w:ind w:left="18"/>
              <w:rPr>
                <w:rFonts w:ascii="Arial"/>
                <w:sz w:val="13"/>
              </w:rPr>
            </w:pPr>
            <w:r>
              <w:rPr>
                <w:rFonts w:ascii="Arial"/>
                <w:sz w:val="13"/>
              </w:rPr>
              <w:t>Temoaya 8%</w:t>
            </w:r>
          </w:p>
        </w:tc>
        <w:tc>
          <w:tcPr>
            <w:tcW w:w="1526" w:type="dxa"/>
            <w:tcBorders>
              <w:top w:val="single" w:sz="5" w:space="0" w:color="000000"/>
              <w:left w:val="single" w:sz="5" w:space="0" w:color="000000"/>
              <w:bottom w:val="single" w:sz="5" w:space="0" w:color="000000"/>
              <w:right w:val="single" w:sz="7" w:space="0" w:color="000000"/>
            </w:tcBorders>
          </w:tcPr>
          <w:p>
            <w:pPr/>
          </w:p>
        </w:tc>
      </w:tr>
      <w:tr>
        <w:trPr>
          <w:trHeight w:val="832" w:hRule="exact"/>
        </w:trPr>
        <w:tc>
          <w:tcPr>
            <w:tcW w:w="1406" w:type="dxa"/>
            <w:tcBorders>
              <w:top w:val="single" w:sz="5" w:space="0" w:color="000000"/>
              <w:left w:val="single" w:sz="7" w:space="0" w:color="000000"/>
              <w:bottom w:val="single" w:sz="5" w:space="0" w:color="000000"/>
              <w:right w:val="single" w:sz="5" w:space="0" w:color="000000"/>
            </w:tcBorders>
          </w:tcPr>
          <w:p>
            <w:pPr>
              <w:pStyle w:val="TableParagraph"/>
              <w:rPr>
                <w:rFonts w:ascii="Arial"/>
                <w:sz w:val="12"/>
              </w:rPr>
            </w:pPr>
          </w:p>
          <w:p>
            <w:pPr>
              <w:pStyle w:val="TableParagraph"/>
              <w:rPr>
                <w:rFonts w:ascii="Arial"/>
                <w:sz w:val="12"/>
              </w:rPr>
            </w:pPr>
          </w:p>
          <w:p>
            <w:pPr>
              <w:pStyle w:val="TableParagraph"/>
              <w:rPr>
                <w:rFonts w:ascii="Arial"/>
                <w:sz w:val="12"/>
              </w:rPr>
            </w:pPr>
          </w:p>
          <w:p>
            <w:pPr>
              <w:pStyle w:val="TableParagraph"/>
              <w:rPr>
                <w:rFonts w:ascii="Arial"/>
                <w:sz w:val="12"/>
              </w:rPr>
            </w:pPr>
          </w:p>
          <w:p>
            <w:pPr>
              <w:pStyle w:val="TableParagraph"/>
              <w:rPr>
                <w:rFonts w:ascii="Arial"/>
                <w:sz w:val="10"/>
              </w:rPr>
            </w:pPr>
          </w:p>
          <w:p>
            <w:pPr>
              <w:pStyle w:val="TableParagraph"/>
              <w:ind w:left="12" w:right="3"/>
              <w:rPr>
                <w:rFonts w:ascii="Arial"/>
                <w:sz w:val="13"/>
              </w:rPr>
            </w:pPr>
            <w:r>
              <w:rPr>
                <w:rFonts w:ascii="Arial"/>
                <w:sz w:val="13"/>
              </w:rPr>
              <w:t>Vivienda con 1 cuarto</w:t>
            </w:r>
          </w:p>
        </w:tc>
        <w:tc>
          <w:tcPr>
            <w:tcW w:w="1104" w:type="dxa"/>
            <w:tcBorders>
              <w:top w:val="single" w:sz="5" w:space="0" w:color="000000"/>
              <w:left w:val="single" w:sz="5" w:space="0" w:color="000000"/>
              <w:bottom w:val="single" w:sz="5" w:space="0" w:color="000000"/>
              <w:right w:val="single" w:sz="5" w:space="0" w:color="000000"/>
            </w:tcBorders>
          </w:tcPr>
          <w:p>
            <w:pPr>
              <w:pStyle w:val="TableParagraph"/>
              <w:spacing w:before="10"/>
              <w:rPr>
                <w:rFonts w:ascii="Arial"/>
                <w:sz w:val="15"/>
              </w:rPr>
            </w:pPr>
          </w:p>
          <w:p>
            <w:pPr>
              <w:pStyle w:val="TableParagraph"/>
              <w:spacing w:before="1"/>
              <w:ind w:left="87" w:right="88"/>
              <w:jc w:val="center"/>
              <w:rPr>
                <w:rFonts w:ascii="Arial"/>
                <w:sz w:val="13"/>
              </w:rPr>
            </w:pPr>
            <w:r>
              <w:rPr>
                <w:rFonts w:ascii="Arial"/>
                <w:sz w:val="13"/>
              </w:rPr>
              <w:t>Temoaya 10%,</w:t>
            </w:r>
          </w:p>
          <w:p>
            <w:pPr>
              <w:pStyle w:val="TableParagraph"/>
              <w:spacing w:line="256" w:lineRule="auto" w:before="10"/>
              <w:ind w:left="36" w:right="35"/>
              <w:jc w:val="center"/>
              <w:rPr>
                <w:rFonts w:ascii="Arial"/>
                <w:sz w:val="13"/>
              </w:rPr>
            </w:pPr>
            <w:r>
              <w:rPr>
                <w:rFonts w:ascii="Arial"/>
                <w:sz w:val="13"/>
              </w:rPr>
              <w:t>Chapultepec 9%, San Antonio la Isla 8%</w:t>
            </w:r>
          </w:p>
        </w:tc>
        <w:tc>
          <w:tcPr>
            <w:tcW w:w="1104"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rPr>
                <w:rFonts w:ascii="Arial"/>
                <w:sz w:val="12"/>
              </w:rPr>
            </w:pPr>
          </w:p>
          <w:p>
            <w:pPr>
              <w:pStyle w:val="TableParagraph"/>
              <w:rPr>
                <w:rFonts w:ascii="Arial"/>
                <w:sz w:val="12"/>
              </w:rPr>
            </w:pPr>
          </w:p>
          <w:p>
            <w:pPr>
              <w:pStyle w:val="TableParagraph"/>
              <w:spacing w:before="90"/>
              <w:ind w:left="114"/>
              <w:rPr>
                <w:rFonts w:ascii="Arial"/>
                <w:sz w:val="13"/>
              </w:rPr>
            </w:pPr>
            <w:r>
              <w:rPr>
                <w:rFonts w:ascii="Arial"/>
                <w:sz w:val="13"/>
              </w:rPr>
              <w:t>Temoaya 11%,</w:t>
            </w:r>
          </w:p>
          <w:p>
            <w:pPr>
              <w:pStyle w:val="TableParagraph"/>
              <w:spacing w:before="10"/>
              <w:ind w:left="49"/>
              <w:rPr>
                <w:rFonts w:ascii="Arial"/>
                <w:sz w:val="13"/>
              </w:rPr>
            </w:pPr>
            <w:r>
              <w:rPr>
                <w:rFonts w:ascii="Arial"/>
                <w:sz w:val="13"/>
              </w:rPr>
              <w:t>Zinacantepec 9%</w:t>
            </w:r>
          </w:p>
        </w:tc>
        <w:tc>
          <w:tcPr>
            <w:tcW w:w="1215" w:type="dxa"/>
            <w:tcBorders>
              <w:top w:val="single" w:sz="5" w:space="0" w:color="000000"/>
              <w:left w:val="single" w:sz="5" w:space="0" w:color="000000"/>
              <w:bottom w:val="single" w:sz="5" w:space="0" w:color="000000"/>
              <w:right w:val="single" w:sz="5" w:space="0" w:color="000000"/>
            </w:tcBorders>
          </w:tcPr>
          <w:p>
            <w:pPr>
              <w:pStyle w:val="TableParagraph"/>
              <w:spacing w:line="256" w:lineRule="auto" w:before="23"/>
              <w:ind w:left="21" w:right="17" w:firstLine="2"/>
              <w:jc w:val="center"/>
              <w:rPr>
                <w:rFonts w:ascii="Arial" w:hAnsi="Arial"/>
                <w:sz w:val="13"/>
              </w:rPr>
            </w:pPr>
            <w:r>
              <w:rPr>
                <w:rFonts w:ascii="Arial" w:hAnsi="Arial"/>
                <w:sz w:val="13"/>
              </w:rPr>
              <w:t>Mexicaltzingo 6%, Almoloya de Juárez 6%, Ocoyoacac</w:t>
            </w:r>
            <w:r>
              <w:rPr>
                <w:rFonts w:ascii="Arial" w:hAnsi="Arial"/>
                <w:spacing w:val="-19"/>
                <w:sz w:val="13"/>
              </w:rPr>
              <w:t> </w:t>
            </w:r>
            <w:r>
              <w:rPr>
                <w:rFonts w:ascii="Arial" w:hAnsi="Arial"/>
                <w:sz w:val="13"/>
              </w:rPr>
              <w:t>6%, San Mateo Atenco 6%</w:t>
            </w:r>
          </w:p>
        </w:tc>
        <w:tc>
          <w:tcPr>
            <w:tcW w:w="1551"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rPr>
                <w:rFonts w:ascii="Arial"/>
                <w:sz w:val="12"/>
              </w:rPr>
            </w:pPr>
          </w:p>
          <w:p>
            <w:pPr>
              <w:pStyle w:val="TableParagraph"/>
              <w:rPr>
                <w:rFonts w:ascii="Arial"/>
                <w:sz w:val="12"/>
              </w:rPr>
            </w:pPr>
          </w:p>
          <w:p>
            <w:pPr>
              <w:pStyle w:val="TableParagraph"/>
              <w:rPr>
                <w:rFonts w:ascii="Arial"/>
                <w:sz w:val="12"/>
              </w:rPr>
            </w:pPr>
          </w:p>
          <w:p>
            <w:pPr>
              <w:pStyle w:val="TableParagraph"/>
              <w:rPr>
                <w:rFonts w:ascii="Arial"/>
                <w:sz w:val="10"/>
              </w:rPr>
            </w:pPr>
          </w:p>
          <w:p>
            <w:pPr>
              <w:pStyle w:val="TableParagraph"/>
              <w:ind w:left="18"/>
              <w:rPr>
                <w:rFonts w:ascii="Arial"/>
                <w:sz w:val="13"/>
              </w:rPr>
            </w:pPr>
            <w:r>
              <w:rPr>
                <w:rFonts w:ascii="Arial"/>
                <w:sz w:val="13"/>
              </w:rPr>
              <w:t>Metepec 3%</w:t>
            </w:r>
          </w:p>
        </w:tc>
        <w:tc>
          <w:tcPr>
            <w:tcW w:w="913"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rPr>
                <w:rFonts w:ascii="Arial"/>
                <w:sz w:val="12"/>
              </w:rPr>
            </w:pPr>
          </w:p>
          <w:p>
            <w:pPr>
              <w:pStyle w:val="TableParagraph"/>
              <w:rPr>
                <w:rFonts w:ascii="Arial"/>
                <w:sz w:val="12"/>
              </w:rPr>
            </w:pPr>
          </w:p>
          <w:p>
            <w:pPr>
              <w:pStyle w:val="TableParagraph"/>
              <w:rPr>
                <w:rFonts w:ascii="Arial"/>
                <w:sz w:val="12"/>
              </w:rPr>
            </w:pPr>
          </w:p>
          <w:p>
            <w:pPr>
              <w:pStyle w:val="TableParagraph"/>
              <w:rPr>
                <w:rFonts w:ascii="Arial"/>
                <w:sz w:val="10"/>
              </w:rPr>
            </w:pPr>
          </w:p>
          <w:p>
            <w:pPr>
              <w:pStyle w:val="TableParagraph"/>
              <w:ind w:left="18"/>
              <w:rPr>
                <w:rFonts w:ascii="Arial"/>
                <w:sz w:val="13"/>
              </w:rPr>
            </w:pPr>
            <w:r>
              <w:rPr>
                <w:rFonts w:ascii="Arial"/>
                <w:sz w:val="13"/>
              </w:rPr>
              <w:t>Metepec 4%</w:t>
            </w:r>
          </w:p>
        </w:tc>
        <w:tc>
          <w:tcPr>
            <w:tcW w:w="1526" w:type="dxa"/>
            <w:tcBorders>
              <w:top w:val="single" w:sz="5" w:space="0" w:color="000000"/>
              <w:left w:val="single" w:sz="5" w:space="0" w:color="000000"/>
              <w:bottom w:val="single" w:sz="5" w:space="0" w:color="000000"/>
              <w:right w:val="single" w:sz="7" w:space="0" w:color="000000"/>
            </w:tcBorders>
          </w:tcPr>
          <w:p>
            <w:pPr>
              <w:pStyle w:val="TableParagraph"/>
              <w:rPr>
                <w:rFonts w:ascii="Arial"/>
                <w:sz w:val="12"/>
              </w:rPr>
            </w:pPr>
          </w:p>
          <w:p>
            <w:pPr>
              <w:pStyle w:val="TableParagraph"/>
              <w:rPr>
                <w:rFonts w:ascii="Arial"/>
                <w:sz w:val="12"/>
              </w:rPr>
            </w:pPr>
          </w:p>
          <w:p>
            <w:pPr>
              <w:pStyle w:val="TableParagraph"/>
              <w:rPr>
                <w:rFonts w:ascii="Arial"/>
                <w:sz w:val="12"/>
              </w:rPr>
            </w:pPr>
          </w:p>
          <w:p>
            <w:pPr>
              <w:pStyle w:val="TableParagraph"/>
              <w:rPr>
                <w:rFonts w:ascii="Arial"/>
                <w:sz w:val="12"/>
              </w:rPr>
            </w:pPr>
          </w:p>
          <w:p>
            <w:pPr>
              <w:pStyle w:val="TableParagraph"/>
              <w:rPr>
                <w:rFonts w:ascii="Arial"/>
                <w:sz w:val="10"/>
              </w:rPr>
            </w:pPr>
          </w:p>
          <w:p>
            <w:pPr>
              <w:pStyle w:val="TableParagraph"/>
              <w:ind w:left="18"/>
              <w:rPr>
                <w:rFonts w:ascii="Arial"/>
                <w:sz w:val="13"/>
              </w:rPr>
            </w:pPr>
            <w:r>
              <w:rPr>
                <w:rFonts w:ascii="Arial"/>
                <w:sz w:val="13"/>
              </w:rPr>
              <w:t>Metepec 3%</w:t>
            </w:r>
          </w:p>
        </w:tc>
      </w:tr>
      <w:tr>
        <w:trPr>
          <w:trHeight w:val="185" w:hRule="exact"/>
        </w:trPr>
        <w:tc>
          <w:tcPr>
            <w:tcW w:w="1406" w:type="dxa"/>
            <w:tcBorders>
              <w:top w:val="single" w:sz="5" w:space="0" w:color="000000"/>
              <w:left w:val="single" w:sz="7" w:space="0" w:color="000000"/>
              <w:bottom w:val="single" w:sz="5" w:space="0" w:color="000000"/>
              <w:right w:val="single" w:sz="5" w:space="0" w:color="000000"/>
            </w:tcBorders>
          </w:tcPr>
          <w:p>
            <w:pPr>
              <w:pStyle w:val="TableParagraph"/>
              <w:spacing w:before="20"/>
              <w:ind w:left="12" w:right="3"/>
              <w:rPr>
                <w:rFonts w:ascii="Arial"/>
                <w:sz w:val="13"/>
              </w:rPr>
            </w:pPr>
            <w:r>
              <w:rPr>
                <w:rFonts w:ascii="Arial"/>
                <w:sz w:val="13"/>
              </w:rPr>
              <w:t>Vivienda con 2 cuartos</w:t>
            </w:r>
          </w:p>
        </w:tc>
        <w:tc>
          <w:tcPr>
            <w:tcW w:w="2207" w:type="dxa"/>
            <w:gridSpan w:val="2"/>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hAnsi="Arial"/>
                <w:sz w:val="13"/>
              </w:rPr>
            </w:pPr>
            <w:r>
              <w:rPr>
                <w:rFonts w:ascii="Arial" w:hAnsi="Arial"/>
                <w:sz w:val="13"/>
              </w:rPr>
              <w:t>Almoloya de Juárez 20%</w:t>
            </w:r>
          </w:p>
        </w:tc>
        <w:tc>
          <w:tcPr>
            <w:tcW w:w="1215"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hAnsi="Arial"/>
                <w:sz w:val="13"/>
              </w:rPr>
            </w:pPr>
            <w:r>
              <w:rPr>
                <w:rFonts w:ascii="Arial" w:hAnsi="Arial"/>
                <w:sz w:val="13"/>
              </w:rPr>
              <w:t>Almoloya de Juárez</w:t>
            </w:r>
          </w:p>
        </w:tc>
        <w:tc>
          <w:tcPr>
            <w:tcW w:w="1551"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sz w:val="13"/>
              </w:rPr>
            </w:pPr>
            <w:r>
              <w:rPr>
                <w:rFonts w:ascii="Arial"/>
                <w:sz w:val="13"/>
              </w:rPr>
              <w:t>Metepec 5%</w:t>
            </w:r>
          </w:p>
        </w:tc>
        <w:tc>
          <w:tcPr>
            <w:tcW w:w="913" w:type="dxa"/>
            <w:tcBorders>
              <w:top w:val="single" w:sz="5" w:space="0" w:color="000000"/>
              <w:left w:val="single" w:sz="5" w:space="0" w:color="000000"/>
              <w:bottom w:val="single" w:sz="5" w:space="0" w:color="000000"/>
              <w:right w:val="single" w:sz="5" w:space="0" w:color="000000"/>
            </w:tcBorders>
          </w:tcPr>
          <w:p>
            <w:pPr/>
          </w:p>
        </w:tc>
        <w:tc>
          <w:tcPr>
            <w:tcW w:w="1526" w:type="dxa"/>
            <w:tcBorders>
              <w:top w:val="single" w:sz="5" w:space="0" w:color="000000"/>
              <w:left w:val="single" w:sz="5" w:space="0" w:color="000000"/>
              <w:bottom w:val="single" w:sz="5" w:space="0" w:color="000000"/>
              <w:right w:val="single" w:sz="7" w:space="0" w:color="000000"/>
            </w:tcBorders>
          </w:tcPr>
          <w:p>
            <w:pPr>
              <w:pStyle w:val="TableParagraph"/>
              <w:spacing w:before="20"/>
              <w:ind w:left="18"/>
              <w:rPr>
                <w:rFonts w:ascii="Arial"/>
                <w:sz w:val="13"/>
              </w:rPr>
            </w:pPr>
            <w:r>
              <w:rPr>
                <w:rFonts w:ascii="Arial"/>
                <w:sz w:val="13"/>
              </w:rPr>
              <w:t>Metepec 6%</w:t>
            </w:r>
          </w:p>
        </w:tc>
      </w:tr>
      <w:tr>
        <w:trPr>
          <w:trHeight w:val="805" w:hRule="exact"/>
        </w:trPr>
        <w:tc>
          <w:tcPr>
            <w:tcW w:w="1406" w:type="dxa"/>
            <w:tcBorders>
              <w:top w:val="single" w:sz="5" w:space="0" w:color="000000"/>
              <w:left w:val="single" w:sz="7" w:space="0" w:color="000000"/>
              <w:bottom w:val="single" w:sz="5" w:space="0" w:color="000000"/>
              <w:right w:val="single" w:sz="5" w:space="0" w:color="000000"/>
            </w:tcBorders>
          </w:tcPr>
          <w:p>
            <w:pPr>
              <w:pStyle w:val="TableParagraph"/>
              <w:rPr>
                <w:rFonts w:ascii="Arial"/>
                <w:sz w:val="12"/>
              </w:rPr>
            </w:pPr>
          </w:p>
          <w:p>
            <w:pPr>
              <w:pStyle w:val="TableParagraph"/>
              <w:rPr>
                <w:rFonts w:ascii="Arial"/>
                <w:sz w:val="12"/>
              </w:rPr>
            </w:pPr>
          </w:p>
          <w:p>
            <w:pPr>
              <w:pStyle w:val="TableParagraph"/>
              <w:spacing w:before="4"/>
              <w:rPr>
                <w:rFonts w:ascii="Arial"/>
                <w:sz w:val="17"/>
              </w:rPr>
            </w:pPr>
          </w:p>
          <w:p>
            <w:pPr>
              <w:pStyle w:val="TableParagraph"/>
              <w:spacing w:line="256" w:lineRule="auto"/>
              <w:ind w:left="12" w:right="3"/>
              <w:rPr>
                <w:rFonts w:ascii="Arial"/>
                <w:sz w:val="13"/>
              </w:rPr>
            </w:pPr>
            <w:r>
              <w:rPr>
                <w:rFonts w:ascii="Arial"/>
                <w:sz w:val="13"/>
              </w:rPr>
              <w:t>Ocupantes por cuarto de las viviendas</w:t>
            </w:r>
          </w:p>
        </w:tc>
        <w:tc>
          <w:tcPr>
            <w:tcW w:w="1104" w:type="dxa"/>
            <w:tcBorders>
              <w:top w:val="single" w:sz="5" w:space="0" w:color="000000"/>
              <w:left w:val="single" w:sz="5" w:space="0" w:color="000000"/>
              <w:bottom w:val="single" w:sz="5" w:space="0" w:color="000000"/>
              <w:right w:val="single" w:sz="5" w:space="0" w:color="000000"/>
            </w:tcBorders>
          </w:tcPr>
          <w:p>
            <w:pPr>
              <w:pStyle w:val="TableParagraph"/>
              <w:spacing w:line="256" w:lineRule="auto"/>
              <w:ind w:left="187" w:right="159" w:firstLine="9"/>
              <w:jc w:val="center"/>
              <w:rPr>
                <w:rFonts w:ascii="Arial" w:hAnsi="Arial"/>
                <w:sz w:val="13"/>
              </w:rPr>
            </w:pPr>
            <w:r>
              <w:rPr>
                <w:rFonts w:ascii="Arial" w:hAnsi="Arial"/>
                <w:sz w:val="13"/>
              </w:rPr>
              <w:t>2</w:t>
            </w:r>
            <w:r>
              <w:rPr>
                <w:rFonts w:ascii="Arial" w:hAnsi="Arial"/>
                <w:spacing w:val="-18"/>
                <w:sz w:val="13"/>
              </w:rPr>
              <w:t> </w:t>
            </w:r>
            <w:r>
              <w:rPr>
                <w:rFonts w:ascii="Arial" w:hAnsi="Arial"/>
                <w:sz w:val="13"/>
              </w:rPr>
              <w:t>ocupantes, Temoaya, Almoloya de Juárez, Otzolotepec</w:t>
            </w:r>
          </w:p>
        </w:tc>
        <w:tc>
          <w:tcPr>
            <w:tcW w:w="1104" w:type="dxa"/>
            <w:tcBorders>
              <w:top w:val="single" w:sz="5" w:space="0" w:color="000000"/>
              <w:left w:val="single" w:sz="5" w:space="0" w:color="000000"/>
              <w:bottom w:val="single" w:sz="5" w:space="0" w:color="000000"/>
              <w:right w:val="single" w:sz="5" w:space="0" w:color="000000"/>
            </w:tcBorders>
          </w:tcPr>
          <w:p>
            <w:pPr>
              <w:pStyle w:val="TableParagraph"/>
              <w:spacing w:line="256" w:lineRule="auto"/>
              <w:ind w:left="187" w:right="159" w:firstLine="9"/>
              <w:jc w:val="center"/>
              <w:rPr>
                <w:rFonts w:ascii="Arial" w:hAnsi="Arial"/>
                <w:sz w:val="13"/>
              </w:rPr>
            </w:pPr>
            <w:r>
              <w:rPr>
                <w:rFonts w:ascii="Arial" w:hAnsi="Arial"/>
                <w:sz w:val="13"/>
              </w:rPr>
              <w:t>2</w:t>
            </w:r>
            <w:r>
              <w:rPr>
                <w:rFonts w:ascii="Arial" w:hAnsi="Arial"/>
                <w:spacing w:val="-18"/>
                <w:sz w:val="13"/>
              </w:rPr>
              <w:t> </w:t>
            </w:r>
            <w:r>
              <w:rPr>
                <w:rFonts w:ascii="Arial" w:hAnsi="Arial"/>
                <w:sz w:val="13"/>
              </w:rPr>
              <w:t>ocupantes, Temoaya, Almoloya de Juárez, Otzolotepec</w:t>
            </w:r>
          </w:p>
        </w:tc>
        <w:tc>
          <w:tcPr>
            <w:tcW w:w="1215" w:type="dxa"/>
            <w:tcBorders>
              <w:top w:val="single" w:sz="5" w:space="0" w:color="000000"/>
              <w:left w:val="single" w:sz="5" w:space="0" w:color="000000"/>
              <w:bottom w:val="single" w:sz="5" w:space="0" w:color="000000"/>
              <w:right w:val="single" w:sz="5" w:space="0" w:color="000000"/>
            </w:tcBorders>
          </w:tcPr>
          <w:p>
            <w:pPr>
              <w:pStyle w:val="TableParagraph"/>
              <w:spacing w:before="6"/>
              <w:rPr>
                <w:rFonts w:ascii="Arial"/>
                <w:sz w:val="13"/>
              </w:rPr>
            </w:pPr>
          </w:p>
          <w:p>
            <w:pPr>
              <w:pStyle w:val="TableParagraph"/>
              <w:ind w:left="200"/>
              <w:rPr>
                <w:rFonts w:ascii="Arial"/>
                <w:sz w:val="13"/>
              </w:rPr>
            </w:pPr>
            <w:r>
              <w:rPr>
                <w:rFonts w:ascii="Arial"/>
                <w:sz w:val="13"/>
              </w:rPr>
              <w:t>1.4 ocupantes,</w:t>
            </w:r>
          </w:p>
          <w:p>
            <w:pPr>
              <w:pStyle w:val="TableParagraph"/>
              <w:spacing w:line="256" w:lineRule="auto" w:before="10"/>
              <w:ind w:left="11" w:right="6"/>
              <w:jc w:val="center"/>
              <w:rPr>
                <w:rFonts w:ascii="Arial" w:hAnsi="Arial"/>
                <w:sz w:val="13"/>
              </w:rPr>
            </w:pPr>
            <w:r>
              <w:rPr>
                <w:rFonts w:ascii="Arial" w:hAnsi="Arial"/>
                <w:sz w:val="13"/>
              </w:rPr>
              <w:t>Temoaya, Almoloya de Juárez, Otzolotepec</w:t>
            </w:r>
          </w:p>
        </w:tc>
        <w:tc>
          <w:tcPr>
            <w:tcW w:w="1551"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rPr>
                <w:rFonts w:ascii="Arial"/>
                <w:sz w:val="12"/>
              </w:rPr>
            </w:pPr>
          </w:p>
          <w:p>
            <w:pPr>
              <w:pStyle w:val="TableParagraph"/>
              <w:rPr>
                <w:rFonts w:ascii="Arial"/>
                <w:sz w:val="12"/>
              </w:rPr>
            </w:pPr>
          </w:p>
          <w:p>
            <w:pPr>
              <w:pStyle w:val="TableParagraph"/>
              <w:rPr>
                <w:rFonts w:ascii="Arial"/>
                <w:sz w:val="12"/>
              </w:rPr>
            </w:pPr>
          </w:p>
          <w:p>
            <w:pPr>
              <w:pStyle w:val="TableParagraph"/>
              <w:spacing w:before="87"/>
              <w:ind w:left="18"/>
              <w:rPr>
                <w:rFonts w:ascii="Arial"/>
                <w:sz w:val="13"/>
              </w:rPr>
            </w:pPr>
            <w:r>
              <w:rPr>
                <w:rFonts w:ascii="Arial"/>
                <w:sz w:val="13"/>
              </w:rPr>
              <w:t>Metepec 1 ocupante</w:t>
            </w:r>
          </w:p>
        </w:tc>
        <w:tc>
          <w:tcPr>
            <w:tcW w:w="913"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spacing w:before="5"/>
              <w:rPr>
                <w:rFonts w:ascii="Arial"/>
                <w:sz w:val="15"/>
              </w:rPr>
            </w:pPr>
          </w:p>
          <w:p>
            <w:pPr>
              <w:pStyle w:val="TableParagraph"/>
              <w:spacing w:line="256" w:lineRule="auto"/>
              <w:ind w:left="151" w:right="145" w:hanging="2"/>
              <w:jc w:val="center"/>
              <w:rPr>
                <w:rFonts w:ascii="Arial"/>
                <w:sz w:val="13"/>
              </w:rPr>
            </w:pPr>
            <w:r>
              <w:rPr>
                <w:rFonts w:ascii="Arial"/>
                <w:sz w:val="13"/>
              </w:rPr>
              <w:t>Toluca y Metepec</w:t>
            </w:r>
            <w:r>
              <w:rPr>
                <w:rFonts w:ascii="Arial"/>
                <w:spacing w:val="-10"/>
                <w:sz w:val="13"/>
              </w:rPr>
              <w:t> </w:t>
            </w:r>
            <w:r>
              <w:rPr>
                <w:rFonts w:ascii="Arial"/>
                <w:sz w:val="13"/>
              </w:rPr>
              <w:t>1 ocupante</w:t>
            </w:r>
          </w:p>
        </w:tc>
        <w:tc>
          <w:tcPr>
            <w:tcW w:w="1526" w:type="dxa"/>
            <w:tcBorders>
              <w:top w:val="single" w:sz="5" w:space="0" w:color="000000"/>
              <w:left w:val="single" w:sz="5" w:space="0" w:color="000000"/>
              <w:bottom w:val="single" w:sz="5" w:space="0" w:color="000000"/>
              <w:right w:val="single" w:sz="7" w:space="0" w:color="000000"/>
            </w:tcBorders>
          </w:tcPr>
          <w:p>
            <w:pPr>
              <w:pStyle w:val="TableParagraph"/>
              <w:rPr>
                <w:rFonts w:ascii="Arial"/>
                <w:sz w:val="12"/>
              </w:rPr>
            </w:pPr>
          </w:p>
          <w:p>
            <w:pPr>
              <w:pStyle w:val="TableParagraph"/>
              <w:rPr>
                <w:rFonts w:ascii="Arial"/>
                <w:sz w:val="12"/>
              </w:rPr>
            </w:pPr>
          </w:p>
          <w:p>
            <w:pPr>
              <w:pStyle w:val="TableParagraph"/>
              <w:spacing w:before="4"/>
              <w:rPr>
                <w:rFonts w:ascii="Arial"/>
                <w:sz w:val="17"/>
              </w:rPr>
            </w:pPr>
          </w:p>
          <w:p>
            <w:pPr>
              <w:pStyle w:val="TableParagraph"/>
              <w:ind w:left="212"/>
              <w:rPr>
                <w:rFonts w:ascii="Arial"/>
                <w:sz w:val="13"/>
              </w:rPr>
            </w:pPr>
            <w:r>
              <w:rPr>
                <w:rFonts w:ascii="Arial"/>
                <w:sz w:val="13"/>
              </w:rPr>
              <w:t>Toluca 1 ocupante,</w:t>
            </w:r>
          </w:p>
          <w:p>
            <w:pPr>
              <w:pStyle w:val="TableParagraph"/>
              <w:spacing w:before="10"/>
              <w:ind w:left="123"/>
              <w:rPr>
                <w:rFonts w:ascii="Arial"/>
                <w:sz w:val="13"/>
              </w:rPr>
            </w:pPr>
            <w:r>
              <w:rPr>
                <w:rFonts w:ascii="Arial"/>
                <w:sz w:val="13"/>
              </w:rPr>
              <w:t>Metepec 0.8 ocupante</w:t>
            </w:r>
          </w:p>
        </w:tc>
      </w:tr>
      <w:tr>
        <w:trPr>
          <w:trHeight w:val="194" w:hRule="exact"/>
        </w:trPr>
        <w:tc>
          <w:tcPr>
            <w:tcW w:w="1406" w:type="dxa"/>
            <w:vMerge w:val="restart"/>
            <w:tcBorders>
              <w:top w:val="single" w:sz="5" w:space="0" w:color="000000"/>
              <w:left w:val="single" w:sz="7" w:space="0" w:color="000000"/>
              <w:right w:val="single" w:sz="5" w:space="0" w:color="000000"/>
            </w:tcBorders>
            <w:shd w:val="clear" w:color="auto" w:fill="BEBEBE"/>
          </w:tcPr>
          <w:p>
            <w:pPr>
              <w:pStyle w:val="TableParagraph"/>
              <w:spacing w:line="278" w:lineRule="auto"/>
              <w:ind w:left="388" w:right="3" w:hanging="145"/>
              <w:rPr>
                <w:rFonts w:ascii="Arial"/>
                <w:b/>
                <w:sz w:val="15"/>
              </w:rPr>
            </w:pPr>
            <w:r>
              <w:rPr>
                <w:rFonts w:ascii="Arial"/>
                <w:b/>
                <w:w w:val="105"/>
                <w:sz w:val="15"/>
              </w:rPr>
              <w:t>Bienes en la vivienda</w:t>
            </w:r>
          </w:p>
        </w:tc>
        <w:tc>
          <w:tcPr>
            <w:tcW w:w="3422" w:type="dxa"/>
            <w:gridSpan w:val="3"/>
            <w:tcBorders>
              <w:top w:val="single" w:sz="5" w:space="0" w:color="000000"/>
              <w:left w:val="single" w:sz="5" w:space="0" w:color="000000"/>
              <w:bottom w:val="single" w:sz="5" w:space="0" w:color="000000"/>
              <w:right w:val="single" w:sz="5" w:space="0" w:color="000000"/>
            </w:tcBorders>
            <w:shd w:val="clear" w:color="auto" w:fill="BEBEBE"/>
          </w:tcPr>
          <w:p>
            <w:pPr>
              <w:pStyle w:val="TableParagraph"/>
              <w:spacing w:before="1"/>
              <w:ind w:left="1057"/>
              <w:rPr>
                <w:rFonts w:ascii="Arial"/>
                <w:b/>
                <w:sz w:val="15"/>
              </w:rPr>
            </w:pPr>
            <w:r>
              <w:rPr>
                <w:rFonts w:ascii="Arial"/>
                <w:b/>
                <w:sz w:val="15"/>
              </w:rPr>
              <w:t>Altos porcentajes</w:t>
            </w:r>
          </w:p>
        </w:tc>
        <w:tc>
          <w:tcPr>
            <w:tcW w:w="3989" w:type="dxa"/>
            <w:gridSpan w:val="3"/>
            <w:tcBorders>
              <w:top w:val="single" w:sz="5" w:space="0" w:color="000000"/>
              <w:left w:val="single" w:sz="5" w:space="0" w:color="000000"/>
              <w:bottom w:val="single" w:sz="5" w:space="0" w:color="000000"/>
              <w:right w:val="single" w:sz="7" w:space="0" w:color="000000"/>
            </w:tcBorders>
            <w:shd w:val="clear" w:color="auto" w:fill="BEBEBE"/>
          </w:tcPr>
          <w:p>
            <w:pPr>
              <w:pStyle w:val="TableParagraph"/>
              <w:spacing w:before="1"/>
              <w:ind w:left="1322"/>
              <w:rPr>
                <w:rFonts w:ascii="Arial"/>
                <w:b/>
                <w:sz w:val="15"/>
              </w:rPr>
            </w:pPr>
            <w:r>
              <w:rPr>
                <w:rFonts w:ascii="Arial"/>
                <w:b/>
                <w:sz w:val="15"/>
              </w:rPr>
              <w:t>Bajos porcentajes</w:t>
            </w:r>
          </w:p>
        </w:tc>
      </w:tr>
      <w:tr>
        <w:trPr>
          <w:trHeight w:val="195" w:hRule="exact"/>
        </w:trPr>
        <w:tc>
          <w:tcPr>
            <w:tcW w:w="1406" w:type="dxa"/>
            <w:vMerge/>
            <w:tcBorders>
              <w:left w:val="single" w:sz="7" w:space="0" w:color="000000"/>
              <w:bottom w:val="single" w:sz="5" w:space="0" w:color="000000"/>
              <w:right w:val="single" w:sz="5" w:space="0" w:color="000000"/>
            </w:tcBorders>
            <w:shd w:val="clear" w:color="auto" w:fill="BEBEBE"/>
          </w:tcPr>
          <w:p>
            <w:pPr/>
          </w:p>
        </w:tc>
        <w:tc>
          <w:tcPr>
            <w:tcW w:w="1104" w:type="dxa"/>
            <w:tcBorders>
              <w:top w:val="single" w:sz="5" w:space="0" w:color="000000"/>
              <w:left w:val="single" w:sz="5" w:space="0" w:color="000000"/>
              <w:bottom w:val="single" w:sz="5" w:space="0" w:color="000000"/>
              <w:right w:val="single" w:sz="5" w:space="0" w:color="000000"/>
            </w:tcBorders>
            <w:shd w:val="clear" w:color="auto" w:fill="BEBEBE"/>
          </w:tcPr>
          <w:p>
            <w:pPr>
              <w:pStyle w:val="TableParagraph"/>
              <w:spacing w:before="1"/>
              <w:ind w:right="19"/>
              <w:jc w:val="right"/>
              <w:rPr>
                <w:rFonts w:ascii="Arial"/>
                <w:b/>
                <w:sz w:val="15"/>
              </w:rPr>
            </w:pPr>
            <w:r>
              <w:rPr>
                <w:rFonts w:ascii="Arial"/>
                <w:b/>
                <w:sz w:val="15"/>
              </w:rPr>
              <w:t>1990</w:t>
            </w:r>
          </w:p>
        </w:tc>
        <w:tc>
          <w:tcPr>
            <w:tcW w:w="1104" w:type="dxa"/>
            <w:tcBorders>
              <w:top w:val="single" w:sz="5" w:space="0" w:color="000000"/>
              <w:left w:val="single" w:sz="5" w:space="0" w:color="000000"/>
              <w:bottom w:val="single" w:sz="5" w:space="0" w:color="000000"/>
              <w:right w:val="single" w:sz="5" w:space="0" w:color="000000"/>
            </w:tcBorders>
            <w:shd w:val="clear" w:color="auto" w:fill="BEBEBE"/>
          </w:tcPr>
          <w:p>
            <w:pPr>
              <w:pStyle w:val="TableParagraph"/>
              <w:spacing w:before="1"/>
              <w:ind w:right="19"/>
              <w:jc w:val="right"/>
              <w:rPr>
                <w:rFonts w:ascii="Arial"/>
                <w:b/>
                <w:sz w:val="15"/>
              </w:rPr>
            </w:pPr>
            <w:r>
              <w:rPr>
                <w:rFonts w:ascii="Arial"/>
                <w:b/>
                <w:sz w:val="15"/>
              </w:rPr>
              <w:t>2000</w:t>
            </w:r>
          </w:p>
        </w:tc>
        <w:tc>
          <w:tcPr>
            <w:tcW w:w="1215" w:type="dxa"/>
            <w:tcBorders>
              <w:top w:val="single" w:sz="5" w:space="0" w:color="000000"/>
              <w:left w:val="single" w:sz="5" w:space="0" w:color="000000"/>
              <w:bottom w:val="single" w:sz="5" w:space="0" w:color="000000"/>
              <w:right w:val="single" w:sz="5" w:space="0" w:color="000000"/>
            </w:tcBorders>
            <w:shd w:val="clear" w:color="auto" w:fill="BEBEBE"/>
          </w:tcPr>
          <w:p>
            <w:pPr>
              <w:pStyle w:val="TableParagraph"/>
              <w:spacing w:before="1"/>
              <w:ind w:right="19"/>
              <w:jc w:val="right"/>
              <w:rPr>
                <w:rFonts w:ascii="Arial"/>
                <w:b/>
                <w:sz w:val="15"/>
              </w:rPr>
            </w:pPr>
            <w:r>
              <w:rPr>
                <w:rFonts w:ascii="Arial"/>
                <w:b/>
                <w:sz w:val="15"/>
              </w:rPr>
              <w:t>2010</w:t>
            </w:r>
          </w:p>
        </w:tc>
        <w:tc>
          <w:tcPr>
            <w:tcW w:w="1551" w:type="dxa"/>
            <w:tcBorders>
              <w:top w:val="single" w:sz="5" w:space="0" w:color="000000"/>
              <w:left w:val="single" w:sz="5" w:space="0" w:color="000000"/>
              <w:bottom w:val="single" w:sz="5" w:space="0" w:color="000000"/>
              <w:right w:val="single" w:sz="5" w:space="0" w:color="000000"/>
            </w:tcBorders>
            <w:shd w:val="clear" w:color="auto" w:fill="BEBEBE"/>
          </w:tcPr>
          <w:p>
            <w:pPr>
              <w:pStyle w:val="TableParagraph"/>
              <w:spacing w:before="1"/>
              <w:ind w:right="19"/>
              <w:jc w:val="right"/>
              <w:rPr>
                <w:rFonts w:ascii="Arial"/>
                <w:b/>
                <w:sz w:val="15"/>
              </w:rPr>
            </w:pPr>
            <w:r>
              <w:rPr>
                <w:rFonts w:ascii="Arial"/>
                <w:b/>
                <w:sz w:val="15"/>
              </w:rPr>
              <w:t>1990</w:t>
            </w:r>
          </w:p>
        </w:tc>
        <w:tc>
          <w:tcPr>
            <w:tcW w:w="913" w:type="dxa"/>
            <w:tcBorders>
              <w:top w:val="single" w:sz="5" w:space="0" w:color="000000"/>
              <w:left w:val="single" w:sz="5" w:space="0" w:color="000000"/>
              <w:bottom w:val="single" w:sz="5" w:space="0" w:color="000000"/>
              <w:right w:val="single" w:sz="5" w:space="0" w:color="000000"/>
            </w:tcBorders>
            <w:shd w:val="clear" w:color="auto" w:fill="BEBEBE"/>
          </w:tcPr>
          <w:p>
            <w:pPr>
              <w:pStyle w:val="TableParagraph"/>
              <w:spacing w:before="1"/>
              <w:ind w:right="19"/>
              <w:jc w:val="right"/>
              <w:rPr>
                <w:rFonts w:ascii="Arial"/>
                <w:b/>
                <w:sz w:val="15"/>
              </w:rPr>
            </w:pPr>
            <w:r>
              <w:rPr>
                <w:rFonts w:ascii="Arial"/>
                <w:b/>
                <w:sz w:val="15"/>
              </w:rPr>
              <w:t>2000</w:t>
            </w:r>
          </w:p>
        </w:tc>
        <w:tc>
          <w:tcPr>
            <w:tcW w:w="1526" w:type="dxa"/>
            <w:tcBorders>
              <w:top w:val="single" w:sz="5" w:space="0" w:color="000000"/>
              <w:left w:val="single" w:sz="5" w:space="0" w:color="000000"/>
              <w:bottom w:val="single" w:sz="5" w:space="0" w:color="000000"/>
              <w:right w:val="single" w:sz="7" w:space="0" w:color="000000"/>
            </w:tcBorders>
            <w:shd w:val="clear" w:color="auto" w:fill="BEBEBE"/>
          </w:tcPr>
          <w:p>
            <w:pPr>
              <w:pStyle w:val="TableParagraph"/>
              <w:spacing w:before="1"/>
              <w:ind w:right="13"/>
              <w:jc w:val="right"/>
              <w:rPr>
                <w:rFonts w:ascii="Arial"/>
                <w:b/>
                <w:sz w:val="15"/>
              </w:rPr>
            </w:pPr>
            <w:r>
              <w:rPr>
                <w:rFonts w:ascii="Arial"/>
                <w:b/>
                <w:sz w:val="15"/>
              </w:rPr>
              <w:t>2010</w:t>
            </w:r>
          </w:p>
        </w:tc>
      </w:tr>
      <w:tr>
        <w:trPr>
          <w:trHeight w:val="185" w:hRule="exact"/>
        </w:trPr>
        <w:tc>
          <w:tcPr>
            <w:tcW w:w="1406" w:type="dxa"/>
            <w:tcBorders>
              <w:top w:val="single" w:sz="5" w:space="0" w:color="000000"/>
              <w:left w:val="single" w:sz="7" w:space="0" w:color="000000"/>
              <w:bottom w:val="single" w:sz="5" w:space="0" w:color="000000"/>
              <w:right w:val="single" w:sz="5" w:space="0" w:color="000000"/>
            </w:tcBorders>
          </w:tcPr>
          <w:p>
            <w:pPr>
              <w:pStyle w:val="TableParagraph"/>
              <w:spacing w:before="20"/>
              <w:ind w:left="12" w:right="342"/>
              <w:rPr>
                <w:rFonts w:ascii="Arial"/>
                <w:sz w:val="13"/>
              </w:rPr>
            </w:pPr>
            <w:r>
              <w:rPr>
                <w:rFonts w:ascii="Arial"/>
                <w:sz w:val="13"/>
              </w:rPr>
              <w:t>Radio</w:t>
            </w:r>
          </w:p>
        </w:tc>
        <w:tc>
          <w:tcPr>
            <w:tcW w:w="1104" w:type="dxa"/>
            <w:tcBorders>
              <w:top w:val="single" w:sz="5" w:space="0" w:color="000000"/>
              <w:left w:val="single" w:sz="5" w:space="0" w:color="000000"/>
              <w:bottom w:val="single" w:sz="5" w:space="0" w:color="000000"/>
              <w:right w:val="single" w:sz="5" w:space="0" w:color="000000"/>
            </w:tcBorders>
          </w:tcPr>
          <w:p>
            <w:pPr/>
          </w:p>
        </w:tc>
        <w:tc>
          <w:tcPr>
            <w:tcW w:w="1104"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sz w:val="13"/>
              </w:rPr>
            </w:pPr>
            <w:r>
              <w:rPr>
                <w:rFonts w:ascii="Arial"/>
                <w:sz w:val="13"/>
              </w:rPr>
              <w:t>Metepec 96%</w:t>
            </w:r>
          </w:p>
        </w:tc>
        <w:tc>
          <w:tcPr>
            <w:tcW w:w="1215"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sz w:val="13"/>
              </w:rPr>
            </w:pPr>
            <w:r>
              <w:rPr>
                <w:rFonts w:ascii="Arial"/>
                <w:sz w:val="13"/>
              </w:rPr>
              <w:t>Metepec 88%</w:t>
            </w:r>
          </w:p>
        </w:tc>
        <w:tc>
          <w:tcPr>
            <w:tcW w:w="1551" w:type="dxa"/>
            <w:tcBorders>
              <w:top w:val="single" w:sz="5" w:space="0" w:color="000000"/>
              <w:left w:val="single" w:sz="5" w:space="0" w:color="000000"/>
              <w:bottom w:val="single" w:sz="5" w:space="0" w:color="000000"/>
              <w:right w:val="single" w:sz="5" w:space="0" w:color="000000"/>
            </w:tcBorders>
          </w:tcPr>
          <w:p>
            <w:pPr/>
          </w:p>
        </w:tc>
        <w:tc>
          <w:tcPr>
            <w:tcW w:w="913"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sz w:val="13"/>
              </w:rPr>
            </w:pPr>
            <w:r>
              <w:rPr>
                <w:rFonts w:ascii="Arial"/>
                <w:sz w:val="13"/>
              </w:rPr>
              <w:t>Temoaya 25%</w:t>
            </w:r>
          </w:p>
        </w:tc>
        <w:tc>
          <w:tcPr>
            <w:tcW w:w="1526" w:type="dxa"/>
            <w:tcBorders>
              <w:top w:val="single" w:sz="5" w:space="0" w:color="000000"/>
              <w:left w:val="single" w:sz="5" w:space="0" w:color="000000"/>
              <w:bottom w:val="single" w:sz="5" w:space="0" w:color="000000"/>
              <w:right w:val="single" w:sz="7" w:space="0" w:color="000000"/>
            </w:tcBorders>
          </w:tcPr>
          <w:p>
            <w:pPr>
              <w:pStyle w:val="TableParagraph"/>
              <w:spacing w:before="20"/>
              <w:ind w:left="18"/>
              <w:rPr>
                <w:rFonts w:ascii="Arial"/>
                <w:sz w:val="13"/>
              </w:rPr>
            </w:pPr>
            <w:r>
              <w:rPr>
                <w:rFonts w:ascii="Arial"/>
                <w:sz w:val="13"/>
              </w:rPr>
              <w:t>Temoaya 27%</w:t>
            </w:r>
          </w:p>
        </w:tc>
      </w:tr>
      <w:tr>
        <w:trPr>
          <w:trHeight w:val="481" w:hRule="exact"/>
        </w:trPr>
        <w:tc>
          <w:tcPr>
            <w:tcW w:w="1406" w:type="dxa"/>
            <w:tcBorders>
              <w:top w:val="single" w:sz="5" w:space="0" w:color="000000"/>
              <w:left w:val="single" w:sz="7" w:space="0" w:color="000000"/>
              <w:bottom w:val="single" w:sz="5" w:space="0" w:color="000000"/>
              <w:right w:val="single" w:sz="5" w:space="0" w:color="000000"/>
            </w:tcBorders>
          </w:tcPr>
          <w:p>
            <w:pPr>
              <w:pStyle w:val="TableParagraph"/>
              <w:rPr>
                <w:rFonts w:ascii="Arial"/>
                <w:sz w:val="12"/>
              </w:rPr>
            </w:pPr>
          </w:p>
          <w:p>
            <w:pPr>
              <w:pStyle w:val="TableParagraph"/>
              <w:spacing w:before="5"/>
              <w:rPr>
                <w:rFonts w:ascii="Arial"/>
                <w:sz w:val="15"/>
              </w:rPr>
            </w:pPr>
          </w:p>
          <w:p>
            <w:pPr>
              <w:pStyle w:val="TableParagraph"/>
              <w:ind w:left="12" w:right="342"/>
              <w:rPr>
                <w:rFonts w:ascii="Arial"/>
                <w:sz w:val="13"/>
              </w:rPr>
            </w:pPr>
            <w:r>
              <w:rPr>
                <w:rFonts w:ascii="Arial"/>
                <w:sz w:val="13"/>
              </w:rPr>
              <w:t>Televisor</w:t>
            </w:r>
          </w:p>
        </w:tc>
        <w:tc>
          <w:tcPr>
            <w:tcW w:w="1104" w:type="dxa"/>
            <w:tcBorders>
              <w:top w:val="single" w:sz="5" w:space="0" w:color="000000"/>
              <w:left w:val="single" w:sz="5" w:space="0" w:color="000000"/>
              <w:bottom w:val="single" w:sz="5" w:space="0" w:color="000000"/>
              <w:right w:val="single" w:sz="5" w:space="0" w:color="000000"/>
            </w:tcBorders>
          </w:tcPr>
          <w:p>
            <w:pPr/>
          </w:p>
        </w:tc>
        <w:tc>
          <w:tcPr>
            <w:tcW w:w="1104"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spacing w:before="5"/>
              <w:rPr>
                <w:rFonts w:ascii="Arial"/>
                <w:sz w:val="15"/>
              </w:rPr>
            </w:pPr>
          </w:p>
          <w:p>
            <w:pPr>
              <w:pStyle w:val="TableParagraph"/>
              <w:ind w:left="18"/>
              <w:rPr>
                <w:rFonts w:ascii="Arial"/>
                <w:sz w:val="13"/>
              </w:rPr>
            </w:pPr>
            <w:r>
              <w:rPr>
                <w:rFonts w:ascii="Arial"/>
                <w:sz w:val="13"/>
              </w:rPr>
              <w:t>Metepec 94%</w:t>
            </w:r>
          </w:p>
        </w:tc>
        <w:tc>
          <w:tcPr>
            <w:tcW w:w="1215" w:type="dxa"/>
            <w:tcBorders>
              <w:top w:val="single" w:sz="5" w:space="0" w:color="000000"/>
              <w:left w:val="single" w:sz="5" w:space="0" w:color="000000"/>
              <w:bottom w:val="single" w:sz="5" w:space="0" w:color="000000"/>
              <w:right w:val="single" w:sz="5" w:space="0" w:color="000000"/>
            </w:tcBorders>
          </w:tcPr>
          <w:p>
            <w:pPr>
              <w:pStyle w:val="TableParagraph"/>
              <w:spacing w:line="142" w:lineRule="exact"/>
              <w:ind w:left="10" w:right="9"/>
              <w:jc w:val="center"/>
              <w:rPr>
                <w:rFonts w:ascii="Arial"/>
                <w:sz w:val="13"/>
              </w:rPr>
            </w:pPr>
            <w:r>
              <w:rPr>
                <w:rFonts w:ascii="Arial"/>
                <w:sz w:val="13"/>
              </w:rPr>
              <w:t>Mexicaltzingo 96%,</w:t>
            </w:r>
          </w:p>
          <w:p>
            <w:pPr>
              <w:pStyle w:val="TableParagraph"/>
              <w:spacing w:before="10"/>
              <w:ind w:left="10" w:right="9"/>
              <w:jc w:val="center"/>
              <w:rPr>
                <w:rFonts w:ascii="Arial"/>
                <w:sz w:val="13"/>
              </w:rPr>
            </w:pPr>
            <w:r>
              <w:rPr>
                <w:rFonts w:ascii="Arial"/>
                <w:w w:val="95"/>
                <w:sz w:val="13"/>
              </w:rPr>
              <w:t>Chapultepec 96%,</w:t>
            </w:r>
          </w:p>
          <w:p>
            <w:pPr>
              <w:pStyle w:val="TableParagraph"/>
              <w:spacing w:before="10"/>
              <w:ind w:left="11" w:right="8"/>
              <w:jc w:val="center"/>
              <w:rPr>
                <w:rFonts w:ascii="Arial" w:hAnsi="Arial"/>
                <w:sz w:val="13"/>
              </w:rPr>
            </w:pPr>
            <w:r>
              <w:rPr>
                <w:rFonts w:ascii="Arial" w:hAnsi="Arial"/>
                <w:sz w:val="13"/>
              </w:rPr>
              <w:t>Rayón 96%</w:t>
            </w:r>
          </w:p>
        </w:tc>
        <w:tc>
          <w:tcPr>
            <w:tcW w:w="1551" w:type="dxa"/>
            <w:tcBorders>
              <w:top w:val="single" w:sz="5" w:space="0" w:color="000000"/>
              <w:left w:val="single" w:sz="5" w:space="0" w:color="000000"/>
              <w:bottom w:val="single" w:sz="5" w:space="0" w:color="000000"/>
              <w:right w:val="single" w:sz="5" w:space="0" w:color="000000"/>
            </w:tcBorders>
          </w:tcPr>
          <w:p>
            <w:pPr/>
          </w:p>
        </w:tc>
        <w:tc>
          <w:tcPr>
            <w:tcW w:w="913" w:type="dxa"/>
            <w:tcBorders>
              <w:top w:val="single" w:sz="5" w:space="0" w:color="000000"/>
              <w:left w:val="single" w:sz="5" w:space="0" w:color="000000"/>
              <w:bottom w:val="single" w:sz="5" w:space="0" w:color="000000"/>
              <w:right w:val="single" w:sz="5" w:space="0" w:color="000000"/>
            </w:tcBorders>
          </w:tcPr>
          <w:p>
            <w:pPr>
              <w:pStyle w:val="TableParagraph"/>
              <w:rPr>
                <w:rFonts w:ascii="Arial"/>
                <w:sz w:val="12"/>
              </w:rPr>
            </w:pPr>
          </w:p>
          <w:p>
            <w:pPr>
              <w:pStyle w:val="TableParagraph"/>
              <w:spacing w:before="5"/>
              <w:rPr>
                <w:rFonts w:ascii="Arial"/>
                <w:sz w:val="15"/>
              </w:rPr>
            </w:pPr>
          </w:p>
          <w:p>
            <w:pPr>
              <w:pStyle w:val="TableParagraph"/>
              <w:ind w:left="18"/>
              <w:rPr>
                <w:rFonts w:ascii="Arial"/>
                <w:sz w:val="13"/>
              </w:rPr>
            </w:pPr>
            <w:r>
              <w:rPr>
                <w:rFonts w:ascii="Arial"/>
                <w:sz w:val="13"/>
              </w:rPr>
              <w:t>Temoaya 35%</w:t>
            </w:r>
          </w:p>
        </w:tc>
        <w:tc>
          <w:tcPr>
            <w:tcW w:w="1526" w:type="dxa"/>
            <w:tcBorders>
              <w:top w:val="single" w:sz="5" w:space="0" w:color="000000"/>
              <w:left w:val="single" w:sz="5" w:space="0" w:color="000000"/>
              <w:bottom w:val="single" w:sz="5" w:space="0" w:color="000000"/>
              <w:right w:val="single" w:sz="7" w:space="0" w:color="000000"/>
            </w:tcBorders>
          </w:tcPr>
          <w:p>
            <w:pPr>
              <w:pStyle w:val="TableParagraph"/>
              <w:rPr>
                <w:rFonts w:ascii="Arial"/>
                <w:sz w:val="12"/>
              </w:rPr>
            </w:pPr>
          </w:p>
          <w:p>
            <w:pPr>
              <w:pStyle w:val="TableParagraph"/>
              <w:spacing w:before="5"/>
              <w:rPr>
                <w:rFonts w:ascii="Arial"/>
                <w:sz w:val="15"/>
              </w:rPr>
            </w:pPr>
          </w:p>
          <w:p>
            <w:pPr>
              <w:pStyle w:val="TableParagraph"/>
              <w:ind w:left="18"/>
              <w:rPr>
                <w:rFonts w:ascii="Arial"/>
                <w:sz w:val="13"/>
              </w:rPr>
            </w:pPr>
            <w:r>
              <w:rPr>
                <w:rFonts w:ascii="Arial"/>
                <w:sz w:val="13"/>
              </w:rPr>
              <w:t>Temoaya 13%</w:t>
            </w:r>
          </w:p>
        </w:tc>
      </w:tr>
      <w:tr>
        <w:trPr>
          <w:trHeight w:val="185" w:hRule="exact"/>
        </w:trPr>
        <w:tc>
          <w:tcPr>
            <w:tcW w:w="1406" w:type="dxa"/>
            <w:tcBorders>
              <w:top w:val="single" w:sz="5" w:space="0" w:color="000000"/>
              <w:left w:val="single" w:sz="7" w:space="0" w:color="000000"/>
              <w:bottom w:val="single" w:sz="5" w:space="0" w:color="000000"/>
              <w:right w:val="single" w:sz="5" w:space="0" w:color="000000"/>
            </w:tcBorders>
          </w:tcPr>
          <w:p>
            <w:pPr>
              <w:pStyle w:val="TableParagraph"/>
              <w:spacing w:before="20"/>
              <w:ind w:left="12" w:right="342"/>
              <w:rPr>
                <w:rFonts w:ascii="Arial"/>
                <w:sz w:val="13"/>
              </w:rPr>
            </w:pPr>
            <w:r>
              <w:rPr>
                <w:rFonts w:ascii="Arial"/>
                <w:sz w:val="13"/>
              </w:rPr>
              <w:t>Videocasetera</w:t>
            </w:r>
          </w:p>
        </w:tc>
        <w:tc>
          <w:tcPr>
            <w:tcW w:w="1104" w:type="dxa"/>
            <w:tcBorders>
              <w:top w:val="single" w:sz="5" w:space="0" w:color="000000"/>
              <w:left w:val="single" w:sz="5" w:space="0" w:color="000000"/>
              <w:bottom w:val="single" w:sz="5" w:space="0" w:color="000000"/>
              <w:right w:val="single" w:sz="5" w:space="0" w:color="000000"/>
            </w:tcBorders>
          </w:tcPr>
          <w:p>
            <w:pPr/>
          </w:p>
        </w:tc>
        <w:tc>
          <w:tcPr>
            <w:tcW w:w="1104"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sz w:val="13"/>
              </w:rPr>
            </w:pPr>
            <w:r>
              <w:rPr>
                <w:rFonts w:ascii="Arial"/>
                <w:sz w:val="13"/>
              </w:rPr>
              <w:t>Metepec 62%</w:t>
            </w:r>
          </w:p>
        </w:tc>
        <w:tc>
          <w:tcPr>
            <w:tcW w:w="1215" w:type="dxa"/>
            <w:tcBorders>
              <w:top w:val="single" w:sz="5" w:space="0" w:color="000000"/>
              <w:left w:val="single" w:sz="5" w:space="0" w:color="000000"/>
              <w:bottom w:val="single" w:sz="5" w:space="0" w:color="000000"/>
              <w:right w:val="single" w:sz="5" w:space="0" w:color="000000"/>
            </w:tcBorders>
          </w:tcPr>
          <w:p>
            <w:pPr/>
          </w:p>
        </w:tc>
        <w:tc>
          <w:tcPr>
            <w:tcW w:w="1551" w:type="dxa"/>
            <w:tcBorders>
              <w:top w:val="single" w:sz="5" w:space="0" w:color="000000"/>
              <w:left w:val="single" w:sz="5" w:space="0" w:color="000000"/>
              <w:bottom w:val="single" w:sz="5" w:space="0" w:color="000000"/>
              <w:right w:val="single" w:sz="5" w:space="0" w:color="000000"/>
            </w:tcBorders>
          </w:tcPr>
          <w:p>
            <w:pPr/>
          </w:p>
        </w:tc>
        <w:tc>
          <w:tcPr>
            <w:tcW w:w="913"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sz w:val="13"/>
              </w:rPr>
            </w:pPr>
            <w:r>
              <w:rPr>
                <w:rFonts w:ascii="Arial"/>
                <w:sz w:val="13"/>
              </w:rPr>
              <w:t>Temoaya 12%</w:t>
            </w:r>
          </w:p>
        </w:tc>
        <w:tc>
          <w:tcPr>
            <w:tcW w:w="1526" w:type="dxa"/>
            <w:tcBorders>
              <w:top w:val="single" w:sz="5" w:space="0" w:color="000000"/>
              <w:left w:val="single" w:sz="5" w:space="0" w:color="000000"/>
              <w:bottom w:val="single" w:sz="5" w:space="0" w:color="000000"/>
              <w:right w:val="single" w:sz="7" w:space="0" w:color="000000"/>
            </w:tcBorders>
          </w:tcPr>
          <w:p>
            <w:pPr/>
          </w:p>
        </w:tc>
      </w:tr>
      <w:tr>
        <w:trPr>
          <w:trHeight w:val="185" w:hRule="exact"/>
        </w:trPr>
        <w:tc>
          <w:tcPr>
            <w:tcW w:w="1406" w:type="dxa"/>
            <w:tcBorders>
              <w:top w:val="single" w:sz="5" w:space="0" w:color="000000"/>
              <w:left w:val="single" w:sz="7" w:space="0" w:color="000000"/>
              <w:bottom w:val="single" w:sz="5" w:space="0" w:color="000000"/>
              <w:right w:val="single" w:sz="5" w:space="0" w:color="000000"/>
            </w:tcBorders>
          </w:tcPr>
          <w:p>
            <w:pPr>
              <w:pStyle w:val="TableParagraph"/>
              <w:spacing w:before="20"/>
              <w:ind w:left="12" w:right="342"/>
              <w:rPr>
                <w:rFonts w:ascii="Arial"/>
                <w:sz w:val="13"/>
              </w:rPr>
            </w:pPr>
            <w:r>
              <w:rPr>
                <w:rFonts w:ascii="Arial"/>
                <w:sz w:val="13"/>
              </w:rPr>
              <w:t>Refrigerador</w:t>
            </w:r>
          </w:p>
        </w:tc>
        <w:tc>
          <w:tcPr>
            <w:tcW w:w="1104" w:type="dxa"/>
            <w:tcBorders>
              <w:top w:val="single" w:sz="5" w:space="0" w:color="000000"/>
              <w:left w:val="single" w:sz="5" w:space="0" w:color="000000"/>
              <w:bottom w:val="single" w:sz="5" w:space="0" w:color="000000"/>
              <w:right w:val="single" w:sz="5" w:space="0" w:color="000000"/>
            </w:tcBorders>
          </w:tcPr>
          <w:p>
            <w:pPr/>
          </w:p>
        </w:tc>
        <w:tc>
          <w:tcPr>
            <w:tcW w:w="1104"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sz w:val="13"/>
              </w:rPr>
            </w:pPr>
            <w:r>
              <w:rPr>
                <w:rFonts w:ascii="Arial"/>
                <w:sz w:val="13"/>
              </w:rPr>
              <w:t>Metepec 80%</w:t>
            </w:r>
          </w:p>
        </w:tc>
        <w:tc>
          <w:tcPr>
            <w:tcW w:w="1215"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sz w:val="13"/>
              </w:rPr>
            </w:pPr>
            <w:r>
              <w:rPr>
                <w:rFonts w:ascii="Arial"/>
                <w:sz w:val="13"/>
              </w:rPr>
              <w:t>Metepec 85%</w:t>
            </w:r>
          </w:p>
        </w:tc>
        <w:tc>
          <w:tcPr>
            <w:tcW w:w="1551" w:type="dxa"/>
            <w:tcBorders>
              <w:top w:val="single" w:sz="5" w:space="0" w:color="000000"/>
              <w:left w:val="single" w:sz="5" w:space="0" w:color="000000"/>
              <w:bottom w:val="single" w:sz="5" w:space="0" w:color="000000"/>
              <w:right w:val="single" w:sz="5" w:space="0" w:color="000000"/>
            </w:tcBorders>
          </w:tcPr>
          <w:p>
            <w:pPr/>
          </w:p>
        </w:tc>
        <w:tc>
          <w:tcPr>
            <w:tcW w:w="913"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sz w:val="13"/>
              </w:rPr>
            </w:pPr>
            <w:r>
              <w:rPr>
                <w:rFonts w:ascii="Arial"/>
                <w:sz w:val="13"/>
              </w:rPr>
              <w:t>Temoaya 18%</w:t>
            </w:r>
          </w:p>
        </w:tc>
        <w:tc>
          <w:tcPr>
            <w:tcW w:w="1526" w:type="dxa"/>
            <w:tcBorders>
              <w:top w:val="single" w:sz="5" w:space="0" w:color="000000"/>
              <w:left w:val="single" w:sz="5" w:space="0" w:color="000000"/>
              <w:bottom w:val="single" w:sz="5" w:space="0" w:color="000000"/>
              <w:right w:val="single" w:sz="7" w:space="0" w:color="000000"/>
            </w:tcBorders>
          </w:tcPr>
          <w:p>
            <w:pPr>
              <w:pStyle w:val="TableParagraph"/>
              <w:spacing w:before="20"/>
              <w:ind w:left="18"/>
              <w:rPr>
                <w:rFonts w:ascii="Arial"/>
                <w:sz w:val="13"/>
              </w:rPr>
            </w:pPr>
            <w:r>
              <w:rPr>
                <w:rFonts w:ascii="Arial"/>
                <w:sz w:val="13"/>
              </w:rPr>
              <w:t>Temoaya 40%</w:t>
            </w:r>
          </w:p>
        </w:tc>
      </w:tr>
      <w:tr>
        <w:trPr>
          <w:trHeight w:val="185" w:hRule="exact"/>
        </w:trPr>
        <w:tc>
          <w:tcPr>
            <w:tcW w:w="1406" w:type="dxa"/>
            <w:tcBorders>
              <w:top w:val="single" w:sz="5" w:space="0" w:color="000000"/>
              <w:left w:val="single" w:sz="7" w:space="0" w:color="000000"/>
              <w:bottom w:val="single" w:sz="5" w:space="0" w:color="000000"/>
              <w:right w:val="single" w:sz="5" w:space="0" w:color="000000"/>
            </w:tcBorders>
          </w:tcPr>
          <w:p>
            <w:pPr>
              <w:pStyle w:val="TableParagraph"/>
              <w:spacing w:before="20"/>
              <w:ind w:left="12" w:right="342"/>
              <w:rPr>
                <w:rFonts w:ascii="Arial"/>
                <w:sz w:val="13"/>
              </w:rPr>
            </w:pPr>
            <w:r>
              <w:rPr>
                <w:rFonts w:ascii="Arial"/>
                <w:sz w:val="13"/>
              </w:rPr>
              <w:t>Lavadora</w:t>
            </w:r>
          </w:p>
        </w:tc>
        <w:tc>
          <w:tcPr>
            <w:tcW w:w="1104" w:type="dxa"/>
            <w:tcBorders>
              <w:top w:val="single" w:sz="5" w:space="0" w:color="000000"/>
              <w:left w:val="single" w:sz="5" w:space="0" w:color="000000"/>
              <w:bottom w:val="single" w:sz="5" w:space="0" w:color="000000"/>
              <w:right w:val="single" w:sz="5" w:space="0" w:color="000000"/>
            </w:tcBorders>
          </w:tcPr>
          <w:p>
            <w:pPr/>
          </w:p>
        </w:tc>
        <w:tc>
          <w:tcPr>
            <w:tcW w:w="1104"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sz w:val="13"/>
              </w:rPr>
            </w:pPr>
            <w:r>
              <w:rPr>
                <w:rFonts w:ascii="Arial"/>
                <w:sz w:val="13"/>
              </w:rPr>
              <w:t>Metepec 65%</w:t>
            </w:r>
          </w:p>
        </w:tc>
        <w:tc>
          <w:tcPr>
            <w:tcW w:w="1215"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sz w:val="13"/>
              </w:rPr>
            </w:pPr>
            <w:r>
              <w:rPr>
                <w:rFonts w:ascii="Arial"/>
                <w:sz w:val="13"/>
              </w:rPr>
              <w:t>Metepec 75%</w:t>
            </w:r>
          </w:p>
        </w:tc>
        <w:tc>
          <w:tcPr>
            <w:tcW w:w="1551" w:type="dxa"/>
            <w:tcBorders>
              <w:top w:val="single" w:sz="5" w:space="0" w:color="000000"/>
              <w:left w:val="single" w:sz="5" w:space="0" w:color="000000"/>
              <w:bottom w:val="single" w:sz="5" w:space="0" w:color="000000"/>
              <w:right w:val="single" w:sz="5" w:space="0" w:color="000000"/>
            </w:tcBorders>
          </w:tcPr>
          <w:p>
            <w:pPr/>
          </w:p>
        </w:tc>
        <w:tc>
          <w:tcPr>
            <w:tcW w:w="913"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sz w:val="13"/>
              </w:rPr>
            </w:pPr>
            <w:r>
              <w:rPr>
                <w:rFonts w:ascii="Arial"/>
                <w:sz w:val="13"/>
              </w:rPr>
              <w:t>Temoaya 7%</w:t>
            </w:r>
          </w:p>
        </w:tc>
        <w:tc>
          <w:tcPr>
            <w:tcW w:w="1526" w:type="dxa"/>
            <w:tcBorders>
              <w:top w:val="single" w:sz="5" w:space="0" w:color="000000"/>
              <w:left w:val="single" w:sz="5" w:space="0" w:color="000000"/>
              <w:bottom w:val="single" w:sz="5" w:space="0" w:color="000000"/>
              <w:right w:val="single" w:sz="7" w:space="0" w:color="000000"/>
            </w:tcBorders>
          </w:tcPr>
          <w:p>
            <w:pPr>
              <w:pStyle w:val="TableParagraph"/>
              <w:spacing w:before="20"/>
              <w:ind w:left="18"/>
              <w:rPr>
                <w:rFonts w:ascii="Arial"/>
                <w:sz w:val="13"/>
              </w:rPr>
            </w:pPr>
            <w:r>
              <w:rPr>
                <w:rFonts w:ascii="Arial"/>
                <w:sz w:val="13"/>
              </w:rPr>
              <w:t>Temoaya 24%</w:t>
            </w:r>
          </w:p>
        </w:tc>
      </w:tr>
      <w:tr>
        <w:trPr>
          <w:trHeight w:val="185" w:hRule="exact"/>
        </w:trPr>
        <w:tc>
          <w:tcPr>
            <w:tcW w:w="1406" w:type="dxa"/>
            <w:tcBorders>
              <w:top w:val="single" w:sz="5" w:space="0" w:color="000000"/>
              <w:left w:val="single" w:sz="7" w:space="0" w:color="000000"/>
              <w:bottom w:val="single" w:sz="5" w:space="0" w:color="000000"/>
              <w:right w:val="single" w:sz="5" w:space="0" w:color="000000"/>
            </w:tcBorders>
          </w:tcPr>
          <w:p>
            <w:pPr>
              <w:pStyle w:val="TableParagraph"/>
              <w:spacing w:before="20"/>
              <w:ind w:left="12" w:right="342"/>
              <w:rPr>
                <w:rFonts w:ascii="Arial" w:hAnsi="Arial"/>
                <w:sz w:val="13"/>
              </w:rPr>
            </w:pPr>
            <w:r>
              <w:rPr>
                <w:rFonts w:ascii="Arial" w:hAnsi="Arial"/>
                <w:sz w:val="13"/>
              </w:rPr>
              <w:t>Automóvil</w:t>
            </w:r>
          </w:p>
        </w:tc>
        <w:tc>
          <w:tcPr>
            <w:tcW w:w="1104" w:type="dxa"/>
            <w:tcBorders>
              <w:top w:val="single" w:sz="5" w:space="0" w:color="000000"/>
              <w:left w:val="single" w:sz="5" w:space="0" w:color="000000"/>
              <w:bottom w:val="single" w:sz="5" w:space="0" w:color="000000"/>
              <w:right w:val="single" w:sz="5" w:space="0" w:color="000000"/>
            </w:tcBorders>
          </w:tcPr>
          <w:p>
            <w:pPr/>
          </w:p>
        </w:tc>
        <w:tc>
          <w:tcPr>
            <w:tcW w:w="1104"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sz w:val="13"/>
              </w:rPr>
            </w:pPr>
            <w:r>
              <w:rPr>
                <w:rFonts w:ascii="Arial"/>
                <w:sz w:val="13"/>
              </w:rPr>
              <w:t>Metepec 49%</w:t>
            </w:r>
          </w:p>
        </w:tc>
        <w:tc>
          <w:tcPr>
            <w:tcW w:w="1215"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sz w:val="13"/>
              </w:rPr>
            </w:pPr>
            <w:r>
              <w:rPr>
                <w:rFonts w:ascii="Arial"/>
                <w:sz w:val="13"/>
              </w:rPr>
              <w:t>Metepec 60%</w:t>
            </w:r>
          </w:p>
        </w:tc>
        <w:tc>
          <w:tcPr>
            <w:tcW w:w="1551" w:type="dxa"/>
            <w:tcBorders>
              <w:top w:val="single" w:sz="5" w:space="0" w:color="000000"/>
              <w:left w:val="single" w:sz="5" w:space="0" w:color="000000"/>
              <w:bottom w:val="single" w:sz="5" w:space="0" w:color="000000"/>
              <w:right w:val="single" w:sz="5" w:space="0" w:color="000000"/>
            </w:tcBorders>
          </w:tcPr>
          <w:p>
            <w:pPr/>
          </w:p>
        </w:tc>
        <w:tc>
          <w:tcPr>
            <w:tcW w:w="913"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sz w:val="13"/>
              </w:rPr>
            </w:pPr>
            <w:r>
              <w:rPr>
                <w:rFonts w:ascii="Arial"/>
                <w:sz w:val="13"/>
              </w:rPr>
              <w:t>Temoaya 14%</w:t>
            </w:r>
          </w:p>
        </w:tc>
        <w:tc>
          <w:tcPr>
            <w:tcW w:w="1526" w:type="dxa"/>
            <w:tcBorders>
              <w:top w:val="single" w:sz="5" w:space="0" w:color="000000"/>
              <w:left w:val="single" w:sz="5" w:space="0" w:color="000000"/>
              <w:bottom w:val="single" w:sz="5" w:space="0" w:color="000000"/>
              <w:right w:val="single" w:sz="7" w:space="0" w:color="000000"/>
            </w:tcBorders>
          </w:tcPr>
          <w:p>
            <w:pPr>
              <w:pStyle w:val="TableParagraph"/>
              <w:spacing w:before="20"/>
              <w:ind w:left="18"/>
              <w:rPr>
                <w:rFonts w:ascii="Arial"/>
                <w:sz w:val="13"/>
              </w:rPr>
            </w:pPr>
            <w:r>
              <w:rPr>
                <w:rFonts w:ascii="Arial"/>
                <w:sz w:val="13"/>
              </w:rPr>
              <w:t>Temoaya 31%</w:t>
            </w:r>
          </w:p>
        </w:tc>
      </w:tr>
      <w:tr>
        <w:trPr>
          <w:trHeight w:val="185" w:hRule="exact"/>
        </w:trPr>
        <w:tc>
          <w:tcPr>
            <w:tcW w:w="1406" w:type="dxa"/>
            <w:tcBorders>
              <w:top w:val="single" w:sz="5" w:space="0" w:color="000000"/>
              <w:left w:val="single" w:sz="7" w:space="0" w:color="000000"/>
              <w:bottom w:val="single" w:sz="5" w:space="0" w:color="000000"/>
              <w:right w:val="single" w:sz="5" w:space="0" w:color="000000"/>
            </w:tcBorders>
          </w:tcPr>
          <w:p>
            <w:pPr>
              <w:pStyle w:val="TableParagraph"/>
              <w:spacing w:before="20"/>
              <w:ind w:left="12" w:right="342"/>
              <w:rPr>
                <w:rFonts w:ascii="Arial"/>
                <w:sz w:val="13"/>
              </w:rPr>
            </w:pPr>
            <w:r>
              <w:rPr>
                <w:rFonts w:ascii="Arial"/>
                <w:sz w:val="13"/>
              </w:rPr>
              <w:t>Computadora</w:t>
            </w:r>
          </w:p>
        </w:tc>
        <w:tc>
          <w:tcPr>
            <w:tcW w:w="1104" w:type="dxa"/>
            <w:tcBorders>
              <w:top w:val="single" w:sz="5" w:space="0" w:color="000000"/>
              <w:left w:val="single" w:sz="5" w:space="0" w:color="000000"/>
              <w:bottom w:val="single" w:sz="5" w:space="0" w:color="000000"/>
              <w:right w:val="single" w:sz="5" w:space="0" w:color="000000"/>
            </w:tcBorders>
          </w:tcPr>
          <w:p>
            <w:pPr/>
          </w:p>
        </w:tc>
        <w:tc>
          <w:tcPr>
            <w:tcW w:w="1104" w:type="dxa"/>
            <w:tcBorders>
              <w:top w:val="single" w:sz="5" w:space="0" w:color="000000"/>
              <w:left w:val="single" w:sz="5" w:space="0" w:color="000000"/>
              <w:bottom w:val="single" w:sz="5" w:space="0" w:color="000000"/>
              <w:right w:val="single" w:sz="5" w:space="0" w:color="000000"/>
            </w:tcBorders>
          </w:tcPr>
          <w:p>
            <w:pPr/>
          </w:p>
        </w:tc>
        <w:tc>
          <w:tcPr>
            <w:tcW w:w="1215"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sz w:val="13"/>
              </w:rPr>
            </w:pPr>
            <w:r>
              <w:rPr>
                <w:rFonts w:ascii="Arial"/>
                <w:sz w:val="13"/>
              </w:rPr>
              <w:t>Metepec 52%</w:t>
            </w:r>
          </w:p>
        </w:tc>
        <w:tc>
          <w:tcPr>
            <w:tcW w:w="1551" w:type="dxa"/>
            <w:tcBorders>
              <w:top w:val="single" w:sz="5" w:space="0" w:color="000000"/>
              <w:left w:val="single" w:sz="5" w:space="0" w:color="000000"/>
              <w:bottom w:val="single" w:sz="5" w:space="0" w:color="000000"/>
              <w:right w:val="single" w:sz="5" w:space="0" w:color="000000"/>
            </w:tcBorders>
          </w:tcPr>
          <w:p>
            <w:pPr/>
          </w:p>
        </w:tc>
        <w:tc>
          <w:tcPr>
            <w:tcW w:w="913" w:type="dxa"/>
            <w:tcBorders>
              <w:top w:val="single" w:sz="5" w:space="0" w:color="000000"/>
              <w:left w:val="single" w:sz="5" w:space="0" w:color="000000"/>
              <w:bottom w:val="single" w:sz="5" w:space="0" w:color="000000"/>
              <w:right w:val="single" w:sz="5" w:space="0" w:color="000000"/>
            </w:tcBorders>
          </w:tcPr>
          <w:p>
            <w:pPr/>
          </w:p>
        </w:tc>
        <w:tc>
          <w:tcPr>
            <w:tcW w:w="1526" w:type="dxa"/>
            <w:tcBorders>
              <w:top w:val="single" w:sz="5" w:space="0" w:color="000000"/>
              <w:left w:val="single" w:sz="5" w:space="0" w:color="000000"/>
              <w:bottom w:val="single" w:sz="5" w:space="0" w:color="000000"/>
              <w:right w:val="single" w:sz="7" w:space="0" w:color="000000"/>
            </w:tcBorders>
          </w:tcPr>
          <w:p>
            <w:pPr>
              <w:pStyle w:val="TableParagraph"/>
              <w:spacing w:before="20"/>
              <w:ind w:left="18"/>
              <w:rPr>
                <w:rFonts w:ascii="Arial"/>
                <w:sz w:val="13"/>
              </w:rPr>
            </w:pPr>
            <w:r>
              <w:rPr>
                <w:rFonts w:ascii="Arial"/>
                <w:sz w:val="13"/>
              </w:rPr>
              <w:t>Temoaya 9%</w:t>
            </w:r>
          </w:p>
        </w:tc>
      </w:tr>
      <w:tr>
        <w:trPr>
          <w:trHeight w:val="185" w:hRule="exact"/>
        </w:trPr>
        <w:tc>
          <w:tcPr>
            <w:tcW w:w="1406" w:type="dxa"/>
            <w:tcBorders>
              <w:top w:val="single" w:sz="5" w:space="0" w:color="000000"/>
              <w:left w:val="single" w:sz="7" w:space="0" w:color="000000"/>
              <w:bottom w:val="single" w:sz="5" w:space="0" w:color="000000"/>
              <w:right w:val="single" w:sz="5" w:space="0" w:color="000000"/>
            </w:tcBorders>
          </w:tcPr>
          <w:p>
            <w:pPr>
              <w:pStyle w:val="TableParagraph"/>
              <w:spacing w:before="20"/>
              <w:ind w:left="12" w:right="342"/>
              <w:rPr>
                <w:rFonts w:ascii="Arial"/>
                <w:sz w:val="13"/>
              </w:rPr>
            </w:pPr>
            <w:r>
              <w:rPr>
                <w:rFonts w:ascii="Arial"/>
                <w:sz w:val="13"/>
              </w:rPr>
              <w:t>Internet</w:t>
            </w:r>
          </w:p>
        </w:tc>
        <w:tc>
          <w:tcPr>
            <w:tcW w:w="1104" w:type="dxa"/>
            <w:tcBorders>
              <w:top w:val="single" w:sz="5" w:space="0" w:color="000000"/>
              <w:left w:val="single" w:sz="5" w:space="0" w:color="000000"/>
              <w:bottom w:val="single" w:sz="5" w:space="0" w:color="000000"/>
              <w:right w:val="single" w:sz="5" w:space="0" w:color="000000"/>
            </w:tcBorders>
          </w:tcPr>
          <w:p>
            <w:pPr/>
          </w:p>
        </w:tc>
        <w:tc>
          <w:tcPr>
            <w:tcW w:w="1104" w:type="dxa"/>
            <w:tcBorders>
              <w:top w:val="single" w:sz="5" w:space="0" w:color="000000"/>
              <w:left w:val="single" w:sz="5" w:space="0" w:color="000000"/>
              <w:bottom w:val="single" w:sz="5" w:space="0" w:color="000000"/>
              <w:right w:val="single" w:sz="5" w:space="0" w:color="000000"/>
            </w:tcBorders>
          </w:tcPr>
          <w:p>
            <w:pPr/>
          </w:p>
        </w:tc>
        <w:tc>
          <w:tcPr>
            <w:tcW w:w="1215"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sz w:val="13"/>
              </w:rPr>
            </w:pPr>
            <w:r>
              <w:rPr>
                <w:rFonts w:ascii="Arial"/>
                <w:sz w:val="13"/>
              </w:rPr>
              <w:t>Metepec 43%</w:t>
            </w:r>
          </w:p>
        </w:tc>
        <w:tc>
          <w:tcPr>
            <w:tcW w:w="1551" w:type="dxa"/>
            <w:tcBorders>
              <w:top w:val="single" w:sz="5" w:space="0" w:color="000000"/>
              <w:left w:val="single" w:sz="5" w:space="0" w:color="000000"/>
              <w:bottom w:val="single" w:sz="5" w:space="0" w:color="000000"/>
              <w:right w:val="single" w:sz="5" w:space="0" w:color="000000"/>
            </w:tcBorders>
          </w:tcPr>
          <w:p>
            <w:pPr/>
          </w:p>
        </w:tc>
        <w:tc>
          <w:tcPr>
            <w:tcW w:w="913" w:type="dxa"/>
            <w:tcBorders>
              <w:top w:val="single" w:sz="5" w:space="0" w:color="000000"/>
              <w:left w:val="single" w:sz="5" w:space="0" w:color="000000"/>
              <w:bottom w:val="single" w:sz="5" w:space="0" w:color="000000"/>
              <w:right w:val="single" w:sz="5" w:space="0" w:color="000000"/>
            </w:tcBorders>
          </w:tcPr>
          <w:p>
            <w:pPr/>
          </w:p>
        </w:tc>
        <w:tc>
          <w:tcPr>
            <w:tcW w:w="1526" w:type="dxa"/>
            <w:tcBorders>
              <w:top w:val="single" w:sz="5" w:space="0" w:color="000000"/>
              <w:left w:val="single" w:sz="5" w:space="0" w:color="000000"/>
              <w:bottom w:val="single" w:sz="5" w:space="0" w:color="000000"/>
              <w:right w:val="single" w:sz="7" w:space="0" w:color="000000"/>
            </w:tcBorders>
          </w:tcPr>
          <w:p>
            <w:pPr>
              <w:pStyle w:val="TableParagraph"/>
              <w:spacing w:before="20"/>
              <w:ind w:left="18"/>
              <w:rPr>
                <w:rFonts w:ascii="Arial"/>
                <w:sz w:val="13"/>
              </w:rPr>
            </w:pPr>
            <w:r>
              <w:rPr>
                <w:rFonts w:ascii="Arial"/>
                <w:sz w:val="13"/>
              </w:rPr>
              <w:t>Temoaya 4%</w:t>
            </w:r>
          </w:p>
        </w:tc>
      </w:tr>
      <w:tr>
        <w:trPr>
          <w:trHeight w:val="185" w:hRule="exact"/>
        </w:trPr>
        <w:tc>
          <w:tcPr>
            <w:tcW w:w="1406" w:type="dxa"/>
            <w:tcBorders>
              <w:top w:val="single" w:sz="5" w:space="0" w:color="000000"/>
              <w:left w:val="single" w:sz="7" w:space="0" w:color="000000"/>
              <w:bottom w:val="single" w:sz="5" w:space="0" w:color="000000"/>
              <w:right w:val="single" w:sz="5" w:space="0" w:color="000000"/>
            </w:tcBorders>
          </w:tcPr>
          <w:p>
            <w:pPr>
              <w:pStyle w:val="TableParagraph"/>
              <w:spacing w:before="20"/>
              <w:ind w:left="12" w:right="342"/>
              <w:rPr>
                <w:rFonts w:ascii="Arial" w:hAnsi="Arial"/>
                <w:sz w:val="13"/>
              </w:rPr>
            </w:pPr>
            <w:r>
              <w:rPr>
                <w:rFonts w:ascii="Arial" w:hAnsi="Arial"/>
                <w:sz w:val="13"/>
              </w:rPr>
              <w:t>Teléfono</w:t>
            </w:r>
          </w:p>
        </w:tc>
        <w:tc>
          <w:tcPr>
            <w:tcW w:w="1104" w:type="dxa"/>
            <w:tcBorders>
              <w:top w:val="single" w:sz="5" w:space="0" w:color="000000"/>
              <w:left w:val="single" w:sz="5" w:space="0" w:color="000000"/>
              <w:bottom w:val="single" w:sz="5" w:space="0" w:color="000000"/>
              <w:right w:val="single" w:sz="5" w:space="0" w:color="000000"/>
            </w:tcBorders>
          </w:tcPr>
          <w:p>
            <w:pPr/>
          </w:p>
        </w:tc>
        <w:tc>
          <w:tcPr>
            <w:tcW w:w="1104"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sz w:val="13"/>
              </w:rPr>
            </w:pPr>
            <w:r>
              <w:rPr>
                <w:rFonts w:ascii="Arial"/>
                <w:sz w:val="13"/>
              </w:rPr>
              <w:t>Metepec 60%</w:t>
            </w:r>
          </w:p>
        </w:tc>
        <w:tc>
          <w:tcPr>
            <w:tcW w:w="1215"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sz w:val="13"/>
              </w:rPr>
            </w:pPr>
            <w:r>
              <w:rPr>
                <w:rFonts w:ascii="Arial"/>
                <w:sz w:val="13"/>
              </w:rPr>
              <w:t>Metepec 62%</w:t>
            </w:r>
          </w:p>
        </w:tc>
        <w:tc>
          <w:tcPr>
            <w:tcW w:w="1551" w:type="dxa"/>
            <w:tcBorders>
              <w:top w:val="single" w:sz="5" w:space="0" w:color="000000"/>
              <w:left w:val="single" w:sz="5" w:space="0" w:color="000000"/>
              <w:bottom w:val="single" w:sz="5" w:space="0" w:color="000000"/>
              <w:right w:val="single" w:sz="5" w:space="0" w:color="000000"/>
            </w:tcBorders>
          </w:tcPr>
          <w:p>
            <w:pPr/>
          </w:p>
        </w:tc>
        <w:tc>
          <w:tcPr>
            <w:tcW w:w="913"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sz w:val="13"/>
              </w:rPr>
            </w:pPr>
            <w:r>
              <w:rPr>
                <w:rFonts w:ascii="Arial"/>
                <w:sz w:val="13"/>
              </w:rPr>
              <w:t>Temoaya 6%</w:t>
            </w:r>
          </w:p>
        </w:tc>
        <w:tc>
          <w:tcPr>
            <w:tcW w:w="1526" w:type="dxa"/>
            <w:tcBorders>
              <w:top w:val="single" w:sz="5" w:space="0" w:color="000000"/>
              <w:left w:val="single" w:sz="5" w:space="0" w:color="000000"/>
              <w:bottom w:val="single" w:sz="5" w:space="0" w:color="000000"/>
              <w:right w:val="single" w:sz="7" w:space="0" w:color="000000"/>
            </w:tcBorders>
          </w:tcPr>
          <w:p>
            <w:pPr>
              <w:pStyle w:val="TableParagraph"/>
              <w:spacing w:before="20"/>
              <w:ind w:left="18"/>
              <w:rPr>
                <w:rFonts w:ascii="Arial"/>
                <w:sz w:val="13"/>
              </w:rPr>
            </w:pPr>
            <w:r>
              <w:rPr>
                <w:rFonts w:ascii="Arial"/>
                <w:sz w:val="13"/>
              </w:rPr>
              <w:t>Temoaya 10%</w:t>
            </w:r>
          </w:p>
        </w:tc>
      </w:tr>
      <w:tr>
        <w:trPr>
          <w:trHeight w:val="185" w:hRule="exact"/>
        </w:trPr>
        <w:tc>
          <w:tcPr>
            <w:tcW w:w="1406" w:type="dxa"/>
            <w:tcBorders>
              <w:top w:val="single" w:sz="5" w:space="0" w:color="000000"/>
              <w:left w:val="single" w:sz="7" w:space="0" w:color="000000"/>
              <w:bottom w:val="single" w:sz="5" w:space="0" w:color="000000"/>
              <w:right w:val="single" w:sz="5" w:space="0" w:color="000000"/>
            </w:tcBorders>
          </w:tcPr>
          <w:p>
            <w:pPr>
              <w:pStyle w:val="TableParagraph"/>
              <w:spacing w:before="20"/>
              <w:ind w:left="12" w:right="342"/>
              <w:rPr>
                <w:rFonts w:ascii="Arial"/>
                <w:sz w:val="13"/>
              </w:rPr>
            </w:pPr>
            <w:r>
              <w:rPr>
                <w:rFonts w:ascii="Arial"/>
                <w:sz w:val="13"/>
              </w:rPr>
              <w:t>Celular</w:t>
            </w:r>
          </w:p>
        </w:tc>
        <w:tc>
          <w:tcPr>
            <w:tcW w:w="1104" w:type="dxa"/>
            <w:tcBorders>
              <w:top w:val="single" w:sz="5" w:space="0" w:color="000000"/>
              <w:left w:val="single" w:sz="5" w:space="0" w:color="000000"/>
              <w:bottom w:val="single" w:sz="5" w:space="0" w:color="000000"/>
              <w:right w:val="single" w:sz="5" w:space="0" w:color="000000"/>
            </w:tcBorders>
          </w:tcPr>
          <w:p>
            <w:pPr/>
          </w:p>
        </w:tc>
        <w:tc>
          <w:tcPr>
            <w:tcW w:w="1104" w:type="dxa"/>
            <w:tcBorders>
              <w:top w:val="single" w:sz="5" w:space="0" w:color="000000"/>
              <w:left w:val="single" w:sz="5" w:space="0" w:color="000000"/>
              <w:bottom w:val="single" w:sz="5" w:space="0" w:color="000000"/>
              <w:right w:val="single" w:sz="5" w:space="0" w:color="000000"/>
            </w:tcBorders>
          </w:tcPr>
          <w:p>
            <w:pPr/>
          </w:p>
        </w:tc>
        <w:tc>
          <w:tcPr>
            <w:tcW w:w="1215" w:type="dxa"/>
            <w:tcBorders>
              <w:top w:val="single" w:sz="5" w:space="0" w:color="000000"/>
              <w:left w:val="single" w:sz="5" w:space="0" w:color="000000"/>
              <w:bottom w:val="single" w:sz="5" w:space="0" w:color="000000"/>
              <w:right w:val="single" w:sz="5" w:space="0" w:color="000000"/>
            </w:tcBorders>
          </w:tcPr>
          <w:p>
            <w:pPr>
              <w:pStyle w:val="TableParagraph"/>
              <w:spacing w:before="20"/>
              <w:ind w:left="18"/>
              <w:rPr>
                <w:rFonts w:ascii="Arial"/>
                <w:sz w:val="13"/>
              </w:rPr>
            </w:pPr>
            <w:r>
              <w:rPr>
                <w:rFonts w:ascii="Arial"/>
                <w:sz w:val="13"/>
              </w:rPr>
              <w:t>Metepec 76%</w:t>
            </w:r>
          </w:p>
        </w:tc>
        <w:tc>
          <w:tcPr>
            <w:tcW w:w="1551" w:type="dxa"/>
            <w:tcBorders>
              <w:top w:val="single" w:sz="5" w:space="0" w:color="000000"/>
              <w:left w:val="single" w:sz="5" w:space="0" w:color="000000"/>
              <w:bottom w:val="single" w:sz="5" w:space="0" w:color="000000"/>
              <w:right w:val="single" w:sz="5" w:space="0" w:color="000000"/>
            </w:tcBorders>
          </w:tcPr>
          <w:p>
            <w:pPr/>
          </w:p>
        </w:tc>
        <w:tc>
          <w:tcPr>
            <w:tcW w:w="913" w:type="dxa"/>
            <w:tcBorders>
              <w:top w:val="single" w:sz="5" w:space="0" w:color="000000"/>
              <w:left w:val="single" w:sz="5" w:space="0" w:color="000000"/>
              <w:bottom w:val="single" w:sz="5" w:space="0" w:color="000000"/>
              <w:right w:val="single" w:sz="5" w:space="0" w:color="000000"/>
            </w:tcBorders>
          </w:tcPr>
          <w:p>
            <w:pPr/>
          </w:p>
        </w:tc>
        <w:tc>
          <w:tcPr>
            <w:tcW w:w="1526" w:type="dxa"/>
            <w:tcBorders>
              <w:top w:val="single" w:sz="5" w:space="0" w:color="000000"/>
              <w:left w:val="single" w:sz="5" w:space="0" w:color="000000"/>
              <w:bottom w:val="single" w:sz="5" w:space="0" w:color="000000"/>
              <w:right w:val="single" w:sz="7" w:space="0" w:color="000000"/>
            </w:tcBorders>
          </w:tcPr>
          <w:p>
            <w:pPr>
              <w:pStyle w:val="TableParagraph"/>
              <w:spacing w:before="20"/>
              <w:ind w:left="18"/>
              <w:rPr>
                <w:rFonts w:ascii="Arial"/>
                <w:sz w:val="13"/>
              </w:rPr>
            </w:pPr>
            <w:r>
              <w:rPr>
                <w:rFonts w:ascii="Arial"/>
                <w:sz w:val="13"/>
              </w:rPr>
              <w:t>Temoaya 44%</w:t>
            </w:r>
          </w:p>
        </w:tc>
      </w:tr>
      <w:tr>
        <w:trPr>
          <w:trHeight w:val="191" w:hRule="exact"/>
        </w:trPr>
        <w:tc>
          <w:tcPr>
            <w:tcW w:w="1406" w:type="dxa"/>
            <w:tcBorders>
              <w:top w:val="single" w:sz="5" w:space="0" w:color="000000"/>
              <w:left w:val="single" w:sz="7" w:space="0" w:color="000000"/>
              <w:bottom w:val="single" w:sz="7" w:space="0" w:color="000000"/>
              <w:right w:val="single" w:sz="5" w:space="0" w:color="000000"/>
            </w:tcBorders>
          </w:tcPr>
          <w:p>
            <w:pPr>
              <w:pStyle w:val="TableParagraph"/>
              <w:spacing w:before="16"/>
              <w:ind w:left="12" w:right="342"/>
              <w:rPr>
                <w:rFonts w:ascii="Arial"/>
                <w:sz w:val="13"/>
              </w:rPr>
            </w:pPr>
            <w:r>
              <w:rPr>
                <w:rFonts w:ascii="Arial"/>
                <w:sz w:val="13"/>
              </w:rPr>
              <w:t>Boiler</w:t>
            </w:r>
          </w:p>
        </w:tc>
        <w:tc>
          <w:tcPr>
            <w:tcW w:w="1104" w:type="dxa"/>
            <w:tcBorders>
              <w:top w:val="single" w:sz="5" w:space="0" w:color="000000"/>
              <w:left w:val="single" w:sz="5" w:space="0" w:color="000000"/>
              <w:bottom w:val="single" w:sz="7" w:space="0" w:color="000000"/>
              <w:right w:val="single" w:sz="5" w:space="0" w:color="000000"/>
            </w:tcBorders>
          </w:tcPr>
          <w:p>
            <w:pPr/>
          </w:p>
        </w:tc>
        <w:tc>
          <w:tcPr>
            <w:tcW w:w="1104" w:type="dxa"/>
            <w:tcBorders>
              <w:top w:val="single" w:sz="5" w:space="0" w:color="000000"/>
              <w:left w:val="single" w:sz="5" w:space="0" w:color="000000"/>
              <w:bottom w:val="single" w:sz="7" w:space="0" w:color="000000"/>
              <w:right w:val="single" w:sz="5" w:space="0" w:color="000000"/>
            </w:tcBorders>
          </w:tcPr>
          <w:p>
            <w:pPr>
              <w:pStyle w:val="TableParagraph"/>
              <w:spacing w:before="16"/>
              <w:ind w:left="18"/>
              <w:rPr>
                <w:rFonts w:ascii="Arial"/>
                <w:sz w:val="13"/>
              </w:rPr>
            </w:pPr>
            <w:r>
              <w:rPr>
                <w:rFonts w:ascii="Arial"/>
                <w:sz w:val="13"/>
              </w:rPr>
              <w:t>Metepec 78%</w:t>
            </w:r>
          </w:p>
        </w:tc>
        <w:tc>
          <w:tcPr>
            <w:tcW w:w="1215" w:type="dxa"/>
            <w:tcBorders>
              <w:top w:val="single" w:sz="5" w:space="0" w:color="000000"/>
              <w:left w:val="single" w:sz="5" w:space="0" w:color="000000"/>
              <w:bottom w:val="single" w:sz="7" w:space="0" w:color="000000"/>
              <w:right w:val="single" w:sz="5" w:space="0" w:color="000000"/>
            </w:tcBorders>
          </w:tcPr>
          <w:p>
            <w:pPr/>
          </w:p>
        </w:tc>
        <w:tc>
          <w:tcPr>
            <w:tcW w:w="1551" w:type="dxa"/>
            <w:tcBorders>
              <w:top w:val="single" w:sz="5" w:space="0" w:color="000000"/>
              <w:left w:val="single" w:sz="5" w:space="0" w:color="000000"/>
              <w:bottom w:val="single" w:sz="7" w:space="0" w:color="000000"/>
              <w:right w:val="single" w:sz="5" w:space="0" w:color="000000"/>
            </w:tcBorders>
          </w:tcPr>
          <w:p>
            <w:pPr/>
          </w:p>
        </w:tc>
        <w:tc>
          <w:tcPr>
            <w:tcW w:w="913" w:type="dxa"/>
            <w:tcBorders>
              <w:top w:val="single" w:sz="5" w:space="0" w:color="000000"/>
              <w:left w:val="single" w:sz="5" w:space="0" w:color="000000"/>
              <w:bottom w:val="single" w:sz="7" w:space="0" w:color="000000"/>
              <w:right w:val="single" w:sz="5" w:space="0" w:color="000000"/>
            </w:tcBorders>
          </w:tcPr>
          <w:p>
            <w:pPr>
              <w:pStyle w:val="TableParagraph"/>
              <w:spacing w:before="16"/>
              <w:ind w:left="18"/>
              <w:rPr>
                <w:rFonts w:ascii="Arial"/>
                <w:sz w:val="13"/>
              </w:rPr>
            </w:pPr>
            <w:r>
              <w:rPr>
                <w:rFonts w:ascii="Arial"/>
                <w:sz w:val="13"/>
              </w:rPr>
              <w:t>Temoaya 13%</w:t>
            </w:r>
          </w:p>
        </w:tc>
        <w:tc>
          <w:tcPr>
            <w:tcW w:w="1526" w:type="dxa"/>
            <w:tcBorders>
              <w:top w:val="single" w:sz="5" w:space="0" w:color="000000"/>
              <w:left w:val="single" w:sz="5" w:space="0" w:color="000000"/>
              <w:bottom w:val="single" w:sz="7" w:space="0" w:color="000000"/>
              <w:right w:val="single" w:sz="7" w:space="0" w:color="000000"/>
            </w:tcBorders>
          </w:tcPr>
          <w:p>
            <w:pPr/>
          </w:p>
        </w:tc>
      </w:tr>
    </w:tbl>
    <w:p>
      <w:pPr>
        <w:spacing w:line="357" w:lineRule="auto" w:before="138"/>
        <w:ind w:left="83" w:right="122" w:firstLine="0"/>
        <w:jc w:val="center"/>
        <w:rPr>
          <w:sz w:val="20"/>
        </w:rPr>
      </w:pPr>
      <w:r>
        <w:rPr>
          <w:sz w:val="20"/>
        </w:rPr>
        <w:t>Fuente: Elaboración propia con base en los datos del Censo de Población y Vivienda INEGI, 1990- 2010.</w:t>
      </w:r>
    </w:p>
    <w:p>
      <w:pPr>
        <w:pStyle w:val="BodyText"/>
        <w:spacing w:line="360" w:lineRule="auto" w:before="7"/>
        <w:ind w:left="102" w:right="214"/>
      </w:pPr>
      <w:r>
        <w:rPr/>
        <w:t>En el siguiente apartado se evalúa la habitabilidad de las viviendas de la zona en estudio por localidades y a nivel ageb´s.</w:t>
      </w:r>
    </w:p>
    <w:p>
      <w:pPr>
        <w:spacing w:after="0" w:line="360" w:lineRule="auto"/>
        <w:sectPr>
          <w:pgSz w:w="12240" w:h="15840"/>
          <w:pgMar w:header="0" w:footer="1003" w:top="1360" w:bottom="1200" w:left="1600" w:right="1560"/>
        </w:sectPr>
      </w:pPr>
    </w:p>
    <w:p>
      <w:pPr>
        <w:pStyle w:val="Heading3"/>
        <w:numPr>
          <w:ilvl w:val="1"/>
          <w:numId w:val="25"/>
        </w:numPr>
        <w:tabs>
          <w:tab w:pos="527" w:val="left" w:leader="none"/>
        </w:tabs>
        <w:spacing w:line="240" w:lineRule="auto" w:before="36" w:after="0"/>
        <w:ind w:left="526" w:right="0" w:hanging="424"/>
        <w:jc w:val="both"/>
      </w:pPr>
      <w:bookmarkStart w:name="_TOC_250009" w:id="25"/>
      <w:r>
        <w:rPr>
          <w:color w:val="4F81BC"/>
        </w:rPr>
        <w:t>Evaluación de la habitabilidad de las</w:t>
      </w:r>
      <w:r>
        <w:rPr>
          <w:color w:val="4F81BC"/>
          <w:spacing w:val="-30"/>
        </w:rPr>
        <w:t> </w:t>
      </w:r>
      <w:bookmarkEnd w:id="25"/>
      <w:r>
        <w:rPr>
          <w:color w:val="4F81BC"/>
        </w:rPr>
        <w:t>viviendas</w:t>
      </w:r>
    </w:p>
    <w:p>
      <w:pPr>
        <w:pStyle w:val="BodyText"/>
        <w:rPr>
          <w:rFonts w:ascii="Cambria"/>
          <w:b/>
          <w:sz w:val="26"/>
        </w:rPr>
      </w:pPr>
    </w:p>
    <w:p>
      <w:pPr>
        <w:pStyle w:val="BodyText"/>
        <w:spacing w:line="360" w:lineRule="auto" w:before="154"/>
        <w:ind w:left="102" w:right="138"/>
        <w:jc w:val="both"/>
      </w:pPr>
      <w:r>
        <w:rPr/>
        <w:t>En este apartado se evalúa la habitabilidad de las viviendas en la </w:t>
      </w:r>
      <w:r>
        <w:rPr>
          <w:sz w:val="19"/>
        </w:rPr>
        <w:t>ZMT</w:t>
      </w:r>
      <w:r>
        <w:rPr/>
        <w:t>, por medio del método de Saaty, en dos escalas la primera a nivel municipal para los períodos 1990, 2000 y 2010, la segunda a nivel Ageb, está última solo para el año 2010 ya que solo se cuenta con esta información para este año.</w:t>
      </w:r>
    </w:p>
    <w:p>
      <w:pPr>
        <w:pStyle w:val="ListParagraph"/>
        <w:numPr>
          <w:ilvl w:val="2"/>
          <w:numId w:val="25"/>
        </w:numPr>
        <w:tabs>
          <w:tab w:pos="594" w:val="left" w:leader="none"/>
        </w:tabs>
        <w:spacing w:line="240" w:lineRule="auto" w:before="206" w:after="0"/>
        <w:ind w:left="593" w:right="0" w:hanging="491"/>
        <w:jc w:val="both"/>
        <w:rPr>
          <w:rFonts w:ascii="Cambria" w:hAnsi="Cambria"/>
          <w:b/>
          <w:sz w:val="22"/>
        </w:rPr>
      </w:pPr>
      <w:r>
        <w:rPr>
          <w:rFonts w:ascii="Cambria" w:hAnsi="Cambria"/>
          <w:b/>
          <w:color w:val="4F81BC"/>
          <w:sz w:val="22"/>
        </w:rPr>
        <w:t>Evaluación de la habitabilidad de las viviendas a nivel municipal en la</w:t>
      </w:r>
      <w:r>
        <w:rPr>
          <w:rFonts w:ascii="Cambria" w:hAnsi="Cambria"/>
          <w:b/>
          <w:color w:val="4F81BC"/>
          <w:spacing w:val="-30"/>
          <w:sz w:val="22"/>
        </w:rPr>
        <w:t> </w:t>
      </w:r>
      <w:r>
        <w:rPr>
          <w:rFonts w:ascii="Cambria" w:hAnsi="Cambria"/>
          <w:b/>
          <w:color w:val="4F81BC"/>
          <w:sz w:val="18"/>
        </w:rPr>
        <w:t>ZMT</w:t>
      </w:r>
      <w:r>
        <w:rPr>
          <w:rFonts w:ascii="Cambria" w:hAnsi="Cambria"/>
          <w:b/>
          <w:color w:val="4F81BC"/>
          <w:sz w:val="22"/>
        </w:rPr>
        <w:t>,1990.</w:t>
      </w:r>
    </w:p>
    <w:p>
      <w:pPr>
        <w:pStyle w:val="BodyText"/>
        <w:rPr>
          <w:rFonts w:ascii="Cambria"/>
          <w:b/>
          <w:sz w:val="22"/>
        </w:rPr>
      </w:pPr>
    </w:p>
    <w:p>
      <w:pPr>
        <w:pStyle w:val="BodyText"/>
        <w:spacing w:line="360" w:lineRule="auto" w:before="193"/>
        <w:ind w:left="102" w:right="135"/>
        <w:jc w:val="both"/>
      </w:pPr>
      <w:r>
        <w:rPr/>
        <w:t>La evaluación de la habitabilidad de las viviendas a nivel municipal 1990, se realizó a través de tres dimensiones y nueve variables: servicios públicos (agua potable, energía eléctrica, drenaje), materiales de construcción (techo, paredes, piso de tierra) y la legalidad de las viviendas (viviendas propias, viviendas con 1 cuarto y viviendas con 2</w:t>
      </w:r>
      <w:r>
        <w:rPr>
          <w:spacing w:val="-9"/>
        </w:rPr>
        <w:t> </w:t>
      </w:r>
      <w:r>
        <w:rPr/>
        <w:t>cuartos).</w:t>
      </w:r>
    </w:p>
    <w:p>
      <w:pPr>
        <w:pStyle w:val="BodyText"/>
      </w:pPr>
    </w:p>
    <w:p>
      <w:pPr>
        <w:spacing w:before="141"/>
        <w:ind w:left="83" w:right="122" w:firstLine="0"/>
        <w:jc w:val="center"/>
        <w:rPr>
          <w:sz w:val="20"/>
        </w:rPr>
      </w:pPr>
      <w:r>
        <w:rPr>
          <w:sz w:val="20"/>
        </w:rPr>
        <w:t>Figura No. 3 Evaluación de la habitabilidad de las viviendas en la </w:t>
      </w:r>
      <w:r>
        <w:rPr>
          <w:sz w:val="16"/>
        </w:rPr>
        <w:t>ZMT</w:t>
      </w:r>
      <w:r>
        <w:rPr>
          <w:sz w:val="20"/>
        </w:rPr>
        <w:t>, 1990, por medio de sus dimensiones y variables.</w:t>
      </w:r>
    </w:p>
    <w:p>
      <w:pPr>
        <w:pStyle w:val="BodyText"/>
        <w:ind w:left="138"/>
        <w:rPr>
          <w:sz w:val="20"/>
        </w:rPr>
      </w:pPr>
      <w:r>
        <w:rPr>
          <w:sz w:val="20"/>
        </w:rPr>
        <w:pict>
          <v:group style="width:441.75pt;height:268.4pt;mso-position-horizontal-relative:char;mso-position-vertical-relative:line" coordorigin="0,0" coordsize="8835,5368">
            <v:shape style="position:absolute;left:236;top:8;width:8326;height:1055" coordorigin="236,8" coordsize="8326,1055" path="m4399,8l4280,8,4163,8,4046,9,3930,11,3815,13,3701,15,3588,17,3476,20,3365,24,3256,28,3147,32,3040,36,2934,41,2830,46,2727,52,2625,58,2525,64,2427,70,2330,77,2234,84,2140,92,2048,99,1958,108,1869,116,1783,125,1698,133,1615,143,1534,152,1455,162,1378,172,1303,182,1231,193,1160,203,1092,214,1026,226,962,237,901,249,842,260,732,285,631,310,542,336,463,363,395,390,338,418,276,461,237,519,236,534,237,549,276,608,338,651,395,679,463,707,542,733,631,759,732,784,842,809,901,820,962,832,1026,844,1092,855,1160,866,1231,876,1303,887,1378,897,1455,907,1534,917,1615,926,1698,936,1783,945,1869,953,1958,962,2048,970,2140,977,2234,985,2330,992,2427,999,2525,1005,2625,1012,2727,1017,2830,1023,2934,1028,3040,1033,3147,1037,3256,1041,3365,1045,3476,1049,3588,1052,3701,1054,3815,1056,3930,1058,4046,1060,4163,1061,4280,1061,4399,1062,4517,1061,4635,1061,4752,1060,4868,1058,4983,1056,5097,1054,5210,1052,5322,1049,5432,1045,5542,1041,5650,1037,5757,1033,5863,1028,5967,1023,6070,1017,6172,1012,6272,1005,6371,999,6468,992,6563,985,6657,977,6749,970,6839,962,6928,953,7015,945,7100,936,7182,926,7263,917,7342,907,7419,897,7494,887,7567,876,7637,866,7705,855,7771,844,7835,832,7896,820,7955,809,8066,784,8166,759,8256,733,8335,707,8403,679,8459,651,8521,608,8560,549,8562,534,8560,519,8521,461,8459,418,8403,390,8335,363,8256,336,8166,310,8066,285,7955,260,7896,249,7835,237,7771,226,7705,214,7637,203,7567,193,7494,182,7419,172,7342,162,7263,152,7182,143,7100,133,7015,125,6928,116,6839,108,6749,99,6657,92,6563,84,6468,77,6371,70,6272,64,6172,58,6070,52,5967,46,5863,41,5757,36,5650,32,5542,28,5432,24,5322,20,5210,17,5097,15,4983,13,4868,11,4752,9,4635,8,4517,8,4399,8xe" filled="false" stroked="true" strokeweight=".719369pt" strokecolor="#000000">
              <v:path arrowok="t"/>
            </v:shape>
            <v:line style="position:absolute" from="4285,1062" to="4297,1373" stroked="true" strokeweight=".719562pt" strokecolor="#000000"/>
            <v:shape style="position:absolute;left:5994;top:1830;width:2764;height:508" coordorigin="5994,1830" coordsize="2764,508" path="m6079,1830l6046,1837,6019,1855,6001,1882,5994,1914,5994,2253,6001,2286,6019,2312,6046,2331,6079,2337,8673,2337,8706,2331,8733,2312,8751,2286,8757,2253,8757,1914,8751,1882,8733,1855,8706,1837,8673,1830,6079,1830xe" filled="false" stroked="true" strokeweight=".719372pt" strokecolor="#000000">
              <v:path arrowok="t"/>
            </v:shape>
            <v:line style="position:absolute" from="7276,1374" to="7276,1830" stroked="true" strokeweight=".719562pt" strokecolor="#000000"/>
            <v:shape style="position:absolute;left:3001;top:1830;width:2764;height:749" coordorigin="3001,1830" coordsize="2764,749" path="m3126,1830l3077,1840,3037,1866,3011,1906,3001,1955,3001,2453,3011,2502,3037,2542,3077,2568,3126,2578,5639,2578,5688,2568,5727,2542,5754,2502,5764,2453,5764,1955,5754,1906,5727,1866,5688,1840,5639,1830,3126,1830xe" filled="false" stroked="true" strokeweight=".719379pt" strokecolor="#000000">
              <v:path arrowok="t"/>
            </v:shape>
            <v:line style="position:absolute" from="4285,1374" to="4297,1830" stroked="true" strokeweight=".719562pt" strokecolor="#000000"/>
            <v:shape style="position:absolute;left:8;top:1830;width:2764;height:577" coordorigin="8,1830" coordsize="2764,577" path="m104,1830l66,1837,36,1858,15,1889,8,1926,8,2310,15,2348,36,2378,66,2399,104,2406,2674,2406,2712,2399,2742,2378,2763,2348,2771,2310,2771,1926,2763,1889,2742,1858,2712,1837,2674,1830,104,1830xe" filled="false" stroked="true" strokeweight=".719374pt" strokecolor="#000000">
              <v:path arrowok="t"/>
            </v:shape>
            <v:line style="position:absolute" from="1317,1374" to="1317,1830" stroked="true" strokeweight=".719562pt" strokecolor="#000000"/>
            <v:line style="position:absolute" from="1317,1373" to="7276,1374" stroked="true" strokeweight=".719366pt" strokecolor="#000000"/>
            <v:shape style="position:absolute;left:6064;top:4784;width:2764;height:577" coordorigin="6064,4784" coordsize="2764,577" path="m6160,4784l6123,4792,6092,4812,6072,4843,6064,4880,6064,5264,6072,5302,6092,5332,6123,5353,6160,5360,8731,5360,8769,5353,8799,5332,8820,5302,8827,5264,8827,4880,8820,4843,8799,4812,8769,4792,8731,4784,6160,4784xe" filled="false" stroked="true" strokeweight=".719374pt" strokecolor="#000000">
              <v:path arrowok="t"/>
            </v:shape>
            <v:shape style="position:absolute;left:5994;top:3859;width:2764;height:577" coordorigin="5994,3859" coordsize="2764,577" path="m6090,3859l6053,3867,6022,3888,6002,3918,5994,3956,5994,4340,6002,4377,6022,4408,6053,4428,6090,4436,8661,4436,8699,4428,8729,4408,8750,4377,8757,4340,8757,3956,8750,3918,8729,3888,8699,3867,8661,3859,6090,3859xe" filled="false" stroked="true" strokeweight=".719374pt" strokecolor="#000000">
              <v:path arrowok="t"/>
            </v:shape>
            <v:line style="position:absolute" from="7276,4436" to="7276,4784" stroked="true" strokeweight=".719562pt" strokecolor="#000000"/>
            <v:shape style="position:absolute;left:5994;top:2874;width:2764;height:577" coordorigin="5994,2874" coordsize="2764,577" path="m6090,2874l6053,2882,6022,2903,6002,2933,5994,2971,5994,3355,6002,3392,6022,3423,6053,3443,6090,3451,8661,3451,8699,3443,8729,3423,8750,3392,8757,3355,8757,2971,8750,2933,8729,2903,8699,2882,8661,2874,6090,2874xe" filled="false" stroked="true" strokeweight=".719374pt" strokecolor="#000000">
              <v:path arrowok="t"/>
            </v:shape>
            <v:line style="position:absolute" from="7276,3451" to="7276,3859" stroked="true" strokeweight=".719562pt" strokecolor="#000000"/>
            <v:line style="position:absolute" from="7276,2337" to="7276,2874" stroked="true" strokeweight=".719562pt" strokecolor="#000000"/>
            <v:shape style="position:absolute;left:3001;top:4784;width:2764;height:577" coordorigin="3001,4784" coordsize="2764,577" path="m3097,4784l3060,4792,3029,4812,3008,4843,3001,4880,3001,5264,3008,5302,3029,5332,3060,5353,3097,5360,5668,5360,5705,5353,5736,5332,5756,5302,5764,5264,5764,4880,5756,4843,5736,4812,5705,4792,5668,4784,3097,4784xe" filled="false" stroked="true" strokeweight=".719374pt" strokecolor="#000000">
              <v:path arrowok="t"/>
            </v:shape>
            <v:shape style="position:absolute;left:3001;top:3859;width:2764;height:577" coordorigin="3001,3859" coordsize="2764,577" path="m3097,3859l3060,3867,3029,3888,3008,3918,3001,3956,3001,4340,3008,4377,3029,4408,3060,4428,3097,4436,5668,4436,5705,4428,5736,4408,5756,4377,5764,4340,5764,3956,5756,3918,5736,3888,5705,3867,5668,3859,3097,3859xe" filled="false" stroked="true" strokeweight=".719374pt" strokecolor="#000000">
              <v:path arrowok="t"/>
            </v:shape>
            <v:line style="position:absolute" from="4297,4436" to="4297,4784" stroked="true" strokeweight=".719562pt" strokecolor="#000000"/>
            <v:shape style="position:absolute;left:3001;top:2874;width:2764;height:577" coordorigin="3001,2874" coordsize="2764,577" path="m3097,2874l3060,2882,3029,2903,3008,2933,3001,2971,3001,3355,3008,3392,3029,3423,3060,3443,3097,3451,5668,3451,5705,3443,5736,3423,5756,3392,5764,3355,5764,2971,5756,2933,5736,2903,5705,2882,5668,2874,3097,2874xe" filled="false" stroked="true" strokeweight=".719374pt" strokecolor="#000000">
              <v:path arrowok="t"/>
            </v:shape>
            <v:line style="position:absolute" from="4297,3451" to="4297,3859" stroked="true" strokeweight=".719562pt" strokecolor="#000000"/>
            <v:line style="position:absolute" from="4297,2578" to="4297,2874" stroked="true" strokeweight=".719562pt" strokecolor="#000000"/>
            <v:shape style="position:absolute;left:8;top:4784;width:2764;height:577" coordorigin="8,4784" coordsize="2764,577" path="m104,4784l66,4792,36,4812,15,4843,8,4880,8,5264,15,5302,36,5332,66,5353,104,5360,2674,5360,2712,5353,2742,5332,2763,5302,2771,5264,2771,4880,2763,4843,2742,4812,2712,4792,2674,4784,104,4784xe" filled="false" stroked="true" strokeweight=".719374pt" strokecolor="#000000">
              <v:path arrowok="t"/>
            </v:shape>
            <v:shape style="position:absolute;left:8;top:3859;width:2764;height:577" coordorigin="8,3859" coordsize="2764,577" path="m104,3859l66,3867,36,3888,15,3918,8,3956,8,4340,15,4377,36,4408,66,4428,104,4436,2674,4436,2712,4428,2742,4408,2763,4377,2771,4340,2771,3956,2763,3918,2742,3888,2712,3867,2674,3859,104,3859xe" filled="false" stroked="true" strokeweight=".719374pt" strokecolor="#000000">
              <v:path arrowok="t"/>
            </v:shape>
            <v:line style="position:absolute" from="1317,4436" to="1317,4784" stroked="true" strokeweight=".719562pt" strokecolor="#000000"/>
            <v:shape style="position:absolute;left:8;top:2874;width:2764;height:577" coordorigin="8,2874" coordsize="2764,577" path="m104,2874l66,2882,36,2903,15,2933,8,2971,8,3355,15,3392,36,3423,66,3443,104,3451,2674,3451,2712,3443,2742,3423,2763,3392,2771,3355,2771,2971,2763,2933,2742,2903,2712,2882,2674,2874,104,2874xe" filled="false" stroked="true" strokeweight=".719374pt" strokecolor="#000000">
              <v:path arrowok="t"/>
            </v:shape>
            <v:line style="position:absolute" from="1317,3451" to="1317,3859" stroked="true" strokeweight=".719562pt" strokecolor="#000000"/>
            <v:line style="position:absolute" from="1317,2406" to="1317,2874" stroked="true" strokeweight=".719562pt" strokecolor="#000000"/>
            <v:shape style="position:absolute;left:495;top:434;width:7482;height:231" type="#_x0000_t202" filled="false" stroked="false">
              <v:textbox inset="0,0,0,0">
                <w:txbxContent>
                  <w:p>
                    <w:pPr>
                      <w:spacing w:line="231" w:lineRule="exact" w:before="0"/>
                      <w:ind w:left="0" w:right="-15" w:firstLine="0"/>
                      <w:jc w:val="left"/>
                      <w:rPr>
                        <w:b/>
                        <w:sz w:val="23"/>
                      </w:rPr>
                    </w:pPr>
                    <w:r>
                      <w:rPr>
                        <w:b/>
                        <w:sz w:val="23"/>
                      </w:rPr>
                      <w:t>La habitabilidad de las viviendas en la zona metropolitana de Toluca</w:t>
                    </w:r>
                  </w:p>
                </w:txbxContent>
              </v:textbox>
              <w10:wrap type="none"/>
            </v:shape>
            <v:shape style="position:absolute;left:550;top:1973;width:1689;height:231" type="#_x0000_t202" filled="false" stroked="false">
              <v:textbox inset="0,0,0,0">
                <w:txbxContent>
                  <w:p>
                    <w:pPr>
                      <w:spacing w:line="231" w:lineRule="exact" w:before="0"/>
                      <w:ind w:left="0" w:right="-17" w:firstLine="0"/>
                      <w:jc w:val="left"/>
                      <w:rPr>
                        <w:rFonts w:ascii="Calibri" w:hAnsi="Calibri"/>
                        <w:b/>
                        <w:sz w:val="23"/>
                      </w:rPr>
                    </w:pPr>
                    <w:r>
                      <w:rPr>
                        <w:rFonts w:ascii="Calibri" w:hAnsi="Calibri"/>
                        <w:b/>
                        <w:sz w:val="23"/>
                      </w:rPr>
                      <w:t>Servicios Públicos</w:t>
                    </w:r>
                  </w:p>
                </w:txbxContent>
              </v:textbox>
              <w10:wrap type="none"/>
            </v:shape>
            <v:shape style="position:absolute;left:3725;top:1987;width:1318;height:512" type="#_x0000_t202" filled="false" stroked="false">
              <v:textbox inset="0,0,0,0">
                <w:txbxContent>
                  <w:p>
                    <w:pPr>
                      <w:spacing w:line="235" w:lineRule="exact" w:before="0"/>
                      <w:ind w:left="36" w:right="-19" w:hanging="37"/>
                      <w:jc w:val="left"/>
                      <w:rPr>
                        <w:rFonts w:ascii="Calibri"/>
                        <w:b/>
                        <w:sz w:val="23"/>
                      </w:rPr>
                    </w:pPr>
                    <w:r>
                      <w:rPr>
                        <w:rFonts w:ascii="Calibri"/>
                        <w:b/>
                        <w:sz w:val="23"/>
                      </w:rPr>
                      <w:t>Materiales de</w:t>
                    </w:r>
                  </w:p>
                  <w:p>
                    <w:pPr>
                      <w:spacing w:line="277" w:lineRule="exact" w:before="0"/>
                      <w:ind w:left="36" w:right="-19" w:firstLine="0"/>
                      <w:jc w:val="left"/>
                      <w:rPr>
                        <w:rFonts w:ascii="Calibri" w:hAnsi="Calibri"/>
                        <w:b/>
                        <w:sz w:val="23"/>
                      </w:rPr>
                    </w:pPr>
                    <w:r>
                      <w:rPr>
                        <w:rFonts w:ascii="Calibri" w:hAnsi="Calibri"/>
                        <w:b/>
                        <w:sz w:val="23"/>
                      </w:rPr>
                      <w:t>Construcción</w:t>
                    </w:r>
                  </w:p>
                </w:txbxContent>
              </v:textbox>
              <w10:wrap type="none"/>
            </v:shape>
            <v:shape style="position:absolute;left:6236;top:1968;width:2283;height:231" type="#_x0000_t202" filled="false" stroked="false">
              <v:textbox inset="0,0,0,0">
                <w:txbxContent>
                  <w:p>
                    <w:pPr>
                      <w:spacing w:line="231" w:lineRule="exact" w:before="0"/>
                      <w:ind w:left="0" w:right="-19" w:firstLine="0"/>
                      <w:jc w:val="left"/>
                      <w:rPr>
                        <w:rFonts w:ascii="Calibri"/>
                        <w:b/>
                        <w:sz w:val="23"/>
                      </w:rPr>
                    </w:pPr>
                    <w:r>
                      <w:rPr>
                        <w:rFonts w:ascii="Calibri"/>
                        <w:b/>
                        <w:sz w:val="23"/>
                      </w:rPr>
                      <w:t>Legalidad de la vivienda</w:t>
                    </w:r>
                  </w:p>
                </w:txbxContent>
              </v:textbox>
              <w10:wrap type="none"/>
            </v:shape>
            <v:shape style="position:absolute;left:771;top:3019;width:1239;height:231" type="#_x0000_t202" filled="false" stroked="false">
              <v:textbox inset="0,0,0,0">
                <w:txbxContent>
                  <w:p>
                    <w:pPr>
                      <w:spacing w:line="231" w:lineRule="exact" w:before="0"/>
                      <w:ind w:left="0" w:right="-14" w:firstLine="0"/>
                      <w:jc w:val="left"/>
                      <w:rPr>
                        <w:rFonts w:ascii="Calibri"/>
                        <w:sz w:val="23"/>
                      </w:rPr>
                    </w:pPr>
                    <w:r>
                      <w:rPr>
                        <w:rFonts w:ascii="Calibri"/>
                        <w:sz w:val="23"/>
                      </w:rPr>
                      <w:t>Agua</w:t>
                    </w:r>
                    <w:r>
                      <w:rPr>
                        <w:rFonts w:ascii="Calibri"/>
                        <w:spacing w:val="-7"/>
                        <w:sz w:val="23"/>
                      </w:rPr>
                      <w:t> </w:t>
                    </w:r>
                    <w:r>
                      <w:rPr>
                        <w:rFonts w:ascii="Calibri"/>
                        <w:sz w:val="23"/>
                      </w:rPr>
                      <w:t>Potable</w:t>
                    </w:r>
                  </w:p>
                </w:txbxContent>
              </v:textbox>
              <w10:wrap type="none"/>
            </v:shape>
            <v:shape style="position:absolute;left:4102;top:3019;width:564;height:231" type="#_x0000_t202" filled="false" stroked="false">
              <v:textbox inset="0,0,0,0">
                <w:txbxContent>
                  <w:p>
                    <w:pPr>
                      <w:spacing w:line="231" w:lineRule="exact" w:before="0"/>
                      <w:ind w:left="0" w:right="-17" w:firstLine="0"/>
                      <w:jc w:val="left"/>
                      <w:rPr>
                        <w:rFonts w:ascii="Calibri"/>
                        <w:sz w:val="23"/>
                      </w:rPr>
                    </w:pPr>
                    <w:r>
                      <w:rPr>
                        <w:rFonts w:ascii="Calibri"/>
                        <w:spacing w:val="-1"/>
                        <w:sz w:val="23"/>
                      </w:rPr>
                      <w:t>Techo</w:t>
                    </w:r>
                  </w:p>
                </w:txbxContent>
              </v:textbox>
              <w10:wrap type="none"/>
            </v:shape>
            <v:shape style="position:absolute;left:6558;top:3019;width:1642;height:231" type="#_x0000_t202" filled="false" stroked="false">
              <v:textbox inset="0,0,0,0">
                <w:txbxContent>
                  <w:p>
                    <w:pPr>
                      <w:spacing w:line="231" w:lineRule="exact" w:before="0"/>
                      <w:ind w:left="0" w:right="-13" w:firstLine="0"/>
                      <w:jc w:val="left"/>
                      <w:rPr>
                        <w:rFonts w:ascii="Calibri"/>
                        <w:sz w:val="23"/>
                      </w:rPr>
                    </w:pPr>
                    <w:r>
                      <w:rPr>
                        <w:rFonts w:ascii="Calibri"/>
                        <w:sz w:val="23"/>
                      </w:rPr>
                      <w:t>Viviendas</w:t>
                    </w:r>
                    <w:r>
                      <w:rPr>
                        <w:rFonts w:ascii="Calibri"/>
                        <w:spacing w:val="-10"/>
                        <w:sz w:val="23"/>
                      </w:rPr>
                      <w:t> </w:t>
                    </w:r>
                    <w:r>
                      <w:rPr>
                        <w:rFonts w:ascii="Calibri"/>
                        <w:sz w:val="23"/>
                      </w:rPr>
                      <w:t>propias</w:t>
                    </w:r>
                  </w:p>
                </w:txbxContent>
              </v:textbox>
              <w10:wrap type="none"/>
            </v:shape>
            <v:shape style="position:absolute;left:619;top:4006;width:1543;height:231" type="#_x0000_t202" filled="false" stroked="false">
              <v:textbox inset="0,0,0,0">
                <w:txbxContent>
                  <w:p>
                    <w:pPr>
                      <w:spacing w:line="231" w:lineRule="exact" w:before="0"/>
                      <w:ind w:left="0" w:right="-13" w:firstLine="0"/>
                      <w:jc w:val="left"/>
                      <w:rPr>
                        <w:rFonts w:ascii="Calibri" w:hAnsi="Calibri"/>
                        <w:sz w:val="23"/>
                      </w:rPr>
                    </w:pPr>
                    <w:r>
                      <w:rPr>
                        <w:rFonts w:ascii="Calibri" w:hAnsi="Calibri"/>
                        <w:sz w:val="23"/>
                      </w:rPr>
                      <w:t>Energía</w:t>
                    </w:r>
                    <w:r>
                      <w:rPr>
                        <w:rFonts w:ascii="Calibri" w:hAnsi="Calibri"/>
                        <w:spacing w:val="-10"/>
                        <w:sz w:val="23"/>
                      </w:rPr>
                      <w:t> </w:t>
                    </w:r>
                    <w:r>
                      <w:rPr>
                        <w:rFonts w:ascii="Calibri" w:hAnsi="Calibri"/>
                        <w:sz w:val="23"/>
                      </w:rPr>
                      <w:t>Eléctrica</w:t>
                    </w:r>
                  </w:p>
                </w:txbxContent>
              </v:textbox>
              <w10:wrap type="none"/>
            </v:shape>
            <v:shape style="position:absolute;left:4010;top:4006;width:749;height:231" type="#_x0000_t202" filled="false" stroked="false">
              <v:textbox inset="0,0,0,0">
                <w:txbxContent>
                  <w:p>
                    <w:pPr>
                      <w:spacing w:line="231" w:lineRule="exact" w:before="0"/>
                      <w:ind w:left="0" w:right="-20" w:firstLine="0"/>
                      <w:jc w:val="left"/>
                      <w:rPr>
                        <w:rFonts w:ascii="Calibri"/>
                        <w:sz w:val="23"/>
                      </w:rPr>
                    </w:pPr>
                    <w:r>
                      <w:rPr>
                        <w:rFonts w:ascii="Calibri"/>
                        <w:sz w:val="23"/>
                      </w:rPr>
                      <w:t>Paredes</w:t>
                    </w:r>
                  </w:p>
                </w:txbxContent>
              </v:textbox>
              <w10:wrap type="none"/>
            </v:shape>
            <v:shape style="position:absolute;left:6992;top:4006;width:776;height:231" type="#_x0000_t202" filled="false" stroked="false">
              <v:textbox inset="0,0,0,0">
                <w:txbxContent>
                  <w:p>
                    <w:pPr>
                      <w:spacing w:line="231" w:lineRule="exact" w:before="0"/>
                      <w:ind w:left="0" w:right="-20" w:firstLine="0"/>
                      <w:jc w:val="left"/>
                      <w:rPr>
                        <w:rFonts w:ascii="Calibri"/>
                        <w:sz w:val="23"/>
                      </w:rPr>
                    </w:pPr>
                    <w:r>
                      <w:rPr>
                        <w:rFonts w:ascii="Calibri"/>
                        <w:sz w:val="23"/>
                      </w:rPr>
                      <w:t>1 cuarto</w:t>
                    </w:r>
                  </w:p>
                </w:txbxContent>
              </v:textbox>
              <w10:wrap type="none"/>
            </v:shape>
            <v:shape style="position:absolute;left:1024;top:4932;width:737;height:231" type="#_x0000_t202" filled="false" stroked="false">
              <v:textbox inset="0,0,0,0">
                <w:txbxContent>
                  <w:p>
                    <w:pPr>
                      <w:spacing w:line="231" w:lineRule="exact" w:before="0"/>
                      <w:ind w:left="0" w:right="-20" w:firstLine="0"/>
                      <w:jc w:val="left"/>
                      <w:rPr>
                        <w:rFonts w:ascii="Calibri"/>
                        <w:sz w:val="23"/>
                      </w:rPr>
                    </w:pPr>
                    <w:r>
                      <w:rPr>
                        <w:rFonts w:ascii="Calibri"/>
                        <w:sz w:val="23"/>
                      </w:rPr>
                      <w:t>Drenaje</w:t>
                    </w:r>
                  </w:p>
                </w:txbxContent>
              </v:textbox>
              <w10:wrap type="none"/>
            </v:shape>
            <v:shape style="position:absolute;left:3752;top:4932;width:1271;height:231" type="#_x0000_t202" filled="false" stroked="false">
              <v:textbox inset="0,0,0,0">
                <w:txbxContent>
                  <w:p>
                    <w:pPr>
                      <w:spacing w:line="231" w:lineRule="exact" w:before="0"/>
                      <w:ind w:left="0" w:right="-14" w:firstLine="0"/>
                      <w:jc w:val="left"/>
                      <w:rPr>
                        <w:rFonts w:ascii="Calibri"/>
                        <w:sz w:val="23"/>
                      </w:rPr>
                    </w:pPr>
                    <w:r>
                      <w:rPr>
                        <w:rFonts w:ascii="Calibri"/>
                        <w:sz w:val="23"/>
                      </w:rPr>
                      <w:t>Piso de</w:t>
                    </w:r>
                    <w:r>
                      <w:rPr>
                        <w:rFonts w:ascii="Calibri"/>
                        <w:spacing w:val="-7"/>
                        <w:sz w:val="23"/>
                      </w:rPr>
                      <w:t> </w:t>
                    </w:r>
                    <w:r>
                      <w:rPr>
                        <w:rFonts w:ascii="Calibri"/>
                        <w:sz w:val="23"/>
                      </w:rPr>
                      <w:t>Tierra</w:t>
                    </w:r>
                  </w:p>
                </w:txbxContent>
              </v:textbox>
              <w10:wrap type="none"/>
            </v:shape>
            <v:shape style="position:absolute;left:7019;top:4932;width:864;height:231" type="#_x0000_t202" filled="false" stroked="false">
              <v:textbox inset="0,0,0,0">
                <w:txbxContent>
                  <w:p>
                    <w:pPr>
                      <w:spacing w:line="231" w:lineRule="exact" w:before="0"/>
                      <w:ind w:left="0" w:right="-17" w:firstLine="0"/>
                      <w:jc w:val="left"/>
                      <w:rPr>
                        <w:rFonts w:ascii="Calibri"/>
                        <w:sz w:val="23"/>
                      </w:rPr>
                    </w:pPr>
                    <w:r>
                      <w:rPr>
                        <w:rFonts w:ascii="Calibri"/>
                        <w:sz w:val="23"/>
                      </w:rPr>
                      <w:t>2</w:t>
                    </w:r>
                    <w:r>
                      <w:rPr>
                        <w:rFonts w:ascii="Calibri"/>
                        <w:spacing w:val="-5"/>
                        <w:sz w:val="23"/>
                      </w:rPr>
                      <w:t> </w:t>
                    </w:r>
                    <w:r>
                      <w:rPr>
                        <w:rFonts w:ascii="Calibri"/>
                        <w:sz w:val="23"/>
                      </w:rPr>
                      <w:t>cuartos</w:t>
                    </w:r>
                  </w:p>
                </w:txbxContent>
              </v:textbox>
              <w10:wrap type="none"/>
            </v:shape>
          </v:group>
        </w:pict>
      </w:r>
      <w:r>
        <w:rPr>
          <w:sz w:val="20"/>
        </w:rPr>
      </w:r>
    </w:p>
    <w:p>
      <w:pPr>
        <w:pStyle w:val="BodyText"/>
        <w:rPr>
          <w:sz w:val="20"/>
        </w:rPr>
      </w:pPr>
    </w:p>
    <w:p>
      <w:pPr>
        <w:pStyle w:val="BodyText"/>
        <w:rPr>
          <w:sz w:val="20"/>
        </w:rPr>
      </w:pPr>
    </w:p>
    <w:p>
      <w:pPr>
        <w:pStyle w:val="BodyText"/>
        <w:spacing w:before="7"/>
        <w:rPr>
          <w:sz w:val="25"/>
        </w:rPr>
      </w:pPr>
    </w:p>
    <w:p>
      <w:pPr>
        <w:spacing w:before="0"/>
        <w:ind w:left="111" w:right="0" w:firstLine="0"/>
        <w:jc w:val="both"/>
        <w:rPr>
          <w:sz w:val="20"/>
        </w:rPr>
      </w:pPr>
      <w:r>
        <w:rPr>
          <w:sz w:val="20"/>
        </w:rPr>
        <w:t>Fuente: Elaboración propia con base en los datos del Censo de Población y Vivienda INEGI, 1990.</w:t>
      </w:r>
    </w:p>
    <w:p>
      <w:pPr>
        <w:spacing w:after="0"/>
        <w:jc w:val="both"/>
        <w:rPr>
          <w:sz w:val="20"/>
        </w:rPr>
        <w:sectPr>
          <w:pgSz w:w="12240" w:h="15840"/>
          <w:pgMar w:header="0" w:footer="1003" w:top="1380" w:bottom="1200" w:left="1600" w:right="1560"/>
        </w:sectPr>
      </w:pPr>
    </w:p>
    <w:p>
      <w:pPr>
        <w:pStyle w:val="BodyText"/>
        <w:spacing w:line="360" w:lineRule="auto" w:before="54"/>
        <w:ind w:left="102" w:right="119"/>
        <w:jc w:val="both"/>
      </w:pPr>
      <w:r>
        <w:rPr/>
        <w:t>Se aplicó el método Saaty en el año 1990 para la </w:t>
      </w:r>
      <w:r>
        <w:rPr>
          <w:sz w:val="19"/>
        </w:rPr>
        <w:t>ZMT</w:t>
      </w:r>
      <w:r>
        <w:rPr/>
        <w:t>, a 419 localidades de los 15 municipios que integran dicha zona, encontrando entre estas condiciones de alta, buena, media, baja y muy baja habitabilidad de las viviendas, las cuales se analizan y se interpretan en los siguientes párrafos. La jerarquización de las 9 variables quedo de la siguiente manera: viviendas particulares propias, con techo inadecuado, con paredes inadecuadas, sin agua, sin energía eléctrica, sin drenaje, con dos cuartos, con un cuarto, con piso de tierra.</w:t>
      </w:r>
    </w:p>
    <w:p>
      <w:pPr>
        <w:pStyle w:val="BodyText"/>
      </w:pPr>
    </w:p>
    <w:p>
      <w:pPr>
        <w:pStyle w:val="BodyText"/>
        <w:spacing w:line="360" w:lineRule="auto" w:before="142"/>
        <w:ind w:left="102" w:right="117"/>
        <w:jc w:val="both"/>
      </w:pPr>
      <w:r>
        <w:rPr/>
        <w:t>Dentro del estrato de alta habitabilidad en las viviendas de la zona metropolitana en 1990, se ubicaron 91 localidades, de las cuales 20 se localizaron en los municipios de Toluca y Lerma, mientras Ocoyoacac y Zinacantepec con 11 localidades, Otzolotepec 8 localidades, Temoaya 7 localidades, Calimaya y Almoloya de Juárez con 4 localidades, Metepec y Xonacatlán 2 localidades, San Mateo Atenco, Mexicaltzingo y Chapultepec con 1 localidad con esta  característica, San Antonio la Isla y Rayón no registraron ninguna localidad posiblemente porque apenas se estaba presentando el crecimiento urbano hacia estos</w:t>
      </w:r>
      <w:r>
        <w:rPr>
          <w:spacing w:val="-4"/>
        </w:rPr>
        <w:t> </w:t>
      </w:r>
      <w:r>
        <w:rPr/>
        <w:t>municipios.</w:t>
      </w:r>
    </w:p>
    <w:p>
      <w:pPr>
        <w:pStyle w:val="BodyText"/>
      </w:pPr>
    </w:p>
    <w:p>
      <w:pPr>
        <w:pStyle w:val="BodyText"/>
        <w:spacing w:line="360" w:lineRule="auto" w:before="142"/>
        <w:ind w:left="102" w:right="122"/>
        <w:jc w:val="both"/>
      </w:pPr>
      <w:r>
        <w:rPr/>
        <w:t>En el estrato de buena habitabilidad de las viviendas en 1990, se ubicaron 140 localidades, de las cuales 37 se ubicaron en Toluca, 19 en Almoloya de Juárez, 17 en Zinacantepec, 15 en Temoaya, 10 en Otzolotepec, Lerma y Xonacatlán con 9, Metepec y Calimaya con 6, Ocoyoacac con 5, San Mateo Atenco con 4, Rayón  con 2 y San Antonio la Isla con 1 localidad, Mexicaltzingo y Chapultepec no registraron localidades en este rango de buena</w:t>
      </w:r>
      <w:r>
        <w:rPr>
          <w:spacing w:val="-22"/>
        </w:rPr>
        <w:t> </w:t>
      </w:r>
      <w:r>
        <w:rPr/>
        <w:t>habitabilidad.</w:t>
      </w:r>
    </w:p>
    <w:p>
      <w:pPr>
        <w:pStyle w:val="BodyText"/>
      </w:pPr>
    </w:p>
    <w:p>
      <w:pPr>
        <w:pStyle w:val="BodyText"/>
        <w:spacing w:line="360" w:lineRule="auto" w:before="142"/>
        <w:ind w:left="102" w:right="115"/>
        <w:jc w:val="both"/>
      </w:pPr>
      <w:r>
        <w:rPr/>
        <w:t>Con 121 localidades encontramos el estrato de media habitabilidad de las viviendas en la zona metropolitana, Almoloya de Juárez registró 31 localidades, Toluca  con  29  localidades,  Temoaya  16,  Zinacantepec  15,  Xonacatlán     </w:t>
      </w:r>
      <w:r>
        <w:rPr>
          <w:spacing w:val="51"/>
        </w:rPr>
        <w:t> </w:t>
      </w:r>
      <w:r>
        <w:rPr/>
        <w:t>12,</w:t>
      </w:r>
    </w:p>
    <w:p>
      <w:pPr>
        <w:pStyle w:val="BodyText"/>
        <w:spacing w:line="360" w:lineRule="auto" w:before="2"/>
        <w:ind w:left="102" w:right="119"/>
        <w:jc w:val="both"/>
      </w:pPr>
      <w:r>
        <w:rPr/>
        <w:t>Otzolotepec 6, Lerma 5, Ocoyoacac 3, San Mateo Atenco 2, Metepec y Chapultepec con 1 localidad, San Antonio la Isla, Calimaya, Mexicaltzingo y Rayón no registraron localidades en este rango de media habitabilidad. Es decir, de las</w:t>
      </w:r>
    </w:p>
    <w:p>
      <w:pPr>
        <w:spacing w:after="0" w:line="360" w:lineRule="auto"/>
        <w:jc w:val="both"/>
        <w:sectPr>
          <w:footerReference w:type="default" r:id="rId982"/>
          <w:pgSz w:w="12240" w:h="15840"/>
          <w:pgMar w:footer="1003" w:header="0" w:top="1360" w:bottom="1200" w:left="1600" w:right="1580"/>
          <w:pgNumType w:start="170"/>
        </w:sectPr>
      </w:pPr>
    </w:p>
    <w:p>
      <w:pPr>
        <w:pStyle w:val="BodyText"/>
        <w:spacing w:line="360" w:lineRule="auto" w:before="54"/>
        <w:ind w:left="102" w:right="98"/>
        <w:jc w:val="both"/>
      </w:pPr>
      <w:r>
        <w:rPr/>
        <w:t>nueve variables evaluadas en este rango de habitabilidad, las viviendas solo cuentan con cinco variables ya sean en servicios públicos, materiales de construcción o la legalidad de las mismas (ver cuadro no. 16).</w:t>
      </w:r>
    </w:p>
    <w:p>
      <w:pPr>
        <w:pStyle w:val="BodyText"/>
      </w:pPr>
    </w:p>
    <w:p>
      <w:pPr>
        <w:spacing w:before="141" w:after="3"/>
        <w:ind w:left="157" w:right="158" w:firstLine="0"/>
        <w:jc w:val="center"/>
        <w:rPr>
          <w:sz w:val="20"/>
        </w:rPr>
      </w:pPr>
      <w:r>
        <w:rPr>
          <w:sz w:val="20"/>
        </w:rPr>
        <w:t>Cuadro No. 16 Niveles de habitabilidad a nivel localidad en la </w:t>
      </w:r>
      <w:r>
        <w:rPr>
          <w:sz w:val="16"/>
        </w:rPr>
        <w:t>ZMT</w:t>
      </w:r>
      <w:r>
        <w:rPr>
          <w:sz w:val="20"/>
        </w:rPr>
        <w:t>, 1990.</w:t>
      </w:r>
    </w:p>
    <w:tbl>
      <w:tblPr>
        <w:tblW w:w="0" w:type="auto"/>
        <w:jc w:val="left"/>
        <w:tblInd w:w="358"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2016"/>
        <w:gridCol w:w="1263"/>
        <w:gridCol w:w="1262"/>
        <w:gridCol w:w="1263"/>
        <w:gridCol w:w="1262"/>
        <w:gridCol w:w="1258"/>
      </w:tblGrid>
      <w:tr>
        <w:trPr>
          <w:trHeight w:val="326" w:hRule="exact"/>
        </w:trPr>
        <w:tc>
          <w:tcPr>
            <w:tcW w:w="2016" w:type="dxa"/>
            <w:tcBorders>
              <w:bottom w:val="single" w:sz="15" w:space="0" w:color="000000"/>
              <w:right w:val="single" w:sz="8" w:space="0" w:color="000000"/>
            </w:tcBorders>
            <w:shd w:val="clear" w:color="auto" w:fill="528ED4"/>
          </w:tcPr>
          <w:p>
            <w:pPr>
              <w:pStyle w:val="TableParagraph"/>
              <w:spacing w:line="255" w:lineRule="exact"/>
              <w:ind w:left="19"/>
              <w:rPr>
                <w:rFonts w:ascii="Trebuchet MS"/>
                <w:b/>
                <w:sz w:val="22"/>
              </w:rPr>
            </w:pPr>
            <w:r>
              <w:rPr>
                <w:rFonts w:ascii="Trebuchet MS"/>
                <w:b/>
                <w:w w:val="95"/>
                <w:sz w:val="22"/>
              </w:rPr>
              <w:t>Municipio</w:t>
            </w:r>
          </w:p>
        </w:tc>
        <w:tc>
          <w:tcPr>
            <w:tcW w:w="1263" w:type="dxa"/>
            <w:tcBorders>
              <w:left w:val="single" w:sz="8" w:space="0" w:color="000000"/>
              <w:bottom w:val="single" w:sz="15" w:space="0" w:color="000000"/>
              <w:right w:val="single" w:sz="8" w:space="0" w:color="000000"/>
            </w:tcBorders>
            <w:shd w:val="clear" w:color="auto" w:fill="528ED4"/>
          </w:tcPr>
          <w:p>
            <w:pPr>
              <w:pStyle w:val="TableParagraph"/>
              <w:spacing w:line="255" w:lineRule="exact"/>
              <w:ind w:right="27"/>
              <w:jc w:val="right"/>
              <w:rPr>
                <w:rFonts w:ascii="Trebuchet MS"/>
                <w:b/>
                <w:sz w:val="22"/>
              </w:rPr>
            </w:pPr>
            <w:r>
              <w:rPr>
                <w:rFonts w:ascii="Trebuchet MS"/>
                <w:b/>
                <w:w w:val="80"/>
                <w:sz w:val="22"/>
              </w:rPr>
              <w:t>Alta</w:t>
            </w:r>
          </w:p>
        </w:tc>
        <w:tc>
          <w:tcPr>
            <w:tcW w:w="1262" w:type="dxa"/>
            <w:tcBorders>
              <w:left w:val="single" w:sz="8" w:space="0" w:color="000000"/>
              <w:bottom w:val="single" w:sz="15" w:space="0" w:color="000000"/>
              <w:right w:val="single" w:sz="8" w:space="0" w:color="000000"/>
            </w:tcBorders>
            <w:shd w:val="clear" w:color="auto" w:fill="528ED4"/>
          </w:tcPr>
          <w:p>
            <w:pPr>
              <w:pStyle w:val="TableParagraph"/>
              <w:spacing w:line="255" w:lineRule="exact"/>
              <w:ind w:right="26"/>
              <w:jc w:val="right"/>
              <w:rPr>
                <w:rFonts w:ascii="Trebuchet MS"/>
                <w:b/>
                <w:sz w:val="22"/>
              </w:rPr>
            </w:pPr>
            <w:r>
              <w:rPr>
                <w:rFonts w:ascii="Trebuchet MS"/>
                <w:b/>
                <w:w w:val="85"/>
                <w:sz w:val="22"/>
              </w:rPr>
              <w:t>Buena</w:t>
            </w:r>
          </w:p>
        </w:tc>
        <w:tc>
          <w:tcPr>
            <w:tcW w:w="1263" w:type="dxa"/>
            <w:tcBorders>
              <w:left w:val="single" w:sz="8" w:space="0" w:color="000000"/>
              <w:bottom w:val="single" w:sz="15" w:space="0" w:color="000000"/>
              <w:right w:val="single" w:sz="8" w:space="0" w:color="000000"/>
            </w:tcBorders>
            <w:shd w:val="clear" w:color="auto" w:fill="528ED4"/>
          </w:tcPr>
          <w:p>
            <w:pPr>
              <w:pStyle w:val="TableParagraph"/>
              <w:spacing w:line="255" w:lineRule="exact"/>
              <w:ind w:right="27"/>
              <w:jc w:val="right"/>
              <w:rPr>
                <w:rFonts w:ascii="Trebuchet MS"/>
                <w:b/>
                <w:sz w:val="22"/>
              </w:rPr>
            </w:pPr>
            <w:r>
              <w:rPr>
                <w:rFonts w:ascii="Trebuchet MS"/>
                <w:b/>
                <w:w w:val="85"/>
                <w:sz w:val="22"/>
              </w:rPr>
              <w:t>Media</w:t>
            </w:r>
          </w:p>
        </w:tc>
        <w:tc>
          <w:tcPr>
            <w:tcW w:w="1262" w:type="dxa"/>
            <w:tcBorders>
              <w:left w:val="single" w:sz="8" w:space="0" w:color="000000"/>
              <w:bottom w:val="single" w:sz="15" w:space="0" w:color="000000"/>
              <w:right w:val="single" w:sz="8" w:space="0" w:color="000000"/>
            </w:tcBorders>
            <w:shd w:val="clear" w:color="auto" w:fill="528ED4"/>
          </w:tcPr>
          <w:p>
            <w:pPr>
              <w:pStyle w:val="TableParagraph"/>
              <w:spacing w:line="255" w:lineRule="exact"/>
              <w:ind w:right="26"/>
              <w:jc w:val="right"/>
              <w:rPr>
                <w:rFonts w:ascii="Trebuchet MS"/>
                <w:b/>
                <w:sz w:val="22"/>
              </w:rPr>
            </w:pPr>
            <w:r>
              <w:rPr>
                <w:rFonts w:ascii="Trebuchet MS"/>
                <w:b/>
                <w:w w:val="80"/>
                <w:sz w:val="22"/>
              </w:rPr>
              <w:t>Baja</w:t>
            </w:r>
          </w:p>
        </w:tc>
        <w:tc>
          <w:tcPr>
            <w:tcW w:w="1258" w:type="dxa"/>
            <w:tcBorders>
              <w:left w:val="single" w:sz="8" w:space="0" w:color="000000"/>
              <w:bottom w:val="single" w:sz="15" w:space="0" w:color="000000"/>
            </w:tcBorders>
            <w:shd w:val="clear" w:color="auto" w:fill="528ED4"/>
          </w:tcPr>
          <w:p>
            <w:pPr>
              <w:pStyle w:val="TableParagraph"/>
              <w:spacing w:line="255" w:lineRule="exact"/>
              <w:ind w:right="17"/>
              <w:jc w:val="right"/>
              <w:rPr>
                <w:rFonts w:ascii="Trebuchet MS"/>
                <w:b/>
                <w:sz w:val="22"/>
              </w:rPr>
            </w:pPr>
            <w:r>
              <w:rPr>
                <w:rFonts w:ascii="Trebuchet MS"/>
                <w:b/>
                <w:w w:val="85"/>
                <w:sz w:val="22"/>
              </w:rPr>
              <w:t>Muy baja</w:t>
            </w:r>
          </w:p>
        </w:tc>
      </w:tr>
      <w:tr>
        <w:trPr>
          <w:trHeight w:val="317" w:hRule="exact"/>
        </w:trPr>
        <w:tc>
          <w:tcPr>
            <w:tcW w:w="2016" w:type="dxa"/>
            <w:tcBorders>
              <w:top w:val="single" w:sz="15" w:space="0" w:color="000000"/>
              <w:bottom w:val="single" w:sz="8" w:space="0" w:color="000000"/>
              <w:right w:val="single" w:sz="8" w:space="0" w:color="000000"/>
            </w:tcBorders>
          </w:tcPr>
          <w:p>
            <w:pPr>
              <w:pStyle w:val="TableParagraph"/>
              <w:spacing w:before="4"/>
              <w:ind w:left="19"/>
              <w:rPr>
                <w:rFonts w:ascii="Arial" w:hAnsi="Arial"/>
                <w:sz w:val="22"/>
              </w:rPr>
            </w:pPr>
            <w:r>
              <w:rPr>
                <w:rFonts w:ascii="Arial" w:hAnsi="Arial"/>
                <w:w w:val="85"/>
                <w:sz w:val="22"/>
              </w:rPr>
              <w:t>Almoloya de Juárez</w:t>
            </w:r>
          </w:p>
        </w:tc>
        <w:tc>
          <w:tcPr>
            <w:tcW w:w="1263" w:type="dxa"/>
            <w:tcBorders>
              <w:top w:val="single" w:sz="15" w:space="0" w:color="000000"/>
              <w:left w:val="single" w:sz="8" w:space="0" w:color="000000"/>
              <w:bottom w:val="nil"/>
              <w:right w:val="nil"/>
            </w:tcBorders>
          </w:tcPr>
          <w:p>
            <w:pPr>
              <w:pStyle w:val="TableParagraph"/>
              <w:spacing w:before="4"/>
              <w:ind w:right="36"/>
              <w:jc w:val="right"/>
              <w:rPr>
                <w:rFonts w:ascii="Arial"/>
                <w:sz w:val="22"/>
              </w:rPr>
            </w:pPr>
            <w:r>
              <w:rPr>
                <w:rFonts w:ascii="Arial"/>
                <w:w w:val="82"/>
                <w:sz w:val="22"/>
              </w:rPr>
              <w:t>4</w:t>
            </w:r>
          </w:p>
        </w:tc>
        <w:tc>
          <w:tcPr>
            <w:tcW w:w="1262" w:type="dxa"/>
            <w:tcBorders>
              <w:top w:val="single" w:sz="15" w:space="0" w:color="000000"/>
              <w:left w:val="nil"/>
              <w:bottom w:val="nil"/>
              <w:right w:val="nil"/>
            </w:tcBorders>
          </w:tcPr>
          <w:p>
            <w:pPr>
              <w:pStyle w:val="TableParagraph"/>
              <w:spacing w:before="4"/>
              <w:ind w:right="36"/>
              <w:jc w:val="right"/>
              <w:rPr>
                <w:rFonts w:ascii="Arial"/>
                <w:sz w:val="22"/>
              </w:rPr>
            </w:pPr>
            <w:r>
              <w:rPr>
                <w:rFonts w:ascii="Arial"/>
                <w:w w:val="80"/>
                <w:sz w:val="22"/>
              </w:rPr>
              <w:t>19</w:t>
            </w:r>
          </w:p>
        </w:tc>
        <w:tc>
          <w:tcPr>
            <w:tcW w:w="1263" w:type="dxa"/>
            <w:tcBorders>
              <w:top w:val="single" w:sz="15" w:space="0" w:color="000000"/>
              <w:left w:val="nil"/>
              <w:bottom w:val="nil"/>
              <w:right w:val="nil"/>
            </w:tcBorders>
          </w:tcPr>
          <w:p>
            <w:pPr>
              <w:pStyle w:val="TableParagraph"/>
              <w:spacing w:before="4"/>
              <w:ind w:right="36"/>
              <w:jc w:val="right"/>
              <w:rPr>
                <w:rFonts w:ascii="Arial"/>
                <w:sz w:val="22"/>
              </w:rPr>
            </w:pPr>
            <w:r>
              <w:rPr>
                <w:rFonts w:ascii="Arial"/>
                <w:w w:val="80"/>
                <w:sz w:val="22"/>
              </w:rPr>
              <w:t>31</w:t>
            </w:r>
          </w:p>
        </w:tc>
        <w:tc>
          <w:tcPr>
            <w:tcW w:w="1262" w:type="dxa"/>
            <w:tcBorders>
              <w:top w:val="single" w:sz="15" w:space="0" w:color="000000"/>
              <w:left w:val="nil"/>
              <w:bottom w:val="nil"/>
              <w:right w:val="nil"/>
            </w:tcBorders>
          </w:tcPr>
          <w:p>
            <w:pPr>
              <w:pStyle w:val="TableParagraph"/>
              <w:spacing w:before="4"/>
              <w:ind w:right="36"/>
              <w:jc w:val="right"/>
              <w:rPr>
                <w:rFonts w:ascii="Arial"/>
                <w:sz w:val="22"/>
              </w:rPr>
            </w:pPr>
            <w:r>
              <w:rPr>
                <w:rFonts w:ascii="Arial"/>
                <w:w w:val="80"/>
                <w:sz w:val="22"/>
              </w:rPr>
              <w:t>18</w:t>
            </w:r>
          </w:p>
        </w:tc>
        <w:tc>
          <w:tcPr>
            <w:tcW w:w="1258" w:type="dxa"/>
            <w:tcBorders>
              <w:top w:val="single" w:sz="15" w:space="0" w:color="000000"/>
              <w:left w:val="nil"/>
              <w:bottom w:val="nil"/>
            </w:tcBorders>
          </w:tcPr>
          <w:p>
            <w:pPr/>
          </w:p>
        </w:tc>
      </w:tr>
      <w:tr>
        <w:trPr>
          <w:trHeight w:val="317" w:hRule="exact"/>
        </w:trPr>
        <w:tc>
          <w:tcPr>
            <w:tcW w:w="2016" w:type="dxa"/>
            <w:tcBorders>
              <w:top w:val="single" w:sz="8" w:space="0" w:color="000000"/>
              <w:bottom w:val="single" w:sz="8" w:space="0" w:color="000000"/>
              <w:right w:val="single" w:sz="8" w:space="0" w:color="000000"/>
            </w:tcBorders>
          </w:tcPr>
          <w:p>
            <w:pPr>
              <w:pStyle w:val="TableParagraph"/>
              <w:spacing w:before="15"/>
              <w:ind w:left="19"/>
              <w:rPr>
                <w:rFonts w:ascii="Arial"/>
                <w:sz w:val="22"/>
              </w:rPr>
            </w:pPr>
            <w:r>
              <w:rPr>
                <w:rFonts w:ascii="Arial"/>
                <w:w w:val="90"/>
                <w:sz w:val="22"/>
              </w:rPr>
              <w:t>Calimaya</w:t>
            </w:r>
          </w:p>
        </w:tc>
        <w:tc>
          <w:tcPr>
            <w:tcW w:w="1263" w:type="dxa"/>
            <w:tcBorders>
              <w:top w:val="nil"/>
              <w:left w:val="single" w:sz="8" w:space="0" w:color="000000"/>
              <w:bottom w:val="nil"/>
              <w:right w:val="nil"/>
            </w:tcBorders>
          </w:tcPr>
          <w:p>
            <w:pPr>
              <w:pStyle w:val="TableParagraph"/>
              <w:spacing w:before="24"/>
              <w:ind w:right="36"/>
              <w:jc w:val="right"/>
              <w:rPr>
                <w:rFonts w:ascii="Arial"/>
                <w:sz w:val="22"/>
              </w:rPr>
            </w:pPr>
            <w:r>
              <w:rPr>
                <w:rFonts w:ascii="Arial"/>
                <w:w w:val="82"/>
                <w:sz w:val="22"/>
              </w:rPr>
              <w:t>4</w:t>
            </w:r>
          </w:p>
        </w:tc>
        <w:tc>
          <w:tcPr>
            <w:tcW w:w="1262" w:type="dxa"/>
            <w:tcBorders>
              <w:top w:val="nil"/>
              <w:left w:val="nil"/>
              <w:bottom w:val="nil"/>
              <w:right w:val="nil"/>
            </w:tcBorders>
          </w:tcPr>
          <w:p>
            <w:pPr>
              <w:pStyle w:val="TableParagraph"/>
              <w:spacing w:before="24"/>
              <w:ind w:right="36"/>
              <w:jc w:val="right"/>
              <w:rPr>
                <w:rFonts w:ascii="Arial"/>
                <w:sz w:val="22"/>
              </w:rPr>
            </w:pPr>
            <w:r>
              <w:rPr>
                <w:rFonts w:ascii="Arial"/>
                <w:w w:val="82"/>
                <w:sz w:val="22"/>
              </w:rPr>
              <w:t>6</w:t>
            </w:r>
          </w:p>
        </w:tc>
        <w:tc>
          <w:tcPr>
            <w:tcW w:w="1263" w:type="dxa"/>
            <w:tcBorders>
              <w:top w:val="nil"/>
              <w:left w:val="nil"/>
              <w:bottom w:val="nil"/>
              <w:right w:val="nil"/>
            </w:tcBorders>
          </w:tcPr>
          <w:p>
            <w:pPr/>
          </w:p>
        </w:tc>
        <w:tc>
          <w:tcPr>
            <w:tcW w:w="1262" w:type="dxa"/>
            <w:tcBorders>
              <w:top w:val="nil"/>
              <w:left w:val="nil"/>
              <w:bottom w:val="nil"/>
              <w:right w:val="nil"/>
            </w:tcBorders>
          </w:tcPr>
          <w:p>
            <w:pPr/>
          </w:p>
        </w:tc>
        <w:tc>
          <w:tcPr>
            <w:tcW w:w="1258" w:type="dxa"/>
            <w:tcBorders>
              <w:top w:val="nil"/>
              <w:left w:val="nil"/>
              <w:bottom w:val="nil"/>
            </w:tcBorders>
          </w:tcPr>
          <w:p>
            <w:pPr>
              <w:pStyle w:val="TableParagraph"/>
              <w:spacing w:before="24"/>
              <w:ind w:right="17"/>
              <w:jc w:val="right"/>
              <w:rPr>
                <w:rFonts w:ascii="Arial"/>
                <w:sz w:val="22"/>
              </w:rPr>
            </w:pPr>
            <w:r>
              <w:rPr>
                <w:rFonts w:ascii="Arial"/>
                <w:w w:val="82"/>
                <w:sz w:val="22"/>
              </w:rPr>
              <w:t>1</w:t>
            </w:r>
          </w:p>
        </w:tc>
      </w:tr>
      <w:tr>
        <w:trPr>
          <w:trHeight w:val="317" w:hRule="exact"/>
        </w:trPr>
        <w:tc>
          <w:tcPr>
            <w:tcW w:w="2016"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Chapultepec</w:t>
            </w:r>
          </w:p>
        </w:tc>
        <w:tc>
          <w:tcPr>
            <w:tcW w:w="1263" w:type="dxa"/>
            <w:tcBorders>
              <w:top w:val="nil"/>
              <w:left w:val="single" w:sz="8" w:space="0" w:color="000000"/>
              <w:bottom w:val="nil"/>
              <w:right w:val="nil"/>
            </w:tcBorders>
          </w:tcPr>
          <w:p>
            <w:pPr>
              <w:pStyle w:val="TableParagraph"/>
              <w:spacing w:before="24"/>
              <w:ind w:right="36"/>
              <w:jc w:val="right"/>
              <w:rPr>
                <w:rFonts w:ascii="Arial"/>
                <w:sz w:val="22"/>
              </w:rPr>
            </w:pPr>
            <w:r>
              <w:rPr>
                <w:rFonts w:ascii="Arial"/>
                <w:w w:val="82"/>
                <w:sz w:val="22"/>
              </w:rPr>
              <w:t>1</w:t>
            </w:r>
          </w:p>
        </w:tc>
        <w:tc>
          <w:tcPr>
            <w:tcW w:w="1262" w:type="dxa"/>
            <w:tcBorders>
              <w:top w:val="nil"/>
              <w:left w:val="nil"/>
              <w:bottom w:val="nil"/>
              <w:right w:val="nil"/>
            </w:tcBorders>
          </w:tcPr>
          <w:p>
            <w:pPr/>
          </w:p>
        </w:tc>
        <w:tc>
          <w:tcPr>
            <w:tcW w:w="1263" w:type="dxa"/>
            <w:tcBorders>
              <w:top w:val="nil"/>
              <w:left w:val="nil"/>
              <w:bottom w:val="nil"/>
              <w:right w:val="nil"/>
            </w:tcBorders>
          </w:tcPr>
          <w:p>
            <w:pPr>
              <w:pStyle w:val="TableParagraph"/>
              <w:spacing w:before="24"/>
              <w:ind w:right="36"/>
              <w:jc w:val="right"/>
              <w:rPr>
                <w:rFonts w:ascii="Arial"/>
                <w:sz w:val="22"/>
              </w:rPr>
            </w:pPr>
            <w:r>
              <w:rPr>
                <w:rFonts w:ascii="Arial"/>
                <w:w w:val="82"/>
                <w:sz w:val="22"/>
              </w:rPr>
              <w:t>1</w:t>
            </w:r>
          </w:p>
        </w:tc>
        <w:tc>
          <w:tcPr>
            <w:tcW w:w="1262" w:type="dxa"/>
            <w:tcBorders>
              <w:top w:val="nil"/>
              <w:left w:val="nil"/>
              <w:bottom w:val="nil"/>
              <w:right w:val="nil"/>
            </w:tcBorders>
          </w:tcPr>
          <w:p>
            <w:pPr/>
          </w:p>
        </w:tc>
        <w:tc>
          <w:tcPr>
            <w:tcW w:w="1258" w:type="dxa"/>
            <w:tcBorders>
              <w:top w:val="nil"/>
              <w:left w:val="nil"/>
              <w:bottom w:val="nil"/>
            </w:tcBorders>
          </w:tcPr>
          <w:p>
            <w:pPr/>
          </w:p>
        </w:tc>
      </w:tr>
      <w:tr>
        <w:trPr>
          <w:trHeight w:val="317" w:hRule="exact"/>
        </w:trPr>
        <w:tc>
          <w:tcPr>
            <w:tcW w:w="2016"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Lerma</w:t>
            </w:r>
          </w:p>
        </w:tc>
        <w:tc>
          <w:tcPr>
            <w:tcW w:w="1263" w:type="dxa"/>
            <w:tcBorders>
              <w:top w:val="nil"/>
              <w:left w:val="single" w:sz="8" w:space="0" w:color="000000"/>
              <w:bottom w:val="nil"/>
              <w:right w:val="nil"/>
            </w:tcBorders>
          </w:tcPr>
          <w:p>
            <w:pPr>
              <w:pStyle w:val="TableParagraph"/>
              <w:spacing w:before="24"/>
              <w:ind w:right="36"/>
              <w:jc w:val="right"/>
              <w:rPr>
                <w:rFonts w:ascii="Arial"/>
                <w:sz w:val="22"/>
              </w:rPr>
            </w:pPr>
            <w:r>
              <w:rPr>
                <w:rFonts w:ascii="Arial"/>
                <w:w w:val="80"/>
                <w:sz w:val="22"/>
              </w:rPr>
              <w:t>20</w:t>
            </w:r>
          </w:p>
        </w:tc>
        <w:tc>
          <w:tcPr>
            <w:tcW w:w="1262" w:type="dxa"/>
            <w:tcBorders>
              <w:top w:val="nil"/>
              <w:left w:val="nil"/>
              <w:bottom w:val="nil"/>
              <w:right w:val="nil"/>
            </w:tcBorders>
          </w:tcPr>
          <w:p>
            <w:pPr>
              <w:pStyle w:val="TableParagraph"/>
              <w:spacing w:before="24"/>
              <w:ind w:right="36"/>
              <w:jc w:val="right"/>
              <w:rPr>
                <w:rFonts w:ascii="Arial"/>
                <w:sz w:val="22"/>
              </w:rPr>
            </w:pPr>
            <w:r>
              <w:rPr>
                <w:rFonts w:ascii="Arial"/>
                <w:w w:val="82"/>
                <w:sz w:val="22"/>
              </w:rPr>
              <w:t>9</w:t>
            </w:r>
          </w:p>
        </w:tc>
        <w:tc>
          <w:tcPr>
            <w:tcW w:w="1263" w:type="dxa"/>
            <w:tcBorders>
              <w:top w:val="nil"/>
              <w:left w:val="nil"/>
              <w:bottom w:val="nil"/>
              <w:right w:val="nil"/>
            </w:tcBorders>
          </w:tcPr>
          <w:p>
            <w:pPr>
              <w:pStyle w:val="TableParagraph"/>
              <w:spacing w:before="24"/>
              <w:ind w:right="36"/>
              <w:jc w:val="right"/>
              <w:rPr>
                <w:rFonts w:ascii="Arial"/>
                <w:sz w:val="22"/>
              </w:rPr>
            </w:pPr>
            <w:r>
              <w:rPr>
                <w:rFonts w:ascii="Arial"/>
                <w:w w:val="82"/>
                <w:sz w:val="22"/>
              </w:rPr>
              <w:t>5</w:t>
            </w:r>
          </w:p>
        </w:tc>
        <w:tc>
          <w:tcPr>
            <w:tcW w:w="1262" w:type="dxa"/>
            <w:tcBorders>
              <w:top w:val="nil"/>
              <w:left w:val="nil"/>
              <w:bottom w:val="nil"/>
              <w:right w:val="nil"/>
            </w:tcBorders>
          </w:tcPr>
          <w:p>
            <w:pPr>
              <w:pStyle w:val="TableParagraph"/>
              <w:spacing w:before="24"/>
              <w:ind w:right="36"/>
              <w:jc w:val="right"/>
              <w:rPr>
                <w:rFonts w:ascii="Arial"/>
                <w:sz w:val="22"/>
              </w:rPr>
            </w:pPr>
            <w:r>
              <w:rPr>
                <w:rFonts w:ascii="Arial"/>
                <w:w w:val="82"/>
                <w:sz w:val="22"/>
              </w:rPr>
              <w:t>3</w:t>
            </w:r>
          </w:p>
        </w:tc>
        <w:tc>
          <w:tcPr>
            <w:tcW w:w="1258" w:type="dxa"/>
            <w:tcBorders>
              <w:top w:val="nil"/>
              <w:left w:val="nil"/>
              <w:bottom w:val="nil"/>
            </w:tcBorders>
          </w:tcPr>
          <w:p>
            <w:pPr/>
          </w:p>
        </w:tc>
      </w:tr>
      <w:tr>
        <w:trPr>
          <w:trHeight w:val="317" w:hRule="exact"/>
        </w:trPr>
        <w:tc>
          <w:tcPr>
            <w:tcW w:w="2016" w:type="dxa"/>
            <w:tcBorders>
              <w:top w:val="single" w:sz="8" w:space="0" w:color="000000"/>
              <w:bottom w:val="single" w:sz="8" w:space="0" w:color="000000"/>
              <w:right w:val="single" w:sz="8" w:space="0" w:color="000000"/>
            </w:tcBorders>
          </w:tcPr>
          <w:p>
            <w:pPr>
              <w:pStyle w:val="TableParagraph"/>
              <w:spacing w:before="15"/>
              <w:ind w:left="19"/>
              <w:rPr>
                <w:rFonts w:ascii="Arial"/>
                <w:sz w:val="22"/>
              </w:rPr>
            </w:pPr>
            <w:r>
              <w:rPr>
                <w:rFonts w:ascii="Arial"/>
                <w:w w:val="90"/>
                <w:sz w:val="22"/>
              </w:rPr>
              <w:t>Metepec</w:t>
            </w:r>
          </w:p>
        </w:tc>
        <w:tc>
          <w:tcPr>
            <w:tcW w:w="1263" w:type="dxa"/>
            <w:tcBorders>
              <w:top w:val="nil"/>
              <w:left w:val="single" w:sz="8" w:space="0" w:color="000000"/>
              <w:bottom w:val="nil"/>
              <w:right w:val="nil"/>
            </w:tcBorders>
          </w:tcPr>
          <w:p>
            <w:pPr>
              <w:pStyle w:val="TableParagraph"/>
              <w:spacing w:before="24"/>
              <w:ind w:right="36"/>
              <w:jc w:val="right"/>
              <w:rPr>
                <w:rFonts w:ascii="Arial"/>
                <w:sz w:val="22"/>
              </w:rPr>
            </w:pPr>
            <w:r>
              <w:rPr>
                <w:rFonts w:ascii="Arial"/>
                <w:w w:val="82"/>
                <w:sz w:val="22"/>
              </w:rPr>
              <w:t>2</w:t>
            </w:r>
          </w:p>
        </w:tc>
        <w:tc>
          <w:tcPr>
            <w:tcW w:w="1262" w:type="dxa"/>
            <w:tcBorders>
              <w:top w:val="nil"/>
              <w:left w:val="nil"/>
              <w:bottom w:val="nil"/>
              <w:right w:val="nil"/>
            </w:tcBorders>
          </w:tcPr>
          <w:p>
            <w:pPr>
              <w:pStyle w:val="TableParagraph"/>
              <w:spacing w:before="24"/>
              <w:ind w:right="36"/>
              <w:jc w:val="right"/>
              <w:rPr>
                <w:rFonts w:ascii="Arial"/>
                <w:sz w:val="22"/>
              </w:rPr>
            </w:pPr>
            <w:r>
              <w:rPr>
                <w:rFonts w:ascii="Arial"/>
                <w:w w:val="82"/>
                <w:sz w:val="22"/>
              </w:rPr>
              <w:t>6</w:t>
            </w:r>
          </w:p>
        </w:tc>
        <w:tc>
          <w:tcPr>
            <w:tcW w:w="1263" w:type="dxa"/>
            <w:tcBorders>
              <w:top w:val="nil"/>
              <w:left w:val="nil"/>
              <w:bottom w:val="nil"/>
              <w:right w:val="nil"/>
            </w:tcBorders>
          </w:tcPr>
          <w:p>
            <w:pPr>
              <w:pStyle w:val="TableParagraph"/>
              <w:spacing w:before="24"/>
              <w:ind w:right="36"/>
              <w:jc w:val="right"/>
              <w:rPr>
                <w:rFonts w:ascii="Arial"/>
                <w:sz w:val="22"/>
              </w:rPr>
            </w:pPr>
            <w:r>
              <w:rPr>
                <w:rFonts w:ascii="Arial"/>
                <w:w w:val="82"/>
                <w:sz w:val="22"/>
              </w:rPr>
              <w:t>1</w:t>
            </w:r>
          </w:p>
        </w:tc>
        <w:tc>
          <w:tcPr>
            <w:tcW w:w="1262" w:type="dxa"/>
            <w:tcBorders>
              <w:top w:val="nil"/>
              <w:left w:val="nil"/>
              <w:bottom w:val="nil"/>
              <w:right w:val="nil"/>
            </w:tcBorders>
          </w:tcPr>
          <w:p>
            <w:pPr>
              <w:pStyle w:val="TableParagraph"/>
              <w:spacing w:before="24"/>
              <w:ind w:right="36"/>
              <w:jc w:val="right"/>
              <w:rPr>
                <w:rFonts w:ascii="Arial"/>
                <w:sz w:val="22"/>
              </w:rPr>
            </w:pPr>
            <w:r>
              <w:rPr>
                <w:rFonts w:ascii="Arial"/>
                <w:w w:val="82"/>
                <w:sz w:val="22"/>
              </w:rPr>
              <w:t>1</w:t>
            </w:r>
          </w:p>
        </w:tc>
        <w:tc>
          <w:tcPr>
            <w:tcW w:w="1258" w:type="dxa"/>
            <w:tcBorders>
              <w:top w:val="nil"/>
              <w:left w:val="nil"/>
              <w:bottom w:val="nil"/>
            </w:tcBorders>
          </w:tcPr>
          <w:p>
            <w:pPr/>
          </w:p>
        </w:tc>
      </w:tr>
      <w:tr>
        <w:trPr>
          <w:trHeight w:val="317" w:hRule="exact"/>
        </w:trPr>
        <w:tc>
          <w:tcPr>
            <w:tcW w:w="2016"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Mexicaltzingo</w:t>
            </w:r>
          </w:p>
        </w:tc>
        <w:tc>
          <w:tcPr>
            <w:tcW w:w="1263" w:type="dxa"/>
            <w:tcBorders>
              <w:top w:val="nil"/>
              <w:left w:val="single" w:sz="8" w:space="0" w:color="000000"/>
              <w:bottom w:val="nil"/>
              <w:right w:val="nil"/>
            </w:tcBorders>
          </w:tcPr>
          <w:p>
            <w:pPr>
              <w:pStyle w:val="TableParagraph"/>
              <w:spacing w:before="24"/>
              <w:ind w:right="36"/>
              <w:jc w:val="right"/>
              <w:rPr>
                <w:rFonts w:ascii="Arial"/>
                <w:sz w:val="22"/>
              </w:rPr>
            </w:pPr>
            <w:r>
              <w:rPr>
                <w:rFonts w:ascii="Arial"/>
                <w:w w:val="82"/>
                <w:sz w:val="22"/>
              </w:rPr>
              <w:t>1</w:t>
            </w:r>
          </w:p>
        </w:tc>
        <w:tc>
          <w:tcPr>
            <w:tcW w:w="1262" w:type="dxa"/>
            <w:tcBorders>
              <w:top w:val="nil"/>
              <w:left w:val="nil"/>
              <w:bottom w:val="nil"/>
              <w:right w:val="nil"/>
            </w:tcBorders>
          </w:tcPr>
          <w:p>
            <w:pPr/>
          </w:p>
        </w:tc>
        <w:tc>
          <w:tcPr>
            <w:tcW w:w="1263" w:type="dxa"/>
            <w:tcBorders>
              <w:top w:val="nil"/>
              <w:left w:val="nil"/>
              <w:bottom w:val="nil"/>
              <w:right w:val="nil"/>
            </w:tcBorders>
          </w:tcPr>
          <w:p>
            <w:pPr/>
          </w:p>
        </w:tc>
        <w:tc>
          <w:tcPr>
            <w:tcW w:w="1262" w:type="dxa"/>
            <w:tcBorders>
              <w:top w:val="nil"/>
              <w:left w:val="nil"/>
              <w:bottom w:val="nil"/>
              <w:right w:val="nil"/>
            </w:tcBorders>
          </w:tcPr>
          <w:p>
            <w:pPr>
              <w:pStyle w:val="TableParagraph"/>
              <w:spacing w:before="24"/>
              <w:ind w:right="36"/>
              <w:jc w:val="right"/>
              <w:rPr>
                <w:rFonts w:ascii="Arial"/>
                <w:sz w:val="22"/>
              </w:rPr>
            </w:pPr>
            <w:r>
              <w:rPr>
                <w:rFonts w:ascii="Arial"/>
                <w:w w:val="82"/>
                <w:sz w:val="22"/>
              </w:rPr>
              <w:t>1</w:t>
            </w:r>
          </w:p>
        </w:tc>
        <w:tc>
          <w:tcPr>
            <w:tcW w:w="1258" w:type="dxa"/>
            <w:tcBorders>
              <w:top w:val="nil"/>
              <w:left w:val="nil"/>
              <w:bottom w:val="nil"/>
            </w:tcBorders>
          </w:tcPr>
          <w:p>
            <w:pPr/>
          </w:p>
        </w:tc>
      </w:tr>
      <w:tr>
        <w:trPr>
          <w:trHeight w:val="317" w:hRule="exact"/>
        </w:trPr>
        <w:tc>
          <w:tcPr>
            <w:tcW w:w="2016"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Ocoyoacac</w:t>
            </w:r>
          </w:p>
        </w:tc>
        <w:tc>
          <w:tcPr>
            <w:tcW w:w="1263" w:type="dxa"/>
            <w:tcBorders>
              <w:top w:val="nil"/>
              <w:left w:val="single" w:sz="8" w:space="0" w:color="000000"/>
              <w:bottom w:val="nil"/>
              <w:right w:val="nil"/>
            </w:tcBorders>
          </w:tcPr>
          <w:p>
            <w:pPr>
              <w:pStyle w:val="TableParagraph"/>
              <w:spacing w:before="24"/>
              <w:ind w:right="36"/>
              <w:jc w:val="right"/>
              <w:rPr>
                <w:rFonts w:ascii="Arial"/>
                <w:sz w:val="22"/>
              </w:rPr>
            </w:pPr>
            <w:r>
              <w:rPr>
                <w:rFonts w:ascii="Arial"/>
                <w:w w:val="80"/>
                <w:sz w:val="22"/>
              </w:rPr>
              <w:t>11</w:t>
            </w:r>
          </w:p>
        </w:tc>
        <w:tc>
          <w:tcPr>
            <w:tcW w:w="1262" w:type="dxa"/>
            <w:tcBorders>
              <w:top w:val="nil"/>
              <w:left w:val="nil"/>
              <w:bottom w:val="nil"/>
              <w:right w:val="nil"/>
            </w:tcBorders>
          </w:tcPr>
          <w:p>
            <w:pPr>
              <w:pStyle w:val="TableParagraph"/>
              <w:spacing w:before="24"/>
              <w:ind w:right="36"/>
              <w:jc w:val="right"/>
              <w:rPr>
                <w:rFonts w:ascii="Arial"/>
                <w:sz w:val="22"/>
              </w:rPr>
            </w:pPr>
            <w:r>
              <w:rPr>
                <w:rFonts w:ascii="Arial"/>
                <w:w w:val="82"/>
                <w:sz w:val="22"/>
              </w:rPr>
              <w:t>5</w:t>
            </w:r>
          </w:p>
        </w:tc>
        <w:tc>
          <w:tcPr>
            <w:tcW w:w="1263" w:type="dxa"/>
            <w:tcBorders>
              <w:top w:val="nil"/>
              <w:left w:val="nil"/>
              <w:bottom w:val="nil"/>
              <w:right w:val="nil"/>
            </w:tcBorders>
          </w:tcPr>
          <w:p>
            <w:pPr>
              <w:pStyle w:val="TableParagraph"/>
              <w:spacing w:before="24"/>
              <w:ind w:right="36"/>
              <w:jc w:val="right"/>
              <w:rPr>
                <w:rFonts w:ascii="Arial"/>
                <w:sz w:val="22"/>
              </w:rPr>
            </w:pPr>
            <w:r>
              <w:rPr>
                <w:rFonts w:ascii="Arial"/>
                <w:w w:val="82"/>
                <w:sz w:val="22"/>
              </w:rPr>
              <w:t>3</w:t>
            </w:r>
          </w:p>
        </w:tc>
        <w:tc>
          <w:tcPr>
            <w:tcW w:w="1262" w:type="dxa"/>
            <w:tcBorders>
              <w:top w:val="nil"/>
              <w:left w:val="nil"/>
              <w:bottom w:val="nil"/>
              <w:right w:val="nil"/>
            </w:tcBorders>
          </w:tcPr>
          <w:p>
            <w:pPr>
              <w:pStyle w:val="TableParagraph"/>
              <w:spacing w:before="24"/>
              <w:ind w:right="36"/>
              <w:jc w:val="right"/>
              <w:rPr>
                <w:rFonts w:ascii="Arial"/>
                <w:sz w:val="22"/>
              </w:rPr>
            </w:pPr>
            <w:r>
              <w:rPr>
                <w:rFonts w:ascii="Arial"/>
                <w:w w:val="82"/>
                <w:sz w:val="22"/>
              </w:rPr>
              <w:t>1</w:t>
            </w:r>
          </w:p>
        </w:tc>
        <w:tc>
          <w:tcPr>
            <w:tcW w:w="1258" w:type="dxa"/>
            <w:tcBorders>
              <w:top w:val="nil"/>
              <w:left w:val="nil"/>
              <w:bottom w:val="nil"/>
            </w:tcBorders>
          </w:tcPr>
          <w:p>
            <w:pPr>
              <w:pStyle w:val="TableParagraph"/>
              <w:spacing w:before="24"/>
              <w:ind w:right="17"/>
              <w:jc w:val="right"/>
              <w:rPr>
                <w:rFonts w:ascii="Arial"/>
                <w:sz w:val="22"/>
              </w:rPr>
            </w:pPr>
            <w:r>
              <w:rPr>
                <w:rFonts w:ascii="Arial"/>
                <w:w w:val="82"/>
                <w:sz w:val="22"/>
              </w:rPr>
              <w:t>3</w:t>
            </w:r>
          </w:p>
        </w:tc>
      </w:tr>
      <w:tr>
        <w:trPr>
          <w:trHeight w:val="317" w:hRule="exact"/>
        </w:trPr>
        <w:tc>
          <w:tcPr>
            <w:tcW w:w="2016"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Otzolotepec</w:t>
            </w:r>
          </w:p>
        </w:tc>
        <w:tc>
          <w:tcPr>
            <w:tcW w:w="1263" w:type="dxa"/>
            <w:tcBorders>
              <w:top w:val="nil"/>
              <w:left w:val="single" w:sz="8" w:space="0" w:color="000000"/>
              <w:bottom w:val="nil"/>
              <w:right w:val="nil"/>
            </w:tcBorders>
          </w:tcPr>
          <w:p>
            <w:pPr>
              <w:pStyle w:val="TableParagraph"/>
              <w:spacing w:before="24"/>
              <w:ind w:right="36"/>
              <w:jc w:val="right"/>
              <w:rPr>
                <w:rFonts w:ascii="Arial"/>
                <w:sz w:val="22"/>
              </w:rPr>
            </w:pPr>
            <w:r>
              <w:rPr>
                <w:rFonts w:ascii="Arial"/>
                <w:w w:val="82"/>
                <w:sz w:val="22"/>
              </w:rPr>
              <w:t>8</w:t>
            </w:r>
          </w:p>
        </w:tc>
        <w:tc>
          <w:tcPr>
            <w:tcW w:w="1262" w:type="dxa"/>
            <w:tcBorders>
              <w:top w:val="nil"/>
              <w:left w:val="nil"/>
              <w:bottom w:val="nil"/>
              <w:right w:val="nil"/>
            </w:tcBorders>
          </w:tcPr>
          <w:p>
            <w:pPr>
              <w:pStyle w:val="TableParagraph"/>
              <w:spacing w:before="24"/>
              <w:ind w:right="36"/>
              <w:jc w:val="right"/>
              <w:rPr>
                <w:rFonts w:ascii="Arial"/>
                <w:sz w:val="22"/>
              </w:rPr>
            </w:pPr>
            <w:r>
              <w:rPr>
                <w:rFonts w:ascii="Arial"/>
                <w:w w:val="80"/>
                <w:sz w:val="22"/>
              </w:rPr>
              <w:t>10</w:t>
            </w:r>
          </w:p>
        </w:tc>
        <w:tc>
          <w:tcPr>
            <w:tcW w:w="1263" w:type="dxa"/>
            <w:tcBorders>
              <w:top w:val="nil"/>
              <w:left w:val="nil"/>
              <w:bottom w:val="nil"/>
              <w:right w:val="nil"/>
            </w:tcBorders>
          </w:tcPr>
          <w:p>
            <w:pPr>
              <w:pStyle w:val="TableParagraph"/>
              <w:spacing w:before="24"/>
              <w:ind w:right="36"/>
              <w:jc w:val="right"/>
              <w:rPr>
                <w:rFonts w:ascii="Arial"/>
                <w:sz w:val="22"/>
              </w:rPr>
            </w:pPr>
            <w:r>
              <w:rPr>
                <w:rFonts w:ascii="Arial"/>
                <w:w w:val="82"/>
                <w:sz w:val="22"/>
              </w:rPr>
              <w:t>6</w:t>
            </w:r>
          </w:p>
        </w:tc>
        <w:tc>
          <w:tcPr>
            <w:tcW w:w="1262" w:type="dxa"/>
            <w:tcBorders>
              <w:top w:val="nil"/>
              <w:left w:val="nil"/>
              <w:bottom w:val="nil"/>
              <w:right w:val="nil"/>
            </w:tcBorders>
          </w:tcPr>
          <w:p>
            <w:pPr>
              <w:pStyle w:val="TableParagraph"/>
              <w:spacing w:before="24"/>
              <w:ind w:right="36"/>
              <w:jc w:val="right"/>
              <w:rPr>
                <w:rFonts w:ascii="Arial"/>
                <w:sz w:val="22"/>
              </w:rPr>
            </w:pPr>
            <w:r>
              <w:rPr>
                <w:rFonts w:ascii="Arial"/>
                <w:w w:val="82"/>
                <w:sz w:val="22"/>
              </w:rPr>
              <w:t>5</w:t>
            </w:r>
          </w:p>
        </w:tc>
        <w:tc>
          <w:tcPr>
            <w:tcW w:w="1258" w:type="dxa"/>
            <w:tcBorders>
              <w:top w:val="nil"/>
              <w:left w:val="nil"/>
              <w:bottom w:val="nil"/>
            </w:tcBorders>
          </w:tcPr>
          <w:p>
            <w:pPr/>
          </w:p>
        </w:tc>
      </w:tr>
      <w:tr>
        <w:trPr>
          <w:trHeight w:val="317" w:hRule="exact"/>
        </w:trPr>
        <w:tc>
          <w:tcPr>
            <w:tcW w:w="2016"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Rayon</w:t>
            </w:r>
          </w:p>
        </w:tc>
        <w:tc>
          <w:tcPr>
            <w:tcW w:w="1263" w:type="dxa"/>
            <w:tcBorders>
              <w:top w:val="nil"/>
              <w:left w:val="single" w:sz="8" w:space="0" w:color="000000"/>
              <w:bottom w:val="nil"/>
              <w:right w:val="nil"/>
            </w:tcBorders>
          </w:tcPr>
          <w:p>
            <w:pPr/>
          </w:p>
        </w:tc>
        <w:tc>
          <w:tcPr>
            <w:tcW w:w="1262" w:type="dxa"/>
            <w:tcBorders>
              <w:top w:val="nil"/>
              <w:left w:val="nil"/>
              <w:bottom w:val="nil"/>
              <w:right w:val="nil"/>
            </w:tcBorders>
          </w:tcPr>
          <w:p>
            <w:pPr>
              <w:pStyle w:val="TableParagraph"/>
              <w:spacing w:before="24"/>
              <w:ind w:right="36"/>
              <w:jc w:val="right"/>
              <w:rPr>
                <w:rFonts w:ascii="Arial"/>
                <w:sz w:val="22"/>
              </w:rPr>
            </w:pPr>
            <w:r>
              <w:rPr>
                <w:rFonts w:ascii="Arial"/>
                <w:w w:val="82"/>
                <w:sz w:val="22"/>
              </w:rPr>
              <w:t>2</w:t>
            </w:r>
          </w:p>
        </w:tc>
        <w:tc>
          <w:tcPr>
            <w:tcW w:w="1263" w:type="dxa"/>
            <w:tcBorders>
              <w:top w:val="nil"/>
              <w:left w:val="nil"/>
              <w:bottom w:val="nil"/>
              <w:right w:val="nil"/>
            </w:tcBorders>
          </w:tcPr>
          <w:p>
            <w:pPr/>
          </w:p>
        </w:tc>
        <w:tc>
          <w:tcPr>
            <w:tcW w:w="1262" w:type="dxa"/>
            <w:tcBorders>
              <w:top w:val="nil"/>
              <w:left w:val="nil"/>
              <w:bottom w:val="nil"/>
              <w:right w:val="nil"/>
            </w:tcBorders>
          </w:tcPr>
          <w:p>
            <w:pPr>
              <w:pStyle w:val="TableParagraph"/>
              <w:spacing w:before="24"/>
              <w:ind w:right="36"/>
              <w:jc w:val="right"/>
              <w:rPr>
                <w:rFonts w:ascii="Arial"/>
                <w:sz w:val="22"/>
              </w:rPr>
            </w:pPr>
            <w:r>
              <w:rPr>
                <w:rFonts w:ascii="Arial"/>
                <w:w w:val="82"/>
                <w:sz w:val="22"/>
              </w:rPr>
              <w:t>1</w:t>
            </w:r>
          </w:p>
        </w:tc>
        <w:tc>
          <w:tcPr>
            <w:tcW w:w="1258" w:type="dxa"/>
            <w:tcBorders>
              <w:top w:val="nil"/>
              <w:left w:val="nil"/>
              <w:bottom w:val="nil"/>
            </w:tcBorders>
          </w:tcPr>
          <w:p>
            <w:pPr/>
          </w:p>
        </w:tc>
      </w:tr>
      <w:tr>
        <w:trPr>
          <w:trHeight w:val="317" w:hRule="exact"/>
        </w:trPr>
        <w:tc>
          <w:tcPr>
            <w:tcW w:w="2016" w:type="dxa"/>
            <w:tcBorders>
              <w:top w:val="single" w:sz="8" w:space="0" w:color="000000"/>
              <w:bottom w:val="single" w:sz="8" w:space="0" w:color="000000"/>
              <w:right w:val="single" w:sz="8" w:space="0" w:color="000000"/>
            </w:tcBorders>
          </w:tcPr>
          <w:p>
            <w:pPr>
              <w:pStyle w:val="TableParagraph"/>
              <w:spacing w:before="15"/>
              <w:ind w:left="19"/>
              <w:rPr>
                <w:rFonts w:ascii="Arial"/>
                <w:sz w:val="22"/>
              </w:rPr>
            </w:pPr>
            <w:r>
              <w:rPr>
                <w:rFonts w:ascii="Arial"/>
                <w:w w:val="85"/>
                <w:sz w:val="22"/>
              </w:rPr>
              <w:t>San Antonio la Isla</w:t>
            </w:r>
          </w:p>
        </w:tc>
        <w:tc>
          <w:tcPr>
            <w:tcW w:w="1263" w:type="dxa"/>
            <w:tcBorders>
              <w:top w:val="nil"/>
              <w:left w:val="single" w:sz="8" w:space="0" w:color="000000"/>
              <w:bottom w:val="nil"/>
              <w:right w:val="nil"/>
            </w:tcBorders>
          </w:tcPr>
          <w:p>
            <w:pPr/>
          </w:p>
        </w:tc>
        <w:tc>
          <w:tcPr>
            <w:tcW w:w="1262" w:type="dxa"/>
            <w:tcBorders>
              <w:top w:val="nil"/>
              <w:left w:val="nil"/>
              <w:bottom w:val="nil"/>
              <w:right w:val="nil"/>
            </w:tcBorders>
          </w:tcPr>
          <w:p>
            <w:pPr>
              <w:pStyle w:val="TableParagraph"/>
              <w:spacing w:before="24"/>
              <w:ind w:right="36"/>
              <w:jc w:val="right"/>
              <w:rPr>
                <w:rFonts w:ascii="Arial"/>
                <w:sz w:val="22"/>
              </w:rPr>
            </w:pPr>
            <w:r>
              <w:rPr>
                <w:rFonts w:ascii="Arial"/>
                <w:w w:val="82"/>
                <w:sz w:val="22"/>
              </w:rPr>
              <w:t>1</w:t>
            </w:r>
          </w:p>
        </w:tc>
        <w:tc>
          <w:tcPr>
            <w:tcW w:w="1263" w:type="dxa"/>
            <w:tcBorders>
              <w:top w:val="nil"/>
              <w:left w:val="nil"/>
              <w:bottom w:val="nil"/>
              <w:right w:val="nil"/>
            </w:tcBorders>
          </w:tcPr>
          <w:p>
            <w:pPr/>
          </w:p>
        </w:tc>
        <w:tc>
          <w:tcPr>
            <w:tcW w:w="1262" w:type="dxa"/>
            <w:tcBorders>
              <w:top w:val="nil"/>
              <w:left w:val="nil"/>
              <w:bottom w:val="nil"/>
              <w:right w:val="nil"/>
            </w:tcBorders>
          </w:tcPr>
          <w:p>
            <w:pPr/>
          </w:p>
        </w:tc>
        <w:tc>
          <w:tcPr>
            <w:tcW w:w="1258" w:type="dxa"/>
            <w:tcBorders>
              <w:top w:val="nil"/>
              <w:left w:val="nil"/>
              <w:bottom w:val="nil"/>
            </w:tcBorders>
          </w:tcPr>
          <w:p>
            <w:pPr/>
          </w:p>
        </w:tc>
      </w:tr>
      <w:tr>
        <w:trPr>
          <w:trHeight w:val="317" w:hRule="exact"/>
        </w:trPr>
        <w:tc>
          <w:tcPr>
            <w:tcW w:w="2016"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85"/>
                <w:sz w:val="22"/>
              </w:rPr>
              <w:t>San Mateo Atenco</w:t>
            </w:r>
          </w:p>
        </w:tc>
        <w:tc>
          <w:tcPr>
            <w:tcW w:w="1263" w:type="dxa"/>
            <w:tcBorders>
              <w:top w:val="nil"/>
              <w:left w:val="single" w:sz="8" w:space="0" w:color="000000"/>
              <w:bottom w:val="nil"/>
              <w:right w:val="nil"/>
            </w:tcBorders>
          </w:tcPr>
          <w:p>
            <w:pPr>
              <w:pStyle w:val="TableParagraph"/>
              <w:spacing w:before="24"/>
              <w:ind w:right="36"/>
              <w:jc w:val="right"/>
              <w:rPr>
                <w:rFonts w:ascii="Arial"/>
                <w:sz w:val="22"/>
              </w:rPr>
            </w:pPr>
            <w:r>
              <w:rPr>
                <w:rFonts w:ascii="Arial"/>
                <w:w w:val="82"/>
                <w:sz w:val="22"/>
              </w:rPr>
              <w:t>1</w:t>
            </w:r>
          </w:p>
        </w:tc>
        <w:tc>
          <w:tcPr>
            <w:tcW w:w="1262" w:type="dxa"/>
            <w:tcBorders>
              <w:top w:val="nil"/>
              <w:left w:val="nil"/>
              <w:bottom w:val="nil"/>
              <w:right w:val="nil"/>
            </w:tcBorders>
          </w:tcPr>
          <w:p>
            <w:pPr>
              <w:pStyle w:val="TableParagraph"/>
              <w:spacing w:before="24"/>
              <w:ind w:right="36"/>
              <w:jc w:val="right"/>
              <w:rPr>
                <w:rFonts w:ascii="Arial"/>
                <w:sz w:val="22"/>
              </w:rPr>
            </w:pPr>
            <w:r>
              <w:rPr>
                <w:rFonts w:ascii="Arial"/>
                <w:w w:val="82"/>
                <w:sz w:val="22"/>
              </w:rPr>
              <w:t>4</w:t>
            </w:r>
          </w:p>
        </w:tc>
        <w:tc>
          <w:tcPr>
            <w:tcW w:w="1263" w:type="dxa"/>
            <w:tcBorders>
              <w:top w:val="nil"/>
              <w:left w:val="nil"/>
              <w:bottom w:val="nil"/>
              <w:right w:val="nil"/>
            </w:tcBorders>
          </w:tcPr>
          <w:p>
            <w:pPr>
              <w:pStyle w:val="TableParagraph"/>
              <w:spacing w:before="24"/>
              <w:ind w:right="36"/>
              <w:jc w:val="right"/>
              <w:rPr>
                <w:rFonts w:ascii="Arial"/>
                <w:sz w:val="22"/>
              </w:rPr>
            </w:pPr>
            <w:r>
              <w:rPr>
                <w:rFonts w:ascii="Arial"/>
                <w:w w:val="82"/>
                <w:sz w:val="22"/>
              </w:rPr>
              <w:t>2</w:t>
            </w:r>
          </w:p>
        </w:tc>
        <w:tc>
          <w:tcPr>
            <w:tcW w:w="1262" w:type="dxa"/>
            <w:tcBorders>
              <w:top w:val="nil"/>
              <w:left w:val="nil"/>
              <w:bottom w:val="nil"/>
              <w:right w:val="nil"/>
            </w:tcBorders>
          </w:tcPr>
          <w:p>
            <w:pPr/>
          </w:p>
        </w:tc>
        <w:tc>
          <w:tcPr>
            <w:tcW w:w="1258" w:type="dxa"/>
            <w:tcBorders>
              <w:top w:val="nil"/>
              <w:left w:val="nil"/>
              <w:bottom w:val="nil"/>
            </w:tcBorders>
          </w:tcPr>
          <w:p>
            <w:pPr/>
          </w:p>
        </w:tc>
      </w:tr>
      <w:tr>
        <w:trPr>
          <w:trHeight w:val="317" w:hRule="exact"/>
        </w:trPr>
        <w:tc>
          <w:tcPr>
            <w:tcW w:w="2016"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Temoaya</w:t>
            </w:r>
          </w:p>
        </w:tc>
        <w:tc>
          <w:tcPr>
            <w:tcW w:w="1263" w:type="dxa"/>
            <w:tcBorders>
              <w:top w:val="nil"/>
              <w:left w:val="single" w:sz="8" w:space="0" w:color="000000"/>
              <w:bottom w:val="nil"/>
              <w:right w:val="nil"/>
            </w:tcBorders>
          </w:tcPr>
          <w:p>
            <w:pPr>
              <w:pStyle w:val="TableParagraph"/>
              <w:spacing w:before="24"/>
              <w:ind w:right="36"/>
              <w:jc w:val="right"/>
              <w:rPr>
                <w:rFonts w:ascii="Arial"/>
                <w:sz w:val="22"/>
              </w:rPr>
            </w:pPr>
            <w:r>
              <w:rPr>
                <w:rFonts w:ascii="Arial"/>
                <w:w w:val="82"/>
                <w:sz w:val="22"/>
              </w:rPr>
              <w:t>7</w:t>
            </w:r>
          </w:p>
        </w:tc>
        <w:tc>
          <w:tcPr>
            <w:tcW w:w="1262" w:type="dxa"/>
            <w:tcBorders>
              <w:top w:val="nil"/>
              <w:left w:val="nil"/>
              <w:bottom w:val="nil"/>
              <w:right w:val="nil"/>
            </w:tcBorders>
          </w:tcPr>
          <w:p>
            <w:pPr>
              <w:pStyle w:val="TableParagraph"/>
              <w:spacing w:before="24"/>
              <w:ind w:right="36"/>
              <w:jc w:val="right"/>
              <w:rPr>
                <w:rFonts w:ascii="Arial"/>
                <w:sz w:val="22"/>
              </w:rPr>
            </w:pPr>
            <w:r>
              <w:rPr>
                <w:rFonts w:ascii="Arial"/>
                <w:w w:val="80"/>
                <w:sz w:val="22"/>
              </w:rPr>
              <w:t>15</w:t>
            </w:r>
          </w:p>
        </w:tc>
        <w:tc>
          <w:tcPr>
            <w:tcW w:w="1263" w:type="dxa"/>
            <w:tcBorders>
              <w:top w:val="nil"/>
              <w:left w:val="nil"/>
              <w:bottom w:val="nil"/>
              <w:right w:val="nil"/>
            </w:tcBorders>
          </w:tcPr>
          <w:p>
            <w:pPr>
              <w:pStyle w:val="TableParagraph"/>
              <w:spacing w:before="24"/>
              <w:ind w:right="36"/>
              <w:jc w:val="right"/>
              <w:rPr>
                <w:rFonts w:ascii="Arial"/>
                <w:sz w:val="22"/>
              </w:rPr>
            </w:pPr>
            <w:r>
              <w:rPr>
                <w:rFonts w:ascii="Arial"/>
                <w:w w:val="80"/>
                <w:sz w:val="22"/>
              </w:rPr>
              <w:t>16</w:t>
            </w:r>
          </w:p>
        </w:tc>
        <w:tc>
          <w:tcPr>
            <w:tcW w:w="1262" w:type="dxa"/>
            <w:tcBorders>
              <w:top w:val="nil"/>
              <w:left w:val="nil"/>
              <w:bottom w:val="nil"/>
              <w:right w:val="nil"/>
            </w:tcBorders>
          </w:tcPr>
          <w:p>
            <w:pPr>
              <w:pStyle w:val="TableParagraph"/>
              <w:spacing w:before="24"/>
              <w:ind w:right="36"/>
              <w:jc w:val="right"/>
              <w:rPr>
                <w:rFonts w:ascii="Arial"/>
                <w:sz w:val="22"/>
              </w:rPr>
            </w:pPr>
            <w:r>
              <w:rPr>
                <w:rFonts w:ascii="Arial"/>
                <w:w w:val="82"/>
                <w:sz w:val="22"/>
              </w:rPr>
              <w:t>7</w:t>
            </w:r>
          </w:p>
        </w:tc>
        <w:tc>
          <w:tcPr>
            <w:tcW w:w="1258" w:type="dxa"/>
            <w:tcBorders>
              <w:top w:val="nil"/>
              <w:left w:val="nil"/>
              <w:bottom w:val="nil"/>
            </w:tcBorders>
          </w:tcPr>
          <w:p>
            <w:pPr>
              <w:pStyle w:val="TableParagraph"/>
              <w:spacing w:before="24"/>
              <w:ind w:right="17"/>
              <w:jc w:val="right"/>
              <w:rPr>
                <w:rFonts w:ascii="Arial"/>
                <w:sz w:val="22"/>
              </w:rPr>
            </w:pPr>
            <w:r>
              <w:rPr>
                <w:rFonts w:ascii="Arial"/>
                <w:w w:val="82"/>
                <w:sz w:val="22"/>
              </w:rPr>
              <w:t>1</w:t>
            </w:r>
          </w:p>
        </w:tc>
      </w:tr>
      <w:tr>
        <w:trPr>
          <w:trHeight w:val="317" w:hRule="exact"/>
        </w:trPr>
        <w:tc>
          <w:tcPr>
            <w:tcW w:w="2016"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Toluca</w:t>
            </w:r>
          </w:p>
        </w:tc>
        <w:tc>
          <w:tcPr>
            <w:tcW w:w="1263" w:type="dxa"/>
            <w:tcBorders>
              <w:top w:val="nil"/>
              <w:left w:val="single" w:sz="8" w:space="0" w:color="000000"/>
              <w:bottom w:val="nil"/>
              <w:right w:val="nil"/>
            </w:tcBorders>
          </w:tcPr>
          <w:p>
            <w:pPr>
              <w:pStyle w:val="TableParagraph"/>
              <w:spacing w:before="24"/>
              <w:ind w:right="36"/>
              <w:jc w:val="right"/>
              <w:rPr>
                <w:rFonts w:ascii="Arial"/>
                <w:sz w:val="22"/>
              </w:rPr>
            </w:pPr>
            <w:r>
              <w:rPr>
                <w:rFonts w:ascii="Arial"/>
                <w:w w:val="80"/>
                <w:sz w:val="22"/>
              </w:rPr>
              <w:t>20</w:t>
            </w:r>
          </w:p>
        </w:tc>
        <w:tc>
          <w:tcPr>
            <w:tcW w:w="1262" w:type="dxa"/>
            <w:tcBorders>
              <w:top w:val="nil"/>
              <w:left w:val="nil"/>
              <w:bottom w:val="nil"/>
              <w:right w:val="nil"/>
            </w:tcBorders>
          </w:tcPr>
          <w:p>
            <w:pPr>
              <w:pStyle w:val="TableParagraph"/>
              <w:spacing w:before="24"/>
              <w:ind w:right="36"/>
              <w:jc w:val="right"/>
              <w:rPr>
                <w:rFonts w:ascii="Arial"/>
                <w:sz w:val="22"/>
              </w:rPr>
            </w:pPr>
            <w:r>
              <w:rPr>
                <w:rFonts w:ascii="Arial"/>
                <w:w w:val="80"/>
                <w:sz w:val="22"/>
              </w:rPr>
              <w:t>37</w:t>
            </w:r>
          </w:p>
        </w:tc>
        <w:tc>
          <w:tcPr>
            <w:tcW w:w="1263" w:type="dxa"/>
            <w:tcBorders>
              <w:top w:val="nil"/>
              <w:left w:val="nil"/>
              <w:bottom w:val="nil"/>
              <w:right w:val="nil"/>
            </w:tcBorders>
          </w:tcPr>
          <w:p>
            <w:pPr>
              <w:pStyle w:val="TableParagraph"/>
              <w:spacing w:before="24"/>
              <w:ind w:right="36"/>
              <w:jc w:val="right"/>
              <w:rPr>
                <w:rFonts w:ascii="Arial"/>
                <w:sz w:val="22"/>
              </w:rPr>
            </w:pPr>
            <w:r>
              <w:rPr>
                <w:rFonts w:ascii="Arial"/>
                <w:w w:val="80"/>
                <w:sz w:val="22"/>
              </w:rPr>
              <w:t>29</w:t>
            </w:r>
          </w:p>
        </w:tc>
        <w:tc>
          <w:tcPr>
            <w:tcW w:w="1262" w:type="dxa"/>
            <w:tcBorders>
              <w:top w:val="nil"/>
              <w:left w:val="nil"/>
              <w:bottom w:val="nil"/>
              <w:right w:val="nil"/>
            </w:tcBorders>
          </w:tcPr>
          <w:p>
            <w:pPr>
              <w:pStyle w:val="TableParagraph"/>
              <w:spacing w:before="24"/>
              <w:ind w:right="36"/>
              <w:jc w:val="right"/>
              <w:rPr>
                <w:rFonts w:ascii="Arial"/>
                <w:sz w:val="22"/>
              </w:rPr>
            </w:pPr>
            <w:r>
              <w:rPr>
                <w:rFonts w:ascii="Arial"/>
                <w:w w:val="80"/>
                <w:sz w:val="22"/>
              </w:rPr>
              <w:t>13</w:t>
            </w:r>
          </w:p>
        </w:tc>
        <w:tc>
          <w:tcPr>
            <w:tcW w:w="1258" w:type="dxa"/>
            <w:tcBorders>
              <w:top w:val="nil"/>
              <w:left w:val="nil"/>
              <w:bottom w:val="nil"/>
            </w:tcBorders>
          </w:tcPr>
          <w:p>
            <w:pPr/>
          </w:p>
        </w:tc>
      </w:tr>
      <w:tr>
        <w:trPr>
          <w:trHeight w:val="317" w:hRule="exact"/>
        </w:trPr>
        <w:tc>
          <w:tcPr>
            <w:tcW w:w="2016" w:type="dxa"/>
            <w:tcBorders>
              <w:top w:val="single" w:sz="8" w:space="0" w:color="000000"/>
              <w:bottom w:val="single" w:sz="8" w:space="0" w:color="000000"/>
              <w:right w:val="single" w:sz="8" w:space="0" w:color="000000"/>
            </w:tcBorders>
          </w:tcPr>
          <w:p>
            <w:pPr>
              <w:pStyle w:val="TableParagraph"/>
              <w:spacing w:before="14"/>
              <w:ind w:left="19"/>
              <w:rPr>
                <w:rFonts w:ascii="Arial" w:hAnsi="Arial"/>
                <w:sz w:val="22"/>
              </w:rPr>
            </w:pPr>
            <w:r>
              <w:rPr>
                <w:rFonts w:ascii="Arial" w:hAnsi="Arial"/>
                <w:w w:val="90"/>
                <w:sz w:val="22"/>
              </w:rPr>
              <w:t>Xonacatlán</w:t>
            </w:r>
          </w:p>
        </w:tc>
        <w:tc>
          <w:tcPr>
            <w:tcW w:w="1263" w:type="dxa"/>
            <w:tcBorders>
              <w:top w:val="nil"/>
              <w:left w:val="single" w:sz="8" w:space="0" w:color="000000"/>
              <w:bottom w:val="nil"/>
              <w:right w:val="nil"/>
            </w:tcBorders>
          </w:tcPr>
          <w:p>
            <w:pPr>
              <w:pStyle w:val="TableParagraph"/>
              <w:spacing w:before="24"/>
              <w:ind w:right="36"/>
              <w:jc w:val="right"/>
              <w:rPr>
                <w:rFonts w:ascii="Arial"/>
                <w:sz w:val="22"/>
              </w:rPr>
            </w:pPr>
            <w:r>
              <w:rPr>
                <w:rFonts w:ascii="Arial"/>
                <w:w w:val="82"/>
                <w:sz w:val="22"/>
              </w:rPr>
              <w:t>2</w:t>
            </w:r>
          </w:p>
        </w:tc>
        <w:tc>
          <w:tcPr>
            <w:tcW w:w="1262" w:type="dxa"/>
            <w:tcBorders>
              <w:top w:val="nil"/>
              <w:left w:val="nil"/>
              <w:bottom w:val="nil"/>
              <w:right w:val="nil"/>
            </w:tcBorders>
          </w:tcPr>
          <w:p>
            <w:pPr>
              <w:pStyle w:val="TableParagraph"/>
              <w:spacing w:before="24"/>
              <w:ind w:right="36"/>
              <w:jc w:val="right"/>
              <w:rPr>
                <w:rFonts w:ascii="Arial"/>
                <w:sz w:val="22"/>
              </w:rPr>
            </w:pPr>
            <w:r>
              <w:rPr>
                <w:rFonts w:ascii="Arial"/>
                <w:w w:val="82"/>
                <w:sz w:val="22"/>
              </w:rPr>
              <w:t>9</w:t>
            </w:r>
          </w:p>
        </w:tc>
        <w:tc>
          <w:tcPr>
            <w:tcW w:w="1263" w:type="dxa"/>
            <w:tcBorders>
              <w:top w:val="nil"/>
              <w:left w:val="nil"/>
              <w:bottom w:val="nil"/>
              <w:right w:val="nil"/>
            </w:tcBorders>
          </w:tcPr>
          <w:p>
            <w:pPr>
              <w:pStyle w:val="TableParagraph"/>
              <w:spacing w:before="24"/>
              <w:ind w:right="36"/>
              <w:jc w:val="right"/>
              <w:rPr>
                <w:rFonts w:ascii="Arial"/>
                <w:sz w:val="22"/>
              </w:rPr>
            </w:pPr>
            <w:r>
              <w:rPr>
                <w:rFonts w:ascii="Arial"/>
                <w:w w:val="80"/>
                <w:sz w:val="22"/>
              </w:rPr>
              <w:t>12</w:t>
            </w:r>
          </w:p>
        </w:tc>
        <w:tc>
          <w:tcPr>
            <w:tcW w:w="1262" w:type="dxa"/>
            <w:tcBorders>
              <w:top w:val="nil"/>
              <w:left w:val="nil"/>
              <w:bottom w:val="nil"/>
              <w:right w:val="nil"/>
            </w:tcBorders>
          </w:tcPr>
          <w:p>
            <w:pPr>
              <w:pStyle w:val="TableParagraph"/>
              <w:spacing w:before="24"/>
              <w:ind w:right="36"/>
              <w:jc w:val="right"/>
              <w:rPr>
                <w:rFonts w:ascii="Arial"/>
                <w:sz w:val="22"/>
              </w:rPr>
            </w:pPr>
            <w:r>
              <w:rPr>
                <w:rFonts w:ascii="Arial"/>
                <w:w w:val="82"/>
                <w:sz w:val="22"/>
              </w:rPr>
              <w:t>3</w:t>
            </w:r>
          </w:p>
        </w:tc>
        <w:tc>
          <w:tcPr>
            <w:tcW w:w="1258" w:type="dxa"/>
            <w:tcBorders>
              <w:top w:val="nil"/>
              <w:left w:val="nil"/>
              <w:bottom w:val="nil"/>
            </w:tcBorders>
          </w:tcPr>
          <w:p>
            <w:pPr>
              <w:pStyle w:val="TableParagraph"/>
              <w:spacing w:before="24"/>
              <w:ind w:right="17"/>
              <w:jc w:val="right"/>
              <w:rPr>
                <w:rFonts w:ascii="Arial"/>
                <w:sz w:val="22"/>
              </w:rPr>
            </w:pPr>
            <w:r>
              <w:rPr>
                <w:rFonts w:ascii="Arial"/>
                <w:w w:val="82"/>
                <w:sz w:val="22"/>
              </w:rPr>
              <w:t>1</w:t>
            </w:r>
          </w:p>
        </w:tc>
      </w:tr>
      <w:tr>
        <w:trPr>
          <w:trHeight w:val="331" w:hRule="exact"/>
        </w:trPr>
        <w:tc>
          <w:tcPr>
            <w:tcW w:w="2016" w:type="dxa"/>
            <w:tcBorders>
              <w:top w:val="single" w:sz="8" w:space="0" w:color="000000"/>
              <w:bottom w:val="single" w:sz="15" w:space="0" w:color="000000"/>
              <w:right w:val="single" w:sz="8" w:space="0" w:color="000000"/>
            </w:tcBorders>
          </w:tcPr>
          <w:p>
            <w:pPr>
              <w:pStyle w:val="TableParagraph"/>
              <w:spacing w:before="10"/>
              <w:ind w:left="19"/>
              <w:rPr>
                <w:rFonts w:ascii="Arial"/>
                <w:sz w:val="22"/>
              </w:rPr>
            </w:pPr>
            <w:r>
              <w:rPr>
                <w:rFonts w:ascii="Arial"/>
                <w:w w:val="90"/>
                <w:sz w:val="22"/>
              </w:rPr>
              <w:t>Zinacantepec</w:t>
            </w:r>
          </w:p>
        </w:tc>
        <w:tc>
          <w:tcPr>
            <w:tcW w:w="1263" w:type="dxa"/>
            <w:tcBorders>
              <w:top w:val="nil"/>
              <w:left w:val="single" w:sz="8" w:space="0" w:color="000000"/>
              <w:bottom w:val="single" w:sz="15" w:space="0" w:color="000000"/>
              <w:right w:val="nil"/>
            </w:tcBorders>
          </w:tcPr>
          <w:p>
            <w:pPr>
              <w:pStyle w:val="TableParagraph"/>
              <w:spacing w:before="19"/>
              <w:ind w:right="36"/>
              <w:jc w:val="right"/>
              <w:rPr>
                <w:rFonts w:ascii="Arial"/>
                <w:sz w:val="22"/>
              </w:rPr>
            </w:pPr>
            <w:r>
              <w:rPr>
                <w:rFonts w:ascii="Arial"/>
                <w:w w:val="80"/>
                <w:sz w:val="22"/>
              </w:rPr>
              <w:t>10</w:t>
            </w:r>
          </w:p>
        </w:tc>
        <w:tc>
          <w:tcPr>
            <w:tcW w:w="1262" w:type="dxa"/>
            <w:tcBorders>
              <w:top w:val="nil"/>
              <w:left w:val="nil"/>
              <w:bottom w:val="single" w:sz="15" w:space="0" w:color="000000"/>
              <w:right w:val="nil"/>
            </w:tcBorders>
          </w:tcPr>
          <w:p>
            <w:pPr>
              <w:pStyle w:val="TableParagraph"/>
              <w:spacing w:before="19"/>
              <w:ind w:right="36"/>
              <w:jc w:val="right"/>
              <w:rPr>
                <w:rFonts w:ascii="Arial"/>
                <w:sz w:val="22"/>
              </w:rPr>
            </w:pPr>
            <w:r>
              <w:rPr>
                <w:rFonts w:ascii="Arial"/>
                <w:w w:val="80"/>
                <w:sz w:val="22"/>
              </w:rPr>
              <w:t>17</w:t>
            </w:r>
          </w:p>
        </w:tc>
        <w:tc>
          <w:tcPr>
            <w:tcW w:w="1263" w:type="dxa"/>
            <w:tcBorders>
              <w:top w:val="nil"/>
              <w:left w:val="nil"/>
              <w:bottom w:val="single" w:sz="15" w:space="0" w:color="000000"/>
              <w:right w:val="nil"/>
            </w:tcBorders>
          </w:tcPr>
          <w:p>
            <w:pPr>
              <w:pStyle w:val="TableParagraph"/>
              <w:spacing w:before="19"/>
              <w:ind w:right="36"/>
              <w:jc w:val="right"/>
              <w:rPr>
                <w:rFonts w:ascii="Arial"/>
                <w:sz w:val="22"/>
              </w:rPr>
            </w:pPr>
            <w:r>
              <w:rPr>
                <w:rFonts w:ascii="Arial"/>
                <w:w w:val="80"/>
                <w:sz w:val="22"/>
              </w:rPr>
              <w:t>15</w:t>
            </w:r>
          </w:p>
        </w:tc>
        <w:tc>
          <w:tcPr>
            <w:tcW w:w="1262" w:type="dxa"/>
            <w:tcBorders>
              <w:top w:val="nil"/>
              <w:left w:val="nil"/>
              <w:bottom w:val="single" w:sz="15" w:space="0" w:color="000000"/>
              <w:right w:val="nil"/>
            </w:tcBorders>
          </w:tcPr>
          <w:p>
            <w:pPr>
              <w:pStyle w:val="TableParagraph"/>
              <w:spacing w:before="19"/>
              <w:ind w:right="36"/>
              <w:jc w:val="right"/>
              <w:rPr>
                <w:rFonts w:ascii="Arial"/>
                <w:sz w:val="22"/>
              </w:rPr>
            </w:pPr>
            <w:r>
              <w:rPr>
                <w:rFonts w:ascii="Arial"/>
                <w:w w:val="82"/>
                <w:sz w:val="22"/>
              </w:rPr>
              <w:t>8</w:t>
            </w:r>
          </w:p>
        </w:tc>
        <w:tc>
          <w:tcPr>
            <w:tcW w:w="1258" w:type="dxa"/>
            <w:tcBorders>
              <w:top w:val="nil"/>
              <w:left w:val="nil"/>
              <w:bottom w:val="single" w:sz="15" w:space="0" w:color="000000"/>
            </w:tcBorders>
          </w:tcPr>
          <w:p>
            <w:pPr/>
          </w:p>
        </w:tc>
      </w:tr>
      <w:tr>
        <w:trPr>
          <w:trHeight w:val="326" w:hRule="exact"/>
        </w:trPr>
        <w:tc>
          <w:tcPr>
            <w:tcW w:w="2016" w:type="dxa"/>
            <w:tcBorders>
              <w:top w:val="single" w:sz="15" w:space="0" w:color="000000"/>
              <w:right w:val="single" w:sz="8" w:space="0" w:color="000000"/>
            </w:tcBorders>
          </w:tcPr>
          <w:p>
            <w:pPr>
              <w:pStyle w:val="TableParagraph"/>
              <w:ind w:left="19"/>
              <w:rPr>
                <w:rFonts w:ascii="Arial"/>
                <w:sz w:val="22"/>
              </w:rPr>
            </w:pPr>
            <w:r>
              <w:rPr>
                <w:rFonts w:ascii="Arial"/>
                <w:w w:val="90"/>
                <w:sz w:val="22"/>
              </w:rPr>
              <w:t>Total</w:t>
            </w:r>
          </w:p>
        </w:tc>
        <w:tc>
          <w:tcPr>
            <w:tcW w:w="1263" w:type="dxa"/>
            <w:tcBorders>
              <w:top w:val="single" w:sz="15" w:space="0" w:color="000000"/>
              <w:left w:val="single" w:sz="8" w:space="0" w:color="000000"/>
              <w:right w:val="single" w:sz="8" w:space="0" w:color="000000"/>
            </w:tcBorders>
          </w:tcPr>
          <w:p>
            <w:pPr>
              <w:pStyle w:val="TableParagraph"/>
              <w:ind w:right="26"/>
              <w:jc w:val="right"/>
              <w:rPr>
                <w:rFonts w:ascii="Arial"/>
                <w:sz w:val="22"/>
              </w:rPr>
            </w:pPr>
            <w:r>
              <w:rPr>
                <w:rFonts w:ascii="Arial"/>
                <w:w w:val="80"/>
                <w:sz w:val="22"/>
              </w:rPr>
              <w:t>91</w:t>
            </w:r>
          </w:p>
        </w:tc>
        <w:tc>
          <w:tcPr>
            <w:tcW w:w="1262" w:type="dxa"/>
            <w:tcBorders>
              <w:top w:val="single" w:sz="15" w:space="0" w:color="000000"/>
              <w:left w:val="single" w:sz="8" w:space="0" w:color="000000"/>
              <w:right w:val="single" w:sz="8" w:space="0" w:color="000000"/>
            </w:tcBorders>
          </w:tcPr>
          <w:p>
            <w:pPr>
              <w:pStyle w:val="TableParagraph"/>
              <w:ind w:right="26"/>
              <w:jc w:val="right"/>
              <w:rPr>
                <w:rFonts w:ascii="Arial"/>
                <w:sz w:val="22"/>
              </w:rPr>
            </w:pPr>
            <w:r>
              <w:rPr>
                <w:rFonts w:ascii="Arial"/>
                <w:w w:val="80"/>
                <w:sz w:val="22"/>
              </w:rPr>
              <w:t>140</w:t>
            </w:r>
          </w:p>
        </w:tc>
        <w:tc>
          <w:tcPr>
            <w:tcW w:w="1263" w:type="dxa"/>
            <w:tcBorders>
              <w:top w:val="single" w:sz="15" w:space="0" w:color="000000"/>
              <w:left w:val="single" w:sz="8" w:space="0" w:color="000000"/>
              <w:right w:val="single" w:sz="8" w:space="0" w:color="000000"/>
            </w:tcBorders>
          </w:tcPr>
          <w:p>
            <w:pPr>
              <w:pStyle w:val="TableParagraph"/>
              <w:ind w:right="27"/>
              <w:jc w:val="right"/>
              <w:rPr>
                <w:rFonts w:ascii="Arial"/>
                <w:sz w:val="22"/>
              </w:rPr>
            </w:pPr>
            <w:r>
              <w:rPr>
                <w:rFonts w:ascii="Arial"/>
                <w:w w:val="80"/>
                <w:sz w:val="22"/>
              </w:rPr>
              <w:t>121</w:t>
            </w:r>
          </w:p>
        </w:tc>
        <w:tc>
          <w:tcPr>
            <w:tcW w:w="1262" w:type="dxa"/>
            <w:tcBorders>
              <w:top w:val="single" w:sz="15" w:space="0" w:color="000000"/>
              <w:left w:val="single" w:sz="8" w:space="0" w:color="000000"/>
              <w:right w:val="single" w:sz="8" w:space="0" w:color="000000"/>
            </w:tcBorders>
          </w:tcPr>
          <w:p>
            <w:pPr>
              <w:pStyle w:val="TableParagraph"/>
              <w:ind w:right="26"/>
              <w:jc w:val="right"/>
              <w:rPr>
                <w:rFonts w:ascii="Arial"/>
                <w:sz w:val="22"/>
              </w:rPr>
            </w:pPr>
            <w:r>
              <w:rPr>
                <w:rFonts w:ascii="Arial"/>
                <w:w w:val="80"/>
                <w:sz w:val="22"/>
              </w:rPr>
              <w:t>61</w:t>
            </w:r>
          </w:p>
        </w:tc>
        <w:tc>
          <w:tcPr>
            <w:tcW w:w="1258" w:type="dxa"/>
            <w:tcBorders>
              <w:top w:val="single" w:sz="15" w:space="0" w:color="000000"/>
              <w:left w:val="single" w:sz="8" w:space="0" w:color="000000"/>
            </w:tcBorders>
          </w:tcPr>
          <w:p>
            <w:pPr>
              <w:pStyle w:val="TableParagraph"/>
              <w:ind w:right="17"/>
              <w:jc w:val="right"/>
              <w:rPr>
                <w:rFonts w:ascii="Arial"/>
                <w:sz w:val="22"/>
              </w:rPr>
            </w:pPr>
            <w:r>
              <w:rPr>
                <w:rFonts w:ascii="Arial"/>
                <w:w w:val="82"/>
                <w:sz w:val="22"/>
              </w:rPr>
              <w:t>6</w:t>
            </w:r>
          </w:p>
        </w:tc>
      </w:tr>
    </w:tbl>
    <w:p>
      <w:pPr>
        <w:spacing w:before="114"/>
        <w:ind w:left="102" w:right="0" w:firstLine="9"/>
        <w:jc w:val="both"/>
        <w:rPr>
          <w:sz w:val="20"/>
        </w:rPr>
      </w:pPr>
      <w:r>
        <w:rPr>
          <w:sz w:val="20"/>
        </w:rPr>
        <w:t>Fuente: Elaboración propia con base en los datos del Censo de Población y Vivienda INEGI, 1990.</w:t>
      </w:r>
    </w:p>
    <w:p>
      <w:pPr>
        <w:pStyle w:val="BodyText"/>
        <w:rPr>
          <w:sz w:val="20"/>
        </w:rPr>
      </w:pPr>
    </w:p>
    <w:p>
      <w:pPr>
        <w:pStyle w:val="BodyText"/>
        <w:rPr>
          <w:sz w:val="26"/>
        </w:rPr>
      </w:pPr>
    </w:p>
    <w:p>
      <w:pPr>
        <w:pStyle w:val="BodyText"/>
        <w:spacing w:line="360" w:lineRule="auto"/>
        <w:ind w:left="102" w:right="100"/>
        <w:jc w:val="both"/>
      </w:pPr>
      <w:r>
        <w:rPr/>
        <w:t>Con baja habitabilidad de las viviendas encontramos un total de 61 localidades de las cuales el municipio Almoloya de Juárez registró 18, Toluca 13, Zinacantepec 8, Temoaya 7, Otzolotepec 5, Lerma y Xonacatlán 3 localidades, Metepec, Ocoyoacac, Mexicaltzingo y Rayón con una localidad, San Antonio la Isla, Calimaya, San Mateo Atenco y Chapultepec no registraron localidades con baja habitabilidad, en este rango las viviendas de estas localidades son las que  cuentan con menos de la mitad de las variables</w:t>
      </w:r>
      <w:r>
        <w:rPr>
          <w:spacing w:val="-22"/>
        </w:rPr>
        <w:t> </w:t>
      </w:r>
      <w:r>
        <w:rPr/>
        <w:t>evaluadas.</w:t>
      </w:r>
    </w:p>
    <w:p>
      <w:pPr>
        <w:pStyle w:val="BodyText"/>
      </w:pPr>
    </w:p>
    <w:p>
      <w:pPr>
        <w:pStyle w:val="BodyText"/>
        <w:spacing w:line="360" w:lineRule="auto" w:before="142"/>
        <w:ind w:left="102" w:right="100"/>
        <w:jc w:val="both"/>
      </w:pPr>
      <w:r>
        <w:rPr/>
        <w:t>En el último estrato de muy baja habitabilidad de las viviendas en la zona metropolitana, encontramos a 6 localidades, es decir, son las localidades donde se encontraron  las  viviendas  con  la  más  baja  habitabilidad  ya  sea  porque      no</w:t>
      </w:r>
    </w:p>
    <w:p>
      <w:pPr>
        <w:spacing w:after="0" w:line="360" w:lineRule="auto"/>
        <w:jc w:val="both"/>
        <w:sectPr>
          <w:pgSz w:w="12240" w:h="15840"/>
          <w:pgMar w:header="0" w:footer="1003" w:top="1360" w:bottom="1200" w:left="1600" w:right="1600"/>
        </w:sectPr>
      </w:pPr>
    </w:p>
    <w:p>
      <w:pPr>
        <w:pStyle w:val="BodyText"/>
        <w:spacing w:line="360" w:lineRule="auto" w:before="54"/>
        <w:ind w:left="102" w:right="116"/>
        <w:jc w:val="both"/>
      </w:pPr>
      <w:r>
        <w:rPr/>
        <w:t>contaban con los servicios públicos necesarios, los materiales de construcción son precarios o las viviendas no son propias y cuentan con menos de dos cuartos para sus habitantes. El municipio de Ocoyoacac fue el que registró 3 localidades, Calimaya, Xonacatlán y Temoaya registraron 1 localidad con estas características. Para ser más detallados las localidades de Ocoyoacac con muy baja habitabilidad de las viviendas, fueron la localidad de Santa Teresa, Cañada Honda y Jajalpa ubicadas al norte del municipio, la localidad de Xonacatlán fue Santa Cruz localizada al oriente, de Temoaya fue San Pedro Arriba sexta sección en la parte oriente del municipio, la localidad en Calimaya fue La Esperanza ubicada al norte del municipio (ver mapa no. 19).</w:t>
      </w:r>
    </w:p>
    <w:p>
      <w:pPr>
        <w:pStyle w:val="BodyText"/>
      </w:pPr>
    </w:p>
    <w:p>
      <w:pPr>
        <w:spacing w:before="141" w:after="3"/>
        <w:ind w:left="193" w:right="213" w:firstLine="0"/>
        <w:jc w:val="center"/>
        <w:rPr>
          <w:sz w:val="20"/>
        </w:rPr>
      </w:pPr>
      <w:r>
        <w:rPr>
          <w:sz w:val="20"/>
        </w:rPr>
        <w:t>Mapa No. 19 Porcentaje de habitabilidad de las viviendas a nivel localidad en la </w:t>
      </w:r>
      <w:r>
        <w:rPr>
          <w:sz w:val="16"/>
        </w:rPr>
        <w:t>ZMT</w:t>
      </w:r>
      <w:r>
        <w:rPr>
          <w:sz w:val="20"/>
        </w:rPr>
        <w:t>, 1990.</w:t>
      </w:r>
    </w:p>
    <w:p>
      <w:pPr>
        <w:pStyle w:val="BodyText"/>
        <w:ind w:left="106"/>
        <w:rPr>
          <w:sz w:val="20"/>
        </w:rPr>
      </w:pPr>
      <w:r>
        <w:rPr>
          <w:sz w:val="20"/>
        </w:rPr>
        <w:drawing>
          <wp:inline distT="0" distB="0" distL="0" distR="0">
            <wp:extent cx="5599564" cy="3959352"/>
            <wp:effectExtent l="0" t="0" r="0" b="0"/>
            <wp:docPr id="159" name="image952.jpeg" descr=""/>
            <wp:cNvGraphicFramePr>
              <a:graphicFrameLocks noChangeAspect="1"/>
            </wp:cNvGraphicFramePr>
            <a:graphic>
              <a:graphicData uri="http://schemas.openxmlformats.org/drawingml/2006/picture">
                <pic:pic>
                  <pic:nvPicPr>
                    <pic:cNvPr id="160" name="image952.jpeg"/>
                    <pic:cNvPicPr/>
                  </pic:nvPicPr>
                  <pic:blipFill>
                    <a:blip r:embed="rId983" cstate="print"/>
                    <a:stretch>
                      <a:fillRect/>
                    </a:stretch>
                  </pic:blipFill>
                  <pic:spPr>
                    <a:xfrm>
                      <a:off x="0" y="0"/>
                      <a:ext cx="5599564" cy="3959352"/>
                    </a:xfrm>
                    <a:prstGeom prst="rect">
                      <a:avLst/>
                    </a:prstGeom>
                  </pic:spPr>
                </pic:pic>
              </a:graphicData>
            </a:graphic>
          </wp:inline>
        </w:drawing>
      </w:r>
      <w:r>
        <w:rPr>
          <w:sz w:val="20"/>
        </w:rPr>
      </w:r>
    </w:p>
    <w:p>
      <w:pPr>
        <w:spacing w:line="242" w:lineRule="auto" w:before="3"/>
        <w:ind w:left="193" w:right="212" w:firstLine="0"/>
        <w:jc w:val="center"/>
        <w:rPr>
          <w:sz w:val="20"/>
        </w:rPr>
      </w:pPr>
      <w:r>
        <w:rPr>
          <w:sz w:val="20"/>
        </w:rPr>
        <w:t>Fuente: Elaboración propia con base en los datos del Censo de Población y Vivienda INEGI, 1990.</w:t>
      </w:r>
    </w:p>
    <w:p>
      <w:pPr>
        <w:pStyle w:val="BodyText"/>
        <w:rPr>
          <w:sz w:val="20"/>
        </w:rPr>
      </w:pPr>
    </w:p>
    <w:p>
      <w:pPr>
        <w:pStyle w:val="BodyText"/>
        <w:rPr>
          <w:sz w:val="20"/>
        </w:rPr>
      </w:pPr>
    </w:p>
    <w:p>
      <w:pPr>
        <w:pStyle w:val="BodyText"/>
        <w:spacing w:line="360" w:lineRule="auto" w:before="165"/>
        <w:ind w:left="102" w:right="126"/>
        <w:jc w:val="both"/>
      </w:pPr>
      <w:r>
        <w:rPr/>
        <w:t>Es decir para este año en estudio en la zona metropolitana, las zonas con habitabilidad crítica representaban el 15 por ciento de las localidades   analizadas,</w:t>
      </w:r>
    </w:p>
    <w:p>
      <w:pPr>
        <w:spacing w:after="0" w:line="360" w:lineRule="auto"/>
        <w:jc w:val="both"/>
        <w:sectPr>
          <w:pgSz w:w="12240" w:h="15840"/>
          <w:pgMar w:header="0" w:footer="1003" w:top="1360" w:bottom="1200" w:left="1600" w:right="1580"/>
        </w:sectPr>
      </w:pPr>
    </w:p>
    <w:p>
      <w:pPr>
        <w:pStyle w:val="BodyText"/>
        <w:spacing w:line="360" w:lineRule="auto" w:before="54"/>
        <w:ind w:left="102" w:right="123"/>
        <w:jc w:val="both"/>
      </w:pPr>
      <w:r>
        <w:rPr/>
        <w:t>mientras que con media habitabilidad encontramos más del 28 por ciento y con buena y alta habitabilidad más de 55 por ciento, representada en anillos concéntricos en las cabeceras municipales analizadas, mientras que las zonas con habitabilidad crítica las ubicamos en las partes más alejadas de las cabeceras municipales.</w:t>
      </w:r>
    </w:p>
    <w:p>
      <w:pPr>
        <w:pStyle w:val="BodyText"/>
      </w:pPr>
    </w:p>
    <w:p>
      <w:pPr>
        <w:pStyle w:val="BodyText"/>
        <w:spacing w:line="360" w:lineRule="auto" w:before="142"/>
        <w:ind w:left="102" w:right="117"/>
        <w:jc w:val="both"/>
      </w:pPr>
      <w:r>
        <w:rPr/>
        <w:t>En la siguiente sección se analiza la evaluación de la habitabilidad de las  viviendas por medio de las variables de las viviendas en las localidades de los quince municipios que integran la zona metropolitana de estudio en el año</w:t>
      </w:r>
      <w:r>
        <w:rPr>
          <w:spacing w:val="-29"/>
        </w:rPr>
        <w:t> </w:t>
      </w:r>
      <w:r>
        <w:rPr/>
        <w:t>2000.</w:t>
      </w:r>
    </w:p>
    <w:p>
      <w:pPr>
        <w:pStyle w:val="BodyText"/>
      </w:pPr>
    </w:p>
    <w:p>
      <w:pPr>
        <w:pStyle w:val="BodyText"/>
        <w:spacing w:before="9"/>
        <w:rPr>
          <w:sz w:val="29"/>
        </w:rPr>
      </w:pPr>
    </w:p>
    <w:p>
      <w:pPr>
        <w:pStyle w:val="ListParagraph"/>
        <w:numPr>
          <w:ilvl w:val="2"/>
          <w:numId w:val="25"/>
        </w:numPr>
        <w:tabs>
          <w:tab w:pos="642" w:val="left" w:leader="none"/>
        </w:tabs>
        <w:spacing w:line="240" w:lineRule="auto" w:before="0" w:after="0"/>
        <w:ind w:left="642" w:right="0" w:hanging="540"/>
        <w:jc w:val="both"/>
        <w:rPr>
          <w:rFonts w:ascii="Cambria" w:hAnsi="Cambria"/>
          <w:b/>
          <w:sz w:val="22"/>
        </w:rPr>
      </w:pPr>
      <w:r>
        <w:rPr>
          <w:rFonts w:ascii="Cambria" w:hAnsi="Cambria"/>
          <w:b/>
          <w:color w:val="4F81BC"/>
          <w:sz w:val="22"/>
        </w:rPr>
        <w:t>Evaluación de la habitabilidad de las viviendas a nivel municipal en la  </w:t>
      </w:r>
      <w:r>
        <w:rPr>
          <w:rFonts w:ascii="Cambria" w:hAnsi="Cambria"/>
          <w:b/>
          <w:color w:val="4F81BC"/>
          <w:sz w:val="18"/>
        </w:rPr>
        <w:t>ZMT</w:t>
      </w:r>
      <w:r>
        <w:rPr>
          <w:rFonts w:ascii="Cambria" w:hAnsi="Cambria"/>
          <w:b/>
          <w:color w:val="4F81BC"/>
          <w:sz w:val="22"/>
        </w:rPr>
        <w:t>,</w:t>
      </w:r>
      <w:r>
        <w:rPr>
          <w:rFonts w:ascii="Cambria" w:hAnsi="Cambria"/>
          <w:b/>
          <w:color w:val="4F81BC"/>
          <w:spacing w:val="-30"/>
          <w:sz w:val="22"/>
        </w:rPr>
        <w:t> </w:t>
      </w:r>
      <w:r>
        <w:rPr>
          <w:rFonts w:ascii="Cambria" w:hAnsi="Cambria"/>
          <w:b/>
          <w:color w:val="4F81BC"/>
          <w:sz w:val="22"/>
        </w:rPr>
        <w:t>2000.</w:t>
      </w:r>
    </w:p>
    <w:p>
      <w:pPr>
        <w:pStyle w:val="BodyText"/>
        <w:rPr>
          <w:rFonts w:ascii="Cambria"/>
          <w:b/>
          <w:sz w:val="22"/>
        </w:rPr>
      </w:pPr>
    </w:p>
    <w:p>
      <w:pPr>
        <w:pStyle w:val="BodyText"/>
        <w:spacing w:line="360" w:lineRule="auto" w:before="195"/>
        <w:ind w:left="102" w:right="116"/>
        <w:jc w:val="both"/>
      </w:pPr>
      <w:r>
        <w:rPr/>
        <w:t>La evaluación de la habitabilidad de las viviendas a nivel municipal 2000, se realizó a través de cuatro dimensiones y diecinueve variables: servicios públicos (agua potable, energía eléctrica, drenaje, sanitario), materiales de construcción (techo, paredes, piso de tierra) bienes de las viviendas (radio, televisor, videocasetera, refrigerador, lavadora, teléfono, boiler, automóvil) y la legalidad de las viviendas (viviendas propias, viviendas rentadas, viviendas con 1 cuarto y viviendas con 2</w:t>
      </w:r>
      <w:r>
        <w:rPr>
          <w:spacing w:val="-9"/>
        </w:rPr>
        <w:t> </w:t>
      </w:r>
      <w:r>
        <w:rPr/>
        <w:t>cuartos).</w:t>
      </w:r>
    </w:p>
    <w:p>
      <w:pPr>
        <w:pStyle w:val="BodyText"/>
      </w:pPr>
    </w:p>
    <w:p>
      <w:pPr>
        <w:pStyle w:val="BodyText"/>
        <w:spacing w:line="360" w:lineRule="auto" w:before="142"/>
        <w:ind w:left="102" w:right="117"/>
        <w:jc w:val="both"/>
      </w:pPr>
      <w:r>
        <w:rPr/>
        <w:t>La jerarquización de las 19 variables quedo de la siguiente manera: viviendas particulares no propias, con techo inadecuado, con paredes inadecuadas,  sin agua, sin energía eléctrica, sin drenaje, con dos cuartos, con un cuarto, con piso de tierra, estas nueve variables se evaluaron de la misma manera en el año 1990, además de las variables de sin sanitario, sin refrigerador, sin lavadora, sin teléfono, sin auto, sin televisión, sin radio, sin videocasetera sin boiler y viviendas rentadas.</w:t>
      </w:r>
    </w:p>
    <w:p>
      <w:pPr>
        <w:spacing w:after="0" w:line="360" w:lineRule="auto"/>
        <w:jc w:val="both"/>
        <w:sectPr>
          <w:pgSz w:w="12240" w:h="15840"/>
          <w:pgMar w:header="0" w:footer="1003" w:top="1360" w:bottom="1200" w:left="1600" w:right="1580"/>
        </w:sectPr>
      </w:pPr>
    </w:p>
    <w:p>
      <w:pPr>
        <w:spacing w:before="53"/>
        <w:ind w:left="193" w:right="213" w:firstLine="0"/>
        <w:jc w:val="center"/>
        <w:rPr>
          <w:sz w:val="20"/>
        </w:rPr>
      </w:pPr>
      <w:r>
        <w:rPr/>
        <w:pict>
          <v:group style="position:absolute;margin-left:96.683769pt;margin-top:25.421309pt;width:430.7pt;height:264.5pt;mso-position-horizontal-relative:page;mso-position-vertical-relative:paragraph;z-index:-330880" coordorigin="1934,508" coordsize="8614,5290">
            <v:shape style="position:absolute;left:254;top:5794;width:9116;height:5594" coordorigin="254,5794" coordsize="9116,5594" path="m6034,516l5917,516,5802,517,5687,518,5573,519,5460,521,5348,523,5237,526,5127,529,5018,532,4910,536,4803,540,4698,544,4594,549,4492,554,4390,559,4290,565,4192,571,4095,578,4000,584,3906,591,3814,599,3723,606,3634,614,3547,622,3462,631,3379,640,3297,649,3217,658,3140,668,3064,678,2991,688,2919,698,2850,708,2783,719,2718,730,2655,742,2595,753,2537,765,2482,777,2429,789,2378,801,2330,813,2285,826,2242,839,2202,852,2164,865,2129,878,2097,892,2068,905,2042,919,2019,933,1998,947,1981,961,1967,976,1956,990,1948,1005,1943,1019,1941,1034,1943,1049,1948,1064,1956,1078,1967,1092,1981,1107,1998,1121,2019,1135,2042,1149,2068,1163,2097,1176,2129,1190,2164,1203,2202,1216,2242,1229,2285,1242,2330,1255,2378,1267,2429,1279,2482,1292,2537,1303,2595,1315,2655,1327,2718,1338,2783,1349,2850,1360,2919,1370,2991,1380,3064,1391,3140,1400,3217,1410,3297,1419,3379,1428,3462,1437,3547,1446,3634,1454,3723,1462,3814,1469,3906,1477,4000,1484,4095,1490,4192,1497,4290,1503,4390,1509,4492,1514,4594,1519,4698,1524,4803,1528,4910,1532,5018,1536,5127,1539,5237,1542,5348,1545,5460,1547,5573,1549,5687,1550,5802,1551,5917,1552,6034,1552,6150,1552,6266,1551,6381,1550,6495,1549,6608,1547,6720,1545,6831,1542,6941,1539,7050,1536,7158,1532,7264,1528,7369,1524,7473,1519,7576,1514,7677,1509,7777,1503,7876,1497,7973,1490,8068,1484,8162,1477,8254,1469,8344,1462,8433,1454,8520,1446,8606,1437,8689,1428,8770,1419,8850,1410,8928,1400,9003,1391,9077,1380,9148,1370,9218,1360,9285,1349,9350,1338,9412,1327,9472,1315,9530,1303,9586,1292,9639,1280,9689,1267,9738,1255,9783,1242,9826,1229,9866,1216,9903,1203,9938,1190,9970,1176,9999,1163,10025,1149,10049,1135,10069,1121,10086,1107,10101,1092,10112,1078,10120,1064,10125,1049,10126,1034,10125,1019,10120,1005,10112,990,10101,976,10086,961,10069,947,10049,933,10025,919,9999,905,9970,892,9938,878,9903,865,9866,852,9826,839,9783,826,9738,813,9689,801,9639,789,9586,777,9530,765,9472,753,9412,742,9350,730,9285,719,9218,708,9148,698,9077,688,9003,678,8928,668,8850,658,8770,649,8689,640,8606,631,8520,622,8433,614,8344,606,8254,599,8162,591,8068,584,7973,578,7876,571,7777,565,7677,559,7576,554,7473,549,7369,544,7264,540,7158,536,7050,532,6941,529,6831,526,6720,523,6608,521,6495,519,6381,518,6266,517,6150,516,6034,516xm5922,1552l5934,1859m2816,1859l9429,1859m2010,2534l1984,2539,1963,2553,1948,2574,1943,2600,1943,2866,1948,2892,1963,2913,1984,2927,2010,2932,3895,2932,3921,2927,3942,2913,3956,2892,3962,2866,3962,2600,3956,2574,3942,2553,3921,2539,3895,2534,2010,2534xm4145,2472l4097,2482,4059,2508,4032,2547,4023,2594,4023,3082,4032,3130,4059,3168,4097,3194,4145,3204,6025,3204,6072,3194,6111,3168,6137,3130,6147,3082,6147,2594,6137,2547,6111,2508,6072,2482,6025,2472,4145,2472xm2816,1859l2816,2534m5001,1859l5012,2472m6353,2472l6305,2482,6267,2508,6240,2547,6231,2594,6231,3082,6240,3130,6267,3168,6305,3194,6353,3204,8233,3204,8280,3194,8319,3168,8345,3130,8355,3082,8355,2594,8345,2547,8319,2508,8280,2482,8233,2472,6353,2472xm8537,2472l8490,2482,8451,2508,8425,2547,8415,2594,8415,3082,8425,3130,8451,3168,8490,3194,8537,3204,10417,3204,10465,3194,10504,3168,10530,3130,10539,3082,10539,2594,10530,2547,10504,2508,10465,2482,10417,2472,8537,2472xm7245,1859l7256,2473m9429,1859l9441,2472m2010,3561l1984,3567,1963,3581,1948,3602,1943,3628,1943,3894,1948,3920,1963,3941,1984,3955,2010,3960,3895,3960,3921,3955,3942,3941,3956,3920,3962,3894,3962,3628,3956,3602,3942,3581,3921,3567,3895,3561,2010,3561xm2816,2932l2816,3561m2010,4186l1984,4192,1963,4206,1948,4227,1943,4253,1943,4519,1948,4545,1963,4566,1984,4580,2010,4585,3895,4585,3921,4580,3942,4566,3956,4545,3962,4519,3962,4253,3956,4227,3942,4206,3921,4192,3895,4186,2010,4186xm2816,3960l2816,4186m2010,4801l1984,4806,1963,4821,1948,4842,1943,4868,1943,5134,1948,5159,1963,5181,1984,5195,2010,5200,3895,5200,3921,5195,3942,5181,3956,5159,3962,5134,3962,4868,3956,4842,3942,4821,3921,4806,3895,4801,2010,4801xm2816,4575l2816,4801m2010,5391l1984,5397,1963,5411,1948,5432,1943,5458,1943,5724,1948,5750,1963,5771,1984,5785,2010,5790,3895,5790,3921,5785,3942,5771,3956,5750,3962,5724,3962,5458,3956,5432,3942,5411,3921,5397,3895,5391,2010,5391xm2816,5200l2816,5426e" filled="false" stroked="true" strokeweight=".707275pt" strokecolor="#000000">
              <v:path arrowok="t"/>
            </v:shape>
            <v:shape style="position:absolute;left:2195;top:934;width:7353;height:227" type="#_x0000_t202" filled="false" stroked="false">
              <v:textbox inset="0,0,0,0">
                <w:txbxContent>
                  <w:p>
                    <w:pPr>
                      <w:spacing w:line="226" w:lineRule="exact" w:before="0"/>
                      <w:ind w:left="0" w:right="0" w:firstLine="0"/>
                      <w:jc w:val="left"/>
                      <w:rPr>
                        <w:b/>
                        <w:sz w:val="22"/>
                      </w:rPr>
                    </w:pPr>
                    <w:r>
                      <w:rPr>
                        <w:b/>
                        <w:w w:val="105"/>
                        <w:sz w:val="22"/>
                      </w:rPr>
                      <w:t>La</w:t>
                    </w:r>
                    <w:r>
                      <w:rPr>
                        <w:b/>
                        <w:spacing w:val="-18"/>
                        <w:w w:val="105"/>
                        <w:sz w:val="22"/>
                      </w:rPr>
                      <w:t> </w:t>
                    </w:r>
                    <w:r>
                      <w:rPr>
                        <w:b/>
                        <w:w w:val="105"/>
                        <w:sz w:val="22"/>
                      </w:rPr>
                      <w:t>habitabilidad</w:t>
                    </w:r>
                    <w:r>
                      <w:rPr>
                        <w:b/>
                        <w:spacing w:val="-21"/>
                        <w:w w:val="105"/>
                        <w:sz w:val="22"/>
                      </w:rPr>
                      <w:t> </w:t>
                    </w:r>
                    <w:r>
                      <w:rPr>
                        <w:b/>
                        <w:w w:val="105"/>
                        <w:sz w:val="22"/>
                      </w:rPr>
                      <w:t>de</w:t>
                    </w:r>
                    <w:r>
                      <w:rPr>
                        <w:b/>
                        <w:spacing w:val="-18"/>
                        <w:w w:val="105"/>
                        <w:sz w:val="22"/>
                      </w:rPr>
                      <w:t> </w:t>
                    </w:r>
                    <w:r>
                      <w:rPr>
                        <w:b/>
                        <w:w w:val="105"/>
                        <w:sz w:val="22"/>
                      </w:rPr>
                      <w:t>las</w:t>
                    </w:r>
                    <w:r>
                      <w:rPr>
                        <w:b/>
                        <w:spacing w:val="-18"/>
                        <w:w w:val="105"/>
                        <w:sz w:val="22"/>
                      </w:rPr>
                      <w:t> </w:t>
                    </w:r>
                    <w:r>
                      <w:rPr>
                        <w:b/>
                        <w:w w:val="105"/>
                        <w:sz w:val="22"/>
                      </w:rPr>
                      <w:t>viviendas</w:t>
                    </w:r>
                    <w:r>
                      <w:rPr>
                        <w:b/>
                        <w:spacing w:val="-18"/>
                        <w:w w:val="105"/>
                        <w:sz w:val="22"/>
                      </w:rPr>
                      <w:t> </w:t>
                    </w:r>
                    <w:r>
                      <w:rPr>
                        <w:b/>
                        <w:w w:val="105"/>
                        <w:sz w:val="22"/>
                      </w:rPr>
                      <w:t>en</w:t>
                    </w:r>
                    <w:r>
                      <w:rPr>
                        <w:b/>
                        <w:spacing w:val="-21"/>
                        <w:w w:val="105"/>
                        <w:sz w:val="22"/>
                      </w:rPr>
                      <w:t> </w:t>
                    </w:r>
                    <w:r>
                      <w:rPr>
                        <w:b/>
                        <w:w w:val="105"/>
                        <w:sz w:val="22"/>
                      </w:rPr>
                      <w:t>la</w:t>
                    </w:r>
                    <w:r>
                      <w:rPr>
                        <w:b/>
                        <w:spacing w:val="-18"/>
                        <w:w w:val="105"/>
                        <w:sz w:val="22"/>
                      </w:rPr>
                      <w:t> </w:t>
                    </w:r>
                    <w:r>
                      <w:rPr>
                        <w:b/>
                        <w:w w:val="105"/>
                        <w:sz w:val="22"/>
                      </w:rPr>
                      <w:t>zona</w:t>
                    </w:r>
                    <w:r>
                      <w:rPr>
                        <w:b/>
                        <w:spacing w:val="-18"/>
                        <w:w w:val="105"/>
                        <w:sz w:val="22"/>
                      </w:rPr>
                      <w:t> </w:t>
                    </w:r>
                    <w:r>
                      <w:rPr>
                        <w:b/>
                        <w:w w:val="105"/>
                        <w:sz w:val="22"/>
                      </w:rPr>
                      <w:t>metropolitana</w:t>
                    </w:r>
                    <w:r>
                      <w:rPr>
                        <w:b/>
                        <w:spacing w:val="-18"/>
                        <w:w w:val="105"/>
                        <w:sz w:val="22"/>
                      </w:rPr>
                      <w:t> </w:t>
                    </w:r>
                    <w:r>
                      <w:rPr>
                        <w:b/>
                        <w:w w:val="105"/>
                        <w:sz w:val="22"/>
                      </w:rPr>
                      <w:t>de</w:t>
                    </w:r>
                    <w:r>
                      <w:rPr>
                        <w:b/>
                        <w:spacing w:val="-21"/>
                        <w:w w:val="105"/>
                        <w:sz w:val="22"/>
                      </w:rPr>
                      <w:t> </w:t>
                    </w:r>
                    <w:r>
                      <w:rPr>
                        <w:b/>
                        <w:w w:val="105"/>
                        <w:sz w:val="22"/>
                      </w:rPr>
                      <w:t>Toluca</w:t>
                    </w:r>
                  </w:p>
                </w:txbxContent>
              </v:textbox>
              <w10:wrap type="none"/>
            </v:shape>
            <v:shape style="position:absolute;left:2123;top:2664;width:1662;height:227" type="#_x0000_t202" filled="false" stroked="false">
              <v:textbox inset="0,0,0,0">
                <w:txbxContent>
                  <w:p>
                    <w:pPr>
                      <w:spacing w:line="226" w:lineRule="exact" w:before="0"/>
                      <w:ind w:left="0" w:right="0" w:firstLine="0"/>
                      <w:jc w:val="left"/>
                      <w:rPr>
                        <w:rFonts w:ascii="Calibri" w:hAnsi="Calibri"/>
                        <w:b/>
                        <w:sz w:val="22"/>
                      </w:rPr>
                    </w:pPr>
                    <w:r>
                      <w:rPr>
                        <w:rFonts w:ascii="Calibri" w:hAnsi="Calibri"/>
                        <w:b/>
                        <w:sz w:val="22"/>
                      </w:rPr>
                      <w:t>Servicios Públicos</w:t>
                    </w:r>
                  </w:p>
                </w:txbxContent>
              </v:textbox>
              <w10:wrap type="none"/>
            </v:shape>
            <v:shape style="position:absolute;left:4442;top:2624;width:1295;height:503" type="#_x0000_t202" filled="false" stroked="false">
              <v:textbox inset="0,0,0,0">
                <w:txbxContent>
                  <w:p>
                    <w:pPr>
                      <w:spacing w:line="229" w:lineRule="exact" w:before="0"/>
                      <w:ind w:left="36" w:right="-14" w:hanging="37"/>
                      <w:jc w:val="left"/>
                      <w:rPr>
                        <w:rFonts w:ascii="Calibri"/>
                        <w:b/>
                        <w:sz w:val="22"/>
                      </w:rPr>
                    </w:pPr>
                    <w:r>
                      <w:rPr>
                        <w:rFonts w:ascii="Calibri"/>
                        <w:b/>
                        <w:w w:val="105"/>
                        <w:sz w:val="22"/>
                      </w:rPr>
                      <w:t>Materiales</w:t>
                    </w:r>
                    <w:r>
                      <w:rPr>
                        <w:rFonts w:ascii="Calibri"/>
                        <w:b/>
                        <w:spacing w:val="-33"/>
                        <w:w w:val="105"/>
                        <w:sz w:val="22"/>
                      </w:rPr>
                      <w:t> </w:t>
                    </w:r>
                    <w:r>
                      <w:rPr>
                        <w:rFonts w:ascii="Calibri"/>
                        <w:b/>
                        <w:w w:val="105"/>
                        <w:sz w:val="22"/>
                      </w:rPr>
                      <w:t>de</w:t>
                    </w:r>
                  </w:p>
                  <w:p>
                    <w:pPr>
                      <w:spacing w:line="266" w:lineRule="exact" w:before="7"/>
                      <w:ind w:left="36" w:right="-14" w:firstLine="0"/>
                      <w:jc w:val="left"/>
                      <w:rPr>
                        <w:rFonts w:ascii="Calibri" w:hAnsi="Calibri"/>
                        <w:b/>
                        <w:sz w:val="22"/>
                      </w:rPr>
                    </w:pPr>
                    <w:r>
                      <w:rPr>
                        <w:rFonts w:ascii="Calibri" w:hAnsi="Calibri"/>
                        <w:b/>
                        <w:sz w:val="22"/>
                      </w:rPr>
                      <w:t>Construcción</w:t>
                    </w:r>
                  </w:p>
                </w:txbxContent>
              </v:textbox>
              <w10:wrap type="none"/>
            </v:shape>
            <v:shape style="position:absolute;left:6688;top:2624;width:1214;height:503" type="#_x0000_t202" filled="false" stroked="false">
              <v:textbox inset="0,0,0,0">
                <w:txbxContent>
                  <w:p>
                    <w:pPr>
                      <w:spacing w:line="229" w:lineRule="exact" w:before="0"/>
                      <w:ind w:left="0" w:right="0" w:firstLine="0"/>
                      <w:jc w:val="center"/>
                      <w:rPr>
                        <w:rFonts w:ascii="Calibri"/>
                        <w:b/>
                        <w:sz w:val="22"/>
                      </w:rPr>
                    </w:pPr>
                    <w:r>
                      <w:rPr>
                        <w:rFonts w:ascii="Calibri"/>
                        <w:b/>
                        <w:w w:val="105"/>
                        <w:sz w:val="22"/>
                      </w:rPr>
                      <w:t>Bienes de</w:t>
                    </w:r>
                    <w:r>
                      <w:rPr>
                        <w:rFonts w:ascii="Calibri"/>
                        <w:b/>
                        <w:spacing w:val="-33"/>
                        <w:w w:val="105"/>
                        <w:sz w:val="22"/>
                      </w:rPr>
                      <w:t> </w:t>
                    </w:r>
                    <w:r>
                      <w:rPr>
                        <w:rFonts w:ascii="Calibri"/>
                        <w:b/>
                        <w:w w:val="105"/>
                        <w:sz w:val="22"/>
                      </w:rPr>
                      <w:t>las</w:t>
                    </w:r>
                  </w:p>
                  <w:p>
                    <w:pPr>
                      <w:spacing w:line="266" w:lineRule="exact" w:before="7"/>
                      <w:ind w:left="0" w:right="1" w:firstLine="0"/>
                      <w:jc w:val="center"/>
                      <w:rPr>
                        <w:rFonts w:ascii="Calibri"/>
                        <w:b/>
                        <w:sz w:val="22"/>
                      </w:rPr>
                    </w:pPr>
                    <w:r>
                      <w:rPr>
                        <w:rFonts w:ascii="Calibri"/>
                        <w:b/>
                        <w:w w:val="105"/>
                        <w:sz w:val="22"/>
                      </w:rPr>
                      <w:t>Viviendas</w:t>
                    </w:r>
                  </w:p>
                </w:txbxContent>
              </v:textbox>
              <w10:wrap type="none"/>
            </v:shape>
            <v:shape style="position:absolute;left:8735;top:2624;width:1488;height:503" type="#_x0000_t202" filled="false" stroked="false">
              <v:textbox inset="0,0,0,0">
                <w:txbxContent>
                  <w:p>
                    <w:pPr>
                      <w:spacing w:line="229" w:lineRule="exact" w:before="0"/>
                      <w:ind w:left="0" w:right="0" w:firstLine="0"/>
                      <w:jc w:val="center"/>
                      <w:rPr>
                        <w:rFonts w:ascii="Calibri"/>
                        <w:b/>
                        <w:sz w:val="22"/>
                      </w:rPr>
                    </w:pPr>
                    <w:r>
                      <w:rPr>
                        <w:rFonts w:ascii="Calibri"/>
                        <w:b/>
                        <w:w w:val="105"/>
                        <w:sz w:val="22"/>
                      </w:rPr>
                      <w:t>Legalidad de</w:t>
                    </w:r>
                    <w:r>
                      <w:rPr>
                        <w:rFonts w:ascii="Calibri"/>
                        <w:b/>
                        <w:spacing w:val="-39"/>
                        <w:w w:val="105"/>
                        <w:sz w:val="22"/>
                      </w:rPr>
                      <w:t> </w:t>
                    </w:r>
                    <w:r>
                      <w:rPr>
                        <w:rFonts w:ascii="Calibri"/>
                        <w:b/>
                        <w:w w:val="105"/>
                        <w:sz w:val="22"/>
                      </w:rPr>
                      <w:t>las</w:t>
                    </w:r>
                  </w:p>
                  <w:p>
                    <w:pPr>
                      <w:spacing w:line="266" w:lineRule="exact" w:before="7"/>
                      <w:ind w:left="4" w:right="0" w:firstLine="0"/>
                      <w:jc w:val="center"/>
                      <w:rPr>
                        <w:rFonts w:ascii="Calibri"/>
                        <w:b/>
                        <w:sz w:val="22"/>
                      </w:rPr>
                    </w:pPr>
                    <w:r>
                      <w:rPr>
                        <w:rFonts w:ascii="Calibri"/>
                        <w:b/>
                        <w:w w:val="105"/>
                        <w:sz w:val="22"/>
                      </w:rPr>
                      <w:t>Viviendas</w:t>
                    </w:r>
                  </w:p>
                </w:txbxContent>
              </v:textbox>
              <w10:wrap type="none"/>
            </v:shape>
            <v:shape style="position:absolute;left:2191;top:3692;width:1516;height:2061" type="#_x0000_t202" filled="false" stroked="false">
              <v:textbox inset="0,0,0,0">
                <w:txbxContent>
                  <w:p>
                    <w:pPr>
                      <w:spacing w:line="229" w:lineRule="exact" w:before="0"/>
                      <w:ind w:left="0" w:right="0" w:firstLine="0"/>
                      <w:jc w:val="center"/>
                      <w:rPr>
                        <w:rFonts w:ascii="Calibri"/>
                        <w:sz w:val="22"/>
                      </w:rPr>
                    </w:pPr>
                    <w:r>
                      <w:rPr>
                        <w:rFonts w:ascii="Calibri"/>
                        <w:w w:val="105"/>
                        <w:sz w:val="22"/>
                      </w:rPr>
                      <w:t>Agua Potable</w:t>
                    </w:r>
                  </w:p>
                  <w:p>
                    <w:pPr>
                      <w:spacing w:line="240" w:lineRule="auto" w:before="11"/>
                      <w:rPr>
                        <w:sz w:val="30"/>
                      </w:rPr>
                    </w:pPr>
                  </w:p>
                  <w:p>
                    <w:pPr>
                      <w:spacing w:before="0"/>
                      <w:ind w:left="0" w:right="0" w:firstLine="0"/>
                      <w:jc w:val="center"/>
                      <w:rPr>
                        <w:rFonts w:ascii="Calibri" w:hAnsi="Calibri"/>
                        <w:sz w:val="22"/>
                      </w:rPr>
                    </w:pPr>
                    <w:r>
                      <w:rPr>
                        <w:rFonts w:ascii="Calibri" w:hAnsi="Calibri"/>
                        <w:sz w:val="22"/>
                      </w:rPr>
                      <w:t>Energía Eléctrica</w:t>
                    </w:r>
                  </w:p>
                  <w:p>
                    <w:pPr>
                      <w:spacing w:line="590" w:lineRule="atLeast" w:before="25"/>
                      <w:ind w:left="353" w:right="343" w:hanging="3"/>
                      <w:jc w:val="center"/>
                      <w:rPr>
                        <w:rFonts w:ascii="Calibri"/>
                        <w:sz w:val="22"/>
                      </w:rPr>
                    </w:pPr>
                    <w:r>
                      <w:rPr>
                        <w:rFonts w:ascii="Calibri"/>
                        <w:w w:val="105"/>
                        <w:sz w:val="22"/>
                      </w:rPr>
                      <w:t>Drenaje </w:t>
                    </w:r>
                    <w:r>
                      <w:rPr>
                        <w:rFonts w:ascii="Calibri"/>
                        <w:sz w:val="22"/>
                      </w:rPr>
                      <w:t>Sanitario</w:t>
                    </w:r>
                  </w:p>
                </w:txbxContent>
              </v:textbox>
              <w10:wrap type="none"/>
            </v:shape>
            <w10:wrap type="none"/>
          </v:group>
        </w:pict>
      </w:r>
      <w:r>
        <w:rPr>
          <w:sz w:val="20"/>
        </w:rPr>
        <w:t>Figura No. 4 Evaluación de la habitabilidad de las viviendas en la </w:t>
      </w:r>
      <w:r>
        <w:rPr>
          <w:sz w:val="16"/>
        </w:rPr>
        <w:t>ZMT</w:t>
      </w:r>
      <w:r>
        <w:rPr>
          <w:sz w:val="20"/>
        </w:rPr>
        <w:t>, 2000, por medio de sus dimensiones y variables.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0"/>
        </w:rPr>
      </w:pPr>
      <w:r>
        <w:rPr/>
        <w:pict>
          <v:shape style="position:absolute;margin-left:206.07048pt;margin-top:8.041968pt;width:102pt;height:100.2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80"/>
                    <w:gridCol w:w="1138"/>
                  </w:tblGrid>
                  <w:tr>
                    <w:trPr>
                      <w:trHeight w:val="357" w:hRule="exact"/>
                    </w:trPr>
                    <w:tc>
                      <w:tcPr>
                        <w:tcW w:w="880" w:type="dxa"/>
                        <w:tcBorders>
                          <w:bottom w:val="single" w:sz="6" w:space="0" w:color="000000"/>
                          <w:right w:val="single" w:sz="6" w:space="0" w:color="000000"/>
                        </w:tcBorders>
                      </w:tcPr>
                      <w:p>
                        <w:pPr/>
                      </w:p>
                    </w:tc>
                    <w:tc>
                      <w:tcPr>
                        <w:tcW w:w="1138"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tcBorders>
                      </w:tcPr>
                      <w:p>
                        <w:pPr>
                          <w:pStyle w:val="TableParagraph"/>
                          <w:spacing w:before="83"/>
                          <w:ind w:left="703" w:right="706"/>
                          <w:jc w:val="center"/>
                          <w:rPr>
                            <w:sz w:val="22"/>
                          </w:rPr>
                        </w:pPr>
                        <w:r>
                          <w:rPr>
                            <w:w w:val="105"/>
                            <w:sz w:val="22"/>
                          </w:rPr>
                          <w:t>Techo</w:t>
                        </w:r>
                      </w:p>
                    </w:tc>
                  </w:tr>
                  <w:tr>
                    <w:trPr>
                      <w:trHeight w:val="226" w:hRule="exact"/>
                    </w:trPr>
                    <w:tc>
                      <w:tcPr>
                        <w:tcW w:w="880" w:type="dxa"/>
                        <w:tcBorders>
                          <w:bottom w:val="single" w:sz="6" w:space="0" w:color="000000"/>
                          <w:right w:val="single" w:sz="6" w:space="0" w:color="000000"/>
                        </w:tcBorders>
                      </w:tcPr>
                      <w:p>
                        <w:pPr/>
                      </w:p>
                    </w:tc>
                    <w:tc>
                      <w:tcPr>
                        <w:tcW w:w="1138"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tcBorders>
                      </w:tcPr>
                      <w:p>
                        <w:pPr>
                          <w:pStyle w:val="TableParagraph"/>
                          <w:spacing w:before="83"/>
                          <w:ind w:left="639"/>
                          <w:rPr>
                            <w:sz w:val="22"/>
                          </w:rPr>
                        </w:pPr>
                        <w:r>
                          <w:rPr>
                            <w:w w:val="105"/>
                            <w:sz w:val="22"/>
                          </w:rPr>
                          <w:t>Paredes</w:t>
                        </w:r>
                      </w:p>
                    </w:tc>
                  </w:tr>
                  <w:tr>
                    <w:trPr>
                      <w:trHeight w:val="216" w:hRule="exact"/>
                    </w:trPr>
                    <w:tc>
                      <w:tcPr>
                        <w:tcW w:w="880" w:type="dxa"/>
                        <w:tcBorders>
                          <w:bottom w:val="single" w:sz="6" w:space="0" w:color="000000"/>
                          <w:right w:val="single" w:sz="6" w:space="0" w:color="000000"/>
                        </w:tcBorders>
                      </w:tcPr>
                      <w:p>
                        <w:pPr/>
                      </w:p>
                    </w:tc>
                    <w:tc>
                      <w:tcPr>
                        <w:tcW w:w="1138"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tcBorders>
                      </w:tcPr>
                      <w:p>
                        <w:pPr>
                          <w:pStyle w:val="TableParagraph"/>
                          <w:spacing w:before="84"/>
                          <w:ind w:left="521"/>
                          <w:rPr>
                            <w:sz w:val="22"/>
                          </w:rPr>
                        </w:pPr>
                        <w:r>
                          <w:rPr>
                            <w:w w:val="105"/>
                            <w:sz w:val="22"/>
                          </w:rPr>
                          <w:t>Piso Tierra</w:t>
                        </w:r>
                      </w:p>
                    </w:tc>
                  </w:tr>
                </w:tbl>
                <w:p>
                  <w:pPr>
                    <w:pStyle w:val="BodyText"/>
                  </w:pPr>
                </w:p>
              </w:txbxContent>
            </v:textbox>
            <w10:wrap type="topAndBottom"/>
          </v:shape>
        </w:pict>
      </w:r>
      <w:r>
        <w:rPr/>
        <w:pict>
          <v:shape style="position:absolute;margin-left:318.359741pt;margin-top:8.041976pt;width:102pt;height:251.2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41"/>
                    <w:gridCol w:w="1077"/>
                  </w:tblGrid>
                  <w:tr>
                    <w:trPr>
                      <w:trHeight w:val="357" w:hRule="exact"/>
                    </w:trPr>
                    <w:tc>
                      <w:tcPr>
                        <w:tcW w:w="941" w:type="dxa"/>
                        <w:tcBorders>
                          <w:bottom w:val="single" w:sz="6" w:space="0" w:color="000000"/>
                          <w:right w:val="single" w:sz="6" w:space="0" w:color="000000"/>
                        </w:tcBorders>
                      </w:tcPr>
                      <w:p>
                        <w:pPr/>
                      </w:p>
                    </w:tc>
                    <w:tc>
                      <w:tcPr>
                        <w:tcW w:w="1077"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right w:val="single" w:sz="6" w:space="0" w:color="000000"/>
                        </w:tcBorders>
                      </w:tcPr>
                      <w:p>
                        <w:pPr>
                          <w:pStyle w:val="TableParagraph"/>
                          <w:spacing w:before="83"/>
                          <w:ind w:left="577" w:right="645"/>
                          <w:jc w:val="center"/>
                          <w:rPr>
                            <w:sz w:val="22"/>
                          </w:rPr>
                        </w:pPr>
                        <w:r>
                          <w:rPr>
                            <w:w w:val="105"/>
                            <w:sz w:val="22"/>
                          </w:rPr>
                          <w:t>Radio</w:t>
                        </w:r>
                      </w:p>
                    </w:tc>
                  </w:tr>
                  <w:tr>
                    <w:trPr>
                      <w:trHeight w:val="226" w:hRule="exact"/>
                    </w:trPr>
                    <w:tc>
                      <w:tcPr>
                        <w:tcW w:w="941" w:type="dxa"/>
                        <w:tcBorders>
                          <w:bottom w:val="single" w:sz="6" w:space="0" w:color="000000"/>
                          <w:right w:val="single" w:sz="6" w:space="0" w:color="000000"/>
                        </w:tcBorders>
                      </w:tcPr>
                      <w:p>
                        <w:pPr/>
                      </w:p>
                    </w:tc>
                    <w:tc>
                      <w:tcPr>
                        <w:tcW w:w="1077"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right w:val="single" w:sz="6" w:space="0" w:color="000000"/>
                        </w:tcBorders>
                      </w:tcPr>
                      <w:p>
                        <w:pPr>
                          <w:pStyle w:val="TableParagraph"/>
                          <w:spacing w:before="83"/>
                          <w:ind w:left="558"/>
                          <w:rPr>
                            <w:sz w:val="22"/>
                          </w:rPr>
                        </w:pPr>
                        <w:r>
                          <w:rPr>
                            <w:w w:val="105"/>
                            <w:sz w:val="22"/>
                          </w:rPr>
                          <w:t>Televisor</w:t>
                        </w:r>
                      </w:p>
                    </w:tc>
                  </w:tr>
                  <w:tr>
                    <w:trPr>
                      <w:trHeight w:val="216" w:hRule="exact"/>
                    </w:trPr>
                    <w:tc>
                      <w:tcPr>
                        <w:tcW w:w="941" w:type="dxa"/>
                        <w:tcBorders>
                          <w:bottom w:val="single" w:sz="6" w:space="0" w:color="000000"/>
                          <w:right w:val="single" w:sz="6" w:space="0" w:color="000000"/>
                        </w:tcBorders>
                      </w:tcPr>
                      <w:p>
                        <w:pPr/>
                      </w:p>
                    </w:tc>
                    <w:tc>
                      <w:tcPr>
                        <w:tcW w:w="1077"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right w:val="single" w:sz="6" w:space="0" w:color="000000"/>
                        </w:tcBorders>
                      </w:tcPr>
                      <w:p>
                        <w:pPr>
                          <w:pStyle w:val="TableParagraph"/>
                          <w:spacing w:before="84"/>
                          <w:ind w:left="313"/>
                          <w:rPr>
                            <w:sz w:val="22"/>
                          </w:rPr>
                        </w:pPr>
                        <w:r>
                          <w:rPr>
                            <w:w w:val="105"/>
                            <w:sz w:val="22"/>
                          </w:rPr>
                          <w:t>Videocasetera</w:t>
                        </w:r>
                      </w:p>
                    </w:tc>
                  </w:tr>
                  <w:tr>
                    <w:trPr>
                      <w:trHeight w:val="191" w:hRule="exact"/>
                    </w:trPr>
                    <w:tc>
                      <w:tcPr>
                        <w:tcW w:w="941" w:type="dxa"/>
                        <w:tcBorders>
                          <w:bottom w:val="single" w:sz="6" w:space="0" w:color="000000"/>
                          <w:right w:val="single" w:sz="6" w:space="0" w:color="000000"/>
                        </w:tcBorders>
                      </w:tcPr>
                      <w:p>
                        <w:pPr/>
                      </w:p>
                    </w:tc>
                    <w:tc>
                      <w:tcPr>
                        <w:tcW w:w="1077"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left w:val="single" w:sz="6" w:space="0" w:color="000000"/>
                        </w:tcBorders>
                      </w:tcPr>
                      <w:p>
                        <w:pPr>
                          <w:pStyle w:val="TableParagraph"/>
                          <w:spacing w:before="87"/>
                          <w:ind w:left="442"/>
                          <w:rPr>
                            <w:sz w:val="22"/>
                          </w:rPr>
                        </w:pPr>
                        <w:r>
                          <w:rPr>
                            <w:w w:val="105"/>
                            <w:sz w:val="22"/>
                          </w:rPr>
                          <w:t>Refrigerador</w:t>
                        </w:r>
                      </w:p>
                    </w:tc>
                  </w:tr>
                  <w:tr>
                    <w:trPr>
                      <w:trHeight w:val="226" w:hRule="exact"/>
                    </w:trPr>
                    <w:tc>
                      <w:tcPr>
                        <w:tcW w:w="941" w:type="dxa"/>
                        <w:tcBorders>
                          <w:bottom w:val="single" w:sz="6" w:space="0" w:color="000000"/>
                          <w:right w:val="single" w:sz="6" w:space="0" w:color="000000"/>
                        </w:tcBorders>
                      </w:tcPr>
                      <w:p>
                        <w:pPr/>
                      </w:p>
                    </w:tc>
                    <w:tc>
                      <w:tcPr>
                        <w:tcW w:w="1077"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left w:val="single" w:sz="6" w:space="0" w:color="000000"/>
                        </w:tcBorders>
                      </w:tcPr>
                      <w:p>
                        <w:pPr>
                          <w:pStyle w:val="TableParagraph"/>
                          <w:spacing w:before="86"/>
                          <w:ind w:left="605"/>
                          <w:rPr>
                            <w:sz w:val="22"/>
                          </w:rPr>
                        </w:pPr>
                        <w:r>
                          <w:rPr>
                            <w:w w:val="105"/>
                            <w:sz w:val="22"/>
                          </w:rPr>
                          <w:t>Lavadora</w:t>
                        </w:r>
                      </w:p>
                    </w:tc>
                  </w:tr>
                  <w:tr>
                    <w:trPr>
                      <w:trHeight w:val="227" w:hRule="exact"/>
                    </w:trPr>
                    <w:tc>
                      <w:tcPr>
                        <w:tcW w:w="941" w:type="dxa"/>
                        <w:tcBorders>
                          <w:bottom w:val="single" w:sz="6" w:space="0" w:color="000000"/>
                          <w:right w:val="single" w:sz="6" w:space="0" w:color="000000"/>
                        </w:tcBorders>
                      </w:tcPr>
                      <w:p>
                        <w:pPr/>
                      </w:p>
                    </w:tc>
                    <w:tc>
                      <w:tcPr>
                        <w:tcW w:w="1077"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left w:val="single" w:sz="6" w:space="0" w:color="000000"/>
                        </w:tcBorders>
                      </w:tcPr>
                      <w:p>
                        <w:pPr>
                          <w:pStyle w:val="TableParagraph"/>
                          <w:spacing w:before="85"/>
                          <w:ind w:left="614"/>
                          <w:rPr>
                            <w:sz w:val="22"/>
                          </w:rPr>
                        </w:pPr>
                        <w:r>
                          <w:rPr>
                            <w:w w:val="105"/>
                            <w:sz w:val="22"/>
                          </w:rPr>
                          <w:t>Teléfono</w:t>
                        </w:r>
                      </w:p>
                    </w:tc>
                  </w:tr>
                  <w:tr>
                    <w:trPr>
                      <w:trHeight w:val="191" w:hRule="exact"/>
                    </w:trPr>
                    <w:tc>
                      <w:tcPr>
                        <w:tcW w:w="941" w:type="dxa"/>
                        <w:tcBorders>
                          <w:bottom w:val="single" w:sz="6" w:space="0" w:color="000000"/>
                          <w:right w:val="single" w:sz="6" w:space="0" w:color="000000"/>
                        </w:tcBorders>
                      </w:tcPr>
                      <w:p>
                        <w:pPr/>
                      </w:p>
                    </w:tc>
                    <w:tc>
                      <w:tcPr>
                        <w:tcW w:w="1077"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left w:val="single" w:sz="6" w:space="0" w:color="000000"/>
                        </w:tcBorders>
                      </w:tcPr>
                      <w:p>
                        <w:pPr>
                          <w:pStyle w:val="TableParagraph"/>
                          <w:spacing w:before="83"/>
                          <w:ind w:left="669" w:right="635"/>
                          <w:jc w:val="center"/>
                          <w:rPr>
                            <w:sz w:val="22"/>
                          </w:rPr>
                        </w:pPr>
                        <w:r>
                          <w:rPr>
                            <w:w w:val="105"/>
                            <w:sz w:val="22"/>
                          </w:rPr>
                          <w:t>Boiler</w:t>
                        </w:r>
                      </w:p>
                    </w:tc>
                  </w:tr>
                  <w:tr>
                    <w:trPr>
                      <w:trHeight w:val="191" w:hRule="exact"/>
                    </w:trPr>
                    <w:tc>
                      <w:tcPr>
                        <w:tcW w:w="941" w:type="dxa"/>
                        <w:tcBorders>
                          <w:bottom w:val="single" w:sz="6" w:space="0" w:color="000000"/>
                          <w:right w:val="single" w:sz="6" w:space="0" w:color="000000"/>
                        </w:tcBorders>
                      </w:tcPr>
                      <w:p>
                        <w:pPr/>
                      </w:p>
                    </w:tc>
                    <w:tc>
                      <w:tcPr>
                        <w:tcW w:w="1077"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left w:val="single" w:sz="6" w:space="0" w:color="000000"/>
                        </w:tcBorders>
                      </w:tcPr>
                      <w:p>
                        <w:pPr>
                          <w:pStyle w:val="TableParagraph"/>
                          <w:spacing w:before="86"/>
                          <w:ind w:left="546"/>
                          <w:rPr>
                            <w:sz w:val="22"/>
                          </w:rPr>
                        </w:pPr>
                        <w:r>
                          <w:rPr>
                            <w:w w:val="105"/>
                            <w:sz w:val="22"/>
                          </w:rPr>
                          <w:t>Automóvil</w:t>
                        </w:r>
                      </w:p>
                    </w:tc>
                  </w:tr>
                </w:tbl>
                <w:p>
                  <w:pPr>
                    <w:pStyle w:val="BodyText"/>
                  </w:pPr>
                </w:p>
              </w:txbxContent>
            </v:textbox>
            <w10:wrap type="topAndBottom"/>
          </v:shape>
        </w:pict>
      </w:r>
      <w:r>
        <w:rPr/>
        <w:pict>
          <v:shape style="position:absolute;margin-left:425.697113pt;margin-top:8.041983pt;width:102pt;height:129.7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20"/>
                    <w:gridCol w:w="1099"/>
                  </w:tblGrid>
                  <w:tr>
                    <w:trPr>
                      <w:trHeight w:val="357" w:hRule="exact"/>
                    </w:trPr>
                    <w:tc>
                      <w:tcPr>
                        <w:tcW w:w="920" w:type="dxa"/>
                        <w:tcBorders>
                          <w:bottom w:val="single" w:sz="6" w:space="0" w:color="000000"/>
                          <w:right w:val="single" w:sz="6" w:space="0" w:color="000000"/>
                        </w:tcBorders>
                      </w:tcPr>
                      <w:p>
                        <w:pPr/>
                      </w:p>
                    </w:tc>
                    <w:tc>
                      <w:tcPr>
                        <w:tcW w:w="1099"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tcBorders>
                      </w:tcPr>
                      <w:p>
                        <w:pPr>
                          <w:pStyle w:val="TableParagraph"/>
                          <w:spacing w:before="83"/>
                          <w:ind w:left="476"/>
                          <w:rPr>
                            <w:sz w:val="22"/>
                          </w:rPr>
                        </w:pPr>
                        <w:r>
                          <w:rPr>
                            <w:w w:val="105"/>
                            <w:sz w:val="22"/>
                          </w:rPr>
                          <w:t>Viv. Propias</w:t>
                        </w:r>
                      </w:p>
                    </w:tc>
                  </w:tr>
                  <w:tr>
                    <w:trPr>
                      <w:trHeight w:val="226" w:hRule="exact"/>
                    </w:trPr>
                    <w:tc>
                      <w:tcPr>
                        <w:tcW w:w="920" w:type="dxa"/>
                        <w:tcBorders>
                          <w:bottom w:val="single" w:sz="6" w:space="0" w:color="000000"/>
                          <w:right w:val="single" w:sz="6" w:space="0" w:color="000000"/>
                        </w:tcBorders>
                      </w:tcPr>
                      <w:p>
                        <w:pPr/>
                      </w:p>
                    </w:tc>
                    <w:tc>
                      <w:tcPr>
                        <w:tcW w:w="1099"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tcBorders>
                      </w:tcPr>
                      <w:p>
                        <w:pPr>
                          <w:pStyle w:val="TableParagraph"/>
                          <w:spacing w:before="83"/>
                          <w:ind w:left="390"/>
                          <w:rPr>
                            <w:sz w:val="22"/>
                          </w:rPr>
                        </w:pPr>
                        <w:r>
                          <w:rPr>
                            <w:w w:val="105"/>
                            <w:sz w:val="22"/>
                          </w:rPr>
                          <w:t>Viv. Rentadas</w:t>
                        </w:r>
                      </w:p>
                    </w:tc>
                  </w:tr>
                  <w:tr>
                    <w:trPr>
                      <w:trHeight w:val="216" w:hRule="exact"/>
                    </w:trPr>
                    <w:tc>
                      <w:tcPr>
                        <w:tcW w:w="920" w:type="dxa"/>
                        <w:tcBorders>
                          <w:bottom w:val="single" w:sz="6" w:space="0" w:color="000000"/>
                          <w:right w:val="single" w:sz="6" w:space="0" w:color="000000"/>
                        </w:tcBorders>
                      </w:tcPr>
                      <w:p>
                        <w:pPr/>
                      </w:p>
                    </w:tc>
                    <w:tc>
                      <w:tcPr>
                        <w:tcW w:w="1099"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tcBorders>
                      </w:tcPr>
                      <w:p>
                        <w:pPr>
                          <w:pStyle w:val="TableParagraph"/>
                          <w:spacing w:before="84"/>
                          <w:ind w:left="435"/>
                          <w:rPr>
                            <w:sz w:val="22"/>
                          </w:rPr>
                        </w:pPr>
                        <w:r>
                          <w:rPr>
                            <w:w w:val="105"/>
                            <w:sz w:val="22"/>
                          </w:rPr>
                          <w:t>Viv. 1 cuarto</w:t>
                        </w:r>
                      </w:p>
                    </w:tc>
                  </w:tr>
                  <w:tr>
                    <w:trPr>
                      <w:trHeight w:val="191" w:hRule="exact"/>
                    </w:trPr>
                    <w:tc>
                      <w:tcPr>
                        <w:tcW w:w="920" w:type="dxa"/>
                        <w:tcBorders>
                          <w:bottom w:val="single" w:sz="6" w:space="0" w:color="000000"/>
                          <w:right w:val="single" w:sz="6" w:space="0" w:color="000000"/>
                        </w:tcBorders>
                      </w:tcPr>
                      <w:p>
                        <w:pPr/>
                      </w:p>
                    </w:tc>
                    <w:tc>
                      <w:tcPr>
                        <w:tcW w:w="1099"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tcBorders>
                      </w:tcPr>
                      <w:p>
                        <w:pPr>
                          <w:pStyle w:val="TableParagraph"/>
                          <w:spacing w:before="87"/>
                          <w:ind w:left="390"/>
                          <w:rPr>
                            <w:sz w:val="22"/>
                          </w:rPr>
                        </w:pPr>
                        <w:r>
                          <w:rPr>
                            <w:w w:val="105"/>
                            <w:sz w:val="22"/>
                          </w:rPr>
                          <w:t>Viv. 2 cuartos</w:t>
                        </w:r>
                      </w:p>
                    </w:tc>
                  </w:tr>
                </w:tbl>
                <w:p>
                  <w:pPr>
                    <w:pStyle w:val="BodyText"/>
                  </w:pPr>
                </w:p>
              </w:txbxContent>
            </v:textbox>
            <w10:wrap type="topAndBottom"/>
          </v:shape>
        </w:pict>
      </w:r>
    </w:p>
    <w:p>
      <w:pPr>
        <w:pStyle w:val="BodyText"/>
        <w:rPr>
          <w:sz w:val="20"/>
        </w:rPr>
      </w:pPr>
    </w:p>
    <w:p>
      <w:pPr>
        <w:pStyle w:val="BodyText"/>
        <w:spacing w:before="11"/>
        <w:rPr>
          <w:sz w:val="19"/>
        </w:rPr>
      </w:pPr>
    </w:p>
    <w:p>
      <w:pPr>
        <w:spacing w:before="0"/>
        <w:ind w:left="102" w:right="0" w:firstLine="9"/>
        <w:jc w:val="both"/>
        <w:rPr>
          <w:sz w:val="20"/>
        </w:rPr>
      </w:pPr>
      <w:r>
        <w:rPr>
          <w:sz w:val="20"/>
        </w:rPr>
        <w:t>Fuente: Elaboración propia con base en los datos del Censo de Población y Vivienda INEGI, 2000.</w:t>
      </w:r>
    </w:p>
    <w:p>
      <w:pPr>
        <w:pStyle w:val="BodyText"/>
        <w:rPr>
          <w:sz w:val="20"/>
        </w:rPr>
      </w:pPr>
    </w:p>
    <w:p>
      <w:pPr>
        <w:pStyle w:val="BodyText"/>
        <w:rPr>
          <w:sz w:val="16"/>
        </w:rPr>
      </w:pPr>
    </w:p>
    <w:p>
      <w:pPr>
        <w:pStyle w:val="BodyText"/>
        <w:spacing w:line="360" w:lineRule="auto"/>
        <w:ind w:left="102" w:right="122"/>
        <w:jc w:val="both"/>
      </w:pPr>
      <w:r>
        <w:rPr/>
        <w:t>Al realizar la evaluación de la habitabilidad de las viviendas en las localidades de los municipios que integran la zona metropolitana en el año 2000, se evaluaron 527 localidades de quince municipios por medio de 19 variables censales, de las cuales se integraron en 5 rangos los cuales se denominan alta, buena, media, baja y muy baja</w:t>
      </w:r>
      <w:r>
        <w:rPr>
          <w:spacing w:val="-11"/>
        </w:rPr>
        <w:t> </w:t>
      </w:r>
      <w:r>
        <w:rPr/>
        <w:t>habitabilidad.</w:t>
      </w:r>
    </w:p>
    <w:p>
      <w:pPr>
        <w:pStyle w:val="BodyText"/>
      </w:pPr>
    </w:p>
    <w:p>
      <w:pPr>
        <w:pStyle w:val="BodyText"/>
        <w:spacing w:line="360" w:lineRule="auto" w:before="142"/>
        <w:ind w:left="102" w:right="123"/>
        <w:jc w:val="both"/>
      </w:pPr>
      <w:r>
        <w:rPr/>
        <w:t>En el rango de alta habitabilidad de las viviendas se encontraron 133 localidades, es decir, son las localidades que cuentan con la mayoría de las variables evaluadas,  los  municipios  Toluca  y  Lerma  fueron  los  que  registraron    mayor</w:t>
      </w:r>
    </w:p>
    <w:p>
      <w:pPr>
        <w:spacing w:after="0" w:line="360" w:lineRule="auto"/>
        <w:jc w:val="both"/>
        <w:sectPr>
          <w:pgSz w:w="12240" w:h="15840"/>
          <w:pgMar w:header="0" w:footer="1003" w:top="1360" w:bottom="1200" w:left="1600" w:right="1580"/>
        </w:sectPr>
      </w:pPr>
    </w:p>
    <w:p>
      <w:pPr>
        <w:pStyle w:val="BodyText"/>
        <w:spacing w:line="360" w:lineRule="auto" w:before="54"/>
        <w:ind w:left="102" w:right="120"/>
        <w:jc w:val="both"/>
      </w:pPr>
      <w:r>
        <w:rPr/>
        <w:t>número de localidades 29 con estas características, Ocoyoacac con 18 localidades, Calimaya con 14, Metepec con 10, Zinacantepec con 9, Almoloya de Juárez y Otzolotepec con 5 localidades, Temoaya y Xonacatlán con 3 localidades, Mexicaltzingo, Rayón y San Antonio la Isla con 2 localidades, Chapultepec y San Mateo Atenco con 1 localidad con alta habitabilidad.</w:t>
      </w:r>
    </w:p>
    <w:p>
      <w:pPr>
        <w:pStyle w:val="BodyText"/>
      </w:pPr>
    </w:p>
    <w:p>
      <w:pPr>
        <w:pStyle w:val="BodyText"/>
        <w:spacing w:line="360" w:lineRule="auto" w:before="142"/>
        <w:ind w:left="102" w:right="118"/>
        <w:jc w:val="both"/>
      </w:pPr>
      <w:r>
        <w:rPr/>
        <w:t>Con buena habitabilidad de las viviendas se registraron el mayor número de localidades evaluadas con 168, son las que cuentan con más de la mitad de las variables evaluadas, Toluca fue el que conto 31 localidades en este rango, seguido del municipio de Lerma con 25, Almoloya de Juárez con 22, Otzolotepec 20, Temoaya 19, Zinacantepec con 17, Xonacatlán con 11, Ocoyoacac 8, Metepec 4, San Mateo Atenco y Chapultepec con 3, Calimaya y Mexicaltzingo con 2, Rayón 1 localidad, mientras en municipio de San Antonio la Isla no contó con ninguna localidad en este rango de buena</w:t>
      </w:r>
      <w:r>
        <w:rPr>
          <w:spacing w:val="-16"/>
        </w:rPr>
        <w:t> </w:t>
      </w:r>
      <w:r>
        <w:rPr/>
        <w:t>habitabilidad.</w:t>
      </w:r>
    </w:p>
    <w:p>
      <w:pPr>
        <w:pStyle w:val="BodyText"/>
      </w:pPr>
    </w:p>
    <w:p>
      <w:pPr>
        <w:pStyle w:val="BodyText"/>
        <w:spacing w:line="360" w:lineRule="auto" w:before="142"/>
        <w:ind w:left="102" w:right="114"/>
        <w:jc w:val="both"/>
      </w:pPr>
      <w:r>
        <w:rPr/>
        <w:t>Localidades que sus viviendas cuentan con la mitad de las variables evaluadas es decir entre 9 y 10 variables, se encontraron 139 localidades, Almoloya de Juárez registro 34, Toluca 31, Temoaya 29, Zinacantepec 15, Xonacatlán 9, Lerma 8, Otzolotepec 6, Ocoyoacac 2, Calimaya, Chapultepec, Mexicaltzingo, Rayón y San Antonio la Isla con 1 localidad con media habitabilidad, los municipios de Metepec y San Mateo Atenco no registraron localidades con media habitabilidad (ver  cuadro no.</w:t>
      </w:r>
      <w:r>
        <w:rPr>
          <w:spacing w:val="-5"/>
        </w:rPr>
        <w:t> </w:t>
      </w:r>
      <w:r>
        <w:rPr/>
        <w:t>17).</w:t>
      </w:r>
    </w:p>
    <w:p>
      <w:pPr>
        <w:spacing w:after="0" w:line="360" w:lineRule="auto"/>
        <w:jc w:val="both"/>
        <w:sectPr>
          <w:pgSz w:w="12240" w:h="15840"/>
          <w:pgMar w:header="0" w:footer="1003" w:top="1360" w:bottom="1200" w:left="1600" w:right="1580"/>
        </w:sectPr>
      </w:pPr>
    </w:p>
    <w:p>
      <w:pPr>
        <w:spacing w:before="53" w:after="3"/>
        <w:ind w:left="196" w:right="216" w:firstLine="0"/>
        <w:jc w:val="center"/>
        <w:rPr>
          <w:sz w:val="20"/>
        </w:rPr>
      </w:pPr>
      <w:r>
        <w:rPr>
          <w:sz w:val="20"/>
        </w:rPr>
        <w:t>Cuadro No.17 Niveles de habitabilidad a nivel localidad en la </w:t>
      </w:r>
      <w:r>
        <w:rPr>
          <w:sz w:val="16"/>
        </w:rPr>
        <w:t>ZMT</w:t>
      </w:r>
      <w:r>
        <w:rPr>
          <w:sz w:val="20"/>
        </w:rPr>
        <w:t>, 2000.</w:t>
      </w:r>
    </w:p>
    <w:tbl>
      <w:tblPr>
        <w:tblW w:w="0" w:type="auto"/>
        <w:jc w:val="left"/>
        <w:tblInd w:w="471"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1794"/>
        <w:gridCol w:w="1262"/>
        <w:gridCol w:w="1262"/>
        <w:gridCol w:w="1262"/>
        <w:gridCol w:w="1262"/>
        <w:gridCol w:w="1256"/>
      </w:tblGrid>
      <w:tr>
        <w:trPr>
          <w:trHeight w:val="326" w:hRule="exact"/>
        </w:trPr>
        <w:tc>
          <w:tcPr>
            <w:tcW w:w="1794" w:type="dxa"/>
            <w:tcBorders>
              <w:bottom w:val="single" w:sz="15" w:space="0" w:color="000000"/>
              <w:right w:val="single" w:sz="8" w:space="0" w:color="000000"/>
            </w:tcBorders>
            <w:shd w:val="clear" w:color="auto" w:fill="FFC000"/>
          </w:tcPr>
          <w:p>
            <w:pPr>
              <w:pStyle w:val="TableParagraph"/>
              <w:spacing w:line="255" w:lineRule="exact"/>
              <w:ind w:left="19"/>
              <w:rPr>
                <w:rFonts w:ascii="Trebuchet MS"/>
                <w:b/>
                <w:sz w:val="22"/>
              </w:rPr>
            </w:pPr>
            <w:r>
              <w:rPr>
                <w:rFonts w:ascii="Trebuchet MS"/>
                <w:b/>
                <w:w w:val="95"/>
                <w:sz w:val="22"/>
              </w:rPr>
              <w:t>Municipio</w:t>
            </w:r>
          </w:p>
        </w:tc>
        <w:tc>
          <w:tcPr>
            <w:tcW w:w="1262" w:type="dxa"/>
            <w:tcBorders>
              <w:left w:val="single" w:sz="8" w:space="0" w:color="000000"/>
              <w:bottom w:val="single" w:sz="15" w:space="0" w:color="000000"/>
              <w:right w:val="single" w:sz="8" w:space="0" w:color="000000"/>
            </w:tcBorders>
            <w:shd w:val="clear" w:color="auto" w:fill="FFC000"/>
          </w:tcPr>
          <w:p>
            <w:pPr>
              <w:pStyle w:val="TableParagraph"/>
              <w:spacing w:line="255" w:lineRule="exact"/>
              <w:ind w:right="33"/>
              <w:jc w:val="right"/>
              <w:rPr>
                <w:rFonts w:ascii="Trebuchet MS"/>
                <w:b/>
                <w:sz w:val="22"/>
              </w:rPr>
            </w:pPr>
            <w:r>
              <w:rPr>
                <w:rFonts w:ascii="Trebuchet MS"/>
                <w:b/>
                <w:w w:val="80"/>
                <w:sz w:val="22"/>
              </w:rPr>
              <w:t>Alta</w:t>
            </w:r>
          </w:p>
        </w:tc>
        <w:tc>
          <w:tcPr>
            <w:tcW w:w="1262" w:type="dxa"/>
            <w:tcBorders>
              <w:left w:val="single" w:sz="8" w:space="0" w:color="000000"/>
              <w:bottom w:val="single" w:sz="15" w:space="0" w:color="000000"/>
              <w:right w:val="single" w:sz="8" w:space="0" w:color="000000"/>
            </w:tcBorders>
            <w:shd w:val="clear" w:color="auto" w:fill="FFC000"/>
          </w:tcPr>
          <w:p>
            <w:pPr>
              <w:pStyle w:val="TableParagraph"/>
              <w:spacing w:line="255" w:lineRule="exact"/>
              <w:ind w:right="34"/>
              <w:jc w:val="right"/>
              <w:rPr>
                <w:rFonts w:ascii="Trebuchet MS"/>
                <w:b/>
                <w:sz w:val="22"/>
              </w:rPr>
            </w:pPr>
            <w:r>
              <w:rPr>
                <w:rFonts w:ascii="Trebuchet MS"/>
                <w:b/>
                <w:w w:val="85"/>
                <w:sz w:val="22"/>
              </w:rPr>
              <w:t>Buena</w:t>
            </w:r>
          </w:p>
        </w:tc>
        <w:tc>
          <w:tcPr>
            <w:tcW w:w="1262" w:type="dxa"/>
            <w:tcBorders>
              <w:left w:val="single" w:sz="8" w:space="0" w:color="000000"/>
              <w:bottom w:val="single" w:sz="15" w:space="0" w:color="000000"/>
              <w:right w:val="single" w:sz="8" w:space="0" w:color="000000"/>
            </w:tcBorders>
            <w:shd w:val="clear" w:color="auto" w:fill="FFC000"/>
          </w:tcPr>
          <w:p>
            <w:pPr>
              <w:pStyle w:val="TableParagraph"/>
              <w:spacing w:line="255" w:lineRule="exact"/>
              <w:ind w:right="32"/>
              <w:jc w:val="right"/>
              <w:rPr>
                <w:rFonts w:ascii="Trebuchet MS"/>
                <w:b/>
                <w:sz w:val="22"/>
              </w:rPr>
            </w:pPr>
            <w:r>
              <w:rPr>
                <w:rFonts w:ascii="Trebuchet MS"/>
                <w:b/>
                <w:w w:val="85"/>
                <w:sz w:val="22"/>
              </w:rPr>
              <w:t>Media</w:t>
            </w:r>
          </w:p>
        </w:tc>
        <w:tc>
          <w:tcPr>
            <w:tcW w:w="1262" w:type="dxa"/>
            <w:tcBorders>
              <w:left w:val="single" w:sz="8" w:space="0" w:color="000000"/>
              <w:bottom w:val="single" w:sz="15" w:space="0" w:color="000000"/>
              <w:right w:val="single" w:sz="8" w:space="0" w:color="000000"/>
            </w:tcBorders>
            <w:shd w:val="clear" w:color="auto" w:fill="FFC000"/>
          </w:tcPr>
          <w:p>
            <w:pPr>
              <w:pStyle w:val="TableParagraph"/>
              <w:spacing w:line="255" w:lineRule="exact"/>
              <w:ind w:right="31"/>
              <w:jc w:val="right"/>
              <w:rPr>
                <w:rFonts w:ascii="Trebuchet MS"/>
                <w:b/>
                <w:sz w:val="22"/>
              </w:rPr>
            </w:pPr>
            <w:r>
              <w:rPr>
                <w:rFonts w:ascii="Trebuchet MS"/>
                <w:b/>
                <w:w w:val="85"/>
                <w:sz w:val="22"/>
              </w:rPr>
              <w:t>Baja</w:t>
            </w:r>
          </w:p>
        </w:tc>
        <w:tc>
          <w:tcPr>
            <w:tcW w:w="1256" w:type="dxa"/>
            <w:tcBorders>
              <w:left w:val="single" w:sz="8" w:space="0" w:color="000000"/>
              <w:bottom w:val="single" w:sz="15" w:space="0" w:color="000000"/>
            </w:tcBorders>
            <w:shd w:val="clear" w:color="auto" w:fill="FFC000"/>
          </w:tcPr>
          <w:p>
            <w:pPr>
              <w:pStyle w:val="TableParagraph"/>
              <w:spacing w:line="255" w:lineRule="exact"/>
              <w:ind w:right="27"/>
              <w:jc w:val="right"/>
              <w:rPr>
                <w:rFonts w:ascii="Trebuchet MS"/>
                <w:b/>
                <w:sz w:val="22"/>
              </w:rPr>
            </w:pPr>
            <w:r>
              <w:rPr>
                <w:rFonts w:ascii="Trebuchet MS"/>
                <w:b/>
                <w:w w:val="90"/>
                <w:sz w:val="22"/>
              </w:rPr>
              <w:t>Muy Baja</w:t>
            </w:r>
          </w:p>
        </w:tc>
      </w:tr>
      <w:tr>
        <w:trPr>
          <w:trHeight w:val="317" w:hRule="exact"/>
        </w:trPr>
        <w:tc>
          <w:tcPr>
            <w:tcW w:w="1794" w:type="dxa"/>
            <w:tcBorders>
              <w:top w:val="single" w:sz="15" w:space="0" w:color="000000"/>
              <w:bottom w:val="single" w:sz="8" w:space="0" w:color="000000"/>
              <w:right w:val="single" w:sz="8" w:space="0" w:color="000000"/>
            </w:tcBorders>
          </w:tcPr>
          <w:p>
            <w:pPr>
              <w:pStyle w:val="TableParagraph"/>
              <w:spacing w:before="4"/>
              <w:ind w:left="19"/>
              <w:rPr>
                <w:rFonts w:ascii="Arial" w:hAnsi="Arial"/>
                <w:sz w:val="22"/>
              </w:rPr>
            </w:pPr>
            <w:r>
              <w:rPr>
                <w:rFonts w:ascii="Arial" w:hAnsi="Arial"/>
                <w:w w:val="85"/>
                <w:sz w:val="22"/>
              </w:rPr>
              <w:t>Almoloya de Juárez</w:t>
            </w:r>
          </w:p>
        </w:tc>
        <w:tc>
          <w:tcPr>
            <w:tcW w:w="1262" w:type="dxa"/>
            <w:vMerge w:val="restart"/>
            <w:tcBorders>
              <w:top w:val="single" w:sz="15" w:space="0" w:color="000000"/>
              <w:left w:val="single" w:sz="8" w:space="0" w:color="000000"/>
              <w:right w:val="single" w:sz="8" w:space="0" w:color="000000"/>
            </w:tcBorders>
          </w:tcPr>
          <w:p>
            <w:pPr>
              <w:pStyle w:val="TableParagraph"/>
              <w:spacing w:before="1"/>
              <w:ind w:right="25"/>
              <w:jc w:val="right"/>
              <w:rPr>
                <w:sz w:val="22"/>
              </w:rPr>
            </w:pPr>
            <w:r>
              <w:rPr>
                <w:w w:val="100"/>
                <w:sz w:val="22"/>
              </w:rPr>
              <w:t>5</w:t>
            </w:r>
          </w:p>
          <w:p>
            <w:pPr>
              <w:pStyle w:val="TableParagraph"/>
              <w:spacing w:before="48"/>
              <w:ind w:right="26"/>
              <w:jc w:val="right"/>
              <w:rPr>
                <w:sz w:val="22"/>
              </w:rPr>
            </w:pPr>
            <w:r>
              <w:rPr>
                <w:sz w:val="22"/>
              </w:rPr>
              <w:t>14</w:t>
            </w:r>
          </w:p>
          <w:p>
            <w:pPr>
              <w:pStyle w:val="TableParagraph"/>
              <w:spacing w:before="48"/>
              <w:ind w:right="25"/>
              <w:jc w:val="right"/>
              <w:rPr>
                <w:sz w:val="22"/>
              </w:rPr>
            </w:pPr>
            <w:r>
              <w:rPr>
                <w:w w:val="100"/>
                <w:sz w:val="22"/>
              </w:rPr>
              <w:t>1</w:t>
            </w:r>
          </w:p>
          <w:p>
            <w:pPr>
              <w:pStyle w:val="TableParagraph"/>
              <w:spacing w:before="48"/>
              <w:ind w:right="26"/>
              <w:jc w:val="right"/>
              <w:rPr>
                <w:sz w:val="22"/>
              </w:rPr>
            </w:pPr>
            <w:r>
              <w:rPr>
                <w:sz w:val="22"/>
              </w:rPr>
              <w:t>29</w:t>
            </w:r>
          </w:p>
          <w:p>
            <w:pPr>
              <w:pStyle w:val="TableParagraph"/>
              <w:spacing w:before="48"/>
              <w:ind w:right="26"/>
              <w:jc w:val="right"/>
              <w:rPr>
                <w:sz w:val="22"/>
              </w:rPr>
            </w:pPr>
            <w:r>
              <w:rPr>
                <w:sz w:val="22"/>
              </w:rPr>
              <w:t>10</w:t>
            </w:r>
          </w:p>
          <w:p>
            <w:pPr>
              <w:pStyle w:val="TableParagraph"/>
              <w:spacing w:before="48"/>
              <w:ind w:right="25"/>
              <w:jc w:val="right"/>
              <w:rPr>
                <w:sz w:val="22"/>
              </w:rPr>
            </w:pPr>
            <w:r>
              <w:rPr>
                <w:w w:val="100"/>
                <w:sz w:val="22"/>
              </w:rPr>
              <w:t>2</w:t>
            </w:r>
          </w:p>
          <w:p>
            <w:pPr>
              <w:pStyle w:val="TableParagraph"/>
              <w:spacing w:before="48"/>
              <w:ind w:right="26"/>
              <w:jc w:val="right"/>
              <w:rPr>
                <w:sz w:val="22"/>
              </w:rPr>
            </w:pPr>
            <w:r>
              <w:rPr>
                <w:sz w:val="22"/>
              </w:rPr>
              <w:t>18</w:t>
            </w:r>
          </w:p>
          <w:p>
            <w:pPr>
              <w:pStyle w:val="TableParagraph"/>
              <w:spacing w:before="48"/>
              <w:ind w:right="25"/>
              <w:jc w:val="right"/>
              <w:rPr>
                <w:sz w:val="22"/>
              </w:rPr>
            </w:pPr>
            <w:r>
              <w:rPr>
                <w:w w:val="100"/>
                <w:sz w:val="22"/>
              </w:rPr>
              <w:t>5</w:t>
            </w:r>
          </w:p>
          <w:p>
            <w:pPr>
              <w:pStyle w:val="TableParagraph"/>
              <w:spacing w:before="48"/>
              <w:ind w:right="25"/>
              <w:jc w:val="right"/>
              <w:rPr>
                <w:sz w:val="22"/>
              </w:rPr>
            </w:pPr>
            <w:r>
              <w:rPr>
                <w:w w:val="100"/>
                <w:sz w:val="22"/>
              </w:rPr>
              <w:t>2</w:t>
            </w:r>
          </w:p>
          <w:p>
            <w:pPr>
              <w:pStyle w:val="TableParagraph"/>
              <w:spacing w:before="48"/>
              <w:ind w:right="25"/>
              <w:jc w:val="right"/>
              <w:rPr>
                <w:sz w:val="22"/>
              </w:rPr>
            </w:pPr>
            <w:r>
              <w:rPr>
                <w:w w:val="100"/>
                <w:sz w:val="22"/>
              </w:rPr>
              <w:t>2</w:t>
            </w:r>
          </w:p>
          <w:p>
            <w:pPr>
              <w:pStyle w:val="TableParagraph"/>
              <w:spacing w:before="48"/>
              <w:ind w:right="25"/>
              <w:jc w:val="right"/>
              <w:rPr>
                <w:sz w:val="22"/>
              </w:rPr>
            </w:pPr>
            <w:r>
              <w:rPr>
                <w:w w:val="100"/>
                <w:sz w:val="22"/>
              </w:rPr>
              <w:t>1</w:t>
            </w:r>
          </w:p>
          <w:p>
            <w:pPr>
              <w:pStyle w:val="TableParagraph"/>
              <w:spacing w:before="48"/>
              <w:ind w:right="25"/>
              <w:jc w:val="right"/>
              <w:rPr>
                <w:sz w:val="22"/>
              </w:rPr>
            </w:pPr>
            <w:r>
              <w:rPr>
                <w:w w:val="100"/>
                <w:sz w:val="22"/>
              </w:rPr>
              <w:t>3</w:t>
            </w:r>
          </w:p>
          <w:p>
            <w:pPr>
              <w:pStyle w:val="TableParagraph"/>
              <w:spacing w:before="48"/>
              <w:ind w:right="26"/>
              <w:jc w:val="right"/>
              <w:rPr>
                <w:sz w:val="22"/>
              </w:rPr>
            </w:pPr>
            <w:r>
              <w:rPr>
                <w:sz w:val="22"/>
              </w:rPr>
              <w:t>29</w:t>
            </w:r>
          </w:p>
          <w:p>
            <w:pPr>
              <w:pStyle w:val="TableParagraph"/>
              <w:spacing w:before="48"/>
              <w:ind w:right="25"/>
              <w:jc w:val="right"/>
              <w:rPr>
                <w:sz w:val="22"/>
              </w:rPr>
            </w:pPr>
            <w:r>
              <w:rPr>
                <w:w w:val="100"/>
                <w:sz w:val="22"/>
              </w:rPr>
              <w:t>3</w:t>
            </w:r>
          </w:p>
          <w:p>
            <w:pPr>
              <w:pStyle w:val="TableParagraph"/>
              <w:spacing w:before="43"/>
              <w:ind w:right="25"/>
              <w:jc w:val="right"/>
              <w:rPr>
                <w:sz w:val="22"/>
              </w:rPr>
            </w:pPr>
            <w:r>
              <w:rPr>
                <w:w w:val="100"/>
                <w:sz w:val="22"/>
              </w:rPr>
              <w:t>9</w:t>
            </w:r>
          </w:p>
        </w:tc>
        <w:tc>
          <w:tcPr>
            <w:tcW w:w="1262" w:type="dxa"/>
            <w:vMerge w:val="restart"/>
            <w:tcBorders>
              <w:top w:val="single" w:sz="15" w:space="0" w:color="000000"/>
              <w:left w:val="single" w:sz="8" w:space="0" w:color="000000"/>
              <w:right w:val="single" w:sz="8" w:space="0" w:color="000000"/>
            </w:tcBorders>
          </w:tcPr>
          <w:p>
            <w:pPr>
              <w:pStyle w:val="TableParagraph"/>
              <w:spacing w:before="1"/>
              <w:ind w:right="27"/>
              <w:jc w:val="right"/>
              <w:rPr>
                <w:sz w:val="22"/>
              </w:rPr>
            </w:pPr>
            <w:r>
              <w:rPr>
                <w:sz w:val="22"/>
              </w:rPr>
              <w:t>22</w:t>
            </w:r>
          </w:p>
          <w:p>
            <w:pPr>
              <w:pStyle w:val="TableParagraph"/>
              <w:spacing w:before="48"/>
              <w:ind w:right="25"/>
              <w:jc w:val="right"/>
              <w:rPr>
                <w:sz w:val="22"/>
              </w:rPr>
            </w:pPr>
            <w:r>
              <w:rPr>
                <w:w w:val="100"/>
                <w:sz w:val="22"/>
              </w:rPr>
              <w:t>2</w:t>
            </w:r>
          </w:p>
          <w:p>
            <w:pPr>
              <w:pStyle w:val="TableParagraph"/>
              <w:spacing w:before="48"/>
              <w:ind w:right="25"/>
              <w:jc w:val="right"/>
              <w:rPr>
                <w:sz w:val="22"/>
              </w:rPr>
            </w:pPr>
            <w:r>
              <w:rPr>
                <w:w w:val="100"/>
                <w:sz w:val="22"/>
              </w:rPr>
              <w:t>3</w:t>
            </w:r>
          </w:p>
          <w:p>
            <w:pPr>
              <w:pStyle w:val="TableParagraph"/>
              <w:spacing w:before="48"/>
              <w:ind w:right="27"/>
              <w:jc w:val="right"/>
              <w:rPr>
                <w:sz w:val="22"/>
              </w:rPr>
            </w:pPr>
            <w:r>
              <w:rPr>
                <w:sz w:val="22"/>
              </w:rPr>
              <w:t>25</w:t>
            </w:r>
          </w:p>
          <w:p>
            <w:pPr>
              <w:pStyle w:val="TableParagraph"/>
              <w:spacing w:before="48"/>
              <w:ind w:right="25"/>
              <w:jc w:val="right"/>
              <w:rPr>
                <w:sz w:val="22"/>
              </w:rPr>
            </w:pPr>
            <w:r>
              <w:rPr>
                <w:w w:val="100"/>
                <w:sz w:val="22"/>
              </w:rPr>
              <w:t>4</w:t>
            </w:r>
          </w:p>
          <w:p>
            <w:pPr>
              <w:pStyle w:val="TableParagraph"/>
              <w:spacing w:before="48"/>
              <w:ind w:right="25"/>
              <w:jc w:val="right"/>
              <w:rPr>
                <w:sz w:val="22"/>
              </w:rPr>
            </w:pPr>
            <w:r>
              <w:rPr>
                <w:w w:val="100"/>
                <w:sz w:val="22"/>
              </w:rPr>
              <w:t>2</w:t>
            </w:r>
          </w:p>
          <w:p>
            <w:pPr>
              <w:pStyle w:val="TableParagraph"/>
              <w:spacing w:before="48"/>
              <w:ind w:right="25"/>
              <w:jc w:val="right"/>
              <w:rPr>
                <w:sz w:val="22"/>
              </w:rPr>
            </w:pPr>
            <w:r>
              <w:rPr>
                <w:w w:val="100"/>
                <w:sz w:val="22"/>
              </w:rPr>
              <w:t>8</w:t>
            </w:r>
          </w:p>
          <w:p>
            <w:pPr>
              <w:pStyle w:val="TableParagraph"/>
              <w:spacing w:before="48"/>
              <w:ind w:right="27"/>
              <w:jc w:val="right"/>
              <w:rPr>
                <w:sz w:val="22"/>
              </w:rPr>
            </w:pPr>
            <w:r>
              <w:rPr>
                <w:sz w:val="22"/>
              </w:rPr>
              <w:t>20</w:t>
            </w:r>
          </w:p>
          <w:p>
            <w:pPr>
              <w:pStyle w:val="TableParagraph"/>
              <w:spacing w:before="48"/>
              <w:ind w:right="25"/>
              <w:jc w:val="right"/>
              <w:rPr>
                <w:sz w:val="22"/>
              </w:rPr>
            </w:pPr>
            <w:r>
              <w:rPr>
                <w:w w:val="100"/>
                <w:sz w:val="22"/>
              </w:rPr>
              <w:t>1</w:t>
            </w:r>
          </w:p>
          <w:p>
            <w:pPr>
              <w:pStyle w:val="TableParagraph"/>
              <w:spacing w:before="8"/>
              <w:rPr>
                <w:rFonts w:ascii="Arial"/>
                <w:sz w:val="31"/>
              </w:rPr>
            </w:pPr>
          </w:p>
          <w:p>
            <w:pPr>
              <w:pStyle w:val="TableParagraph"/>
              <w:ind w:right="25"/>
              <w:jc w:val="right"/>
              <w:rPr>
                <w:sz w:val="22"/>
              </w:rPr>
            </w:pPr>
            <w:r>
              <w:rPr>
                <w:w w:val="100"/>
                <w:sz w:val="22"/>
              </w:rPr>
              <w:t>3</w:t>
            </w:r>
          </w:p>
          <w:p>
            <w:pPr>
              <w:pStyle w:val="TableParagraph"/>
              <w:spacing w:before="48"/>
              <w:ind w:right="27"/>
              <w:jc w:val="right"/>
              <w:rPr>
                <w:sz w:val="22"/>
              </w:rPr>
            </w:pPr>
            <w:r>
              <w:rPr>
                <w:sz w:val="22"/>
              </w:rPr>
              <w:t>19</w:t>
            </w:r>
          </w:p>
          <w:p>
            <w:pPr>
              <w:pStyle w:val="TableParagraph"/>
              <w:spacing w:before="48"/>
              <w:ind w:right="27"/>
              <w:jc w:val="right"/>
              <w:rPr>
                <w:sz w:val="22"/>
              </w:rPr>
            </w:pPr>
            <w:r>
              <w:rPr>
                <w:sz w:val="22"/>
              </w:rPr>
              <w:t>31</w:t>
            </w:r>
          </w:p>
          <w:p>
            <w:pPr>
              <w:pStyle w:val="TableParagraph"/>
              <w:spacing w:before="48"/>
              <w:ind w:right="27"/>
              <w:jc w:val="right"/>
              <w:rPr>
                <w:sz w:val="22"/>
              </w:rPr>
            </w:pPr>
            <w:r>
              <w:rPr>
                <w:sz w:val="22"/>
              </w:rPr>
              <w:t>11</w:t>
            </w:r>
          </w:p>
          <w:p>
            <w:pPr>
              <w:pStyle w:val="TableParagraph"/>
              <w:spacing w:before="43"/>
              <w:ind w:right="27"/>
              <w:jc w:val="right"/>
              <w:rPr>
                <w:sz w:val="22"/>
              </w:rPr>
            </w:pPr>
            <w:r>
              <w:rPr>
                <w:sz w:val="22"/>
              </w:rPr>
              <w:t>17</w:t>
            </w:r>
          </w:p>
        </w:tc>
        <w:tc>
          <w:tcPr>
            <w:tcW w:w="1262" w:type="dxa"/>
            <w:vMerge w:val="restart"/>
            <w:tcBorders>
              <w:top w:val="single" w:sz="15" w:space="0" w:color="000000"/>
              <w:left w:val="single" w:sz="8" w:space="0" w:color="000000"/>
              <w:right w:val="single" w:sz="8" w:space="0" w:color="000000"/>
            </w:tcBorders>
          </w:tcPr>
          <w:p>
            <w:pPr>
              <w:pStyle w:val="TableParagraph"/>
              <w:spacing w:before="1"/>
              <w:ind w:right="26"/>
              <w:jc w:val="right"/>
              <w:rPr>
                <w:sz w:val="22"/>
              </w:rPr>
            </w:pPr>
            <w:r>
              <w:rPr>
                <w:sz w:val="22"/>
              </w:rPr>
              <w:t>34</w:t>
            </w:r>
          </w:p>
          <w:p>
            <w:pPr>
              <w:pStyle w:val="TableParagraph"/>
              <w:spacing w:before="48"/>
              <w:ind w:right="25"/>
              <w:jc w:val="right"/>
              <w:rPr>
                <w:sz w:val="22"/>
              </w:rPr>
            </w:pPr>
            <w:r>
              <w:rPr>
                <w:w w:val="100"/>
                <w:sz w:val="22"/>
              </w:rPr>
              <w:t>1</w:t>
            </w:r>
          </w:p>
          <w:p>
            <w:pPr>
              <w:pStyle w:val="TableParagraph"/>
              <w:spacing w:before="48"/>
              <w:ind w:right="25"/>
              <w:jc w:val="right"/>
              <w:rPr>
                <w:sz w:val="22"/>
              </w:rPr>
            </w:pPr>
            <w:r>
              <w:rPr>
                <w:w w:val="100"/>
                <w:sz w:val="22"/>
              </w:rPr>
              <w:t>1</w:t>
            </w:r>
          </w:p>
          <w:p>
            <w:pPr>
              <w:pStyle w:val="TableParagraph"/>
              <w:spacing w:before="48"/>
              <w:ind w:right="25"/>
              <w:jc w:val="right"/>
              <w:rPr>
                <w:sz w:val="22"/>
              </w:rPr>
            </w:pPr>
            <w:r>
              <w:rPr>
                <w:w w:val="100"/>
                <w:sz w:val="22"/>
              </w:rPr>
              <w:t>8</w:t>
            </w:r>
          </w:p>
          <w:p>
            <w:pPr>
              <w:pStyle w:val="TableParagraph"/>
              <w:spacing w:before="8"/>
              <w:rPr>
                <w:rFonts w:ascii="Arial"/>
                <w:sz w:val="31"/>
              </w:rPr>
            </w:pPr>
          </w:p>
          <w:p>
            <w:pPr>
              <w:pStyle w:val="TableParagraph"/>
              <w:ind w:right="25"/>
              <w:jc w:val="right"/>
              <w:rPr>
                <w:sz w:val="22"/>
              </w:rPr>
            </w:pPr>
            <w:r>
              <w:rPr>
                <w:w w:val="100"/>
                <w:sz w:val="22"/>
              </w:rPr>
              <w:t>1</w:t>
            </w:r>
          </w:p>
          <w:p>
            <w:pPr>
              <w:pStyle w:val="TableParagraph"/>
              <w:spacing w:before="48"/>
              <w:ind w:right="25"/>
              <w:jc w:val="right"/>
              <w:rPr>
                <w:sz w:val="22"/>
              </w:rPr>
            </w:pPr>
            <w:r>
              <w:rPr>
                <w:w w:val="100"/>
                <w:sz w:val="22"/>
              </w:rPr>
              <w:t>2</w:t>
            </w:r>
          </w:p>
          <w:p>
            <w:pPr>
              <w:pStyle w:val="TableParagraph"/>
              <w:spacing w:before="48"/>
              <w:ind w:right="25"/>
              <w:jc w:val="right"/>
              <w:rPr>
                <w:sz w:val="22"/>
              </w:rPr>
            </w:pPr>
            <w:r>
              <w:rPr>
                <w:w w:val="100"/>
                <w:sz w:val="22"/>
              </w:rPr>
              <w:t>6</w:t>
            </w:r>
          </w:p>
          <w:p>
            <w:pPr>
              <w:pStyle w:val="TableParagraph"/>
              <w:spacing w:before="48"/>
              <w:ind w:right="25"/>
              <w:jc w:val="right"/>
              <w:rPr>
                <w:sz w:val="22"/>
              </w:rPr>
            </w:pPr>
            <w:r>
              <w:rPr>
                <w:w w:val="100"/>
                <w:sz w:val="22"/>
              </w:rPr>
              <w:t>1</w:t>
            </w:r>
          </w:p>
          <w:p>
            <w:pPr>
              <w:pStyle w:val="TableParagraph"/>
              <w:spacing w:before="48"/>
              <w:ind w:right="25"/>
              <w:jc w:val="right"/>
              <w:rPr>
                <w:sz w:val="22"/>
              </w:rPr>
            </w:pPr>
            <w:r>
              <w:rPr>
                <w:w w:val="100"/>
                <w:sz w:val="22"/>
              </w:rPr>
              <w:t>1</w:t>
            </w:r>
          </w:p>
          <w:p>
            <w:pPr>
              <w:pStyle w:val="TableParagraph"/>
              <w:spacing w:before="8"/>
              <w:rPr>
                <w:rFonts w:ascii="Arial"/>
                <w:sz w:val="31"/>
              </w:rPr>
            </w:pPr>
          </w:p>
          <w:p>
            <w:pPr>
              <w:pStyle w:val="TableParagraph"/>
              <w:ind w:right="26"/>
              <w:jc w:val="right"/>
              <w:rPr>
                <w:sz w:val="22"/>
              </w:rPr>
            </w:pPr>
            <w:r>
              <w:rPr>
                <w:sz w:val="22"/>
              </w:rPr>
              <w:t>29</w:t>
            </w:r>
          </w:p>
          <w:p>
            <w:pPr>
              <w:pStyle w:val="TableParagraph"/>
              <w:spacing w:before="48"/>
              <w:ind w:right="26"/>
              <w:jc w:val="right"/>
              <w:rPr>
                <w:sz w:val="22"/>
              </w:rPr>
            </w:pPr>
            <w:r>
              <w:rPr>
                <w:sz w:val="22"/>
              </w:rPr>
              <w:t>31</w:t>
            </w:r>
          </w:p>
          <w:p>
            <w:pPr>
              <w:pStyle w:val="TableParagraph"/>
              <w:spacing w:before="48"/>
              <w:ind w:right="25"/>
              <w:jc w:val="right"/>
              <w:rPr>
                <w:sz w:val="22"/>
              </w:rPr>
            </w:pPr>
            <w:r>
              <w:rPr>
                <w:w w:val="100"/>
                <w:sz w:val="22"/>
              </w:rPr>
              <w:t>9</w:t>
            </w:r>
          </w:p>
          <w:p>
            <w:pPr>
              <w:pStyle w:val="TableParagraph"/>
              <w:spacing w:before="43"/>
              <w:ind w:right="26"/>
              <w:jc w:val="right"/>
              <w:rPr>
                <w:sz w:val="22"/>
              </w:rPr>
            </w:pPr>
            <w:r>
              <w:rPr>
                <w:sz w:val="22"/>
              </w:rPr>
              <w:t>15</w:t>
            </w:r>
          </w:p>
        </w:tc>
        <w:tc>
          <w:tcPr>
            <w:tcW w:w="1262" w:type="dxa"/>
            <w:vMerge w:val="restart"/>
            <w:tcBorders>
              <w:top w:val="single" w:sz="15" w:space="0" w:color="000000"/>
              <w:left w:val="single" w:sz="8" w:space="0" w:color="000000"/>
              <w:right w:val="single" w:sz="8" w:space="0" w:color="000000"/>
            </w:tcBorders>
          </w:tcPr>
          <w:p>
            <w:pPr>
              <w:pStyle w:val="TableParagraph"/>
              <w:spacing w:before="1"/>
              <w:ind w:right="27"/>
              <w:jc w:val="right"/>
              <w:rPr>
                <w:sz w:val="22"/>
              </w:rPr>
            </w:pPr>
            <w:r>
              <w:rPr>
                <w:sz w:val="22"/>
              </w:rPr>
              <w:t>33</w:t>
            </w:r>
          </w:p>
          <w:p>
            <w:pPr>
              <w:pStyle w:val="TableParagraph"/>
              <w:spacing w:before="48"/>
              <w:ind w:right="25"/>
              <w:jc w:val="right"/>
              <w:rPr>
                <w:sz w:val="22"/>
              </w:rPr>
            </w:pPr>
            <w:r>
              <w:rPr>
                <w:w w:val="100"/>
                <w:sz w:val="22"/>
              </w:rPr>
              <w:t>3</w:t>
            </w:r>
          </w:p>
          <w:p>
            <w:pPr>
              <w:pStyle w:val="TableParagraph"/>
              <w:spacing w:before="48"/>
              <w:ind w:right="25"/>
              <w:jc w:val="right"/>
              <w:rPr>
                <w:sz w:val="22"/>
              </w:rPr>
            </w:pPr>
            <w:r>
              <w:rPr>
                <w:w w:val="100"/>
                <w:sz w:val="22"/>
              </w:rPr>
              <w:t>2</w:t>
            </w:r>
          </w:p>
          <w:p>
            <w:pPr>
              <w:pStyle w:val="TableParagraph"/>
              <w:spacing w:before="48"/>
              <w:ind w:right="25"/>
              <w:jc w:val="right"/>
              <w:rPr>
                <w:sz w:val="22"/>
              </w:rPr>
            </w:pPr>
            <w:r>
              <w:rPr>
                <w:w w:val="100"/>
                <w:sz w:val="22"/>
              </w:rPr>
              <w:t>4</w:t>
            </w:r>
          </w:p>
          <w:p>
            <w:pPr>
              <w:pStyle w:val="TableParagraph"/>
              <w:spacing w:before="48"/>
              <w:ind w:right="25"/>
              <w:jc w:val="right"/>
              <w:rPr>
                <w:sz w:val="22"/>
              </w:rPr>
            </w:pPr>
            <w:r>
              <w:rPr>
                <w:w w:val="100"/>
                <w:sz w:val="22"/>
              </w:rPr>
              <w:t>2</w:t>
            </w:r>
          </w:p>
          <w:p>
            <w:pPr>
              <w:pStyle w:val="TableParagraph"/>
              <w:spacing w:before="8"/>
              <w:rPr>
                <w:rFonts w:ascii="Arial"/>
                <w:sz w:val="31"/>
              </w:rPr>
            </w:pPr>
          </w:p>
          <w:p>
            <w:pPr>
              <w:pStyle w:val="TableParagraph"/>
              <w:ind w:right="25"/>
              <w:jc w:val="right"/>
              <w:rPr>
                <w:sz w:val="22"/>
              </w:rPr>
            </w:pPr>
            <w:r>
              <w:rPr>
                <w:w w:val="100"/>
                <w:sz w:val="22"/>
              </w:rPr>
              <w:t>2</w:t>
            </w:r>
          </w:p>
          <w:p>
            <w:pPr>
              <w:pStyle w:val="TableParagraph"/>
              <w:spacing w:before="48"/>
              <w:ind w:right="25"/>
              <w:jc w:val="right"/>
              <w:rPr>
                <w:sz w:val="22"/>
              </w:rPr>
            </w:pPr>
            <w:r>
              <w:rPr>
                <w:w w:val="100"/>
                <w:sz w:val="22"/>
              </w:rPr>
              <w:t>4</w:t>
            </w:r>
          </w:p>
          <w:p>
            <w:pPr>
              <w:pStyle w:val="TableParagraph"/>
              <w:spacing w:before="48"/>
              <w:ind w:right="25"/>
              <w:jc w:val="right"/>
              <w:rPr>
                <w:sz w:val="22"/>
              </w:rPr>
            </w:pPr>
            <w:r>
              <w:rPr>
                <w:w w:val="100"/>
                <w:sz w:val="22"/>
              </w:rPr>
              <w:t>1</w:t>
            </w:r>
          </w:p>
          <w:p>
            <w:pPr>
              <w:pStyle w:val="TableParagraph"/>
              <w:rPr>
                <w:rFonts w:ascii="Arial"/>
                <w:sz w:val="22"/>
              </w:rPr>
            </w:pPr>
          </w:p>
          <w:p>
            <w:pPr>
              <w:pStyle w:val="TableParagraph"/>
              <w:rPr>
                <w:rFonts w:ascii="Arial"/>
                <w:sz w:val="22"/>
              </w:rPr>
            </w:pPr>
          </w:p>
          <w:p>
            <w:pPr>
              <w:pStyle w:val="TableParagraph"/>
              <w:spacing w:before="176"/>
              <w:ind w:right="25"/>
              <w:jc w:val="right"/>
              <w:rPr>
                <w:sz w:val="22"/>
              </w:rPr>
            </w:pPr>
            <w:r>
              <w:rPr>
                <w:w w:val="100"/>
                <w:sz w:val="22"/>
              </w:rPr>
              <w:t>7</w:t>
            </w:r>
          </w:p>
          <w:p>
            <w:pPr>
              <w:pStyle w:val="TableParagraph"/>
              <w:spacing w:before="48"/>
              <w:ind w:right="25"/>
              <w:jc w:val="right"/>
              <w:rPr>
                <w:sz w:val="22"/>
              </w:rPr>
            </w:pPr>
            <w:r>
              <w:rPr>
                <w:w w:val="100"/>
                <w:sz w:val="22"/>
              </w:rPr>
              <w:t>4</w:t>
            </w:r>
          </w:p>
          <w:p>
            <w:pPr>
              <w:pStyle w:val="TableParagraph"/>
              <w:spacing w:before="48"/>
              <w:ind w:right="25"/>
              <w:jc w:val="right"/>
              <w:rPr>
                <w:sz w:val="22"/>
              </w:rPr>
            </w:pPr>
            <w:r>
              <w:rPr>
                <w:w w:val="100"/>
                <w:sz w:val="22"/>
              </w:rPr>
              <w:t>5</w:t>
            </w:r>
          </w:p>
          <w:p>
            <w:pPr>
              <w:pStyle w:val="TableParagraph"/>
              <w:spacing w:before="43"/>
              <w:ind w:right="27"/>
              <w:jc w:val="right"/>
              <w:rPr>
                <w:sz w:val="22"/>
              </w:rPr>
            </w:pPr>
            <w:r>
              <w:rPr>
                <w:sz w:val="22"/>
              </w:rPr>
              <w:t>10</w:t>
            </w:r>
          </w:p>
        </w:tc>
        <w:tc>
          <w:tcPr>
            <w:tcW w:w="1256" w:type="dxa"/>
            <w:vMerge w:val="restart"/>
            <w:tcBorders>
              <w:top w:val="single" w:sz="15" w:space="0" w:color="000000"/>
              <w:left w:val="single" w:sz="8" w:space="0" w:color="000000"/>
            </w:tcBorders>
          </w:tcPr>
          <w:p>
            <w:pPr>
              <w:pStyle w:val="TableParagraph"/>
              <w:spacing w:before="8"/>
              <w:rPr>
                <w:rFonts w:ascii="Arial"/>
                <w:sz w:val="27"/>
              </w:rPr>
            </w:pPr>
          </w:p>
          <w:p>
            <w:pPr>
              <w:pStyle w:val="TableParagraph"/>
              <w:ind w:right="15"/>
              <w:jc w:val="right"/>
              <w:rPr>
                <w:sz w:val="22"/>
              </w:rPr>
            </w:pPr>
            <w:r>
              <w:rPr>
                <w:w w:val="100"/>
                <w:sz w:val="22"/>
              </w:rPr>
              <w:t>3</w:t>
            </w:r>
          </w:p>
          <w:p>
            <w:pPr>
              <w:pStyle w:val="TableParagraph"/>
              <w:spacing w:before="8"/>
              <w:rPr>
                <w:rFonts w:ascii="Arial"/>
                <w:sz w:val="31"/>
              </w:rPr>
            </w:pPr>
          </w:p>
          <w:p>
            <w:pPr>
              <w:pStyle w:val="TableParagraph"/>
              <w:ind w:right="15"/>
              <w:jc w:val="right"/>
              <w:rPr>
                <w:sz w:val="22"/>
              </w:rPr>
            </w:pPr>
            <w:r>
              <w:rPr>
                <w:w w:val="100"/>
                <w:sz w:val="22"/>
              </w:rPr>
              <w:t>1</w:t>
            </w:r>
          </w:p>
          <w:p>
            <w:pPr>
              <w:pStyle w:val="TableParagraph"/>
              <w:spacing w:before="48"/>
              <w:ind w:right="15"/>
              <w:jc w:val="right"/>
              <w:rPr>
                <w:sz w:val="22"/>
              </w:rPr>
            </w:pPr>
            <w:r>
              <w:rPr>
                <w:w w:val="100"/>
                <w:sz w:val="22"/>
              </w:rPr>
              <w:t>1</w:t>
            </w:r>
          </w:p>
          <w:p>
            <w:pPr>
              <w:pStyle w:val="TableParagraph"/>
              <w:rPr>
                <w:rFonts w:ascii="Arial"/>
                <w:sz w:val="22"/>
              </w:rPr>
            </w:pPr>
          </w:p>
          <w:p>
            <w:pPr>
              <w:pStyle w:val="TableParagraph"/>
              <w:rPr>
                <w:rFonts w:ascii="Arial"/>
                <w:sz w:val="22"/>
              </w:rPr>
            </w:pPr>
          </w:p>
          <w:p>
            <w:pPr>
              <w:pStyle w:val="TableParagraph"/>
              <w:spacing w:before="175"/>
              <w:ind w:right="15"/>
              <w:jc w:val="right"/>
              <w:rPr>
                <w:sz w:val="22"/>
              </w:rPr>
            </w:pPr>
            <w:r>
              <w:rPr>
                <w:w w:val="100"/>
                <w:sz w:val="22"/>
              </w:rPr>
              <w:t>1</w:t>
            </w:r>
          </w:p>
          <w:p>
            <w:pPr>
              <w:pStyle w:val="TableParagraph"/>
              <w:spacing w:before="48"/>
              <w:ind w:right="15"/>
              <w:jc w:val="right"/>
              <w:rPr>
                <w:sz w:val="22"/>
              </w:rPr>
            </w:pPr>
            <w:r>
              <w:rPr>
                <w:w w:val="100"/>
                <w:sz w:val="22"/>
              </w:rPr>
              <w:t>2</w:t>
            </w:r>
          </w:p>
          <w:p>
            <w:pPr>
              <w:pStyle w:val="TableParagraph"/>
              <w:rPr>
                <w:rFonts w:ascii="Arial"/>
                <w:sz w:val="22"/>
              </w:rPr>
            </w:pPr>
          </w:p>
          <w:p>
            <w:pPr>
              <w:pStyle w:val="TableParagraph"/>
              <w:rPr>
                <w:rFonts w:ascii="Arial"/>
                <w:sz w:val="22"/>
              </w:rPr>
            </w:pPr>
          </w:p>
          <w:p>
            <w:pPr>
              <w:pStyle w:val="TableParagraph"/>
              <w:rPr>
                <w:rFonts w:ascii="Arial"/>
                <w:sz w:val="22"/>
              </w:rPr>
            </w:pPr>
          </w:p>
          <w:p>
            <w:pPr>
              <w:pStyle w:val="TableParagraph"/>
              <w:spacing w:before="9"/>
              <w:rPr>
                <w:rFonts w:ascii="Arial"/>
                <w:sz w:val="20"/>
              </w:rPr>
            </w:pPr>
          </w:p>
          <w:p>
            <w:pPr>
              <w:pStyle w:val="TableParagraph"/>
              <w:ind w:right="15"/>
              <w:jc w:val="right"/>
              <w:rPr>
                <w:sz w:val="22"/>
              </w:rPr>
            </w:pPr>
            <w:r>
              <w:rPr>
                <w:w w:val="100"/>
                <w:sz w:val="22"/>
              </w:rPr>
              <w:t>1</w:t>
            </w:r>
          </w:p>
          <w:p>
            <w:pPr>
              <w:pStyle w:val="TableParagraph"/>
              <w:spacing w:before="48"/>
              <w:ind w:right="15"/>
              <w:jc w:val="right"/>
              <w:rPr>
                <w:sz w:val="22"/>
              </w:rPr>
            </w:pPr>
            <w:r>
              <w:rPr>
                <w:w w:val="100"/>
                <w:sz w:val="22"/>
              </w:rPr>
              <w:t>1</w:t>
            </w: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5"/>
              <w:ind w:left="19"/>
              <w:rPr>
                <w:rFonts w:ascii="Arial"/>
                <w:sz w:val="22"/>
              </w:rPr>
            </w:pPr>
            <w:r>
              <w:rPr>
                <w:rFonts w:ascii="Arial"/>
                <w:w w:val="90"/>
                <w:sz w:val="22"/>
              </w:rPr>
              <w:t>Calimaya</w:t>
            </w: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56" w:type="dxa"/>
            <w:vMerge/>
            <w:tcBorders>
              <w:left w:val="single" w:sz="8" w:space="0" w:color="000000"/>
            </w:tcBorders>
          </w:tcPr>
          <w:p>
            <w:pP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Chapultepec</w:t>
            </w: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56" w:type="dxa"/>
            <w:vMerge/>
            <w:tcBorders>
              <w:left w:val="single" w:sz="8" w:space="0" w:color="000000"/>
            </w:tcBorders>
          </w:tcPr>
          <w:p>
            <w:pP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Lerma</w:t>
            </w: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56" w:type="dxa"/>
            <w:vMerge/>
            <w:tcBorders>
              <w:left w:val="single" w:sz="8" w:space="0" w:color="000000"/>
            </w:tcBorders>
          </w:tcPr>
          <w:p>
            <w:pP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5"/>
              <w:ind w:left="19"/>
              <w:rPr>
                <w:rFonts w:ascii="Arial"/>
                <w:sz w:val="22"/>
              </w:rPr>
            </w:pPr>
            <w:r>
              <w:rPr>
                <w:rFonts w:ascii="Arial"/>
                <w:w w:val="90"/>
                <w:sz w:val="22"/>
              </w:rPr>
              <w:t>Metepec</w:t>
            </w: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56" w:type="dxa"/>
            <w:vMerge/>
            <w:tcBorders>
              <w:left w:val="single" w:sz="8" w:space="0" w:color="000000"/>
            </w:tcBorders>
          </w:tcPr>
          <w:p>
            <w:pP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Mexicaltzingo</w:t>
            </w: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56" w:type="dxa"/>
            <w:vMerge/>
            <w:tcBorders>
              <w:left w:val="single" w:sz="8" w:space="0" w:color="000000"/>
            </w:tcBorders>
          </w:tcPr>
          <w:p>
            <w:pP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Ocoyoacac</w:t>
            </w: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56" w:type="dxa"/>
            <w:vMerge/>
            <w:tcBorders>
              <w:left w:val="single" w:sz="8" w:space="0" w:color="000000"/>
            </w:tcBorders>
          </w:tcPr>
          <w:p>
            <w:pP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Otzolotepec</w:t>
            </w: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56" w:type="dxa"/>
            <w:vMerge/>
            <w:tcBorders>
              <w:left w:val="single" w:sz="8" w:space="0" w:color="000000"/>
            </w:tcBorders>
          </w:tcPr>
          <w:p>
            <w:pP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Rayon</w:t>
            </w: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56" w:type="dxa"/>
            <w:vMerge/>
            <w:tcBorders>
              <w:left w:val="single" w:sz="8" w:space="0" w:color="000000"/>
            </w:tcBorders>
          </w:tcPr>
          <w:p>
            <w:pP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5"/>
              <w:ind w:left="19"/>
              <w:rPr>
                <w:rFonts w:ascii="Arial"/>
                <w:sz w:val="22"/>
              </w:rPr>
            </w:pPr>
            <w:r>
              <w:rPr>
                <w:rFonts w:ascii="Arial"/>
                <w:w w:val="85"/>
                <w:sz w:val="22"/>
              </w:rPr>
              <w:t>San Antonio la Isla</w:t>
            </w: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56" w:type="dxa"/>
            <w:vMerge/>
            <w:tcBorders>
              <w:left w:val="single" w:sz="8" w:space="0" w:color="000000"/>
            </w:tcBorders>
          </w:tcPr>
          <w:p>
            <w:pP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85"/>
                <w:sz w:val="22"/>
              </w:rPr>
              <w:t>San Mateo Atenco</w:t>
            </w: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56" w:type="dxa"/>
            <w:vMerge/>
            <w:tcBorders>
              <w:left w:val="single" w:sz="8" w:space="0" w:color="000000"/>
            </w:tcBorders>
          </w:tcPr>
          <w:p>
            <w:pP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Temoaya</w:t>
            </w: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56" w:type="dxa"/>
            <w:vMerge/>
            <w:tcBorders>
              <w:left w:val="single" w:sz="8" w:space="0" w:color="000000"/>
            </w:tcBorders>
          </w:tcPr>
          <w:p>
            <w:pP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Toluca</w:t>
            </w: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56" w:type="dxa"/>
            <w:vMerge/>
            <w:tcBorders>
              <w:left w:val="single" w:sz="8" w:space="0" w:color="000000"/>
            </w:tcBorders>
          </w:tcPr>
          <w:p>
            <w:pP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hAnsi="Arial"/>
                <w:sz w:val="22"/>
              </w:rPr>
            </w:pPr>
            <w:r>
              <w:rPr>
                <w:rFonts w:ascii="Arial" w:hAnsi="Arial"/>
                <w:w w:val="90"/>
                <w:sz w:val="22"/>
              </w:rPr>
              <w:t>Xonacatlán</w:t>
            </w: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62" w:type="dxa"/>
            <w:vMerge/>
            <w:tcBorders>
              <w:left w:val="single" w:sz="8" w:space="0" w:color="000000"/>
              <w:right w:val="single" w:sz="8" w:space="0" w:color="000000"/>
            </w:tcBorders>
          </w:tcPr>
          <w:p>
            <w:pPr/>
          </w:p>
        </w:tc>
        <w:tc>
          <w:tcPr>
            <w:tcW w:w="1256" w:type="dxa"/>
            <w:vMerge/>
            <w:tcBorders>
              <w:left w:val="single" w:sz="8" w:space="0" w:color="000000"/>
            </w:tcBorders>
          </w:tcPr>
          <w:p>
            <w:pPr/>
          </w:p>
        </w:tc>
      </w:tr>
      <w:tr>
        <w:trPr>
          <w:trHeight w:val="331" w:hRule="exact"/>
        </w:trPr>
        <w:tc>
          <w:tcPr>
            <w:tcW w:w="1794" w:type="dxa"/>
            <w:tcBorders>
              <w:top w:val="single" w:sz="8" w:space="0" w:color="000000"/>
              <w:bottom w:val="single" w:sz="15" w:space="0" w:color="000000"/>
              <w:right w:val="single" w:sz="8" w:space="0" w:color="000000"/>
            </w:tcBorders>
          </w:tcPr>
          <w:p>
            <w:pPr>
              <w:pStyle w:val="TableParagraph"/>
              <w:spacing w:before="10"/>
              <w:ind w:left="19"/>
              <w:rPr>
                <w:rFonts w:ascii="Arial"/>
                <w:sz w:val="22"/>
              </w:rPr>
            </w:pPr>
            <w:r>
              <w:rPr>
                <w:rFonts w:ascii="Arial"/>
                <w:w w:val="90"/>
                <w:sz w:val="22"/>
              </w:rPr>
              <w:t>Zinacantepec</w:t>
            </w:r>
          </w:p>
        </w:tc>
        <w:tc>
          <w:tcPr>
            <w:tcW w:w="1262" w:type="dxa"/>
            <w:vMerge/>
            <w:tcBorders>
              <w:left w:val="single" w:sz="8" w:space="0" w:color="000000"/>
              <w:bottom w:val="single" w:sz="15" w:space="0" w:color="000000"/>
              <w:right w:val="single" w:sz="8" w:space="0" w:color="000000"/>
            </w:tcBorders>
          </w:tcPr>
          <w:p>
            <w:pPr/>
          </w:p>
        </w:tc>
        <w:tc>
          <w:tcPr>
            <w:tcW w:w="1262" w:type="dxa"/>
            <w:vMerge/>
            <w:tcBorders>
              <w:left w:val="single" w:sz="8" w:space="0" w:color="000000"/>
              <w:bottom w:val="single" w:sz="15" w:space="0" w:color="000000"/>
              <w:right w:val="single" w:sz="8" w:space="0" w:color="000000"/>
            </w:tcBorders>
          </w:tcPr>
          <w:p>
            <w:pPr/>
          </w:p>
        </w:tc>
        <w:tc>
          <w:tcPr>
            <w:tcW w:w="1262" w:type="dxa"/>
            <w:vMerge/>
            <w:tcBorders>
              <w:left w:val="single" w:sz="8" w:space="0" w:color="000000"/>
              <w:bottom w:val="single" w:sz="15" w:space="0" w:color="000000"/>
              <w:right w:val="single" w:sz="8" w:space="0" w:color="000000"/>
            </w:tcBorders>
          </w:tcPr>
          <w:p>
            <w:pPr/>
          </w:p>
        </w:tc>
        <w:tc>
          <w:tcPr>
            <w:tcW w:w="1262" w:type="dxa"/>
            <w:vMerge/>
            <w:tcBorders>
              <w:left w:val="single" w:sz="8" w:space="0" w:color="000000"/>
              <w:bottom w:val="single" w:sz="15" w:space="0" w:color="000000"/>
              <w:right w:val="single" w:sz="8" w:space="0" w:color="000000"/>
            </w:tcBorders>
          </w:tcPr>
          <w:p>
            <w:pPr/>
          </w:p>
        </w:tc>
        <w:tc>
          <w:tcPr>
            <w:tcW w:w="1256" w:type="dxa"/>
            <w:vMerge/>
            <w:tcBorders>
              <w:left w:val="single" w:sz="8" w:space="0" w:color="000000"/>
              <w:bottom w:val="single" w:sz="15" w:space="0" w:color="000000"/>
            </w:tcBorders>
          </w:tcPr>
          <w:p>
            <w:pPr/>
          </w:p>
        </w:tc>
      </w:tr>
      <w:tr>
        <w:trPr>
          <w:trHeight w:val="326" w:hRule="exact"/>
        </w:trPr>
        <w:tc>
          <w:tcPr>
            <w:tcW w:w="1794" w:type="dxa"/>
            <w:tcBorders>
              <w:top w:val="single" w:sz="15" w:space="0" w:color="000000"/>
              <w:right w:val="single" w:sz="8" w:space="0" w:color="000000"/>
            </w:tcBorders>
          </w:tcPr>
          <w:p>
            <w:pPr>
              <w:pStyle w:val="TableParagraph"/>
              <w:ind w:left="19"/>
              <w:rPr>
                <w:rFonts w:ascii="Arial"/>
                <w:sz w:val="22"/>
              </w:rPr>
            </w:pPr>
            <w:r>
              <w:rPr>
                <w:rFonts w:ascii="Arial"/>
                <w:w w:val="90"/>
                <w:sz w:val="22"/>
              </w:rPr>
              <w:t>Total</w:t>
            </w:r>
          </w:p>
        </w:tc>
        <w:tc>
          <w:tcPr>
            <w:tcW w:w="1262" w:type="dxa"/>
            <w:tcBorders>
              <w:top w:val="single" w:sz="15" w:space="0" w:color="000000"/>
              <w:left w:val="single" w:sz="8" w:space="0" w:color="000000"/>
              <w:right w:val="single" w:sz="8" w:space="0" w:color="000000"/>
            </w:tcBorders>
          </w:tcPr>
          <w:p>
            <w:pPr>
              <w:pStyle w:val="TableParagraph"/>
              <w:spacing w:line="265" w:lineRule="exact"/>
              <w:ind w:right="27"/>
              <w:jc w:val="right"/>
              <w:rPr>
                <w:sz w:val="22"/>
              </w:rPr>
            </w:pPr>
            <w:r>
              <w:rPr>
                <w:sz w:val="22"/>
              </w:rPr>
              <w:t>133</w:t>
            </w:r>
          </w:p>
        </w:tc>
        <w:tc>
          <w:tcPr>
            <w:tcW w:w="1262" w:type="dxa"/>
            <w:tcBorders>
              <w:top w:val="single" w:sz="15" w:space="0" w:color="000000"/>
              <w:left w:val="single" w:sz="8" w:space="0" w:color="000000"/>
              <w:right w:val="single" w:sz="8" w:space="0" w:color="000000"/>
            </w:tcBorders>
          </w:tcPr>
          <w:p>
            <w:pPr>
              <w:pStyle w:val="TableParagraph"/>
              <w:spacing w:line="265" w:lineRule="exact"/>
              <w:ind w:right="27"/>
              <w:jc w:val="right"/>
              <w:rPr>
                <w:sz w:val="22"/>
              </w:rPr>
            </w:pPr>
            <w:r>
              <w:rPr>
                <w:sz w:val="22"/>
              </w:rPr>
              <w:t>168</w:t>
            </w:r>
          </w:p>
        </w:tc>
        <w:tc>
          <w:tcPr>
            <w:tcW w:w="1262" w:type="dxa"/>
            <w:tcBorders>
              <w:top w:val="single" w:sz="15" w:space="0" w:color="000000"/>
              <w:left w:val="single" w:sz="8" w:space="0" w:color="000000"/>
              <w:right w:val="single" w:sz="8" w:space="0" w:color="000000"/>
            </w:tcBorders>
          </w:tcPr>
          <w:p>
            <w:pPr>
              <w:pStyle w:val="TableParagraph"/>
              <w:spacing w:line="265" w:lineRule="exact"/>
              <w:ind w:right="26"/>
              <w:jc w:val="right"/>
              <w:rPr>
                <w:sz w:val="22"/>
              </w:rPr>
            </w:pPr>
            <w:r>
              <w:rPr>
                <w:sz w:val="22"/>
              </w:rPr>
              <w:t>139</w:t>
            </w:r>
          </w:p>
        </w:tc>
        <w:tc>
          <w:tcPr>
            <w:tcW w:w="1262" w:type="dxa"/>
            <w:tcBorders>
              <w:top w:val="single" w:sz="15" w:space="0" w:color="000000"/>
              <w:left w:val="single" w:sz="8" w:space="0" w:color="000000"/>
              <w:right w:val="single" w:sz="8" w:space="0" w:color="000000"/>
            </w:tcBorders>
          </w:tcPr>
          <w:p>
            <w:pPr>
              <w:pStyle w:val="TableParagraph"/>
              <w:spacing w:line="265" w:lineRule="exact"/>
              <w:ind w:right="27"/>
              <w:jc w:val="right"/>
              <w:rPr>
                <w:sz w:val="22"/>
              </w:rPr>
            </w:pPr>
            <w:r>
              <w:rPr>
                <w:sz w:val="22"/>
              </w:rPr>
              <w:t>77</w:t>
            </w:r>
          </w:p>
        </w:tc>
        <w:tc>
          <w:tcPr>
            <w:tcW w:w="1256" w:type="dxa"/>
            <w:tcBorders>
              <w:top w:val="single" w:sz="15" w:space="0" w:color="000000"/>
              <w:left w:val="single" w:sz="8" w:space="0" w:color="000000"/>
            </w:tcBorders>
          </w:tcPr>
          <w:p>
            <w:pPr>
              <w:pStyle w:val="TableParagraph"/>
              <w:spacing w:line="265" w:lineRule="exact"/>
              <w:ind w:right="17"/>
              <w:jc w:val="right"/>
              <w:rPr>
                <w:sz w:val="22"/>
              </w:rPr>
            </w:pPr>
            <w:r>
              <w:rPr>
                <w:sz w:val="22"/>
              </w:rPr>
              <w:t>10</w:t>
            </w:r>
          </w:p>
        </w:tc>
      </w:tr>
    </w:tbl>
    <w:p>
      <w:pPr>
        <w:spacing w:before="113"/>
        <w:ind w:left="102" w:right="0" w:firstLine="9"/>
        <w:jc w:val="both"/>
        <w:rPr>
          <w:sz w:val="20"/>
        </w:rPr>
      </w:pPr>
      <w:r>
        <w:rPr>
          <w:sz w:val="20"/>
        </w:rPr>
        <w:t>Fuente: Elaboración propia con base en los datos del Censo de Población y Vivienda INEGI, 2000.</w:t>
      </w:r>
    </w:p>
    <w:p>
      <w:pPr>
        <w:pStyle w:val="BodyText"/>
        <w:rPr>
          <w:sz w:val="20"/>
        </w:rPr>
      </w:pPr>
    </w:p>
    <w:p>
      <w:pPr>
        <w:pStyle w:val="BodyText"/>
        <w:rPr>
          <w:sz w:val="26"/>
        </w:rPr>
      </w:pPr>
    </w:p>
    <w:p>
      <w:pPr>
        <w:pStyle w:val="BodyText"/>
        <w:spacing w:line="360" w:lineRule="auto"/>
        <w:ind w:left="102" w:right="115"/>
        <w:jc w:val="both"/>
      </w:pPr>
      <w:r>
        <w:rPr/>
        <w:t>Con baja habitabilidad de las viviendas es decir, son las viviendas que cuentan  con menos de las variables evaluadas, se encontraron 77 localidades, de las cuales el municipio de Almoloya de Juárez fue el municipio que más localidades registró con 33 localidades, Zinacantepec registro 10 localidades, Temoaya 7 localidades, Xonacatlán 5, Lerma, Otzolotepec y Toluca 4 localidades, Calimaya 3, Chapultepec, Metepec y Ocoyoacac con 2 localidades, Rayón 1 localidad, Mexicaltzingo, San Antonio la Isla y San Mateo Atenco no registraron localidades con baja habitabilidad de sus</w:t>
      </w:r>
      <w:r>
        <w:rPr>
          <w:spacing w:val="-16"/>
        </w:rPr>
        <w:t> </w:t>
      </w:r>
      <w:r>
        <w:rPr/>
        <w:t>viviendas.</w:t>
      </w:r>
    </w:p>
    <w:p>
      <w:pPr>
        <w:pStyle w:val="BodyText"/>
      </w:pPr>
    </w:p>
    <w:p>
      <w:pPr>
        <w:pStyle w:val="BodyText"/>
        <w:spacing w:line="360" w:lineRule="auto" w:before="142"/>
        <w:ind w:left="102" w:right="116"/>
        <w:jc w:val="both"/>
      </w:pPr>
      <w:r>
        <w:rPr/>
        <w:t>Finalmente en el rango de muy baja habitabilidad de las viviendas, es decir, viviendas con menos variables evaluadas, se encontraron 10 localidades, Calimaya registro 3 localidades (El baldío amarillo, rancho </w:t>
      </w:r>
      <w:r>
        <w:rPr>
          <w:spacing w:val="3"/>
        </w:rPr>
        <w:t>la </w:t>
      </w:r>
      <w:r>
        <w:rPr/>
        <w:t>esperanza, rancho los jardines), Rayón 2 localidades (casa blanca, rancho Sanabria), Lerma (llano de los negros concepción), Metepec (rancho el Carmen Progreso), Otzolotepec (ranchería Bernal), Toluca (rancho Santín) y Xonacatlán (colonia la Cañada) con</w:t>
      </w:r>
      <w:r>
        <w:rPr>
          <w:spacing w:val="46"/>
        </w:rPr>
        <w:t> </w:t>
      </w:r>
      <w:r>
        <w:rPr/>
        <w:t>1</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pPr>
      <w:r>
        <w:rPr/>
        <w:t>localidad, son las localidades que contaron con los peores servicios públicos, precarios materiales de construcción, escasos bienes y las viviendas no son propias, y cuentan con uno y en el menor de los casos dos cuartos (ver mapa no. 20).</w:t>
      </w:r>
    </w:p>
    <w:p>
      <w:pPr>
        <w:pStyle w:val="BodyText"/>
      </w:pPr>
    </w:p>
    <w:p>
      <w:pPr>
        <w:spacing w:before="141" w:after="3"/>
        <w:ind w:left="418" w:right="0" w:firstLine="72"/>
        <w:jc w:val="left"/>
        <w:rPr>
          <w:sz w:val="20"/>
        </w:rPr>
      </w:pPr>
      <w:r>
        <w:rPr>
          <w:sz w:val="20"/>
        </w:rPr>
        <w:t>Mapa No. 20 Porcentaje de habitabilidad de las viviendas a nivel localidad en la </w:t>
      </w:r>
      <w:r>
        <w:rPr>
          <w:sz w:val="16"/>
        </w:rPr>
        <w:t>ZMT</w:t>
      </w:r>
      <w:r>
        <w:rPr>
          <w:sz w:val="20"/>
        </w:rPr>
        <w:t>, 2000.</w:t>
      </w:r>
    </w:p>
    <w:p>
      <w:pPr>
        <w:pStyle w:val="BodyText"/>
        <w:ind w:left="106"/>
        <w:rPr>
          <w:sz w:val="20"/>
        </w:rPr>
      </w:pPr>
      <w:r>
        <w:rPr>
          <w:sz w:val="20"/>
        </w:rPr>
        <w:drawing>
          <wp:inline distT="0" distB="0" distL="0" distR="0">
            <wp:extent cx="5599564" cy="3959352"/>
            <wp:effectExtent l="0" t="0" r="0" b="0"/>
            <wp:docPr id="161" name="image953.jpeg" descr=""/>
            <wp:cNvGraphicFramePr>
              <a:graphicFrameLocks noChangeAspect="1"/>
            </wp:cNvGraphicFramePr>
            <a:graphic>
              <a:graphicData uri="http://schemas.openxmlformats.org/drawingml/2006/picture">
                <pic:pic>
                  <pic:nvPicPr>
                    <pic:cNvPr id="162" name="image953.jpeg"/>
                    <pic:cNvPicPr/>
                  </pic:nvPicPr>
                  <pic:blipFill>
                    <a:blip r:embed="rId984" cstate="print"/>
                    <a:stretch>
                      <a:fillRect/>
                    </a:stretch>
                  </pic:blipFill>
                  <pic:spPr>
                    <a:xfrm>
                      <a:off x="0" y="0"/>
                      <a:ext cx="5599564" cy="3959352"/>
                    </a:xfrm>
                    <a:prstGeom prst="rect">
                      <a:avLst/>
                    </a:prstGeom>
                  </pic:spPr>
                </pic:pic>
              </a:graphicData>
            </a:graphic>
          </wp:inline>
        </w:drawing>
      </w:r>
      <w:r>
        <w:rPr>
          <w:sz w:val="20"/>
        </w:rPr>
      </w:r>
    </w:p>
    <w:p>
      <w:pPr>
        <w:spacing w:line="242" w:lineRule="auto" w:before="2"/>
        <w:ind w:left="4269" w:right="0" w:hanging="3851"/>
        <w:jc w:val="left"/>
        <w:rPr>
          <w:sz w:val="20"/>
        </w:rPr>
      </w:pPr>
      <w:r>
        <w:rPr>
          <w:sz w:val="20"/>
        </w:rPr>
        <w:t>Fuente: Elaboración propia con base en los datos del Censo de Población y Vivienda INEGI, 2000.</w:t>
      </w:r>
    </w:p>
    <w:p>
      <w:pPr>
        <w:pStyle w:val="BodyText"/>
        <w:rPr>
          <w:sz w:val="17"/>
        </w:rPr>
      </w:pPr>
    </w:p>
    <w:p>
      <w:pPr>
        <w:pStyle w:val="BodyText"/>
        <w:spacing w:line="360" w:lineRule="auto"/>
        <w:ind w:left="102" w:right="127"/>
        <w:jc w:val="both"/>
      </w:pPr>
      <w:r>
        <w:rPr/>
        <w:t>Se observa en el mapa que las zonas críticas de habitabilidad las ubicamos en la parte norte, poniente, sur y algunas al oriente de la zona metropolitana representando más del 16 por ciento similar a una década anterior.</w:t>
      </w:r>
    </w:p>
    <w:p>
      <w:pPr>
        <w:pStyle w:val="BodyText"/>
      </w:pPr>
    </w:p>
    <w:p>
      <w:pPr>
        <w:pStyle w:val="BodyText"/>
        <w:spacing w:line="360" w:lineRule="auto" w:before="142"/>
        <w:ind w:left="102" w:right="115"/>
        <w:jc w:val="both"/>
      </w:pPr>
      <w:r>
        <w:rPr/>
        <w:t>A continuación en la siguiente sección se analiza la evaluación de la habitabilidad de las viviendas por medio de las variables censales, en las localidades de los quince municipios que integran la zona metropolitana de estudio en el año 2010, esta es la información oficial más actual que existe para realizar la investigación.</w:t>
      </w:r>
    </w:p>
    <w:p>
      <w:pPr>
        <w:spacing w:after="0" w:line="360" w:lineRule="auto"/>
        <w:jc w:val="both"/>
        <w:sectPr>
          <w:pgSz w:w="12240" w:h="15840"/>
          <w:pgMar w:header="0" w:footer="1003" w:top="1360" w:bottom="1200" w:left="1600" w:right="1580"/>
        </w:sectPr>
      </w:pPr>
    </w:p>
    <w:p>
      <w:pPr>
        <w:pStyle w:val="ListParagraph"/>
        <w:numPr>
          <w:ilvl w:val="2"/>
          <w:numId w:val="25"/>
        </w:numPr>
        <w:tabs>
          <w:tab w:pos="594" w:val="left" w:leader="none"/>
        </w:tabs>
        <w:spacing w:line="240" w:lineRule="auto" w:before="56" w:after="0"/>
        <w:ind w:left="593" w:right="0" w:hanging="491"/>
        <w:jc w:val="both"/>
        <w:rPr>
          <w:rFonts w:ascii="Cambria" w:hAnsi="Cambria"/>
          <w:b/>
          <w:sz w:val="22"/>
        </w:rPr>
      </w:pPr>
      <w:r>
        <w:rPr>
          <w:rFonts w:ascii="Cambria" w:hAnsi="Cambria"/>
          <w:b/>
          <w:color w:val="4F81BC"/>
          <w:sz w:val="22"/>
        </w:rPr>
        <w:t>Evaluación de la habitabilidad de las viviendas a nivel municipal en la</w:t>
      </w:r>
      <w:r>
        <w:rPr>
          <w:rFonts w:ascii="Cambria" w:hAnsi="Cambria"/>
          <w:b/>
          <w:color w:val="4F81BC"/>
          <w:spacing w:val="20"/>
          <w:sz w:val="22"/>
        </w:rPr>
        <w:t> </w:t>
      </w:r>
      <w:r>
        <w:rPr>
          <w:rFonts w:ascii="Cambria" w:hAnsi="Cambria"/>
          <w:b/>
          <w:color w:val="4F81BC"/>
          <w:sz w:val="18"/>
        </w:rPr>
        <w:t>ZMT</w:t>
      </w:r>
      <w:r>
        <w:rPr>
          <w:rFonts w:ascii="Cambria" w:hAnsi="Cambria"/>
          <w:b/>
          <w:color w:val="4F81BC"/>
          <w:sz w:val="22"/>
        </w:rPr>
        <w:t>,2010.</w:t>
      </w:r>
    </w:p>
    <w:p>
      <w:pPr>
        <w:pStyle w:val="BodyText"/>
        <w:rPr>
          <w:rFonts w:ascii="Cambria"/>
          <w:b/>
          <w:sz w:val="22"/>
        </w:rPr>
      </w:pPr>
    </w:p>
    <w:p>
      <w:pPr>
        <w:pStyle w:val="BodyText"/>
        <w:spacing w:line="360" w:lineRule="auto" w:before="193"/>
        <w:ind w:left="102" w:right="116"/>
        <w:jc w:val="both"/>
      </w:pPr>
      <w:r>
        <w:rPr/>
        <w:t>La evaluación de la habitabilidad de las viviendas a nivel municipal 2010, se realizó a través de cuatro dimensiones y dieciséis variables: servicios públicos (agua potable, energía eléctrica, drenaje, sanitario), materiales de construcción (piso de tierra) bienes de las viviendas (radio, televisor, refrigerador, lavadora, automóvil, computadora, teléfono, celular, internet) y la legalidad de las viviendas (viviendas con 1 cuarto y viviendas con 2</w:t>
      </w:r>
      <w:r>
        <w:rPr>
          <w:spacing w:val="-12"/>
        </w:rPr>
        <w:t> </w:t>
      </w:r>
      <w:r>
        <w:rPr/>
        <w:t>cuartos).</w:t>
      </w:r>
    </w:p>
    <w:p>
      <w:pPr>
        <w:pStyle w:val="BodyText"/>
      </w:pPr>
    </w:p>
    <w:p>
      <w:pPr>
        <w:pStyle w:val="BodyText"/>
        <w:spacing w:line="360" w:lineRule="auto" w:before="142"/>
        <w:ind w:left="102" w:right="116"/>
        <w:jc w:val="both"/>
      </w:pPr>
      <w:r>
        <w:rPr/>
        <w:t>La jerarquización de las 16 variables quedo de la siguiente manera: viviendas con dos cuartos, sin agua, sin energía eléctrica, con un cuarto, con piso de tierra, sin drenaje, sin sanitario, sin refrigerador, sin lavadora, sin auto, sin computadora, sin teléfono, sin celular, sin internet, sin televisión, sin radio. Las variables que no aparecen en el censo del 2010 son, viviendas particulares no propias, con techo inadecuado, con paredes inadecuadas, sin videocasetera sin boiler y viviendas rentadas.</w:t>
      </w:r>
    </w:p>
    <w:p>
      <w:pPr>
        <w:pStyle w:val="BodyText"/>
      </w:pPr>
    </w:p>
    <w:p>
      <w:pPr>
        <w:pStyle w:val="BodyText"/>
        <w:spacing w:line="360" w:lineRule="auto" w:before="142"/>
        <w:ind w:left="102" w:right="126"/>
        <w:jc w:val="both"/>
      </w:pPr>
      <w:r>
        <w:rPr/>
        <w:t>La evaluación de la habitabilidad de las viviendas por localidades de los quince municipios que integran la zona metropolitana para el año 2010 se llevo a cabo  por medio de cuatro dimensiones y dieciséis variables, evaluando un total de 547 localidades, en cinco rangos o niveles las cuales son alta habitabilidad, buena, media, baja y muy baja habitabilidad de las</w:t>
      </w:r>
      <w:r>
        <w:rPr>
          <w:spacing w:val="-26"/>
        </w:rPr>
        <w:t> </w:t>
      </w:r>
      <w:r>
        <w:rPr/>
        <w:t>viviendas.</w:t>
      </w:r>
    </w:p>
    <w:p>
      <w:pPr>
        <w:pStyle w:val="BodyText"/>
      </w:pPr>
    </w:p>
    <w:p>
      <w:pPr>
        <w:pStyle w:val="BodyText"/>
        <w:spacing w:line="360" w:lineRule="auto" w:before="142"/>
        <w:ind w:left="102" w:right="115"/>
        <w:jc w:val="both"/>
      </w:pPr>
      <w:r>
        <w:rPr/>
        <w:t>Encontramos solo 54 localidades con alta habitabilidad de sus viviendas, es decir, que estas viviendas cuentan con la mayor cobertura de servicios públicos, el piso no es de tierra, cuentan con el mayor número de bienes en las viviendas y cuentan con más de dos cuartos, el municipio de Toluca registró 13 localidades, Metepec y Lerma 10 localidades respectivamente, Zinacantepec 5 localidades, Calimaya 4 localidades, Almoloya de Juárez y Ocoyoacac 3 localidades cada municipio, Otzolotepec y Temoaya 2 localidades respectivamente, Chapultepec y San  Antonio</w:t>
      </w:r>
      <w:r>
        <w:rPr>
          <w:spacing w:val="54"/>
        </w:rPr>
        <w:t> </w:t>
      </w:r>
      <w:r>
        <w:rPr/>
        <w:t>la</w:t>
      </w:r>
      <w:r>
        <w:rPr>
          <w:spacing w:val="53"/>
        </w:rPr>
        <w:t> </w:t>
      </w:r>
      <w:r>
        <w:rPr/>
        <w:t>Isla</w:t>
      </w:r>
      <w:r>
        <w:rPr>
          <w:spacing w:val="53"/>
        </w:rPr>
        <w:t> </w:t>
      </w:r>
      <w:r>
        <w:rPr/>
        <w:t>1</w:t>
      </w:r>
      <w:r>
        <w:rPr>
          <w:spacing w:val="53"/>
        </w:rPr>
        <w:t> </w:t>
      </w:r>
      <w:r>
        <w:rPr/>
        <w:t>localidad,</w:t>
      </w:r>
      <w:r>
        <w:rPr>
          <w:spacing w:val="50"/>
        </w:rPr>
        <w:t> </w:t>
      </w:r>
      <w:r>
        <w:rPr/>
        <w:t>municipios</w:t>
      </w:r>
      <w:r>
        <w:rPr>
          <w:spacing w:val="53"/>
        </w:rPr>
        <w:t> </w:t>
      </w:r>
      <w:r>
        <w:rPr/>
        <w:t>como</w:t>
      </w:r>
      <w:r>
        <w:rPr>
          <w:spacing w:val="53"/>
        </w:rPr>
        <w:t> </w:t>
      </w:r>
      <w:r>
        <w:rPr/>
        <w:t>Mexicaltzingo,</w:t>
      </w:r>
      <w:r>
        <w:rPr>
          <w:spacing w:val="53"/>
        </w:rPr>
        <w:t> </w:t>
      </w:r>
      <w:r>
        <w:rPr/>
        <w:t>Rayón,</w:t>
      </w:r>
      <w:r>
        <w:rPr>
          <w:spacing w:val="53"/>
        </w:rPr>
        <w:t> </w:t>
      </w:r>
      <w:r>
        <w:rPr/>
        <w:t>San</w:t>
      </w:r>
      <w:r>
        <w:rPr>
          <w:spacing w:val="53"/>
        </w:rPr>
        <w:t> </w:t>
      </w:r>
      <w:r>
        <w:rPr/>
        <w:t>Mateo</w:t>
      </w:r>
    </w:p>
    <w:p>
      <w:pPr>
        <w:spacing w:after="0" w:line="360" w:lineRule="auto"/>
        <w:jc w:val="both"/>
        <w:sectPr>
          <w:pgSz w:w="12240" w:h="15840"/>
          <w:pgMar w:header="0" w:footer="1003" w:top="1360" w:bottom="1200" w:left="1600" w:right="1580"/>
        </w:sectPr>
      </w:pPr>
    </w:p>
    <w:p>
      <w:pPr>
        <w:pStyle w:val="BodyText"/>
        <w:spacing w:line="360" w:lineRule="auto" w:before="54"/>
        <w:ind w:left="102" w:right="125"/>
        <w:jc w:val="both"/>
      </w:pPr>
      <w:r>
        <w:rPr/>
        <w:t>Atenco y Xonacatlán no registraron localidades con alta habitabilidad para sus viviendas.</w:t>
      </w:r>
    </w:p>
    <w:p>
      <w:pPr>
        <w:pStyle w:val="BodyText"/>
      </w:pPr>
    </w:p>
    <w:p>
      <w:pPr>
        <w:spacing w:before="141"/>
        <w:ind w:left="193" w:right="214" w:firstLine="0"/>
        <w:jc w:val="center"/>
        <w:rPr>
          <w:sz w:val="20"/>
        </w:rPr>
      </w:pPr>
      <w:r>
        <w:rPr/>
        <w:pict>
          <v:group style="position:absolute;margin-left:96.683769pt;margin-top:29.874952pt;width:430.7pt;height:264.4pt;mso-position-horizontal-relative:page;mso-position-vertical-relative:paragraph;z-index:-330592" coordorigin="1934,597" coordsize="8614,5288">
            <v:shape style="position:absolute;left:254;top:3974;width:9116;height:5594" coordorigin="254,3974" coordsize="9116,5594" path="m6034,605l5917,605,5802,606,5687,607,5573,608,5460,610,5348,612,5237,615,5127,618,5018,621,4910,625,4803,629,4698,633,4594,638,4492,643,4390,648,4290,654,4192,660,4095,667,4000,673,3906,680,3814,688,3723,695,3634,703,3547,712,3462,720,3379,729,3297,738,3217,747,3140,757,3064,766,2991,777,2919,787,2850,797,2783,808,2718,819,2655,830,2595,842,2537,854,2482,865,2429,878,2378,890,2330,902,2285,915,2242,928,2202,941,2164,954,2129,967,2097,981,2068,994,2042,1008,2019,1022,1998,1036,1981,1050,1967,1064,1956,1079,1948,1093,1943,1108,1941,1123,1943,1138,1948,1152,1956,1167,1967,1181,1981,1195,1998,1210,2019,1224,2042,1238,2068,1251,2097,1265,2129,1279,2164,1292,2202,1305,2242,1318,2285,1331,2330,1343,2378,1356,2429,1368,2482,1380,2537,1392,2595,1404,2655,1415,2718,1427,2783,1438,2850,1448,2919,1459,2991,1469,3064,1479,3140,1489,3217,1499,3297,1508,3379,1517,3462,1526,3547,1534,3634,1542,3723,1550,3814,1558,3906,1565,4000,1572,4095,1579,4192,1586,4290,1592,4390,1597,4492,1603,4594,1608,4698,1613,4803,1617,4910,1621,5018,1625,5127,1628,5237,1631,5348,1634,5460,1636,5573,1638,5687,1639,5802,1640,5917,1641,6034,1641,6150,1641,6266,1640,6381,1639,6495,1638,6608,1636,6720,1634,6831,1631,6941,1628,7050,1625,7158,1621,7264,1617,7369,1613,7473,1608,7576,1603,7677,1597,7777,1592,7876,1586,7973,1579,8068,1572,8162,1565,8254,1558,8344,1550,8433,1542,8520,1534,8606,1526,8689,1517,8770,1508,8850,1499,8928,1489,9003,1479,9077,1469,9148,1459,9218,1448,9285,1438,9350,1427,9412,1415,9472,1404,9530,1392,9586,1380,9639,1368,9689,1356,9738,1343,9783,1331,9826,1318,9866,1305,9903,1292,9938,1279,9970,1265,9999,1251,10025,1238,10049,1224,10069,1210,10086,1195,10101,1181,10112,1167,10120,1152,10125,1138,10126,1123,10125,1108,10120,1093,10112,1079,10101,1064,10086,1050,10069,1036,10049,1022,10025,1008,9999,994,9970,981,9938,967,9903,954,9866,941,9826,928,9783,915,9738,902,9689,890,9639,878,9586,865,9530,854,9472,842,9412,830,9350,819,9285,808,9218,797,9148,787,9077,777,9003,766,8928,757,8850,747,8770,738,8689,729,8606,720,8520,712,8433,703,8344,695,8254,688,8162,680,8068,673,7973,667,7876,660,7777,654,7677,648,7576,643,7473,638,7369,633,7264,629,7158,625,7050,621,6941,618,6831,615,6720,612,6608,610,6495,608,6381,607,6266,606,6150,605,6034,605xm5922,1641l5934,1947m2816,1948l9429,1948m2010,2622l1984,2627,1963,2641,1948,2662,1943,2688,1943,2954,1948,2980,1963,3001,1984,3015,2010,3021,3895,3021,3921,3015,3942,3001,3956,2980,3962,2954,3962,2688,3956,2662,3942,2641,3921,2627,3895,2622,2010,2622xm4145,2561l4097,2570,4059,2596,4032,2635,4023,2683,4023,3170,4032,3217,4059,3256,4097,3282,4145,3292,6025,3292,6072,3282,6111,3256,6137,3217,6147,3170,6147,2683,6137,2635,6111,2596,6072,2570,6025,2561,4145,2561xm2816,1947l2816,2622m5001,1947l5012,2561m6353,2561l6305,2570,6267,2596,6240,2635,6231,2683,6231,3170,6240,3217,6267,3256,6305,3282,6353,3292,8233,3292,8280,3282,8319,3256,8345,3217,8355,3170,8355,2683,8345,2635,8319,2596,8280,2570,8233,2561,6353,2561xm8537,2561l8490,2570,8451,2596,8425,2635,8415,2683,8415,3170,8425,3217,8451,3256,8490,3282,8537,3292,10417,3292,10465,3282,10504,3256,10530,3217,10539,3170,10539,2683,10530,2635,10504,2596,10465,2570,10417,2561,8537,2561xm7245,1948l7256,2562m9429,1947l9441,2561m2010,3649l1984,3654,1963,3669,1948,3690,1943,3716,1943,3981,1948,4007,1963,4028,1984,4043,2010,4048,3895,4048,3921,4043,3942,4028,3956,4007,3962,3981,3962,3716,3956,3690,3942,3669,3921,3654,3895,3649,2010,3649xm2816,3021l2816,3649m4195,3649l4169,3654,4148,3669,4134,3690,4128,3716,4128,3981,4134,4007,4148,4028,4169,4043,4195,4048,6081,4048,6106,4043,6127,4028,6142,4007,6147,3981,6147,3716,6142,3690,6127,3669,6106,3654,6081,3649,4195,3649xm5012,3292l5012,3649m8587,3649l8562,3654,8540,3669,8526,3690,8521,3716,8521,3981,8526,4007,8540,4028,8562,4043,8587,4048,10473,4048,10499,4043,10520,4028,10534,4007,10539,3981,10539,3716,10534,3690,10520,3669,10499,3654,10473,3649,8587,3649xm9441,3292l9441,3649m2010,4274l1984,4279,1963,4294,1948,4315,1943,4340,1943,4606,1948,4632,1963,4653,1984,4668,2010,4673,3895,4673,3921,4668,3942,4653,3956,4632,3962,4606,3962,4340,3956,4315,3942,4294,3921,4279,3895,4274,2010,4274xm2816,4048l2816,4274m8587,4274l8562,4279,8540,4294,8526,4315,8521,4340,8521,4606,8526,4632,8540,4653,8562,4668,8587,4673,10473,4673,10499,4668,10520,4653,10534,4632,10539,4606,10539,4340,10534,4315,10520,4294,10499,4279,10473,4274,8587,4274xm9441,4048l9441,4274m2010,4889l1984,4894,1963,4908,1948,4929,1943,4955,1943,5221,1948,5247,1963,5268,1984,5282,2010,5287,3895,5287,3921,5282,3942,5268,3956,5247,3962,5221,3962,4955,3956,4929,3942,4908,3921,4894,3895,4889,2010,4889xm2816,4662l2816,4889m2010,5479l1984,5484,1963,5498,1948,5519,1943,5545,1943,5811,1948,5837,1963,5858,1984,5872,2010,5877,3895,5877,3921,5872,3942,5858,3956,5837,3962,5811,3962,5545,3956,5519,3942,5498,3921,5484,3895,5479,2010,5479xm2816,5287l2816,5513e" filled="false" stroked="true" strokeweight=".707134pt" strokecolor="#000000">
              <v:path arrowok="t"/>
            </v:shape>
            <v:shape style="position:absolute;left:2195;top:1024;width:7353;height:227" type="#_x0000_t202" filled="false" stroked="false">
              <v:textbox inset="0,0,0,0">
                <w:txbxContent>
                  <w:p>
                    <w:pPr>
                      <w:spacing w:line="226" w:lineRule="exact" w:before="0"/>
                      <w:ind w:left="0" w:right="0" w:firstLine="0"/>
                      <w:jc w:val="left"/>
                      <w:rPr>
                        <w:b/>
                        <w:sz w:val="22"/>
                      </w:rPr>
                    </w:pPr>
                    <w:r>
                      <w:rPr>
                        <w:b/>
                        <w:w w:val="105"/>
                        <w:sz w:val="22"/>
                      </w:rPr>
                      <w:t>La</w:t>
                    </w:r>
                    <w:r>
                      <w:rPr>
                        <w:b/>
                        <w:spacing w:val="-18"/>
                        <w:w w:val="105"/>
                        <w:sz w:val="22"/>
                      </w:rPr>
                      <w:t> </w:t>
                    </w:r>
                    <w:r>
                      <w:rPr>
                        <w:b/>
                        <w:w w:val="105"/>
                        <w:sz w:val="22"/>
                      </w:rPr>
                      <w:t>habitabilidad</w:t>
                    </w:r>
                    <w:r>
                      <w:rPr>
                        <w:b/>
                        <w:spacing w:val="-21"/>
                        <w:w w:val="105"/>
                        <w:sz w:val="22"/>
                      </w:rPr>
                      <w:t> </w:t>
                    </w:r>
                    <w:r>
                      <w:rPr>
                        <w:b/>
                        <w:w w:val="105"/>
                        <w:sz w:val="22"/>
                      </w:rPr>
                      <w:t>de</w:t>
                    </w:r>
                    <w:r>
                      <w:rPr>
                        <w:b/>
                        <w:spacing w:val="-18"/>
                        <w:w w:val="105"/>
                        <w:sz w:val="22"/>
                      </w:rPr>
                      <w:t> </w:t>
                    </w:r>
                    <w:r>
                      <w:rPr>
                        <w:b/>
                        <w:w w:val="105"/>
                        <w:sz w:val="22"/>
                      </w:rPr>
                      <w:t>las</w:t>
                    </w:r>
                    <w:r>
                      <w:rPr>
                        <w:b/>
                        <w:spacing w:val="-18"/>
                        <w:w w:val="105"/>
                        <w:sz w:val="22"/>
                      </w:rPr>
                      <w:t> </w:t>
                    </w:r>
                    <w:r>
                      <w:rPr>
                        <w:b/>
                        <w:w w:val="105"/>
                        <w:sz w:val="22"/>
                      </w:rPr>
                      <w:t>viviendas</w:t>
                    </w:r>
                    <w:r>
                      <w:rPr>
                        <w:b/>
                        <w:spacing w:val="-18"/>
                        <w:w w:val="105"/>
                        <w:sz w:val="22"/>
                      </w:rPr>
                      <w:t> </w:t>
                    </w:r>
                    <w:r>
                      <w:rPr>
                        <w:b/>
                        <w:w w:val="105"/>
                        <w:sz w:val="22"/>
                      </w:rPr>
                      <w:t>en</w:t>
                    </w:r>
                    <w:r>
                      <w:rPr>
                        <w:b/>
                        <w:spacing w:val="-21"/>
                        <w:w w:val="105"/>
                        <w:sz w:val="22"/>
                      </w:rPr>
                      <w:t> </w:t>
                    </w:r>
                    <w:r>
                      <w:rPr>
                        <w:b/>
                        <w:w w:val="105"/>
                        <w:sz w:val="22"/>
                      </w:rPr>
                      <w:t>la</w:t>
                    </w:r>
                    <w:r>
                      <w:rPr>
                        <w:b/>
                        <w:spacing w:val="-18"/>
                        <w:w w:val="105"/>
                        <w:sz w:val="22"/>
                      </w:rPr>
                      <w:t> </w:t>
                    </w:r>
                    <w:r>
                      <w:rPr>
                        <w:b/>
                        <w:w w:val="105"/>
                        <w:sz w:val="22"/>
                      </w:rPr>
                      <w:t>zona</w:t>
                    </w:r>
                    <w:r>
                      <w:rPr>
                        <w:b/>
                        <w:spacing w:val="-18"/>
                        <w:w w:val="105"/>
                        <w:sz w:val="22"/>
                      </w:rPr>
                      <w:t> </w:t>
                    </w:r>
                    <w:r>
                      <w:rPr>
                        <w:b/>
                        <w:w w:val="105"/>
                        <w:sz w:val="22"/>
                      </w:rPr>
                      <w:t>metropolitana</w:t>
                    </w:r>
                    <w:r>
                      <w:rPr>
                        <w:b/>
                        <w:spacing w:val="-18"/>
                        <w:w w:val="105"/>
                        <w:sz w:val="22"/>
                      </w:rPr>
                      <w:t> </w:t>
                    </w:r>
                    <w:r>
                      <w:rPr>
                        <w:b/>
                        <w:w w:val="105"/>
                        <w:sz w:val="22"/>
                      </w:rPr>
                      <w:t>de</w:t>
                    </w:r>
                    <w:r>
                      <w:rPr>
                        <w:b/>
                        <w:spacing w:val="-21"/>
                        <w:w w:val="105"/>
                        <w:sz w:val="22"/>
                      </w:rPr>
                      <w:t> </w:t>
                    </w:r>
                    <w:r>
                      <w:rPr>
                        <w:b/>
                        <w:w w:val="105"/>
                        <w:sz w:val="22"/>
                      </w:rPr>
                      <w:t>Toluca</w:t>
                    </w:r>
                  </w:p>
                </w:txbxContent>
              </v:textbox>
              <w10:wrap type="none"/>
            </v:shape>
            <v:shape style="position:absolute;left:2123;top:2753;width:1662;height:227" type="#_x0000_t202" filled="false" stroked="false">
              <v:textbox inset="0,0,0,0">
                <w:txbxContent>
                  <w:p>
                    <w:pPr>
                      <w:spacing w:line="226" w:lineRule="exact" w:before="0"/>
                      <w:ind w:left="0" w:right="0" w:firstLine="0"/>
                      <w:jc w:val="left"/>
                      <w:rPr>
                        <w:rFonts w:ascii="Calibri" w:hAnsi="Calibri"/>
                        <w:b/>
                        <w:sz w:val="22"/>
                      </w:rPr>
                    </w:pPr>
                    <w:r>
                      <w:rPr>
                        <w:rFonts w:ascii="Calibri" w:hAnsi="Calibri"/>
                        <w:b/>
                        <w:sz w:val="22"/>
                      </w:rPr>
                      <w:t>Servicios Públicos</w:t>
                    </w:r>
                  </w:p>
                </w:txbxContent>
              </v:textbox>
              <w10:wrap type="none"/>
            </v:shape>
            <v:shape style="position:absolute;left:4442;top:2712;width:1295;height:503" type="#_x0000_t202" filled="false" stroked="false">
              <v:textbox inset="0,0,0,0">
                <w:txbxContent>
                  <w:p>
                    <w:pPr>
                      <w:spacing w:line="229" w:lineRule="exact" w:before="0"/>
                      <w:ind w:left="36" w:right="-14" w:hanging="37"/>
                      <w:jc w:val="left"/>
                      <w:rPr>
                        <w:rFonts w:ascii="Calibri"/>
                        <w:b/>
                        <w:sz w:val="22"/>
                      </w:rPr>
                    </w:pPr>
                    <w:r>
                      <w:rPr>
                        <w:rFonts w:ascii="Calibri"/>
                        <w:b/>
                        <w:w w:val="105"/>
                        <w:sz w:val="22"/>
                      </w:rPr>
                      <w:t>Materiales</w:t>
                    </w:r>
                    <w:r>
                      <w:rPr>
                        <w:rFonts w:ascii="Calibri"/>
                        <w:b/>
                        <w:spacing w:val="-33"/>
                        <w:w w:val="105"/>
                        <w:sz w:val="22"/>
                      </w:rPr>
                      <w:t> </w:t>
                    </w:r>
                    <w:r>
                      <w:rPr>
                        <w:rFonts w:ascii="Calibri"/>
                        <w:b/>
                        <w:w w:val="105"/>
                        <w:sz w:val="22"/>
                      </w:rPr>
                      <w:t>de</w:t>
                    </w:r>
                  </w:p>
                  <w:p>
                    <w:pPr>
                      <w:spacing w:line="266" w:lineRule="exact" w:before="7"/>
                      <w:ind w:left="36" w:right="-14" w:firstLine="0"/>
                      <w:jc w:val="left"/>
                      <w:rPr>
                        <w:rFonts w:ascii="Calibri" w:hAnsi="Calibri"/>
                        <w:b/>
                        <w:sz w:val="22"/>
                      </w:rPr>
                    </w:pPr>
                    <w:r>
                      <w:rPr>
                        <w:rFonts w:ascii="Calibri" w:hAnsi="Calibri"/>
                        <w:b/>
                        <w:sz w:val="22"/>
                      </w:rPr>
                      <w:t>Construcción</w:t>
                    </w:r>
                  </w:p>
                </w:txbxContent>
              </v:textbox>
              <w10:wrap type="none"/>
            </v:shape>
            <v:shape style="position:absolute;left:6688;top:2712;width:1214;height:503" type="#_x0000_t202" filled="false" stroked="false">
              <v:textbox inset="0,0,0,0">
                <w:txbxContent>
                  <w:p>
                    <w:pPr>
                      <w:spacing w:line="229" w:lineRule="exact" w:before="0"/>
                      <w:ind w:left="-1" w:right="0" w:firstLine="0"/>
                      <w:jc w:val="center"/>
                      <w:rPr>
                        <w:rFonts w:ascii="Calibri"/>
                        <w:b/>
                        <w:sz w:val="22"/>
                      </w:rPr>
                    </w:pPr>
                    <w:r>
                      <w:rPr>
                        <w:rFonts w:ascii="Calibri"/>
                        <w:b/>
                        <w:w w:val="105"/>
                        <w:sz w:val="22"/>
                      </w:rPr>
                      <w:t>Bienes de</w:t>
                    </w:r>
                    <w:r>
                      <w:rPr>
                        <w:rFonts w:ascii="Calibri"/>
                        <w:b/>
                        <w:spacing w:val="-33"/>
                        <w:w w:val="105"/>
                        <w:sz w:val="22"/>
                      </w:rPr>
                      <w:t> </w:t>
                    </w:r>
                    <w:r>
                      <w:rPr>
                        <w:rFonts w:ascii="Calibri"/>
                        <w:b/>
                        <w:w w:val="105"/>
                        <w:sz w:val="22"/>
                      </w:rPr>
                      <w:t>las</w:t>
                    </w:r>
                  </w:p>
                  <w:p>
                    <w:pPr>
                      <w:spacing w:line="266" w:lineRule="exact" w:before="7"/>
                      <w:ind w:left="0" w:right="1" w:firstLine="0"/>
                      <w:jc w:val="center"/>
                      <w:rPr>
                        <w:rFonts w:ascii="Calibri"/>
                        <w:b/>
                        <w:sz w:val="22"/>
                      </w:rPr>
                    </w:pPr>
                    <w:r>
                      <w:rPr>
                        <w:rFonts w:ascii="Calibri"/>
                        <w:b/>
                        <w:w w:val="105"/>
                        <w:sz w:val="22"/>
                      </w:rPr>
                      <w:t>Viviendas</w:t>
                    </w:r>
                  </w:p>
                </w:txbxContent>
              </v:textbox>
              <w10:wrap type="none"/>
            </v:shape>
            <v:shape style="position:absolute;left:8735;top:2712;width:1488;height:503" type="#_x0000_t202" filled="false" stroked="false">
              <v:textbox inset="0,0,0,0">
                <w:txbxContent>
                  <w:p>
                    <w:pPr>
                      <w:spacing w:line="229" w:lineRule="exact" w:before="0"/>
                      <w:ind w:left="0" w:right="0" w:firstLine="0"/>
                      <w:jc w:val="center"/>
                      <w:rPr>
                        <w:rFonts w:ascii="Calibri"/>
                        <w:b/>
                        <w:sz w:val="22"/>
                      </w:rPr>
                    </w:pPr>
                    <w:r>
                      <w:rPr>
                        <w:rFonts w:ascii="Calibri"/>
                        <w:b/>
                        <w:w w:val="105"/>
                        <w:sz w:val="22"/>
                      </w:rPr>
                      <w:t>Legalidad de</w:t>
                    </w:r>
                    <w:r>
                      <w:rPr>
                        <w:rFonts w:ascii="Calibri"/>
                        <w:b/>
                        <w:spacing w:val="-39"/>
                        <w:w w:val="105"/>
                        <w:sz w:val="22"/>
                      </w:rPr>
                      <w:t> </w:t>
                    </w:r>
                    <w:r>
                      <w:rPr>
                        <w:rFonts w:ascii="Calibri"/>
                        <w:b/>
                        <w:w w:val="105"/>
                        <w:sz w:val="22"/>
                      </w:rPr>
                      <w:t>las</w:t>
                    </w:r>
                  </w:p>
                  <w:p>
                    <w:pPr>
                      <w:spacing w:line="266" w:lineRule="exact" w:before="7"/>
                      <w:ind w:left="4" w:right="0" w:firstLine="0"/>
                      <w:jc w:val="center"/>
                      <w:rPr>
                        <w:rFonts w:ascii="Calibri"/>
                        <w:b/>
                        <w:sz w:val="22"/>
                      </w:rPr>
                    </w:pPr>
                    <w:r>
                      <w:rPr>
                        <w:rFonts w:ascii="Calibri"/>
                        <w:b/>
                        <w:w w:val="105"/>
                        <w:sz w:val="22"/>
                      </w:rPr>
                      <w:t>Viviendas</w:t>
                    </w:r>
                  </w:p>
                </w:txbxContent>
              </v:textbox>
              <w10:wrap type="none"/>
            </v:shape>
            <v:shape style="position:absolute;left:2344;top:3780;width:1218;height:227" type="#_x0000_t202" filled="false" stroked="false">
              <v:textbox inset="0,0,0,0">
                <w:txbxContent>
                  <w:p>
                    <w:pPr>
                      <w:spacing w:line="226" w:lineRule="exact" w:before="0"/>
                      <w:ind w:left="0" w:right="-16" w:firstLine="0"/>
                      <w:jc w:val="left"/>
                      <w:rPr>
                        <w:rFonts w:ascii="Calibri"/>
                        <w:sz w:val="22"/>
                      </w:rPr>
                    </w:pPr>
                    <w:r>
                      <w:rPr>
                        <w:rFonts w:ascii="Calibri"/>
                        <w:w w:val="105"/>
                        <w:sz w:val="22"/>
                      </w:rPr>
                      <w:t>Agua</w:t>
                    </w:r>
                    <w:r>
                      <w:rPr>
                        <w:rFonts w:ascii="Calibri"/>
                        <w:spacing w:val="-32"/>
                        <w:w w:val="105"/>
                        <w:sz w:val="22"/>
                      </w:rPr>
                      <w:t> </w:t>
                    </w:r>
                    <w:r>
                      <w:rPr>
                        <w:rFonts w:ascii="Calibri"/>
                        <w:w w:val="105"/>
                        <w:sz w:val="22"/>
                      </w:rPr>
                      <w:t>Potable</w:t>
                    </w:r>
                  </w:p>
                </w:txbxContent>
              </v:textbox>
              <w10:wrap type="none"/>
            </v:shape>
            <v:shape style="position:absolute;left:4510;top:3780;width:1250;height:227" type="#_x0000_t202" filled="false" stroked="false">
              <v:textbox inset="0,0,0,0">
                <w:txbxContent>
                  <w:p>
                    <w:pPr>
                      <w:spacing w:line="226" w:lineRule="exact" w:before="0"/>
                      <w:ind w:left="0" w:right="-13" w:firstLine="0"/>
                      <w:jc w:val="left"/>
                      <w:rPr>
                        <w:rFonts w:ascii="Calibri"/>
                        <w:sz w:val="22"/>
                      </w:rPr>
                    </w:pPr>
                    <w:r>
                      <w:rPr>
                        <w:rFonts w:ascii="Calibri"/>
                        <w:w w:val="105"/>
                        <w:sz w:val="22"/>
                      </w:rPr>
                      <w:t>Piso de</w:t>
                    </w:r>
                    <w:r>
                      <w:rPr>
                        <w:rFonts w:ascii="Calibri"/>
                        <w:spacing w:val="-35"/>
                        <w:w w:val="105"/>
                        <w:sz w:val="22"/>
                      </w:rPr>
                      <w:t> </w:t>
                    </w:r>
                    <w:r>
                      <w:rPr>
                        <w:rFonts w:ascii="Calibri"/>
                        <w:w w:val="105"/>
                        <w:sz w:val="22"/>
                      </w:rPr>
                      <w:t>Tierra</w:t>
                    </w:r>
                  </w:p>
                </w:txbxContent>
              </v:textbox>
              <w10:wrap type="none"/>
            </v:shape>
            <v:shape style="position:absolute;left:8957;top:3780;width:1151;height:227" type="#_x0000_t202" filled="false" stroked="false">
              <v:textbox inset="0,0,0,0">
                <w:txbxContent>
                  <w:p>
                    <w:pPr>
                      <w:spacing w:line="226" w:lineRule="exact" w:before="0"/>
                      <w:ind w:left="0" w:right="-14" w:firstLine="0"/>
                      <w:jc w:val="left"/>
                      <w:rPr>
                        <w:rFonts w:ascii="Calibri"/>
                        <w:sz w:val="22"/>
                      </w:rPr>
                    </w:pPr>
                    <w:r>
                      <w:rPr>
                        <w:rFonts w:ascii="Calibri"/>
                        <w:w w:val="105"/>
                        <w:sz w:val="22"/>
                      </w:rPr>
                      <w:t>Viv. 1</w:t>
                    </w:r>
                    <w:r>
                      <w:rPr>
                        <w:rFonts w:ascii="Calibri"/>
                        <w:spacing w:val="-33"/>
                        <w:w w:val="105"/>
                        <w:sz w:val="22"/>
                      </w:rPr>
                      <w:t> </w:t>
                    </w:r>
                    <w:r>
                      <w:rPr>
                        <w:rFonts w:ascii="Calibri"/>
                        <w:w w:val="105"/>
                        <w:sz w:val="22"/>
                      </w:rPr>
                      <w:t>cuarto</w:t>
                    </w:r>
                  </w:p>
                </w:txbxContent>
              </v:textbox>
              <w10:wrap type="none"/>
            </v:shape>
            <v:shape style="position:absolute;left:2191;top:4405;width:1516;height:227" type="#_x0000_t202" filled="false" stroked="false">
              <v:textbox inset="0,0,0,0">
                <w:txbxContent>
                  <w:p>
                    <w:pPr>
                      <w:spacing w:line="226" w:lineRule="exact" w:before="0"/>
                      <w:ind w:left="0" w:right="0" w:firstLine="0"/>
                      <w:jc w:val="left"/>
                      <w:rPr>
                        <w:rFonts w:ascii="Calibri" w:hAnsi="Calibri"/>
                        <w:sz w:val="22"/>
                      </w:rPr>
                    </w:pPr>
                    <w:r>
                      <w:rPr>
                        <w:rFonts w:ascii="Calibri" w:hAnsi="Calibri"/>
                        <w:sz w:val="22"/>
                      </w:rPr>
                      <w:t>Energía Eléctrica</w:t>
                    </w:r>
                  </w:p>
                </w:txbxContent>
              </v:textbox>
              <w10:wrap type="none"/>
            </v:shape>
            <v:shape style="position:absolute;left:8912;top:4405;width:1238;height:227" type="#_x0000_t202" filled="false" stroked="false">
              <v:textbox inset="0,0,0,0">
                <w:txbxContent>
                  <w:p>
                    <w:pPr>
                      <w:spacing w:line="226" w:lineRule="exact" w:before="0"/>
                      <w:ind w:left="0" w:right="-14" w:firstLine="0"/>
                      <w:jc w:val="left"/>
                      <w:rPr>
                        <w:rFonts w:ascii="Calibri"/>
                        <w:sz w:val="22"/>
                      </w:rPr>
                    </w:pPr>
                    <w:r>
                      <w:rPr>
                        <w:rFonts w:ascii="Calibri"/>
                        <w:w w:val="105"/>
                        <w:sz w:val="22"/>
                      </w:rPr>
                      <w:t>Viv. 2</w:t>
                    </w:r>
                    <w:r>
                      <w:rPr>
                        <w:rFonts w:ascii="Calibri"/>
                        <w:spacing w:val="-37"/>
                        <w:w w:val="105"/>
                        <w:sz w:val="22"/>
                      </w:rPr>
                      <w:t> </w:t>
                    </w:r>
                    <w:r>
                      <w:rPr>
                        <w:rFonts w:ascii="Calibri"/>
                        <w:w w:val="105"/>
                        <w:sz w:val="22"/>
                      </w:rPr>
                      <w:t>cuartos</w:t>
                    </w:r>
                  </w:p>
                </w:txbxContent>
              </v:textbox>
              <w10:wrap type="none"/>
            </v:shape>
            <v:shape style="position:absolute;left:2544;top:5021;width:817;height:820" type="#_x0000_t202" filled="false" stroked="false">
              <v:textbox inset="0,0,0,0">
                <w:txbxContent>
                  <w:p>
                    <w:pPr>
                      <w:spacing w:line="229" w:lineRule="exact" w:before="0"/>
                      <w:ind w:left="0" w:right="0" w:firstLine="45"/>
                      <w:jc w:val="left"/>
                      <w:rPr>
                        <w:rFonts w:ascii="Calibri"/>
                        <w:sz w:val="22"/>
                      </w:rPr>
                    </w:pPr>
                    <w:r>
                      <w:rPr>
                        <w:rFonts w:ascii="Calibri"/>
                        <w:w w:val="105"/>
                        <w:sz w:val="22"/>
                      </w:rPr>
                      <w:t>Drenaje</w:t>
                    </w:r>
                  </w:p>
                  <w:p>
                    <w:pPr>
                      <w:spacing w:line="240" w:lineRule="auto" w:before="2"/>
                      <w:rPr>
                        <w:sz w:val="28"/>
                      </w:rPr>
                    </w:pPr>
                  </w:p>
                  <w:p>
                    <w:pPr>
                      <w:spacing w:line="266" w:lineRule="exact" w:before="0"/>
                      <w:ind w:left="0" w:right="0" w:firstLine="0"/>
                      <w:jc w:val="left"/>
                      <w:rPr>
                        <w:rFonts w:ascii="Calibri"/>
                        <w:sz w:val="22"/>
                      </w:rPr>
                    </w:pPr>
                    <w:r>
                      <w:rPr>
                        <w:rFonts w:ascii="Calibri"/>
                        <w:sz w:val="22"/>
                      </w:rPr>
                      <w:t>Sanitario</w:t>
                    </w:r>
                  </w:p>
                </w:txbxContent>
              </v:textbox>
              <w10:wrap type="none"/>
            </v:shape>
            <w10:wrap type="none"/>
          </v:group>
        </w:pict>
      </w:r>
      <w:r>
        <w:rPr>
          <w:sz w:val="20"/>
        </w:rPr>
        <w:t>Figura No. 5 Evaluación de la habitabilidad de las viviendas en la </w:t>
      </w:r>
      <w:r>
        <w:rPr>
          <w:sz w:val="16"/>
        </w:rPr>
        <w:t>ZMT</w:t>
      </w:r>
      <w:r>
        <w:rPr>
          <w:sz w:val="20"/>
        </w:rPr>
        <w:t>, 2010 por medio de sus dimensiones y variables.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3"/>
        </w:rPr>
      </w:pPr>
    </w:p>
    <w:tbl>
      <w:tblPr>
        <w:tblW w:w="0" w:type="auto"/>
        <w:jc w:val="left"/>
        <w:tblInd w:w="476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39"/>
        <w:gridCol w:w="1080"/>
      </w:tblGrid>
      <w:tr>
        <w:trPr>
          <w:trHeight w:val="357" w:hRule="exact"/>
        </w:trPr>
        <w:tc>
          <w:tcPr>
            <w:tcW w:w="939" w:type="dxa"/>
            <w:tcBorders>
              <w:bottom w:val="single" w:sz="6" w:space="0" w:color="000000"/>
              <w:right w:val="single" w:sz="6" w:space="0" w:color="000000"/>
            </w:tcBorders>
          </w:tcPr>
          <w:p>
            <w:pPr/>
          </w:p>
        </w:tc>
        <w:tc>
          <w:tcPr>
            <w:tcW w:w="1080"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right w:val="single" w:sz="6" w:space="0" w:color="000000"/>
            </w:tcBorders>
          </w:tcPr>
          <w:p>
            <w:pPr>
              <w:pStyle w:val="TableParagraph"/>
              <w:spacing w:before="84"/>
              <w:ind w:left="573" w:right="645"/>
              <w:jc w:val="center"/>
              <w:rPr>
                <w:sz w:val="22"/>
              </w:rPr>
            </w:pPr>
            <w:r>
              <w:rPr>
                <w:w w:val="105"/>
                <w:sz w:val="22"/>
              </w:rPr>
              <w:t>Radio</w:t>
            </w:r>
          </w:p>
        </w:tc>
      </w:tr>
      <w:tr>
        <w:trPr>
          <w:trHeight w:val="226" w:hRule="exact"/>
        </w:trPr>
        <w:tc>
          <w:tcPr>
            <w:tcW w:w="939" w:type="dxa"/>
            <w:tcBorders>
              <w:bottom w:val="single" w:sz="6" w:space="0" w:color="000000"/>
              <w:right w:val="single" w:sz="6" w:space="0" w:color="000000"/>
            </w:tcBorders>
          </w:tcPr>
          <w:p>
            <w:pPr/>
          </w:p>
        </w:tc>
        <w:tc>
          <w:tcPr>
            <w:tcW w:w="1080"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right w:val="single" w:sz="6" w:space="0" w:color="000000"/>
            </w:tcBorders>
          </w:tcPr>
          <w:p>
            <w:pPr>
              <w:pStyle w:val="TableParagraph"/>
              <w:spacing w:before="84"/>
              <w:ind w:left="555"/>
              <w:rPr>
                <w:sz w:val="22"/>
              </w:rPr>
            </w:pPr>
            <w:r>
              <w:rPr>
                <w:w w:val="105"/>
                <w:sz w:val="22"/>
              </w:rPr>
              <w:t>Televisor</w:t>
            </w:r>
          </w:p>
        </w:tc>
      </w:tr>
      <w:tr>
        <w:trPr>
          <w:trHeight w:val="216" w:hRule="exact"/>
        </w:trPr>
        <w:tc>
          <w:tcPr>
            <w:tcW w:w="939" w:type="dxa"/>
            <w:tcBorders>
              <w:bottom w:val="single" w:sz="6" w:space="0" w:color="000000"/>
              <w:right w:val="single" w:sz="6" w:space="0" w:color="000000"/>
            </w:tcBorders>
          </w:tcPr>
          <w:p>
            <w:pPr/>
          </w:p>
        </w:tc>
        <w:tc>
          <w:tcPr>
            <w:tcW w:w="1080"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right w:val="single" w:sz="6" w:space="0" w:color="000000"/>
            </w:tcBorders>
          </w:tcPr>
          <w:p>
            <w:pPr>
              <w:pStyle w:val="TableParagraph"/>
              <w:spacing w:before="85"/>
              <w:ind w:left="387"/>
              <w:rPr>
                <w:sz w:val="22"/>
              </w:rPr>
            </w:pPr>
            <w:r>
              <w:rPr>
                <w:w w:val="105"/>
                <w:sz w:val="22"/>
              </w:rPr>
              <w:t>Refrigerador</w:t>
            </w:r>
          </w:p>
        </w:tc>
      </w:tr>
      <w:tr>
        <w:trPr>
          <w:trHeight w:val="191" w:hRule="exact"/>
        </w:trPr>
        <w:tc>
          <w:tcPr>
            <w:tcW w:w="939" w:type="dxa"/>
            <w:tcBorders>
              <w:bottom w:val="single" w:sz="6" w:space="0" w:color="000000"/>
              <w:right w:val="single" w:sz="6" w:space="0" w:color="000000"/>
            </w:tcBorders>
          </w:tcPr>
          <w:p>
            <w:pPr/>
          </w:p>
        </w:tc>
        <w:tc>
          <w:tcPr>
            <w:tcW w:w="1080"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left w:val="single" w:sz="6" w:space="0" w:color="000000"/>
            </w:tcBorders>
          </w:tcPr>
          <w:p>
            <w:pPr>
              <w:pStyle w:val="TableParagraph"/>
              <w:spacing w:before="88"/>
              <w:ind w:left="603"/>
              <w:rPr>
                <w:sz w:val="22"/>
              </w:rPr>
            </w:pPr>
            <w:r>
              <w:rPr>
                <w:w w:val="105"/>
                <w:sz w:val="22"/>
              </w:rPr>
              <w:t>Lavadora</w:t>
            </w:r>
          </w:p>
        </w:tc>
      </w:tr>
      <w:tr>
        <w:trPr>
          <w:trHeight w:val="226" w:hRule="exact"/>
        </w:trPr>
        <w:tc>
          <w:tcPr>
            <w:tcW w:w="939" w:type="dxa"/>
            <w:tcBorders>
              <w:bottom w:val="single" w:sz="6" w:space="0" w:color="000000"/>
              <w:right w:val="single" w:sz="6" w:space="0" w:color="000000"/>
            </w:tcBorders>
          </w:tcPr>
          <w:p>
            <w:pPr/>
          </w:p>
        </w:tc>
        <w:tc>
          <w:tcPr>
            <w:tcW w:w="1080"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left w:val="single" w:sz="6" w:space="0" w:color="000000"/>
            </w:tcBorders>
          </w:tcPr>
          <w:p>
            <w:pPr>
              <w:pStyle w:val="TableParagraph"/>
              <w:spacing w:before="88"/>
              <w:ind w:left="544"/>
              <w:rPr>
                <w:sz w:val="22"/>
              </w:rPr>
            </w:pPr>
            <w:r>
              <w:rPr>
                <w:w w:val="105"/>
                <w:sz w:val="22"/>
              </w:rPr>
              <w:t>Automóvil</w:t>
            </w:r>
          </w:p>
        </w:tc>
      </w:tr>
      <w:tr>
        <w:trPr>
          <w:trHeight w:val="227" w:hRule="exact"/>
        </w:trPr>
        <w:tc>
          <w:tcPr>
            <w:tcW w:w="939" w:type="dxa"/>
            <w:tcBorders>
              <w:bottom w:val="single" w:sz="6" w:space="0" w:color="000000"/>
              <w:right w:val="single" w:sz="6" w:space="0" w:color="000000"/>
            </w:tcBorders>
          </w:tcPr>
          <w:p>
            <w:pPr/>
          </w:p>
        </w:tc>
        <w:tc>
          <w:tcPr>
            <w:tcW w:w="1080"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left w:val="single" w:sz="6" w:space="0" w:color="000000"/>
            </w:tcBorders>
          </w:tcPr>
          <w:p>
            <w:pPr>
              <w:pStyle w:val="TableParagraph"/>
              <w:spacing w:before="86"/>
              <w:ind w:left="385"/>
              <w:rPr>
                <w:sz w:val="22"/>
              </w:rPr>
            </w:pPr>
            <w:r>
              <w:rPr>
                <w:w w:val="105"/>
                <w:sz w:val="22"/>
              </w:rPr>
              <w:t>Computadora</w:t>
            </w:r>
          </w:p>
        </w:tc>
      </w:tr>
      <w:tr>
        <w:trPr>
          <w:trHeight w:val="191" w:hRule="exact"/>
        </w:trPr>
        <w:tc>
          <w:tcPr>
            <w:tcW w:w="939" w:type="dxa"/>
            <w:tcBorders>
              <w:bottom w:val="single" w:sz="6" w:space="0" w:color="000000"/>
              <w:right w:val="single" w:sz="6" w:space="0" w:color="000000"/>
            </w:tcBorders>
          </w:tcPr>
          <w:p>
            <w:pPr/>
          </w:p>
        </w:tc>
        <w:tc>
          <w:tcPr>
            <w:tcW w:w="1080"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left w:val="single" w:sz="6" w:space="0" w:color="000000"/>
            </w:tcBorders>
          </w:tcPr>
          <w:p>
            <w:pPr>
              <w:pStyle w:val="TableParagraph"/>
              <w:spacing w:before="85"/>
              <w:ind w:left="612"/>
              <w:rPr>
                <w:sz w:val="22"/>
              </w:rPr>
            </w:pPr>
            <w:r>
              <w:rPr>
                <w:w w:val="105"/>
                <w:sz w:val="22"/>
              </w:rPr>
              <w:t>Teléfono</w:t>
            </w:r>
          </w:p>
        </w:tc>
      </w:tr>
      <w:tr>
        <w:trPr>
          <w:trHeight w:val="191" w:hRule="exact"/>
        </w:trPr>
        <w:tc>
          <w:tcPr>
            <w:tcW w:w="939" w:type="dxa"/>
            <w:tcBorders>
              <w:bottom w:val="single" w:sz="6" w:space="0" w:color="000000"/>
              <w:right w:val="single" w:sz="6" w:space="0" w:color="000000"/>
            </w:tcBorders>
          </w:tcPr>
          <w:p>
            <w:pPr/>
          </w:p>
        </w:tc>
        <w:tc>
          <w:tcPr>
            <w:tcW w:w="1080"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left w:val="single" w:sz="6" w:space="0" w:color="000000"/>
            </w:tcBorders>
          </w:tcPr>
          <w:p>
            <w:pPr>
              <w:pStyle w:val="TableParagraph"/>
              <w:spacing w:before="88"/>
              <w:ind w:left="669" w:right="645"/>
              <w:jc w:val="center"/>
              <w:rPr>
                <w:sz w:val="22"/>
              </w:rPr>
            </w:pPr>
            <w:r>
              <w:rPr>
                <w:w w:val="105"/>
                <w:sz w:val="22"/>
              </w:rPr>
              <w:t>Celular</w:t>
            </w:r>
          </w:p>
        </w:tc>
      </w:tr>
      <w:tr>
        <w:trPr>
          <w:trHeight w:val="227" w:hRule="exact"/>
        </w:trPr>
        <w:tc>
          <w:tcPr>
            <w:tcW w:w="939" w:type="dxa"/>
            <w:tcBorders>
              <w:bottom w:val="single" w:sz="6" w:space="0" w:color="000000"/>
              <w:right w:val="single" w:sz="6" w:space="0" w:color="000000"/>
            </w:tcBorders>
          </w:tcPr>
          <w:p>
            <w:pPr/>
          </w:p>
        </w:tc>
        <w:tc>
          <w:tcPr>
            <w:tcW w:w="1080" w:type="dxa"/>
            <w:tcBorders>
              <w:left w:val="single" w:sz="6" w:space="0" w:color="000000"/>
              <w:bottom w:val="single" w:sz="6" w:space="0" w:color="000000"/>
            </w:tcBorders>
          </w:tcPr>
          <w:p>
            <w:pPr/>
          </w:p>
        </w:tc>
      </w:tr>
      <w:tr>
        <w:trPr>
          <w:trHeight w:val="399" w:hRule="exact"/>
        </w:trPr>
        <w:tc>
          <w:tcPr>
            <w:tcW w:w="2018" w:type="dxa"/>
            <w:gridSpan w:val="2"/>
            <w:tcBorders>
              <w:top w:val="single" w:sz="6" w:space="0" w:color="000000"/>
              <w:left w:val="single" w:sz="6" w:space="0" w:color="000000"/>
            </w:tcBorders>
          </w:tcPr>
          <w:p>
            <w:pPr>
              <w:pStyle w:val="TableParagraph"/>
              <w:spacing w:before="87"/>
              <w:ind w:left="643"/>
              <w:rPr>
                <w:sz w:val="22"/>
              </w:rPr>
            </w:pPr>
            <w:r>
              <w:rPr>
                <w:w w:val="105"/>
                <w:sz w:val="22"/>
              </w:rPr>
              <w:t>Internet</w:t>
            </w:r>
          </w:p>
        </w:tc>
      </w:tr>
    </w:tbl>
    <w:p>
      <w:pPr>
        <w:pStyle w:val="BodyText"/>
        <w:rPr>
          <w:sz w:val="20"/>
        </w:rPr>
      </w:pPr>
    </w:p>
    <w:p>
      <w:pPr>
        <w:pStyle w:val="BodyText"/>
        <w:spacing w:before="4"/>
        <w:rPr>
          <w:sz w:val="21"/>
        </w:rPr>
      </w:pPr>
    </w:p>
    <w:p>
      <w:pPr>
        <w:spacing w:before="0"/>
        <w:ind w:left="102" w:right="0" w:firstLine="9"/>
        <w:jc w:val="both"/>
        <w:rPr>
          <w:sz w:val="20"/>
        </w:rPr>
      </w:pPr>
      <w:r>
        <w:rPr>
          <w:sz w:val="20"/>
        </w:rPr>
        <w:t>Fuente: Elaboración propia con base en los datos del Censo de Población y Vivienda INEGI, 2010.</w:t>
      </w:r>
    </w:p>
    <w:p>
      <w:pPr>
        <w:pStyle w:val="BodyText"/>
        <w:rPr>
          <w:sz w:val="20"/>
        </w:rPr>
      </w:pPr>
    </w:p>
    <w:p>
      <w:pPr>
        <w:pStyle w:val="BodyText"/>
        <w:rPr>
          <w:sz w:val="26"/>
        </w:rPr>
      </w:pPr>
    </w:p>
    <w:p>
      <w:pPr>
        <w:pStyle w:val="BodyText"/>
        <w:spacing w:line="360" w:lineRule="auto"/>
        <w:ind w:left="102" w:right="118"/>
        <w:jc w:val="both"/>
      </w:pPr>
      <w:r>
        <w:rPr/>
        <w:t>Con buena habitabilidad en las viviendas encontramos 164 localidades, Lerma registró 38 localidades, seguido de Toluca con 25, Otzolotepec 15, Calimaya, Ocoyoacac y Zinacantepec con 14 localidades respectivamente, Temoaya 11, Almoloya de Juárez y Metepec 7 localidades cada municipio, Chapultepec,  Rayón</w:t>
      </w:r>
    </w:p>
    <w:p>
      <w:pPr>
        <w:spacing w:after="0" w:line="360" w:lineRule="auto"/>
        <w:jc w:val="both"/>
        <w:sectPr>
          <w:pgSz w:w="12240" w:h="15840"/>
          <w:pgMar w:header="0" w:footer="1003" w:top="1360" w:bottom="1200" w:left="1600" w:right="1580"/>
        </w:sectPr>
      </w:pPr>
    </w:p>
    <w:p>
      <w:pPr>
        <w:pStyle w:val="BodyText"/>
        <w:spacing w:line="360" w:lineRule="auto" w:before="54"/>
        <w:ind w:left="102" w:right="125"/>
        <w:jc w:val="both"/>
      </w:pPr>
      <w:r>
        <w:rPr/>
        <w:t>y Xonacatlán 4 localidades respectivamente, Mexicaltzingo y San Mateo Atenco 3 localidades cada municipio y San Antonio la Isla 1 localidad, las viviendas de estas localidades contaron con más de la mitad de las variables evaluadas.</w:t>
      </w:r>
    </w:p>
    <w:p>
      <w:pPr>
        <w:pStyle w:val="BodyText"/>
      </w:pPr>
    </w:p>
    <w:p>
      <w:pPr>
        <w:pStyle w:val="BodyText"/>
        <w:spacing w:line="360" w:lineRule="auto" w:before="142"/>
        <w:ind w:left="102" w:right="116"/>
        <w:jc w:val="both"/>
      </w:pPr>
      <w:r>
        <w:rPr/>
        <w:t>En el rango de media habitabilidad de las viviendas es donde se encontraron más localidades 176 en total, se puede decir que el 32 por ciento de las viviendas cuentan con una media habitabilidad para sus moradores, el municipio de Toluca registró 48 localidades en este rango, seguido de Temoaya con 32, Almoloya de Juárez registró 28 localidades, Lerma y Otzolotepec 14 localidades respectivamente, Zinacantepec 13, Ocoyoacac 10, Xonacatlán 8, Calimaya 6, Chapultepec, Metepec y San Antonio la Isla 2 localidades respectivamente, Mexicaltzingo y San Mateo Atenco 1 localidad cada municipio, Rayón no registró localidades con media habitabilidad de sus viviendas (ver cuadro no. 18).</w:t>
      </w:r>
    </w:p>
    <w:p>
      <w:pPr>
        <w:pStyle w:val="BodyText"/>
      </w:pPr>
    </w:p>
    <w:p>
      <w:pPr>
        <w:spacing w:before="141" w:after="2"/>
        <w:ind w:left="197" w:right="216" w:firstLine="0"/>
        <w:jc w:val="center"/>
        <w:rPr>
          <w:sz w:val="20"/>
        </w:rPr>
      </w:pPr>
      <w:r>
        <w:rPr>
          <w:sz w:val="20"/>
        </w:rPr>
        <w:t>Cuadro No. 18 Niveles de habitabilidad a nivel localidad en la </w:t>
      </w:r>
      <w:r>
        <w:rPr>
          <w:sz w:val="16"/>
        </w:rPr>
        <w:t>ZMT</w:t>
      </w:r>
      <w:r>
        <w:rPr>
          <w:sz w:val="20"/>
        </w:rPr>
        <w:t>, 2010.</w:t>
      </w:r>
    </w:p>
    <w:tbl>
      <w:tblPr>
        <w:tblW w:w="0" w:type="auto"/>
        <w:jc w:val="left"/>
        <w:tblInd w:w="471"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1794"/>
        <w:gridCol w:w="1262"/>
        <w:gridCol w:w="1262"/>
        <w:gridCol w:w="1262"/>
        <w:gridCol w:w="1262"/>
        <w:gridCol w:w="1256"/>
      </w:tblGrid>
      <w:tr>
        <w:trPr>
          <w:trHeight w:val="326" w:hRule="exact"/>
        </w:trPr>
        <w:tc>
          <w:tcPr>
            <w:tcW w:w="1794" w:type="dxa"/>
            <w:tcBorders>
              <w:bottom w:val="single" w:sz="15" w:space="0" w:color="000000"/>
              <w:right w:val="single" w:sz="8" w:space="0" w:color="000000"/>
            </w:tcBorders>
            <w:shd w:val="clear" w:color="auto" w:fill="92D050"/>
          </w:tcPr>
          <w:p>
            <w:pPr>
              <w:pStyle w:val="TableParagraph"/>
              <w:spacing w:line="255" w:lineRule="exact"/>
              <w:ind w:left="19"/>
              <w:rPr>
                <w:rFonts w:ascii="Trebuchet MS"/>
                <w:b/>
                <w:sz w:val="22"/>
              </w:rPr>
            </w:pPr>
            <w:r>
              <w:rPr>
                <w:rFonts w:ascii="Trebuchet MS"/>
                <w:b/>
                <w:w w:val="95"/>
                <w:sz w:val="22"/>
              </w:rPr>
              <w:t>Municipio</w:t>
            </w:r>
          </w:p>
        </w:tc>
        <w:tc>
          <w:tcPr>
            <w:tcW w:w="1262" w:type="dxa"/>
            <w:tcBorders>
              <w:left w:val="single" w:sz="8" w:space="0" w:color="000000"/>
              <w:bottom w:val="single" w:sz="15" w:space="0" w:color="000000"/>
              <w:right w:val="single" w:sz="8" w:space="0" w:color="000000"/>
            </w:tcBorders>
            <w:shd w:val="clear" w:color="auto" w:fill="92D050"/>
          </w:tcPr>
          <w:p>
            <w:pPr>
              <w:pStyle w:val="TableParagraph"/>
              <w:spacing w:line="255" w:lineRule="exact"/>
              <w:ind w:right="27"/>
              <w:jc w:val="right"/>
              <w:rPr>
                <w:rFonts w:ascii="Trebuchet MS"/>
                <w:b/>
                <w:sz w:val="22"/>
              </w:rPr>
            </w:pPr>
            <w:r>
              <w:rPr>
                <w:rFonts w:ascii="Trebuchet MS"/>
                <w:b/>
                <w:w w:val="80"/>
                <w:sz w:val="22"/>
              </w:rPr>
              <w:t>Alta</w:t>
            </w:r>
          </w:p>
        </w:tc>
        <w:tc>
          <w:tcPr>
            <w:tcW w:w="1262" w:type="dxa"/>
            <w:tcBorders>
              <w:left w:val="single" w:sz="8" w:space="0" w:color="000000"/>
              <w:bottom w:val="single" w:sz="15" w:space="0" w:color="000000"/>
              <w:right w:val="single" w:sz="8" w:space="0" w:color="000000"/>
            </w:tcBorders>
            <w:shd w:val="clear" w:color="auto" w:fill="92D050"/>
          </w:tcPr>
          <w:p>
            <w:pPr>
              <w:pStyle w:val="TableParagraph"/>
              <w:spacing w:line="255" w:lineRule="exact"/>
              <w:ind w:right="26"/>
              <w:jc w:val="right"/>
              <w:rPr>
                <w:rFonts w:ascii="Trebuchet MS"/>
                <w:b/>
                <w:sz w:val="22"/>
              </w:rPr>
            </w:pPr>
            <w:r>
              <w:rPr>
                <w:rFonts w:ascii="Trebuchet MS"/>
                <w:b/>
                <w:w w:val="85"/>
                <w:sz w:val="22"/>
              </w:rPr>
              <w:t>Buena</w:t>
            </w:r>
          </w:p>
        </w:tc>
        <w:tc>
          <w:tcPr>
            <w:tcW w:w="1262" w:type="dxa"/>
            <w:tcBorders>
              <w:left w:val="single" w:sz="8" w:space="0" w:color="000000"/>
              <w:bottom w:val="single" w:sz="15" w:space="0" w:color="000000"/>
              <w:right w:val="single" w:sz="8" w:space="0" w:color="000000"/>
            </w:tcBorders>
            <w:shd w:val="clear" w:color="auto" w:fill="92D050"/>
          </w:tcPr>
          <w:p>
            <w:pPr>
              <w:pStyle w:val="TableParagraph"/>
              <w:spacing w:line="255" w:lineRule="exact"/>
              <w:ind w:right="26"/>
              <w:jc w:val="right"/>
              <w:rPr>
                <w:rFonts w:ascii="Trebuchet MS"/>
                <w:b/>
                <w:sz w:val="22"/>
              </w:rPr>
            </w:pPr>
            <w:r>
              <w:rPr>
                <w:rFonts w:ascii="Trebuchet MS"/>
                <w:b/>
                <w:w w:val="85"/>
                <w:sz w:val="22"/>
              </w:rPr>
              <w:t>Media</w:t>
            </w:r>
          </w:p>
        </w:tc>
        <w:tc>
          <w:tcPr>
            <w:tcW w:w="1262" w:type="dxa"/>
            <w:tcBorders>
              <w:left w:val="single" w:sz="8" w:space="0" w:color="000000"/>
              <w:bottom w:val="single" w:sz="15" w:space="0" w:color="000000"/>
              <w:right w:val="single" w:sz="8" w:space="0" w:color="000000"/>
            </w:tcBorders>
            <w:shd w:val="clear" w:color="auto" w:fill="92D050"/>
          </w:tcPr>
          <w:p>
            <w:pPr>
              <w:pStyle w:val="TableParagraph"/>
              <w:spacing w:line="255" w:lineRule="exact"/>
              <w:ind w:right="27"/>
              <w:jc w:val="right"/>
              <w:rPr>
                <w:rFonts w:ascii="Trebuchet MS"/>
                <w:b/>
                <w:sz w:val="22"/>
              </w:rPr>
            </w:pPr>
            <w:r>
              <w:rPr>
                <w:rFonts w:ascii="Trebuchet MS"/>
                <w:b/>
                <w:w w:val="80"/>
                <w:sz w:val="22"/>
              </w:rPr>
              <w:t>Baja</w:t>
            </w:r>
          </w:p>
        </w:tc>
        <w:tc>
          <w:tcPr>
            <w:tcW w:w="1256" w:type="dxa"/>
            <w:tcBorders>
              <w:left w:val="single" w:sz="8" w:space="0" w:color="000000"/>
              <w:bottom w:val="single" w:sz="15" w:space="0" w:color="000000"/>
            </w:tcBorders>
            <w:shd w:val="clear" w:color="auto" w:fill="92D050"/>
          </w:tcPr>
          <w:p>
            <w:pPr>
              <w:pStyle w:val="TableParagraph"/>
              <w:spacing w:line="255" w:lineRule="exact"/>
              <w:ind w:right="17"/>
              <w:jc w:val="right"/>
              <w:rPr>
                <w:rFonts w:ascii="Trebuchet MS"/>
                <w:b/>
                <w:sz w:val="22"/>
              </w:rPr>
            </w:pPr>
            <w:r>
              <w:rPr>
                <w:rFonts w:ascii="Trebuchet MS"/>
                <w:b/>
                <w:w w:val="85"/>
                <w:sz w:val="22"/>
              </w:rPr>
              <w:t>Muy Baja</w:t>
            </w:r>
          </w:p>
        </w:tc>
      </w:tr>
      <w:tr>
        <w:trPr>
          <w:trHeight w:val="317" w:hRule="exact"/>
        </w:trPr>
        <w:tc>
          <w:tcPr>
            <w:tcW w:w="1794" w:type="dxa"/>
            <w:tcBorders>
              <w:top w:val="single" w:sz="15" w:space="0" w:color="000000"/>
              <w:bottom w:val="single" w:sz="8" w:space="0" w:color="000000"/>
              <w:right w:val="single" w:sz="8" w:space="0" w:color="000000"/>
            </w:tcBorders>
          </w:tcPr>
          <w:p>
            <w:pPr>
              <w:pStyle w:val="TableParagraph"/>
              <w:spacing w:before="4"/>
              <w:ind w:left="19"/>
              <w:rPr>
                <w:rFonts w:ascii="Arial" w:hAnsi="Arial"/>
                <w:sz w:val="22"/>
              </w:rPr>
            </w:pPr>
            <w:r>
              <w:rPr>
                <w:rFonts w:ascii="Arial" w:hAnsi="Arial"/>
                <w:w w:val="85"/>
                <w:sz w:val="22"/>
              </w:rPr>
              <w:t>Almoloya de Juárez</w:t>
            </w:r>
          </w:p>
        </w:tc>
        <w:tc>
          <w:tcPr>
            <w:tcW w:w="1262" w:type="dxa"/>
            <w:tcBorders>
              <w:top w:val="single" w:sz="15" w:space="0" w:color="000000"/>
              <w:left w:val="single" w:sz="8" w:space="0" w:color="000000"/>
              <w:bottom w:val="nil"/>
              <w:right w:val="nil"/>
            </w:tcBorders>
          </w:tcPr>
          <w:p>
            <w:pPr>
              <w:pStyle w:val="TableParagraph"/>
              <w:spacing w:before="1"/>
              <w:ind w:right="34"/>
              <w:jc w:val="right"/>
              <w:rPr>
                <w:sz w:val="22"/>
              </w:rPr>
            </w:pPr>
            <w:r>
              <w:rPr>
                <w:w w:val="100"/>
                <w:sz w:val="22"/>
              </w:rPr>
              <w:t>3</w:t>
            </w:r>
          </w:p>
        </w:tc>
        <w:tc>
          <w:tcPr>
            <w:tcW w:w="1262" w:type="dxa"/>
            <w:tcBorders>
              <w:top w:val="single" w:sz="15" w:space="0" w:color="000000"/>
              <w:left w:val="nil"/>
              <w:bottom w:val="nil"/>
              <w:right w:val="nil"/>
            </w:tcBorders>
          </w:tcPr>
          <w:p>
            <w:pPr>
              <w:pStyle w:val="TableParagraph"/>
              <w:spacing w:before="1"/>
              <w:ind w:right="35"/>
              <w:jc w:val="right"/>
              <w:rPr>
                <w:sz w:val="22"/>
              </w:rPr>
            </w:pPr>
            <w:r>
              <w:rPr>
                <w:w w:val="100"/>
                <w:sz w:val="22"/>
              </w:rPr>
              <w:t>7</w:t>
            </w:r>
          </w:p>
        </w:tc>
        <w:tc>
          <w:tcPr>
            <w:tcW w:w="1262" w:type="dxa"/>
            <w:tcBorders>
              <w:top w:val="single" w:sz="15" w:space="0" w:color="000000"/>
              <w:left w:val="nil"/>
              <w:bottom w:val="nil"/>
              <w:right w:val="nil"/>
            </w:tcBorders>
          </w:tcPr>
          <w:p>
            <w:pPr>
              <w:pStyle w:val="TableParagraph"/>
              <w:spacing w:before="1"/>
              <w:ind w:right="36"/>
              <w:jc w:val="right"/>
              <w:rPr>
                <w:sz w:val="22"/>
              </w:rPr>
            </w:pPr>
            <w:r>
              <w:rPr>
                <w:sz w:val="22"/>
              </w:rPr>
              <w:t>28</w:t>
            </w:r>
          </w:p>
        </w:tc>
        <w:tc>
          <w:tcPr>
            <w:tcW w:w="1262" w:type="dxa"/>
            <w:tcBorders>
              <w:top w:val="single" w:sz="15" w:space="0" w:color="000000"/>
              <w:left w:val="nil"/>
              <w:bottom w:val="nil"/>
              <w:right w:val="nil"/>
            </w:tcBorders>
          </w:tcPr>
          <w:p>
            <w:pPr>
              <w:pStyle w:val="TableParagraph"/>
              <w:spacing w:before="1"/>
              <w:ind w:right="36"/>
              <w:jc w:val="right"/>
              <w:rPr>
                <w:sz w:val="22"/>
              </w:rPr>
            </w:pPr>
            <w:r>
              <w:rPr>
                <w:sz w:val="22"/>
              </w:rPr>
              <w:t>39</w:t>
            </w:r>
          </w:p>
        </w:tc>
        <w:tc>
          <w:tcPr>
            <w:tcW w:w="1256" w:type="dxa"/>
            <w:tcBorders>
              <w:top w:val="single" w:sz="15" w:space="0" w:color="000000"/>
              <w:left w:val="nil"/>
              <w:bottom w:val="nil"/>
            </w:tcBorders>
          </w:tcPr>
          <w:p>
            <w:pPr>
              <w:pStyle w:val="TableParagraph"/>
              <w:spacing w:before="1"/>
              <w:ind w:right="17"/>
              <w:jc w:val="right"/>
              <w:rPr>
                <w:sz w:val="22"/>
              </w:rPr>
            </w:pPr>
            <w:r>
              <w:rPr>
                <w:sz w:val="22"/>
              </w:rPr>
              <w:t>19</w:t>
            </w: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5"/>
              <w:ind w:left="19"/>
              <w:rPr>
                <w:rFonts w:ascii="Arial"/>
                <w:sz w:val="22"/>
              </w:rPr>
            </w:pPr>
            <w:r>
              <w:rPr>
                <w:rFonts w:ascii="Arial"/>
                <w:w w:val="90"/>
                <w:sz w:val="22"/>
              </w:rPr>
              <w:t>Calimaya</w:t>
            </w:r>
          </w:p>
        </w:tc>
        <w:tc>
          <w:tcPr>
            <w:tcW w:w="1262" w:type="dxa"/>
            <w:tcBorders>
              <w:top w:val="nil"/>
              <w:left w:val="single" w:sz="8" w:space="0" w:color="000000"/>
              <w:bottom w:val="nil"/>
              <w:right w:val="nil"/>
            </w:tcBorders>
          </w:tcPr>
          <w:p>
            <w:pPr>
              <w:pStyle w:val="TableParagraph"/>
              <w:spacing w:before="21"/>
              <w:ind w:right="34"/>
              <w:jc w:val="right"/>
              <w:rPr>
                <w:sz w:val="22"/>
              </w:rPr>
            </w:pPr>
            <w:r>
              <w:rPr>
                <w:w w:val="100"/>
                <w:sz w:val="22"/>
              </w:rPr>
              <w:t>4</w:t>
            </w:r>
          </w:p>
        </w:tc>
        <w:tc>
          <w:tcPr>
            <w:tcW w:w="1262" w:type="dxa"/>
            <w:tcBorders>
              <w:top w:val="nil"/>
              <w:left w:val="nil"/>
              <w:bottom w:val="nil"/>
              <w:right w:val="nil"/>
            </w:tcBorders>
          </w:tcPr>
          <w:p>
            <w:pPr>
              <w:pStyle w:val="TableParagraph"/>
              <w:spacing w:before="21"/>
              <w:ind w:right="36"/>
              <w:jc w:val="right"/>
              <w:rPr>
                <w:sz w:val="22"/>
              </w:rPr>
            </w:pPr>
            <w:r>
              <w:rPr>
                <w:sz w:val="22"/>
              </w:rPr>
              <w:t>14</w:t>
            </w:r>
          </w:p>
        </w:tc>
        <w:tc>
          <w:tcPr>
            <w:tcW w:w="1262" w:type="dxa"/>
            <w:tcBorders>
              <w:top w:val="nil"/>
              <w:left w:val="nil"/>
              <w:bottom w:val="nil"/>
              <w:right w:val="nil"/>
            </w:tcBorders>
          </w:tcPr>
          <w:p>
            <w:pPr>
              <w:pStyle w:val="TableParagraph"/>
              <w:spacing w:before="21"/>
              <w:ind w:right="34"/>
              <w:jc w:val="right"/>
              <w:rPr>
                <w:sz w:val="22"/>
              </w:rPr>
            </w:pPr>
            <w:r>
              <w:rPr>
                <w:w w:val="100"/>
                <w:sz w:val="22"/>
              </w:rPr>
              <w:t>6</w:t>
            </w:r>
          </w:p>
        </w:tc>
        <w:tc>
          <w:tcPr>
            <w:tcW w:w="1262" w:type="dxa"/>
            <w:tcBorders>
              <w:top w:val="nil"/>
              <w:left w:val="nil"/>
              <w:bottom w:val="nil"/>
              <w:right w:val="nil"/>
            </w:tcBorders>
          </w:tcPr>
          <w:p>
            <w:pPr>
              <w:pStyle w:val="TableParagraph"/>
              <w:spacing w:before="21"/>
              <w:ind w:right="34"/>
              <w:jc w:val="right"/>
              <w:rPr>
                <w:sz w:val="22"/>
              </w:rPr>
            </w:pPr>
            <w:r>
              <w:rPr>
                <w:w w:val="100"/>
                <w:sz w:val="22"/>
              </w:rPr>
              <w:t>3</w:t>
            </w:r>
          </w:p>
        </w:tc>
        <w:tc>
          <w:tcPr>
            <w:tcW w:w="1256" w:type="dxa"/>
            <w:tcBorders>
              <w:top w:val="nil"/>
              <w:left w:val="nil"/>
              <w:bottom w:val="nil"/>
            </w:tcBorders>
          </w:tcPr>
          <w:p>
            <w:pPr>
              <w:pStyle w:val="TableParagraph"/>
              <w:spacing w:before="21"/>
              <w:ind w:right="15"/>
              <w:jc w:val="right"/>
              <w:rPr>
                <w:sz w:val="22"/>
              </w:rPr>
            </w:pPr>
            <w:r>
              <w:rPr>
                <w:w w:val="100"/>
                <w:sz w:val="22"/>
              </w:rPr>
              <w:t>2</w:t>
            </w: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Chapultepec</w:t>
            </w:r>
          </w:p>
        </w:tc>
        <w:tc>
          <w:tcPr>
            <w:tcW w:w="1262" w:type="dxa"/>
            <w:tcBorders>
              <w:top w:val="nil"/>
              <w:left w:val="single" w:sz="8" w:space="0" w:color="000000"/>
              <w:bottom w:val="nil"/>
              <w:right w:val="nil"/>
            </w:tcBorders>
          </w:tcPr>
          <w:p>
            <w:pPr>
              <w:pStyle w:val="TableParagraph"/>
              <w:spacing w:before="20"/>
              <w:ind w:right="34"/>
              <w:jc w:val="right"/>
              <w:rPr>
                <w:sz w:val="22"/>
              </w:rPr>
            </w:pPr>
            <w:r>
              <w:rPr>
                <w:w w:val="100"/>
                <w:sz w:val="22"/>
              </w:rPr>
              <w:t>1</w:t>
            </w:r>
          </w:p>
        </w:tc>
        <w:tc>
          <w:tcPr>
            <w:tcW w:w="1262" w:type="dxa"/>
            <w:tcBorders>
              <w:top w:val="nil"/>
              <w:left w:val="nil"/>
              <w:bottom w:val="nil"/>
              <w:right w:val="nil"/>
            </w:tcBorders>
          </w:tcPr>
          <w:p>
            <w:pPr>
              <w:pStyle w:val="TableParagraph"/>
              <w:spacing w:before="20"/>
              <w:ind w:right="35"/>
              <w:jc w:val="right"/>
              <w:rPr>
                <w:sz w:val="22"/>
              </w:rPr>
            </w:pPr>
            <w:r>
              <w:rPr>
                <w:w w:val="100"/>
                <w:sz w:val="22"/>
              </w:rPr>
              <w:t>4</w:t>
            </w:r>
          </w:p>
        </w:tc>
        <w:tc>
          <w:tcPr>
            <w:tcW w:w="1262" w:type="dxa"/>
            <w:tcBorders>
              <w:top w:val="nil"/>
              <w:left w:val="nil"/>
              <w:bottom w:val="nil"/>
              <w:right w:val="nil"/>
            </w:tcBorders>
          </w:tcPr>
          <w:p>
            <w:pPr>
              <w:pStyle w:val="TableParagraph"/>
              <w:spacing w:before="20"/>
              <w:ind w:right="34"/>
              <w:jc w:val="right"/>
              <w:rPr>
                <w:sz w:val="22"/>
              </w:rPr>
            </w:pPr>
            <w:r>
              <w:rPr>
                <w:w w:val="100"/>
                <w:sz w:val="22"/>
              </w:rPr>
              <w:t>2</w:t>
            </w:r>
          </w:p>
        </w:tc>
        <w:tc>
          <w:tcPr>
            <w:tcW w:w="1262" w:type="dxa"/>
            <w:tcBorders>
              <w:top w:val="nil"/>
              <w:left w:val="nil"/>
              <w:bottom w:val="nil"/>
              <w:right w:val="nil"/>
            </w:tcBorders>
          </w:tcPr>
          <w:p>
            <w:pPr>
              <w:pStyle w:val="TableParagraph"/>
              <w:spacing w:before="20"/>
              <w:ind w:right="34"/>
              <w:jc w:val="right"/>
              <w:rPr>
                <w:sz w:val="22"/>
              </w:rPr>
            </w:pPr>
            <w:r>
              <w:rPr>
                <w:w w:val="100"/>
                <w:sz w:val="22"/>
              </w:rPr>
              <w:t>1</w:t>
            </w:r>
          </w:p>
        </w:tc>
        <w:tc>
          <w:tcPr>
            <w:tcW w:w="1256" w:type="dxa"/>
            <w:tcBorders>
              <w:top w:val="nil"/>
              <w:left w:val="nil"/>
              <w:bottom w:val="nil"/>
            </w:tcBorders>
          </w:tcPr>
          <w:p>
            <w:pP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Lerma</w:t>
            </w:r>
          </w:p>
        </w:tc>
        <w:tc>
          <w:tcPr>
            <w:tcW w:w="1262" w:type="dxa"/>
            <w:tcBorders>
              <w:top w:val="nil"/>
              <w:left w:val="single" w:sz="8" w:space="0" w:color="000000"/>
              <w:bottom w:val="nil"/>
              <w:right w:val="nil"/>
            </w:tcBorders>
          </w:tcPr>
          <w:p>
            <w:pPr>
              <w:pStyle w:val="TableParagraph"/>
              <w:spacing w:before="21"/>
              <w:ind w:right="36"/>
              <w:jc w:val="right"/>
              <w:rPr>
                <w:sz w:val="22"/>
              </w:rPr>
            </w:pPr>
            <w:r>
              <w:rPr>
                <w:sz w:val="22"/>
              </w:rPr>
              <w:t>10</w:t>
            </w:r>
          </w:p>
        </w:tc>
        <w:tc>
          <w:tcPr>
            <w:tcW w:w="1262" w:type="dxa"/>
            <w:tcBorders>
              <w:top w:val="nil"/>
              <w:left w:val="nil"/>
              <w:bottom w:val="nil"/>
              <w:right w:val="nil"/>
            </w:tcBorders>
          </w:tcPr>
          <w:p>
            <w:pPr>
              <w:pStyle w:val="TableParagraph"/>
              <w:spacing w:before="21"/>
              <w:ind w:right="36"/>
              <w:jc w:val="right"/>
              <w:rPr>
                <w:sz w:val="22"/>
              </w:rPr>
            </w:pPr>
            <w:r>
              <w:rPr>
                <w:sz w:val="22"/>
              </w:rPr>
              <w:t>38</w:t>
            </w:r>
          </w:p>
        </w:tc>
        <w:tc>
          <w:tcPr>
            <w:tcW w:w="1262" w:type="dxa"/>
            <w:tcBorders>
              <w:top w:val="nil"/>
              <w:left w:val="nil"/>
              <w:bottom w:val="nil"/>
              <w:right w:val="nil"/>
            </w:tcBorders>
          </w:tcPr>
          <w:p>
            <w:pPr>
              <w:pStyle w:val="TableParagraph"/>
              <w:spacing w:before="21"/>
              <w:ind w:right="36"/>
              <w:jc w:val="right"/>
              <w:rPr>
                <w:sz w:val="22"/>
              </w:rPr>
            </w:pPr>
            <w:r>
              <w:rPr>
                <w:sz w:val="22"/>
              </w:rPr>
              <w:t>14</w:t>
            </w:r>
          </w:p>
        </w:tc>
        <w:tc>
          <w:tcPr>
            <w:tcW w:w="1262" w:type="dxa"/>
            <w:tcBorders>
              <w:top w:val="nil"/>
              <w:left w:val="nil"/>
              <w:bottom w:val="nil"/>
              <w:right w:val="nil"/>
            </w:tcBorders>
          </w:tcPr>
          <w:p>
            <w:pPr>
              <w:pStyle w:val="TableParagraph"/>
              <w:spacing w:before="21"/>
              <w:ind w:right="34"/>
              <w:jc w:val="right"/>
              <w:rPr>
                <w:sz w:val="22"/>
              </w:rPr>
            </w:pPr>
            <w:r>
              <w:rPr>
                <w:w w:val="100"/>
                <w:sz w:val="22"/>
              </w:rPr>
              <w:t>6</w:t>
            </w:r>
          </w:p>
        </w:tc>
        <w:tc>
          <w:tcPr>
            <w:tcW w:w="1256" w:type="dxa"/>
            <w:tcBorders>
              <w:top w:val="nil"/>
              <w:left w:val="nil"/>
              <w:bottom w:val="nil"/>
            </w:tcBorders>
          </w:tcPr>
          <w:p>
            <w:pPr>
              <w:pStyle w:val="TableParagraph"/>
              <w:spacing w:before="21"/>
              <w:ind w:right="15"/>
              <w:jc w:val="right"/>
              <w:rPr>
                <w:sz w:val="22"/>
              </w:rPr>
            </w:pPr>
            <w:r>
              <w:rPr>
                <w:w w:val="100"/>
                <w:sz w:val="22"/>
              </w:rPr>
              <w:t>1</w:t>
            </w: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5"/>
              <w:ind w:left="19"/>
              <w:rPr>
                <w:rFonts w:ascii="Arial"/>
                <w:sz w:val="22"/>
              </w:rPr>
            </w:pPr>
            <w:r>
              <w:rPr>
                <w:rFonts w:ascii="Arial"/>
                <w:w w:val="90"/>
                <w:sz w:val="22"/>
              </w:rPr>
              <w:t>Metepec</w:t>
            </w:r>
          </w:p>
        </w:tc>
        <w:tc>
          <w:tcPr>
            <w:tcW w:w="1262" w:type="dxa"/>
            <w:tcBorders>
              <w:top w:val="nil"/>
              <w:left w:val="single" w:sz="8" w:space="0" w:color="000000"/>
              <w:bottom w:val="nil"/>
              <w:right w:val="nil"/>
            </w:tcBorders>
          </w:tcPr>
          <w:p>
            <w:pPr>
              <w:pStyle w:val="TableParagraph"/>
              <w:spacing w:before="21"/>
              <w:ind w:right="36"/>
              <w:jc w:val="right"/>
              <w:rPr>
                <w:sz w:val="22"/>
              </w:rPr>
            </w:pPr>
            <w:r>
              <w:rPr>
                <w:sz w:val="22"/>
              </w:rPr>
              <w:t>10</w:t>
            </w:r>
          </w:p>
        </w:tc>
        <w:tc>
          <w:tcPr>
            <w:tcW w:w="1262" w:type="dxa"/>
            <w:tcBorders>
              <w:top w:val="nil"/>
              <w:left w:val="nil"/>
              <w:bottom w:val="nil"/>
              <w:right w:val="nil"/>
            </w:tcBorders>
          </w:tcPr>
          <w:p>
            <w:pPr>
              <w:pStyle w:val="TableParagraph"/>
              <w:spacing w:before="21"/>
              <w:ind w:right="35"/>
              <w:jc w:val="right"/>
              <w:rPr>
                <w:sz w:val="22"/>
              </w:rPr>
            </w:pPr>
            <w:r>
              <w:rPr>
                <w:w w:val="100"/>
                <w:sz w:val="22"/>
              </w:rPr>
              <w:t>7</w:t>
            </w:r>
          </w:p>
        </w:tc>
        <w:tc>
          <w:tcPr>
            <w:tcW w:w="1262" w:type="dxa"/>
            <w:tcBorders>
              <w:top w:val="nil"/>
              <w:left w:val="nil"/>
              <w:bottom w:val="nil"/>
              <w:right w:val="nil"/>
            </w:tcBorders>
          </w:tcPr>
          <w:p>
            <w:pPr>
              <w:pStyle w:val="TableParagraph"/>
              <w:spacing w:before="21"/>
              <w:ind w:right="34"/>
              <w:jc w:val="right"/>
              <w:rPr>
                <w:sz w:val="22"/>
              </w:rPr>
            </w:pPr>
            <w:r>
              <w:rPr>
                <w:w w:val="100"/>
                <w:sz w:val="22"/>
              </w:rPr>
              <w:t>2</w:t>
            </w:r>
          </w:p>
        </w:tc>
        <w:tc>
          <w:tcPr>
            <w:tcW w:w="1262" w:type="dxa"/>
            <w:tcBorders>
              <w:top w:val="nil"/>
              <w:left w:val="nil"/>
              <w:bottom w:val="nil"/>
              <w:right w:val="nil"/>
            </w:tcBorders>
          </w:tcPr>
          <w:p>
            <w:pPr>
              <w:pStyle w:val="TableParagraph"/>
              <w:spacing w:before="21"/>
              <w:ind w:right="34"/>
              <w:jc w:val="right"/>
              <w:rPr>
                <w:sz w:val="22"/>
              </w:rPr>
            </w:pPr>
            <w:r>
              <w:rPr>
                <w:w w:val="100"/>
                <w:sz w:val="22"/>
              </w:rPr>
              <w:t>1</w:t>
            </w:r>
          </w:p>
        </w:tc>
        <w:tc>
          <w:tcPr>
            <w:tcW w:w="1256" w:type="dxa"/>
            <w:tcBorders>
              <w:top w:val="nil"/>
              <w:left w:val="nil"/>
              <w:bottom w:val="nil"/>
            </w:tcBorders>
          </w:tcPr>
          <w:p>
            <w:pPr>
              <w:pStyle w:val="TableParagraph"/>
              <w:spacing w:before="21"/>
              <w:ind w:right="15"/>
              <w:jc w:val="right"/>
              <w:rPr>
                <w:sz w:val="22"/>
              </w:rPr>
            </w:pPr>
            <w:r>
              <w:rPr>
                <w:w w:val="100"/>
                <w:sz w:val="22"/>
              </w:rPr>
              <w:t>1</w:t>
            </w: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Mexicaltzingo</w:t>
            </w:r>
          </w:p>
        </w:tc>
        <w:tc>
          <w:tcPr>
            <w:tcW w:w="1262" w:type="dxa"/>
            <w:tcBorders>
              <w:top w:val="nil"/>
              <w:left w:val="single" w:sz="8" w:space="0" w:color="000000"/>
              <w:bottom w:val="nil"/>
              <w:right w:val="nil"/>
            </w:tcBorders>
          </w:tcPr>
          <w:p>
            <w:pPr/>
          </w:p>
        </w:tc>
        <w:tc>
          <w:tcPr>
            <w:tcW w:w="1262" w:type="dxa"/>
            <w:tcBorders>
              <w:top w:val="nil"/>
              <w:left w:val="nil"/>
              <w:bottom w:val="nil"/>
              <w:right w:val="nil"/>
            </w:tcBorders>
          </w:tcPr>
          <w:p>
            <w:pPr>
              <w:pStyle w:val="TableParagraph"/>
              <w:spacing w:before="20"/>
              <w:ind w:right="35"/>
              <w:jc w:val="right"/>
              <w:rPr>
                <w:sz w:val="22"/>
              </w:rPr>
            </w:pPr>
            <w:r>
              <w:rPr>
                <w:w w:val="100"/>
                <w:sz w:val="22"/>
              </w:rPr>
              <w:t>3</w:t>
            </w:r>
          </w:p>
        </w:tc>
        <w:tc>
          <w:tcPr>
            <w:tcW w:w="1262" w:type="dxa"/>
            <w:tcBorders>
              <w:top w:val="nil"/>
              <w:left w:val="nil"/>
              <w:bottom w:val="nil"/>
              <w:right w:val="nil"/>
            </w:tcBorders>
          </w:tcPr>
          <w:p>
            <w:pPr>
              <w:pStyle w:val="TableParagraph"/>
              <w:spacing w:before="20"/>
              <w:ind w:right="34"/>
              <w:jc w:val="right"/>
              <w:rPr>
                <w:sz w:val="22"/>
              </w:rPr>
            </w:pPr>
            <w:r>
              <w:rPr>
                <w:w w:val="100"/>
                <w:sz w:val="22"/>
              </w:rPr>
              <w:t>1</w:t>
            </w:r>
          </w:p>
        </w:tc>
        <w:tc>
          <w:tcPr>
            <w:tcW w:w="1262" w:type="dxa"/>
            <w:tcBorders>
              <w:top w:val="nil"/>
              <w:left w:val="nil"/>
              <w:bottom w:val="nil"/>
              <w:right w:val="nil"/>
            </w:tcBorders>
          </w:tcPr>
          <w:p>
            <w:pPr/>
          </w:p>
        </w:tc>
        <w:tc>
          <w:tcPr>
            <w:tcW w:w="1256" w:type="dxa"/>
            <w:tcBorders>
              <w:top w:val="nil"/>
              <w:left w:val="nil"/>
              <w:bottom w:val="nil"/>
            </w:tcBorders>
          </w:tcPr>
          <w:p>
            <w:pP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Ocoyoacac</w:t>
            </w:r>
          </w:p>
        </w:tc>
        <w:tc>
          <w:tcPr>
            <w:tcW w:w="1262" w:type="dxa"/>
            <w:tcBorders>
              <w:top w:val="nil"/>
              <w:left w:val="single" w:sz="8" w:space="0" w:color="000000"/>
              <w:bottom w:val="nil"/>
              <w:right w:val="nil"/>
            </w:tcBorders>
          </w:tcPr>
          <w:p>
            <w:pPr>
              <w:pStyle w:val="TableParagraph"/>
              <w:spacing w:before="21"/>
              <w:ind w:right="34"/>
              <w:jc w:val="right"/>
              <w:rPr>
                <w:sz w:val="22"/>
              </w:rPr>
            </w:pPr>
            <w:r>
              <w:rPr>
                <w:w w:val="100"/>
                <w:sz w:val="22"/>
              </w:rPr>
              <w:t>3</w:t>
            </w:r>
          </w:p>
        </w:tc>
        <w:tc>
          <w:tcPr>
            <w:tcW w:w="1262" w:type="dxa"/>
            <w:tcBorders>
              <w:top w:val="nil"/>
              <w:left w:val="nil"/>
              <w:bottom w:val="nil"/>
              <w:right w:val="nil"/>
            </w:tcBorders>
          </w:tcPr>
          <w:p>
            <w:pPr>
              <w:pStyle w:val="TableParagraph"/>
              <w:spacing w:before="21"/>
              <w:ind w:right="36"/>
              <w:jc w:val="right"/>
              <w:rPr>
                <w:sz w:val="22"/>
              </w:rPr>
            </w:pPr>
            <w:r>
              <w:rPr>
                <w:sz w:val="22"/>
              </w:rPr>
              <w:t>14</w:t>
            </w:r>
          </w:p>
        </w:tc>
        <w:tc>
          <w:tcPr>
            <w:tcW w:w="1262" w:type="dxa"/>
            <w:tcBorders>
              <w:top w:val="nil"/>
              <w:left w:val="nil"/>
              <w:bottom w:val="nil"/>
              <w:right w:val="nil"/>
            </w:tcBorders>
          </w:tcPr>
          <w:p>
            <w:pPr>
              <w:pStyle w:val="TableParagraph"/>
              <w:spacing w:before="21"/>
              <w:ind w:right="36"/>
              <w:jc w:val="right"/>
              <w:rPr>
                <w:sz w:val="22"/>
              </w:rPr>
            </w:pPr>
            <w:r>
              <w:rPr>
                <w:sz w:val="22"/>
              </w:rPr>
              <w:t>10</w:t>
            </w:r>
          </w:p>
        </w:tc>
        <w:tc>
          <w:tcPr>
            <w:tcW w:w="1262" w:type="dxa"/>
            <w:tcBorders>
              <w:top w:val="nil"/>
              <w:left w:val="nil"/>
              <w:bottom w:val="nil"/>
              <w:right w:val="nil"/>
            </w:tcBorders>
          </w:tcPr>
          <w:p>
            <w:pPr>
              <w:pStyle w:val="TableParagraph"/>
              <w:spacing w:before="21"/>
              <w:ind w:right="34"/>
              <w:jc w:val="right"/>
              <w:rPr>
                <w:sz w:val="22"/>
              </w:rPr>
            </w:pPr>
            <w:r>
              <w:rPr>
                <w:w w:val="100"/>
                <w:sz w:val="22"/>
              </w:rPr>
              <w:t>5</w:t>
            </w:r>
          </w:p>
        </w:tc>
        <w:tc>
          <w:tcPr>
            <w:tcW w:w="1256" w:type="dxa"/>
            <w:tcBorders>
              <w:top w:val="nil"/>
              <w:left w:val="nil"/>
              <w:bottom w:val="nil"/>
            </w:tcBorders>
          </w:tcPr>
          <w:p>
            <w:pPr>
              <w:pStyle w:val="TableParagraph"/>
              <w:spacing w:before="21"/>
              <w:ind w:right="15"/>
              <w:jc w:val="right"/>
              <w:rPr>
                <w:sz w:val="22"/>
              </w:rPr>
            </w:pPr>
            <w:r>
              <w:rPr>
                <w:w w:val="100"/>
                <w:sz w:val="22"/>
              </w:rPr>
              <w:t>1</w:t>
            </w: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Otzolotepec</w:t>
            </w:r>
          </w:p>
        </w:tc>
        <w:tc>
          <w:tcPr>
            <w:tcW w:w="1262" w:type="dxa"/>
            <w:tcBorders>
              <w:top w:val="nil"/>
              <w:left w:val="single" w:sz="8" w:space="0" w:color="000000"/>
              <w:bottom w:val="nil"/>
              <w:right w:val="nil"/>
            </w:tcBorders>
          </w:tcPr>
          <w:p>
            <w:pPr>
              <w:pStyle w:val="TableParagraph"/>
              <w:spacing w:before="20"/>
              <w:ind w:right="34"/>
              <w:jc w:val="right"/>
              <w:rPr>
                <w:sz w:val="22"/>
              </w:rPr>
            </w:pPr>
            <w:r>
              <w:rPr>
                <w:w w:val="100"/>
                <w:sz w:val="22"/>
              </w:rPr>
              <w:t>2</w:t>
            </w:r>
          </w:p>
        </w:tc>
        <w:tc>
          <w:tcPr>
            <w:tcW w:w="1262" w:type="dxa"/>
            <w:tcBorders>
              <w:top w:val="nil"/>
              <w:left w:val="nil"/>
              <w:bottom w:val="nil"/>
              <w:right w:val="nil"/>
            </w:tcBorders>
          </w:tcPr>
          <w:p>
            <w:pPr>
              <w:pStyle w:val="TableParagraph"/>
              <w:spacing w:before="20"/>
              <w:ind w:right="36"/>
              <w:jc w:val="right"/>
              <w:rPr>
                <w:sz w:val="22"/>
              </w:rPr>
            </w:pPr>
            <w:r>
              <w:rPr>
                <w:sz w:val="22"/>
              </w:rPr>
              <w:t>15</w:t>
            </w:r>
          </w:p>
        </w:tc>
        <w:tc>
          <w:tcPr>
            <w:tcW w:w="1262" w:type="dxa"/>
            <w:tcBorders>
              <w:top w:val="nil"/>
              <w:left w:val="nil"/>
              <w:bottom w:val="nil"/>
              <w:right w:val="nil"/>
            </w:tcBorders>
          </w:tcPr>
          <w:p>
            <w:pPr>
              <w:pStyle w:val="TableParagraph"/>
              <w:spacing w:before="20"/>
              <w:ind w:right="36"/>
              <w:jc w:val="right"/>
              <w:rPr>
                <w:sz w:val="22"/>
              </w:rPr>
            </w:pPr>
            <w:r>
              <w:rPr>
                <w:sz w:val="22"/>
              </w:rPr>
              <w:t>14</w:t>
            </w:r>
          </w:p>
        </w:tc>
        <w:tc>
          <w:tcPr>
            <w:tcW w:w="1262" w:type="dxa"/>
            <w:tcBorders>
              <w:top w:val="nil"/>
              <w:left w:val="nil"/>
              <w:bottom w:val="nil"/>
              <w:right w:val="nil"/>
            </w:tcBorders>
          </w:tcPr>
          <w:p>
            <w:pPr>
              <w:pStyle w:val="TableParagraph"/>
              <w:spacing w:before="20"/>
              <w:ind w:right="34"/>
              <w:jc w:val="right"/>
              <w:rPr>
                <w:sz w:val="22"/>
              </w:rPr>
            </w:pPr>
            <w:r>
              <w:rPr>
                <w:w w:val="100"/>
                <w:sz w:val="22"/>
              </w:rPr>
              <w:t>6</w:t>
            </w:r>
          </w:p>
        </w:tc>
        <w:tc>
          <w:tcPr>
            <w:tcW w:w="1256" w:type="dxa"/>
            <w:tcBorders>
              <w:top w:val="nil"/>
              <w:left w:val="nil"/>
              <w:bottom w:val="nil"/>
            </w:tcBorders>
          </w:tcPr>
          <w:p>
            <w:pPr>
              <w:pStyle w:val="TableParagraph"/>
              <w:spacing w:before="20"/>
              <w:ind w:right="15"/>
              <w:jc w:val="right"/>
              <w:rPr>
                <w:sz w:val="22"/>
              </w:rPr>
            </w:pPr>
            <w:r>
              <w:rPr>
                <w:w w:val="100"/>
                <w:sz w:val="22"/>
              </w:rPr>
              <w:t>1</w:t>
            </w: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Rayon</w:t>
            </w:r>
          </w:p>
        </w:tc>
        <w:tc>
          <w:tcPr>
            <w:tcW w:w="1262" w:type="dxa"/>
            <w:tcBorders>
              <w:top w:val="nil"/>
              <w:left w:val="single" w:sz="8" w:space="0" w:color="000000"/>
              <w:bottom w:val="nil"/>
              <w:right w:val="nil"/>
            </w:tcBorders>
          </w:tcPr>
          <w:p>
            <w:pPr/>
          </w:p>
        </w:tc>
        <w:tc>
          <w:tcPr>
            <w:tcW w:w="1262" w:type="dxa"/>
            <w:tcBorders>
              <w:top w:val="nil"/>
              <w:left w:val="nil"/>
              <w:bottom w:val="nil"/>
              <w:right w:val="nil"/>
            </w:tcBorders>
          </w:tcPr>
          <w:p>
            <w:pPr>
              <w:pStyle w:val="TableParagraph"/>
              <w:spacing w:before="21"/>
              <w:ind w:right="35"/>
              <w:jc w:val="right"/>
              <w:rPr>
                <w:sz w:val="22"/>
              </w:rPr>
            </w:pPr>
            <w:r>
              <w:rPr>
                <w:w w:val="100"/>
                <w:sz w:val="22"/>
              </w:rPr>
              <w:t>4</w:t>
            </w:r>
          </w:p>
        </w:tc>
        <w:tc>
          <w:tcPr>
            <w:tcW w:w="1262" w:type="dxa"/>
            <w:tcBorders>
              <w:top w:val="nil"/>
              <w:left w:val="nil"/>
              <w:bottom w:val="nil"/>
              <w:right w:val="nil"/>
            </w:tcBorders>
          </w:tcPr>
          <w:p>
            <w:pPr/>
          </w:p>
        </w:tc>
        <w:tc>
          <w:tcPr>
            <w:tcW w:w="1262" w:type="dxa"/>
            <w:tcBorders>
              <w:top w:val="nil"/>
              <w:left w:val="nil"/>
              <w:bottom w:val="nil"/>
              <w:right w:val="nil"/>
            </w:tcBorders>
          </w:tcPr>
          <w:p>
            <w:pPr/>
          </w:p>
        </w:tc>
        <w:tc>
          <w:tcPr>
            <w:tcW w:w="1256" w:type="dxa"/>
            <w:tcBorders>
              <w:top w:val="nil"/>
              <w:left w:val="nil"/>
              <w:bottom w:val="nil"/>
            </w:tcBorders>
          </w:tcPr>
          <w:p>
            <w:pPr>
              <w:pStyle w:val="TableParagraph"/>
              <w:spacing w:before="21"/>
              <w:ind w:right="15"/>
              <w:jc w:val="right"/>
              <w:rPr>
                <w:sz w:val="22"/>
              </w:rPr>
            </w:pPr>
            <w:r>
              <w:rPr>
                <w:w w:val="100"/>
                <w:sz w:val="22"/>
              </w:rPr>
              <w:t>1</w:t>
            </w: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5"/>
              <w:ind w:left="19"/>
              <w:rPr>
                <w:rFonts w:ascii="Arial"/>
                <w:sz w:val="22"/>
              </w:rPr>
            </w:pPr>
            <w:r>
              <w:rPr>
                <w:rFonts w:ascii="Arial"/>
                <w:w w:val="85"/>
                <w:sz w:val="22"/>
              </w:rPr>
              <w:t>San Antonio la Isla</w:t>
            </w:r>
          </w:p>
        </w:tc>
        <w:tc>
          <w:tcPr>
            <w:tcW w:w="1262" w:type="dxa"/>
            <w:tcBorders>
              <w:top w:val="nil"/>
              <w:left w:val="single" w:sz="8" w:space="0" w:color="000000"/>
              <w:bottom w:val="nil"/>
              <w:right w:val="nil"/>
            </w:tcBorders>
          </w:tcPr>
          <w:p>
            <w:pPr>
              <w:pStyle w:val="TableParagraph"/>
              <w:spacing w:before="21"/>
              <w:ind w:right="34"/>
              <w:jc w:val="right"/>
              <w:rPr>
                <w:sz w:val="22"/>
              </w:rPr>
            </w:pPr>
            <w:r>
              <w:rPr>
                <w:w w:val="100"/>
                <w:sz w:val="22"/>
              </w:rPr>
              <w:t>1</w:t>
            </w:r>
          </w:p>
        </w:tc>
        <w:tc>
          <w:tcPr>
            <w:tcW w:w="1262" w:type="dxa"/>
            <w:tcBorders>
              <w:top w:val="nil"/>
              <w:left w:val="nil"/>
              <w:bottom w:val="nil"/>
              <w:right w:val="nil"/>
            </w:tcBorders>
          </w:tcPr>
          <w:p>
            <w:pPr>
              <w:pStyle w:val="TableParagraph"/>
              <w:spacing w:before="21"/>
              <w:ind w:right="35"/>
              <w:jc w:val="right"/>
              <w:rPr>
                <w:sz w:val="22"/>
              </w:rPr>
            </w:pPr>
            <w:r>
              <w:rPr>
                <w:w w:val="100"/>
                <w:sz w:val="22"/>
              </w:rPr>
              <w:t>1</w:t>
            </w:r>
          </w:p>
        </w:tc>
        <w:tc>
          <w:tcPr>
            <w:tcW w:w="1262" w:type="dxa"/>
            <w:tcBorders>
              <w:top w:val="nil"/>
              <w:left w:val="nil"/>
              <w:bottom w:val="nil"/>
              <w:right w:val="nil"/>
            </w:tcBorders>
          </w:tcPr>
          <w:p>
            <w:pPr>
              <w:pStyle w:val="TableParagraph"/>
              <w:spacing w:before="21"/>
              <w:ind w:right="34"/>
              <w:jc w:val="right"/>
              <w:rPr>
                <w:sz w:val="22"/>
              </w:rPr>
            </w:pPr>
            <w:r>
              <w:rPr>
                <w:w w:val="100"/>
                <w:sz w:val="22"/>
              </w:rPr>
              <w:t>2</w:t>
            </w:r>
          </w:p>
        </w:tc>
        <w:tc>
          <w:tcPr>
            <w:tcW w:w="1262" w:type="dxa"/>
            <w:tcBorders>
              <w:top w:val="nil"/>
              <w:left w:val="nil"/>
              <w:bottom w:val="nil"/>
              <w:right w:val="nil"/>
            </w:tcBorders>
          </w:tcPr>
          <w:p>
            <w:pPr>
              <w:pStyle w:val="TableParagraph"/>
              <w:spacing w:before="21"/>
              <w:ind w:right="34"/>
              <w:jc w:val="right"/>
              <w:rPr>
                <w:sz w:val="22"/>
              </w:rPr>
            </w:pPr>
            <w:r>
              <w:rPr>
                <w:w w:val="100"/>
                <w:sz w:val="22"/>
              </w:rPr>
              <w:t>2</w:t>
            </w:r>
          </w:p>
        </w:tc>
        <w:tc>
          <w:tcPr>
            <w:tcW w:w="1256" w:type="dxa"/>
            <w:tcBorders>
              <w:top w:val="nil"/>
              <w:left w:val="nil"/>
              <w:bottom w:val="nil"/>
            </w:tcBorders>
          </w:tcPr>
          <w:p>
            <w:pP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85"/>
                <w:sz w:val="22"/>
              </w:rPr>
              <w:t>San Mateo Atenco</w:t>
            </w:r>
          </w:p>
        </w:tc>
        <w:tc>
          <w:tcPr>
            <w:tcW w:w="1262" w:type="dxa"/>
            <w:tcBorders>
              <w:top w:val="nil"/>
              <w:left w:val="single" w:sz="8" w:space="0" w:color="000000"/>
              <w:bottom w:val="nil"/>
              <w:right w:val="nil"/>
            </w:tcBorders>
          </w:tcPr>
          <w:p>
            <w:pPr/>
          </w:p>
        </w:tc>
        <w:tc>
          <w:tcPr>
            <w:tcW w:w="1262" w:type="dxa"/>
            <w:tcBorders>
              <w:top w:val="nil"/>
              <w:left w:val="nil"/>
              <w:bottom w:val="nil"/>
              <w:right w:val="nil"/>
            </w:tcBorders>
          </w:tcPr>
          <w:p>
            <w:pPr>
              <w:pStyle w:val="TableParagraph"/>
              <w:spacing w:before="20"/>
              <w:ind w:right="35"/>
              <w:jc w:val="right"/>
              <w:rPr>
                <w:sz w:val="22"/>
              </w:rPr>
            </w:pPr>
            <w:r>
              <w:rPr>
                <w:w w:val="100"/>
                <w:sz w:val="22"/>
              </w:rPr>
              <w:t>3</w:t>
            </w:r>
          </w:p>
        </w:tc>
        <w:tc>
          <w:tcPr>
            <w:tcW w:w="1262" w:type="dxa"/>
            <w:tcBorders>
              <w:top w:val="nil"/>
              <w:left w:val="nil"/>
              <w:bottom w:val="nil"/>
              <w:right w:val="nil"/>
            </w:tcBorders>
          </w:tcPr>
          <w:p>
            <w:pPr>
              <w:pStyle w:val="TableParagraph"/>
              <w:spacing w:before="20"/>
              <w:ind w:right="34"/>
              <w:jc w:val="right"/>
              <w:rPr>
                <w:sz w:val="22"/>
              </w:rPr>
            </w:pPr>
            <w:r>
              <w:rPr>
                <w:w w:val="100"/>
                <w:sz w:val="22"/>
              </w:rPr>
              <w:t>1</w:t>
            </w:r>
          </w:p>
        </w:tc>
        <w:tc>
          <w:tcPr>
            <w:tcW w:w="1262" w:type="dxa"/>
            <w:tcBorders>
              <w:top w:val="nil"/>
              <w:left w:val="nil"/>
              <w:bottom w:val="nil"/>
              <w:right w:val="nil"/>
            </w:tcBorders>
          </w:tcPr>
          <w:p>
            <w:pPr/>
          </w:p>
        </w:tc>
        <w:tc>
          <w:tcPr>
            <w:tcW w:w="1256" w:type="dxa"/>
            <w:tcBorders>
              <w:top w:val="nil"/>
              <w:left w:val="nil"/>
              <w:bottom w:val="nil"/>
            </w:tcBorders>
          </w:tcPr>
          <w:p>
            <w:pP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Temoaya</w:t>
            </w:r>
          </w:p>
        </w:tc>
        <w:tc>
          <w:tcPr>
            <w:tcW w:w="1262" w:type="dxa"/>
            <w:tcBorders>
              <w:top w:val="nil"/>
              <w:left w:val="single" w:sz="8" w:space="0" w:color="000000"/>
              <w:bottom w:val="nil"/>
              <w:right w:val="nil"/>
            </w:tcBorders>
          </w:tcPr>
          <w:p>
            <w:pPr>
              <w:pStyle w:val="TableParagraph"/>
              <w:spacing w:before="21"/>
              <w:ind w:right="34"/>
              <w:jc w:val="right"/>
              <w:rPr>
                <w:sz w:val="22"/>
              </w:rPr>
            </w:pPr>
            <w:r>
              <w:rPr>
                <w:w w:val="100"/>
                <w:sz w:val="22"/>
              </w:rPr>
              <w:t>2</w:t>
            </w:r>
          </w:p>
        </w:tc>
        <w:tc>
          <w:tcPr>
            <w:tcW w:w="1262" w:type="dxa"/>
            <w:tcBorders>
              <w:top w:val="nil"/>
              <w:left w:val="nil"/>
              <w:bottom w:val="nil"/>
              <w:right w:val="nil"/>
            </w:tcBorders>
          </w:tcPr>
          <w:p>
            <w:pPr>
              <w:pStyle w:val="TableParagraph"/>
              <w:spacing w:before="21"/>
              <w:ind w:right="36"/>
              <w:jc w:val="right"/>
              <w:rPr>
                <w:sz w:val="22"/>
              </w:rPr>
            </w:pPr>
            <w:r>
              <w:rPr>
                <w:sz w:val="22"/>
              </w:rPr>
              <w:t>11</w:t>
            </w:r>
          </w:p>
        </w:tc>
        <w:tc>
          <w:tcPr>
            <w:tcW w:w="1262" w:type="dxa"/>
            <w:tcBorders>
              <w:top w:val="nil"/>
              <w:left w:val="nil"/>
              <w:bottom w:val="nil"/>
              <w:right w:val="nil"/>
            </w:tcBorders>
          </w:tcPr>
          <w:p>
            <w:pPr>
              <w:pStyle w:val="TableParagraph"/>
              <w:spacing w:before="21"/>
              <w:ind w:right="36"/>
              <w:jc w:val="right"/>
              <w:rPr>
                <w:sz w:val="22"/>
              </w:rPr>
            </w:pPr>
            <w:r>
              <w:rPr>
                <w:sz w:val="22"/>
              </w:rPr>
              <w:t>32</w:t>
            </w:r>
          </w:p>
        </w:tc>
        <w:tc>
          <w:tcPr>
            <w:tcW w:w="1262" w:type="dxa"/>
            <w:tcBorders>
              <w:top w:val="nil"/>
              <w:left w:val="nil"/>
              <w:bottom w:val="nil"/>
              <w:right w:val="nil"/>
            </w:tcBorders>
          </w:tcPr>
          <w:p>
            <w:pPr>
              <w:pStyle w:val="TableParagraph"/>
              <w:spacing w:before="21"/>
              <w:ind w:right="36"/>
              <w:jc w:val="right"/>
              <w:rPr>
                <w:sz w:val="22"/>
              </w:rPr>
            </w:pPr>
            <w:r>
              <w:rPr>
                <w:sz w:val="22"/>
              </w:rPr>
              <w:t>17</w:t>
            </w:r>
          </w:p>
        </w:tc>
        <w:tc>
          <w:tcPr>
            <w:tcW w:w="1256" w:type="dxa"/>
            <w:tcBorders>
              <w:top w:val="nil"/>
              <w:left w:val="nil"/>
              <w:bottom w:val="nil"/>
            </w:tcBorders>
          </w:tcPr>
          <w:p>
            <w:pPr>
              <w:pStyle w:val="TableParagraph"/>
              <w:spacing w:before="21"/>
              <w:ind w:right="15"/>
              <w:jc w:val="right"/>
              <w:rPr>
                <w:sz w:val="22"/>
              </w:rPr>
            </w:pPr>
            <w:r>
              <w:rPr>
                <w:w w:val="100"/>
                <w:sz w:val="22"/>
              </w:rPr>
              <w:t>1</w:t>
            </w: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Toluca</w:t>
            </w:r>
          </w:p>
        </w:tc>
        <w:tc>
          <w:tcPr>
            <w:tcW w:w="1262" w:type="dxa"/>
            <w:tcBorders>
              <w:top w:val="nil"/>
              <w:left w:val="single" w:sz="8" w:space="0" w:color="000000"/>
              <w:bottom w:val="nil"/>
              <w:right w:val="nil"/>
            </w:tcBorders>
          </w:tcPr>
          <w:p>
            <w:pPr>
              <w:pStyle w:val="TableParagraph"/>
              <w:spacing w:before="20"/>
              <w:ind w:right="36"/>
              <w:jc w:val="right"/>
              <w:rPr>
                <w:sz w:val="22"/>
              </w:rPr>
            </w:pPr>
            <w:r>
              <w:rPr>
                <w:sz w:val="22"/>
              </w:rPr>
              <w:t>13</w:t>
            </w:r>
          </w:p>
        </w:tc>
        <w:tc>
          <w:tcPr>
            <w:tcW w:w="1262" w:type="dxa"/>
            <w:tcBorders>
              <w:top w:val="nil"/>
              <w:left w:val="nil"/>
              <w:bottom w:val="nil"/>
              <w:right w:val="nil"/>
            </w:tcBorders>
          </w:tcPr>
          <w:p>
            <w:pPr>
              <w:pStyle w:val="TableParagraph"/>
              <w:spacing w:before="20"/>
              <w:ind w:right="36"/>
              <w:jc w:val="right"/>
              <w:rPr>
                <w:sz w:val="22"/>
              </w:rPr>
            </w:pPr>
            <w:r>
              <w:rPr>
                <w:sz w:val="22"/>
              </w:rPr>
              <w:t>25</w:t>
            </w:r>
          </w:p>
        </w:tc>
        <w:tc>
          <w:tcPr>
            <w:tcW w:w="1262" w:type="dxa"/>
            <w:tcBorders>
              <w:top w:val="nil"/>
              <w:left w:val="nil"/>
              <w:bottom w:val="nil"/>
              <w:right w:val="nil"/>
            </w:tcBorders>
          </w:tcPr>
          <w:p>
            <w:pPr>
              <w:pStyle w:val="TableParagraph"/>
              <w:spacing w:before="20"/>
              <w:ind w:right="36"/>
              <w:jc w:val="right"/>
              <w:rPr>
                <w:sz w:val="22"/>
              </w:rPr>
            </w:pPr>
            <w:r>
              <w:rPr>
                <w:sz w:val="22"/>
              </w:rPr>
              <w:t>43</w:t>
            </w:r>
          </w:p>
        </w:tc>
        <w:tc>
          <w:tcPr>
            <w:tcW w:w="1262" w:type="dxa"/>
            <w:tcBorders>
              <w:top w:val="nil"/>
              <w:left w:val="nil"/>
              <w:bottom w:val="nil"/>
              <w:right w:val="nil"/>
            </w:tcBorders>
          </w:tcPr>
          <w:p>
            <w:pPr>
              <w:pStyle w:val="TableParagraph"/>
              <w:spacing w:before="20"/>
              <w:ind w:right="36"/>
              <w:jc w:val="right"/>
              <w:rPr>
                <w:sz w:val="22"/>
              </w:rPr>
            </w:pPr>
            <w:r>
              <w:rPr>
                <w:sz w:val="22"/>
              </w:rPr>
              <w:t>16</w:t>
            </w:r>
          </w:p>
        </w:tc>
        <w:tc>
          <w:tcPr>
            <w:tcW w:w="1256" w:type="dxa"/>
            <w:tcBorders>
              <w:top w:val="nil"/>
              <w:left w:val="nil"/>
              <w:bottom w:val="nil"/>
            </w:tcBorders>
          </w:tcPr>
          <w:p>
            <w:pPr>
              <w:pStyle w:val="TableParagraph"/>
              <w:spacing w:before="20"/>
              <w:ind w:right="15"/>
              <w:jc w:val="right"/>
              <w:rPr>
                <w:sz w:val="22"/>
              </w:rPr>
            </w:pPr>
            <w:r>
              <w:rPr>
                <w:w w:val="100"/>
                <w:sz w:val="22"/>
              </w:rPr>
              <w:t>1</w:t>
            </w: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hAnsi="Arial"/>
                <w:sz w:val="22"/>
              </w:rPr>
            </w:pPr>
            <w:r>
              <w:rPr>
                <w:rFonts w:ascii="Arial" w:hAnsi="Arial"/>
                <w:w w:val="90"/>
                <w:sz w:val="22"/>
              </w:rPr>
              <w:t>Xonacatlán</w:t>
            </w:r>
          </w:p>
        </w:tc>
        <w:tc>
          <w:tcPr>
            <w:tcW w:w="1262" w:type="dxa"/>
            <w:tcBorders>
              <w:top w:val="nil"/>
              <w:left w:val="single" w:sz="8" w:space="0" w:color="000000"/>
              <w:bottom w:val="nil"/>
              <w:right w:val="nil"/>
            </w:tcBorders>
          </w:tcPr>
          <w:p>
            <w:pPr/>
          </w:p>
        </w:tc>
        <w:tc>
          <w:tcPr>
            <w:tcW w:w="1262" w:type="dxa"/>
            <w:tcBorders>
              <w:top w:val="nil"/>
              <w:left w:val="nil"/>
              <w:bottom w:val="nil"/>
              <w:right w:val="nil"/>
            </w:tcBorders>
          </w:tcPr>
          <w:p>
            <w:pPr>
              <w:pStyle w:val="TableParagraph"/>
              <w:spacing w:before="20"/>
              <w:ind w:right="35"/>
              <w:jc w:val="right"/>
              <w:rPr>
                <w:sz w:val="22"/>
              </w:rPr>
            </w:pPr>
            <w:r>
              <w:rPr>
                <w:w w:val="100"/>
                <w:sz w:val="22"/>
              </w:rPr>
              <w:t>4</w:t>
            </w:r>
          </w:p>
        </w:tc>
        <w:tc>
          <w:tcPr>
            <w:tcW w:w="1262" w:type="dxa"/>
            <w:tcBorders>
              <w:top w:val="nil"/>
              <w:left w:val="nil"/>
              <w:bottom w:val="nil"/>
              <w:right w:val="nil"/>
            </w:tcBorders>
          </w:tcPr>
          <w:p>
            <w:pPr>
              <w:pStyle w:val="TableParagraph"/>
              <w:spacing w:before="20"/>
              <w:ind w:right="34"/>
              <w:jc w:val="right"/>
              <w:rPr>
                <w:sz w:val="22"/>
              </w:rPr>
            </w:pPr>
            <w:r>
              <w:rPr>
                <w:w w:val="100"/>
                <w:sz w:val="22"/>
              </w:rPr>
              <w:t>8</w:t>
            </w:r>
          </w:p>
        </w:tc>
        <w:tc>
          <w:tcPr>
            <w:tcW w:w="1262" w:type="dxa"/>
            <w:tcBorders>
              <w:top w:val="nil"/>
              <w:left w:val="nil"/>
              <w:bottom w:val="nil"/>
              <w:right w:val="nil"/>
            </w:tcBorders>
          </w:tcPr>
          <w:p>
            <w:pPr>
              <w:pStyle w:val="TableParagraph"/>
              <w:spacing w:before="20"/>
              <w:ind w:right="34"/>
              <w:jc w:val="right"/>
              <w:rPr>
                <w:sz w:val="22"/>
              </w:rPr>
            </w:pPr>
            <w:r>
              <w:rPr>
                <w:w w:val="100"/>
                <w:sz w:val="22"/>
              </w:rPr>
              <w:t>8</w:t>
            </w:r>
          </w:p>
        </w:tc>
        <w:tc>
          <w:tcPr>
            <w:tcW w:w="1256" w:type="dxa"/>
            <w:tcBorders>
              <w:top w:val="nil"/>
              <w:left w:val="nil"/>
              <w:bottom w:val="nil"/>
            </w:tcBorders>
          </w:tcPr>
          <w:p>
            <w:pPr/>
          </w:p>
        </w:tc>
      </w:tr>
      <w:tr>
        <w:trPr>
          <w:trHeight w:val="331" w:hRule="exact"/>
        </w:trPr>
        <w:tc>
          <w:tcPr>
            <w:tcW w:w="1794" w:type="dxa"/>
            <w:tcBorders>
              <w:top w:val="single" w:sz="8" w:space="0" w:color="000000"/>
              <w:bottom w:val="single" w:sz="15" w:space="0" w:color="000000"/>
              <w:right w:val="single" w:sz="8" w:space="0" w:color="000000"/>
            </w:tcBorders>
          </w:tcPr>
          <w:p>
            <w:pPr>
              <w:pStyle w:val="TableParagraph"/>
              <w:spacing w:before="10"/>
              <w:ind w:left="19"/>
              <w:rPr>
                <w:rFonts w:ascii="Arial"/>
                <w:sz w:val="22"/>
              </w:rPr>
            </w:pPr>
            <w:r>
              <w:rPr>
                <w:rFonts w:ascii="Arial"/>
                <w:w w:val="90"/>
                <w:sz w:val="22"/>
              </w:rPr>
              <w:t>Zinacantepec</w:t>
            </w:r>
          </w:p>
        </w:tc>
        <w:tc>
          <w:tcPr>
            <w:tcW w:w="1262" w:type="dxa"/>
            <w:tcBorders>
              <w:top w:val="nil"/>
              <w:left w:val="single" w:sz="8" w:space="0" w:color="000000"/>
              <w:bottom w:val="single" w:sz="15" w:space="0" w:color="000000"/>
              <w:right w:val="nil"/>
            </w:tcBorders>
          </w:tcPr>
          <w:p>
            <w:pPr>
              <w:pStyle w:val="TableParagraph"/>
              <w:spacing w:before="16"/>
              <w:ind w:right="34"/>
              <w:jc w:val="right"/>
              <w:rPr>
                <w:sz w:val="22"/>
              </w:rPr>
            </w:pPr>
            <w:r>
              <w:rPr>
                <w:w w:val="100"/>
                <w:sz w:val="22"/>
              </w:rPr>
              <w:t>5</w:t>
            </w:r>
          </w:p>
        </w:tc>
        <w:tc>
          <w:tcPr>
            <w:tcW w:w="1262" w:type="dxa"/>
            <w:tcBorders>
              <w:top w:val="nil"/>
              <w:left w:val="nil"/>
              <w:bottom w:val="single" w:sz="15" w:space="0" w:color="000000"/>
              <w:right w:val="nil"/>
            </w:tcBorders>
          </w:tcPr>
          <w:p>
            <w:pPr>
              <w:pStyle w:val="TableParagraph"/>
              <w:spacing w:before="16"/>
              <w:ind w:right="36"/>
              <w:jc w:val="right"/>
              <w:rPr>
                <w:sz w:val="22"/>
              </w:rPr>
            </w:pPr>
            <w:r>
              <w:rPr>
                <w:sz w:val="22"/>
              </w:rPr>
              <w:t>14</w:t>
            </w:r>
          </w:p>
        </w:tc>
        <w:tc>
          <w:tcPr>
            <w:tcW w:w="1262" w:type="dxa"/>
            <w:tcBorders>
              <w:top w:val="nil"/>
              <w:left w:val="nil"/>
              <w:bottom w:val="single" w:sz="15" w:space="0" w:color="000000"/>
              <w:right w:val="nil"/>
            </w:tcBorders>
          </w:tcPr>
          <w:p>
            <w:pPr>
              <w:pStyle w:val="TableParagraph"/>
              <w:spacing w:before="16"/>
              <w:ind w:right="36"/>
              <w:jc w:val="right"/>
              <w:rPr>
                <w:sz w:val="22"/>
              </w:rPr>
            </w:pPr>
            <w:r>
              <w:rPr>
                <w:sz w:val="22"/>
              </w:rPr>
              <w:t>13</w:t>
            </w:r>
          </w:p>
        </w:tc>
        <w:tc>
          <w:tcPr>
            <w:tcW w:w="1262" w:type="dxa"/>
            <w:tcBorders>
              <w:top w:val="nil"/>
              <w:left w:val="nil"/>
              <w:bottom w:val="single" w:sz="15" w:space="0" w:color="000000"/>
              <w:right w:val="nil"/>
            </w:tcBorders>
          </w:tcPr>
          <w:p>
            <w:pPr>
              <w:pStyle w:val="TableParagraph"/>
              <w:spacing w:before="16"/>
              <w:ind w:right="36"/>
              <w:jc w:val="right"/>
              <w:rPr>
                <w:sz w:val="22"/>
              </w:rPr>
            </w:pPr>
            <w:r>
              <w:rPr>
                <w:sz w:val="22"/>
              </w:rPr>
              <w:t>15</w:t>
            </w:r>
          </w:p>
        </w:tc>
        <w:tc>
          <w:tcPr>
            <w:tcW w:w="1256" w:type="dxa"/>
            <w:tcBorders>
              <w:top w:val="nil"/>
              <w:left w:val="nil"/>
              <w:bottom w:val="single" w:sz="15" w:space="0" w:color="000000"/>
            </w:tcBorders>
          </w:tcPr>
          <w:p>
            <w:pPr>
              <w:pStyle w:val="TableParagraph"/>
              <w:spacing w:before="16"/>
              <w:ind w:right="15"/>
              <w:jc w:val="right"/>
              <w:rPr>
                <w:sz w:val="22"/>
              </w:rPr>
            </w:pPr>
            <w:r>
              <w:rPr>
                <w:w w:val="100"/>
                <w:sz w:val="22"/>
              </w:rPr>
              <w:t>6</w:t>
            </w:r>
          </w:p>
        </w:tc>
      </w:tr>
      <w:tr>
        <w:trPr>
          <w:trHeight w:val="326" w:hRule="exact"/>
        </w:trPr>
        <w:tc>
          <w:tcPr>
            <w:tcW w:w="1794" w:type="dxa"/>
            <w:tcBorders>
              <w:top w:val="single" w:sz="15" w:space="0" w:color="000000"/>
              <w:right w:val="single" w:sz="8" w:space="0" w:color="000000"/>
            </w:tcBorders>
          </w:tcPr>
          <w:p>
            <w:pPr>
              <w:pStyle w:val="TableParagraph"/>
              <w:ind w:left="19"/>
              <w:rPr>
                <w:rFonts w:ascii="Arial"/>
                <w:sz w:val="22"/>
              </w:rPr>
            </w:pPr>
            <w:r>
              <w:rPr>
                <w:rFonts w:ascii="Arial"/>
                <w:w w:val="90"/>
                <w:sz w:val="22"/>
              </w:rPr>
              <w:t>Total</w:t>
            </w:r>
          </w:p>
        </w:tc>
        <w:tc>
          <w:tcPr>
            <w:tcW w:w="1262" w:type="dxa"/>
            <w:tcBorders>
              <w:top w:val="single" w:sz="15" w:space="0" w:color="000000"/>
              <w:left w:val="single" w:sz="8" w:space="0" w:color="000000"/>
              <w:right w:val="single" w:sz="8" w:space="0" w:color="000000"/>
            </w:tcBorders>
          </w:tcPr>
          <w:p>
            <w:pPr>
              <w:pStyle w:val="TableParagraph"/>
              <w:spacing w:line="265" w:lineRule="exact"/>
              <w:ind w:right="26"/>
              <w:jc w:val="right"/>
              <w:rPr>
                <w:sz w:val="22"/>
              </w:rPr>
            </w:pPr>
            <w:r>
              <w:rPr>
                <w:sz w:val="22"/>
              </w:rPr>
              <w:t>54</w:t>
            </w:r>
          </w:p>
        </w:tc>
        <w:tc>
          <w:tcPr>
            <w:tcW w:w="1262" w:type="dxa"/>
            <w:tcBorders>
              <w:top w:val="single" w:sz="15" w:space="0" w:color="000000"/>
              <w:left w:val="single" w:sz="8" w:space="0" w:color="000000"/>
              <w:right w:val="single" w:sz="8" w:space="0" w:color="000000"/>
            </w:tcBorders>
          </w:tcPr>
          <w:p>
            <w:pPr>
              <w:pStyle w:val="TableParagraph"/>
              <w:spacing w:line="265" w:lineRule="exact"/>
              <w:ind w:right="27"/>
              <w:jc w:val="right"/>
              <w:rPr>
                <w:sz w:val="22"/>
              </w:rPr>
            </w:pPr>
            <w:r>
              <w:rPr>
                <w:sz w:val="22"/>
              </w:rPr>
              <w:t>164</w:t>
            </w:r>
          </w:p>
        </w:tc>
        <w:tc>
          <w:tcPr>
            <w:tcW w:w="1262" w:type="dxa"/>
            <w:tcBorders>
              <w:top w:val="single" w:sz="15" w:space="0" w:color="000000"/>
              <w:left w:val="single" w:sz="8" w:space="0" w:color="000000"/>
              <w:right w:val="single" w:sz="8" w:space="0" w:color="000000"/>
            </w:tcBorders>
          </w:tcPr>
          <w:p>
            <w:pPr>
              <w:pStyle w:val="TableParagraph"/>
              <w:spacing w:line="265" w:lineRule="exact"/>
              <w:ind w:right="26"/>
              <w:jc w:val="right"/>
              <w:rPr>
                <w:sz w:val="22"/>
              </w:rPr>
            </w:pPr>
            <w:r>
              <w:rPr>
                <w:sz w:val="22"/>
              </w:rPr>
              <w:t>176</w:t>
            </w:r>
          </w:p>
        </w:tc>
        <w:tc>
          <w:tcPr>
            <w:tcW w:w="1262" w:type="dxa"/>
            <w:tcBorders>
              <w:top w:val="single" w:sz="15" w:space="0" w:color="000000"/>
              <w:left w:val="single" w:sz="8" w:space="0" w:color="000000"/>
              <w:right w:val="single" w:sz="8" w:space="0" w:color="000000"/>
            </w:tcBorders>
          </w:tcPr>
          <w:p>
            <w:pPr>
              <w:pStyle w:val="TableParagraph"/>
              <w:spacing w:line="265" w:lineRule="exact"/>
              <w:ind w:right="27"/>
              <w:jc w:val="right"/>
              <w:rPr>
                <w:sz w:val="22"/>
              </w:rPr>
            </w:pPr>
            <w:r>
              <w:rPr>
                <w:sz w:val="22"/>
              </w:rPr>
              <w:t>119</w:t>
            </w:r>
          </w:p>
        </w:tc>
        <w:tc>
          <w:tcPr>
            <w:tcW w:w="1256" w:type="dxa"/>
            <w:tcBorders>
              <w:top w:val="single" w:sz="15" w:space="0" w:color="000000"/>
              <w:left w:val="single" w:sz="8" w:space="0" w:color="000000"/>
            </w:tcBorders>
          </w:tcPr>
          <w:p>
            <w:pPr>
              <w:pStyle w:val="TableParagraph"/>
              <w:spacing w:line="265" w:lineRule="exact"/>
              <w:ind w:right="17"/>
              <w:jc w:val="right"/>
              <w:rPr>
                <w:sz w:val="22"/>
              </w:rPr>
            </w:pPr>
            <w:r>
              <w:rPr>
                <w:sz w:val="22"/>
              </w:rPr>
              <w:t>34</w:t>
            </w:r>
          </w:p>
        </w:tc>
      </w:tr>
    </w:tbl>
    <w:p>
      <w:pPr>
        <w:spacing w:before="114"/>
        <w:ind w:left="111" w:right="0" w:firstLine="0"/>
        <w:jc w:val="both"/>
        <w:rPr>
          <w:sz w:val="20"/>
        </w:rPr>
      </w:pPr>
      <w:r>
        <w:rPr>
          <w:sz w:val="20"/>
        </w:rPr>
        <w:t>Fuente: Elaboración propia con base en los datos del Censo de Población y Vivienda INEGI, 2010.</w:t>
      </w:r>
    </w:p>
    <w:p>
      <w:pPr>
        <w:spacing w:after="0"/>
        <w:jc w:val="both"/>
        <w:rPr>
          <w:sz w:val="20"/>
        </w:rPr>
        <w:sectPr>
          <w:footerReference w:type="default" r:id="rId985"/>
          <w:pgSz w:w="12240" w:h="15840"/>
          <w:pgMar w:footer="1003" w:header="0" w:top="1360" w:bottom="1200" w:left="1600" w:right="1580"/>
          <w:pgNumType w:start="180"/>
        </w:sectPr>
      </w:pPr>
    </w:p>
    <w:p>
      <w:pPr>
        <w:pStyle w:val="BodyText"/>
        <w:spacing w:line="360" w:lineRule="auto" w:before="54"/>
        <w:ind w:left="102" w:right="117"/>
        <w:jc w:val="both"/>
      </w:pPr>
      <w:r>
        <w:rPr/>
        <w:t>Por su parte el rango de baja habitabilidad de las viviendas, es decir, viviendas  que cuentan con menos de la mitad de las variables evaluadas, se encontraron un total 119 localidades, Almoloya de Juárez registró la mayor parte de sus localidades con 39, seguido de Temoaya con 17, Toluca 16, Zinacantepec 15, Xonacatlán 8, Lerma y Otzolotepec 6 localidades respectivamente, Ocoyoacac 5, Calimaya 3, San Antonio la Isla 2, Chapultepec y Metepec 1 localidad con baja habitabilidad, mientras que Mexicaltzingo, Rayón y San Mateo Atenco no registraron localidades con baja habitabilidad en sus</w:t>
      </w:r>
      <w:r>
        <w:rPr>
          <w:spacing w:val="-24"/>
        </w:rPr>
        <w:t> </w:t>
      </w:r>
      <w:r>
        <w:rPr/>
        <w:t>viviendas.</w:t>
      </w:r>
    </w:p>
    <w:p>
      <w:pPr>
        <w:pStyle w:val="BodyText"/>
      </w:pPr>
    </w:p>
    <w:p>
      <w:pPr>
        <w:pStyle w:val="BodyText"/>
        <w:spacing w:line="360" w:lineRule="auto" w:before="142"/>
        <w:ind w:left="102" w:right="115"/>
        <w:jc w:val="both"/>
      </w:pPr>
      <w:r>
        <w:rPr/>
        <w:t>Las localidades con muy baja habitabilidad de sus viviendas fueron en total 34, es decir, viviendas que cuentan con los menores porcentajes de cobertura de servicios públicos, los pisos de las viviendas son de tierra, escasos bienes en las viviendas y cuentan con menos de dos cuartos, el municipio de Almoloya de Juárez es el que registró 19 localidades, Zinacantepec 6 localidades, Calimaya 2 localidades, municipios como Lerma, Metepec, Ocoyoacac, Otzolotepec, Rayón, Temoaya y Toluca registraron 1 localidad. Mientras que Chapultepec, Mexicaltzingo, San Antonio la Isla, San Mateo Atenco y Xonacatlán no registraron localidades con estas características (ver mapa no.</w:t>
      </w:r>
      <w:r>
        <w:rPr>
          <w:spacing w:val="-14"/>
        </w:rPr>
        <w:t> </w:t>
      </w:r>
      <w:r>
        <w:rPr/>
        <w:t>21).</w:t>
      </w:r>
    </w:p>
    <w:p>
      <w:pPr>
        <w:spacing w:after="0" w:line="360" w:lineRule="auto"/>
        <w:jc w:val="both"/>
        <w:sectPr>
          <w:pgSz w:w="12240" w:h="15840"/>
          <w:pgMar w:header="0" w:footer="1003" w:top="1360" w:bottom="1200" w:left="1600" w:right="1580"/>
        </w:sectPr>
      </w:pPr>
    </w:p>
    <w:p>
      <w:pPr>
        <w:spacing w:before="53" w:after="2"/>
        <w:ind w:left="157" w:right="157" w:firstLine="0"/>
        <w:jc w:val="center"/>
        <w:rPr>
          <w:sz w:val="20"/>
        </w:rPr>
      </w:pPr>
      <w:r>
        <w:rPr>
          <w:sz w:val="20"/>
        </w:rPr>
        <w:t>Mapa No. 21 Porcentaje de habitabilidad de las viviendas a nivel localidad en la </w:t>
      </w:r>
      <w:r>
        <w:rPr>
          <w:sz w:val="16"/>
        </w:rPr>
        <w:t>ZMT</w:t>
      </w:r>
      <w:r>
        <w:rPr>
          <w:sz w:val="20"/>
        </w:rPr>
        <w:t>, 2010.</w:t>
      </w:r>
    </w:p>
    <w:p>
      <w:pPr>
        <w:pStyle w:val="BodyText"/>
        <w:ind w:left="106"/>
        <w:rPr>
          <w:sz w:val="20"/>
        </w:rPr>
      </w:pPr>
      <w:r>
        <w:rPr>
          <w:sz w:val="20"/>
        </w:rPr>
        <w:drawing>
          <wp:inline distT="0" distB="0" distL="0" distR="0">
            <wp:extent cx="5599563" cy="3959352"/>
            <wp:effectExtent l="0" t="0" r="0" b="0"/>
            <wp:docPr id="163" name="image954.jpeg" descr=""/>
            <wp:cNvGraphicFramePr>
              <a:graphicFrameLocks noChangeAspect="1"/>
            </wp:cNvGraphicFramePr>
            <a:graphic>
              <a:graphicData uri="http://schemas.openxmlformats.org/drawingml/2006/picture">
                <pic:pic>
                  <pic:nvPicPr>
                    <pic:cNvPr id="164" name="image954.jpeg"/>
                    <pic:cNvPicPr/>
                  </pic:nvPicPr>
                  <pic:blipFill>
                    <a:blip r:embed="rId986" cstate="print"/>
                    <a:stretch>
                      <a:fillRect/>
                    </a:stretch>
                  </pic:blipFill>
                  <pic:spPr>
                    <a:xfrm>
                      <a:off x="0" y="0"/>
                      <a:ext cx="5599563" cy="3959352"/>
                    </a:xfrm>
                    <a:prstGeom prst="rect">
                      <a:avLst/>
                    </a:prstGeom>
                  </pic:spPr>
                </pic:pic>
              </a:graphicData>
            </a:graphic>
          </wp:inline>
        </w:drawing>
      </w:r>
      <w:r>
        <w:rPr>
          <w:sz w:val="20"/>
        </w:rPr>
      </w:r>
    </w:p>
    <w:p>
      <w:pPr>
        <w:spacing w:line="242" w:lineRule="auto" w:before="2"/>
        <w:ind w:left="157" w:right="159" w:firstLine="0"/>
        <w:jc w:val="center"/>
        <w:rPr>
          <w:sz w:val="20"/>
        </w:rPr>
      </w:pPr>
      <w:r>
        <w:rPr>
          <w:sz w:val="20"/>
        </w:rPr>
        <w:t>Fuente: Elaboración propia con base en los datos de los Censos de Población y Vivienda INEGI, 2010.</w:t>
      </w:r>
    </w:p>
    <w:p>
      <w:pPr>
        <w:pStyle w:val="BodyText"/>
        <w:rPr>
          <w:sz w:val="17"/>
        </w:rPr>
      </w:pPr>
    </w:p>
    <w:p>
      <w:pPr>
        <w:pStyle w:val="BodyText"/>
        <w:spacing w:line="360" w:lineRule="auto"/>
        <w:ind w:left="102" w:right="98"/>
        <w:jc w:val="both"/>
      </w:pPr>
      <w:r>
        <w:rPr/>
        <w:t>Para ser más específicos las localidades de Almoloya de Juárez con muy baja habitabilidad en el año 2010 son: El Santito (Barrio el Santito Yebuciví), La Hortaliza, Arroyo Zarco, Mextepec (Ex Hacienda Mextepec), Loma de la Tinaja, Barrio los Lagartos Yebuciví, La Lagunita Yebuciví, Rosa Morada, La Tinaja, San Antonio Buenavista, Palos Amarillos Yebuciví, Ejido la Gavia (San José la Gavia), Casa Nueva (Casa Nueva Yebuciví), San Agustín las Tablas, Colonia Lázaro Cárdenas (La Trampa), La Soledad Ocoyotepec, Barrio de Jacal Yebuciví, Buenavista Yebuciví y La Venta.</w:t>
      </w:r>
    </w:p>
    <w:p>
      <w:pPr>
        <w:pStyle w:val="BodyText"/>
      </w:pPr>
    </w:p>
    <w:p>
      <w:pPr>
        <w:pStyle w:val="BodyText"/>
        <w:spacing w:line="360" w:lineRule="auto" w:before="142"/>
        <w:ind w:left="102" w:right="100"/>
        <w:jc w:val="both"/>
      </w:pPr>
      <w:r>
        <w:rPr/>
        <w:t>De Zinacantepec son: San Miguel Hojas Anchas, Loma de San Luis Mextepec,  Dos Caminos (Crucero de la Puerta), Barrio de la Rosa, El Kiosco, Agua Blanca Ejido de Santa María del Monte. Del municipio de Calimaya son: Rancho Vista Hermosa (Rancho los Jardines) y El Baldío Amarillo. Y las localidades del Valle del Silencio  (Ocoyoacac),  Rancho  San  Bartolo  (Toluca),  San  Pedro  Arriba  </w:t>
      </w:r>
      <w:r>
        <w:rPr>
          <w:spacing w:val="29"/>
        </w:rPr>
        <w:t> </w:t>
      </w:r>
      <w:r>
        <w:rPr/>
        <w:t>sexta</w:t>
      </w:r>
    </w:p>
    <w:p>
      <w:pPr>
        <w:spacing w:after="0" w:line="360" w:lineRule="auto"/>
        <w:jc w:val="both"/>
        <w:sectPr>
          <w:pgSz w:w="12240" w:h="15840"/>
          <w:pgMar w:header="0" w:footer="1003" w:top="1360" w:bottom="1200" w:left="1600" w:right="1600"/>
        </w:sectPr>
      </w:pPr>
    </w:p>
    <w:p>
      <w:pPr>
        <w:pStyle w:val="BodyText"/>
        <w:spacing w:line="360" w:lineRule="auto" w:before="54"/>
        <w:ind w:left="102" w:right="115"/>
        <w:jc w:val="both"/>
      </w:pPr>
      <w:r>
        <w:rPr/>
        <w:t>sección (Temoaya), Las Minas (Metepec), Ejido de San Mateo Capulhuac (Otzolotepec) y Casa Blanca (Rayón).</w:t>
      </w:r>
    </w:p>
    <w:p>
      <w:pPr>
        <w:pStyle w:val="BodyText"/>
      </w:pPr>
    </w:p>
    <w:p>
      <w:pPr>
        <w:pStyle w:val="BodyText"/>
      </w:pPr>
    </w:p>
    <w:p>
      <w:pPr>
        <w:pStyle w:val="ListParagraph"/>
        <w:numPr>
          <w:ilvl w:val="2"/>
          <w:numId w:val="25"/>
        </w:numPr>
        <w:tabs>
          <w:tab w:pos="594" w:val="left" w:leader="none"/>
        </w:tabs>
        <w:spacing w:line="240" w:lineRule="auto" w:before="203" w:after="0"/>
        <w:ind w:left="593" w:right="0" w:hanging="491"/>
        <w:jc w:val="both"/>
        <w:rPr>
          <w:rFonts w:ascii="Cambria" w:hAnsi="Cambria"/>
          <w:b/>
          <w:sz w:val="22"/>
        </w:rPr>
      </w:pPr>
      <w:r>
        <w:rPr>
          <w:rFonts w:ascii="Cambria" w:hAnsi="Cambria"/>
          <w:b/>
          <w:color w:val="4F81BC"/>
          <w:sz w:val="22"/>
        </w:rPr>
        <w:t>Evaluación de la habitabilidad de las viviendas a nivel de ageb´s en la  </w:t>
      </w:r>
      <w:r>
        <w:rPr>
          <w:rFonts w:ascii="Cambria" w:hAnsi="Cambria"/>
          <w:b/>
          <w:color w:val="4F81BC"/>
          <w:sz w:val="18"/>
        </w:rPr>
        <w:t>ZMT</w:t>
      </w:r>
      <w:r>
        <w:rPr>
          <w:rFonts w:ascii="Cambria" w:hAnsi="Cambria"/>
          <w:b/>
          <w:color w:val="4F81BC"/>
          <w:sz w:val="22"/>
        </w:rPr>
        <w:t>,</w:t>
      </w:r>
      <w:r>
        <w:rPr>
          <w:rFonts w:ascii="Cambria" w:hAnsi="Cambria"/>
          <w:b/>
          <w:color w:val="4F81BC"/>
          <w:spacing w:val="-26"/>
          <w:sz w:val="22"/>
        </w:rPr>
        <w:t> </w:t>
      </w:r>
      <w:r>
        <w:rPr>
          <w:rFonts w:ascii="Cambria" w:hAnsi="Cambria"/>
          <w:b/>
          <w:color w:val="4F81BC"/>
          <w:sz w:val="22"/>
        </w:rPr>
        <w:t>2010.</w:t>
      </w:r>
    </w:p>
    <w:p>
      <w:pPr>
        <w:pStyle w:val="BodyText"/>
        <w:rPr>
          <w:rFonts w:ascii="Cambria"/>
          <w:b/>
          <w:sz w:val="22"/>
        </w:rPr>
      </w:pPr>
    </w:p>
    <w:p>
      <w:pPr>
        <w:pStyle w:val="BodyText"/>
        <w:spacing w:line="360" w:lineRule="auto" w:before="193"/>
        <w:ind w:left="102" w:right="118"/>
        <w:jc w:val="both"/>
      </w:pPr>
      <w:r>
        <w:rPr/>
        <w:t>La evaluación de la habitabilidad de las viviendas a nivel ageb 2010, se realizó a través de cuatro dimensiones y dieciséis variables: servicios públicos (agua potable, energía eléctrica, drenaje, sanitario), materiales de construcción (piso de tierra) bienes de las viviendas (radio, televisor, refrigerador, lavadora, automóvil, computadora, teléfono, celular, internet) y la legalidad de las viviendas (viviendas con 1 cuarto y viviendas con 2 cuartos).</w:t>
      </w:r>
    </w:p>
    <w:p>
      <w:pPr>
        <w:pStyle w:val="BodyText"/>
      </w:pPr>
    </w:p>
    <w:p>
      <w:pPr>
        <w:pStyle w:val="BodyText"/>
        <w:spacing w:line="360" w:lineRule="auto" w:before="142"/>
        <w:ind w:left="102" w:right="115"/>
        <w:jc w:val="both"/>
      </w:pPr>
      <w:r>
        <w:rPr/>
        <w:t>La jerarquización de las 16 variables por ageb quedo de la siguiente manera: viviendas con dos cuartos, sin agua, sin energía eléctrica, con un cuarto, con piso de tierra, sin drenaje, sin sanitario, sin refrigerador, sin lavadora, sin auto, sin computadora, sin teléfono, sin celular, sin internet, sin televisión, sin radio. Las variables que no aparecen en el censo del 2010 son, viviendas particulares no propias, con techo inadecuado, con paredes inadecuadas, sin videocasetera sin boiler y viviendas rentadas.</w:t>
      </w:r>
    </w:p>
    <w:p>
      <w:pPr>
        <w:pStyle w:val="BodyText"/>
      </w:pPr>
    </w:p>
    <w:p>
      <w:pPr>
        <w:pStyle w:val="BodyText"/>
        <w:spacing w:line="360" w:lineRule="auto" w:before="142"/>
        <w:ind w:left="102" w:right="118"/>
        <w:jc w:val="both"/>
      </w:pPr>
      <w:r>
        <w:rPr/>
        <w:t>De los 390 ageb´s que se evaluaron por medio del método Saaty, a través de 16 variables, se encontró que 64 ageb´s se ubican con alta habitabilidad de las viviendas es decir; solo el 16 por ciento de los ageb´s se ubican dentro de la alta habitabilidad, estos ageb´s tienen los más altos porcentajes en servicios públicos, así como materiales de construcción, bienes en la vivienda, además cuentan con dos cuartos o más.</w:t>
      </w:r>
    </w:p>
    <w:p>
      <w:pPr>
        <w:spacing w:after="0" w:line="360" w:lineRule="auto"/>
        <w:jc w:val="both"/>
        <w:sectPr>
          <w:pgSz w:w="12240" w:h="15840"/>
          <w:pgMar w:header="0" w:footer="1003" w:top="1360" w:bottom="1200" w:left="1600" w:right="1580"/>
        </w:sectPr>
      </w:pPr>
    </w:p>
    <w:p>
      <w:pPr>
        <w:spacing w:before="53"/>
        <w:ind w:left="157" w:right="156" w:firstLine="0"/>
        <w:jc w:val="center"/>
        <w:rPr>
          <w:sz w:val="20"/>
        </w:rPr>
      </w:pPr>
      <w:r>
        <w:rPr/>
        <w:pict>
          <v:group style="position:absolute;margin-left:107.023651pt;margin-top:25.497889pt;width:408.9pt;height:251pt;mso-position-horizontal-relative:page;mso-position-vertical-relative:paragraph;z-index:-330304" coordorigin="2140,510" coordsize="8178,5020">
            <v:shape style="position:absolute;left:254;top:5130;width:9116;height:5594" coordorigin="254,5130" coordsize="9116,5594" path="m6033,517l5923,517,5813,518,5704,519,5596,520,5488,522,5382,524,5276,526,5172,529,5069,532,4966,536,4865,540,4765,544,4667,548,4569,553,4473,558,4378,564,4285,569,4192,576,4102,582,4013,589,3925,596,3839,603,3755,610,3672,618,3591,626,3512,634,3435,643,3359,652,3286,661,3214,670,3144,680,3076,690,3010,700,2947,710,2885,720,2826,731,2768,742,2713,753,2661,764,2610,776,2562,787,2517,799,2473,811,2433,823,2395,836,2359,848,2326,861,2296,874,2268,886,2243,900,2221,913,2202,926,2185,940,2172,953,2161,967,2154,981,2149,995,2147,1009,2149,1023,2154,1036,2161,1050,2172,1064,2185,1078,2202,1091,2221,1104,2243,1118,2268,1131,2296,1144,2326,1156,2359,1169,2395,1182,2433,1194,2473,1206,2517,1218,2562,1230,2610,1242,2661,1253,2713,1264,2768,1275,2826,1286,2885,1297,2947,1307,3010,1318,3076,1328,3144,1337,3214,1347,3286,1356,3359,1365,3435,1374,3512,1383,3591,1391,3672,1399,3755,1407,3839,1414,3925,1422,4013,1429,4102,1435,4192,1442,4285,1448,4378,1454,4473,1459,4569,1464,4667,1469,4765,1474,4865,1478,4966,1482,5069,1485,5172,1488,5276,1491,5382,1493,5488,1495,5596,1497,5704,1499,5813,1499,5923,1500,6033,1500,6144,1500,6254,1499,6363,1499,6471,1497,6578,1495,6685,1493,6790,1491,6895,1488,6998,1485,7100,1482,7201,1478,7301,1474,7400,1469,7498,1464,7594,1459,7689,1454,7782,1448,7874,1442,7965,1435,8054,1429,8141,1422,8227,1414,8312,1407,8394,1399,8475,1391,8554,1383,8632,1374,8707,1365,8781,1356,8853,1347,8923,1337,8990,1328,9056,1318,9120,1307,9182,1297,9241,1286,9298,1275,9353,1264,9406,1253,9456,1242,9504,1230,9550,1218,9593,1206,9634,1194,9672,1182,9708,1169,9741,1156,9771,1144,9798,1131,9823,1118,9845,1104,9865,1091,9881,1078,9895,1064,9905,1050,9913,1036,9918,1023,9919,1009,9918,995,9913,981,9905,967,9895,953,9881,940,9865,926,9845,913,9823,900,9798,886,9771,874,9741,861,9708,848,9672,836,9634,823,9593,811,9550,799,9504,787,9456,776,9406,764,9353,753,9298,742,9241,731,9182,720,9120,710,9056,700,8990,690,8923,680,8853,670,8781,661,8707,652,8632,643,8554,634,8475,626,8394,618,8312,610,8227,603,8141,596,8054,589,7965,582,7874,576,7782,569,7689,564,7594,558,7498,553,7400,548,7301,544,7201,540,7100,536,6998,532,6895,529,6790,526,6685,524,6578,522,6471,520,6363,519,6254,518,6144,517,6033,517xm5927,1500l5938,1791m2978,1792l9257,1792m2212,2432l2188,2437,2168,2450,2154,2470,2149,2495,2149,2747,2154,2772,2168,2792,2188,2805,2212,2810,4003,2810,4027,2805,4047,2792,4061,2772,4066,2747,4066,2495,4061,2470,4047,2450,4027,2437,4003,2432,2212,2432xm4240,2374l4195,2383,4158,2407,4133,2444,4124,2489,4124,2952,4133,2997,4158,3034,4195,3059,4240,3068,6025,3068,6070,3059,6107,3034,6132,2997,6141,2952,6141,2489,6132,2444,6107,2407,6070,2383,6025,2374,4240,2374xm2978,1791l2978,2432m5053,1791l5063,2374m6336,2374l6291,2383,6254,2407,6230,2444,6220,2489,6220,2952,6230,2997,6254,3034,6291,3059,6336,3068,8121,3068,8167,3059,8203,3034,8228,2997,8237,2952,8237,2489,8228,2444,8203,2407,8167,2383,8121,2374,6336,2374xm8411,2374l8365,2383,8329,2407,8304,2444,8295,2489,8295,2952,8304,2997,8329,3034,8365,3059,8411,3068,10196,3068,10241,3059,10277,3034,10302,2997,10311,2952,10311,2489,10302,2444,10277,2407,10241,2383,10196,2374,8411,2374xm7183,1792l7194,2374m9257,1791l9268,2374m2212,3407l2188,3412,2168,3425,2154,3445,2149,3470,2149,3722,2154,3747,2168,3767,2188,3780,2212,3785,4003,3785,4027,3780,4047,3767,4061,3747,4066,3722,4066,3470,4061,3445,4047,3425,4027,3412,4003,3407,2212,3407xm2978,2810l2978,3407m4287,3407l4263,3412,4243,3425,4229,3445,4224,3470,4224,3722,4229,3747,4243,3767,4263,3780,4287,3785,6078,3785,6102,3780,6122,3767,6136,3747,6141,3722,6141,3470,6136,3445,6122,3425,6102,3412,6078,3407,4287,3407xm5063,3068l5063,3407m8458,3407l8433,3412,8413,3425,8400,3445,8395,3470,8395,3722,8400,3747,8413,3767,8433,3780,8458,3785,10248,3785,10273,3780,10293,3767,10306,3747,10311,3722,10311,3470,10306,3445,10293,3425,10273,3412,10248,3407,8458,3407xm9268,3068l9268,3407m2212,4000l2188,4005,2168,4019,2154,4039,2149,4063,2149,4315,2154,4340,2168,4360,2188,4374,2212,4379,4003,4379,4027,4374,4047,4360,4061,4340,4066,4315,4066,4063,4061,4039,4047,4019,4027,4005,4003,4000,2212,4000xm2978,3785l2978,4000m8458,4000l8433,4005,8413,4019,8400,4039,8395,4063,8395,4315,8400,4340,8413,4360,8433,4374,8458,4379,10248,4379,10273,4374,10293,4360,10306,4340,10311,4315,10311,4063,10306,4039,10293,4019,10273,4005,10248,4000,8458,4000xm9268,3785l9268,4000m2212,4584l2188,4589,2168,4602,2154,4622,2149,4647,2149,4899,2154,4923,2168,4944,2188,4957,2212,4962,4003,4962,4027,4957,4047,4944,4061,4923,4066,4899,4066,4647,4061,4622,4047,4602,4027,4589,4003,4584,2212,4584xm2978,4369l2978,4584m2212,5144l2188,5149,2168,5162,2154,5182,2149,5207,2149,5459,2154,5484,2168,5504,2188,5517,2212,5522,4003,5522,4027,5517,4047,5504,4061,5484,4066,5459,4066,5207,4061,5182,4047,5162,4027,5149,4003,5144,2212,5144xm2978,4962l2978,5177e" filled="false" stroked="true" strokeweight=".671364pt" strokecolor="#000000">
              <v:path arrowok="t"/>
            </v:shape>
            <v:shape style="position:absolute;left:2389;top:915;width:6982;height:215" type="#_x0000_t202" filled="false" stroked="false">
              <v:textbox inset="0,0,0,0">
                <w:txbxContent>
                  <w:p>
                    <w:pPr>
                      <w:spacing w:line="215" w:lineRule="exact" w:before="0"/>
                      <w:ind w:left="0" w:right="0" w:firstLine="0"/>
                      <w:jc w:val="left"/>
                      <w:rPr>
                        <w:b/>
                        <w:sz w:val="21"/>
                      </w:rPr>
                    </w:pPr>
                    <w:r>
                      <w:rPr>
                        <w:b/>
                        <w:sz w:val="21"/>
                      </w:rPr>
                      <w:t>La habitabilidad de las viviendas en la zona metropolitana de   Toluca</w:t>
                    </w:r>
                  </w:p>
                </w:txbxContent>
              </v:textbox>
              <w10:wrap type="none"/>
            </v:shape>
            <v:shape style="position:absolute;left:2320;top:2556;width:1578;height:215" type="#_x0000_t202" filled="false" stroked="false">
              <v:textbox inset="0,0,0,0">
                <w:txbxContent>
                  <w:p>
                    <w:pPr>
                      <w:spacing w:line="215" w:lineRule="exact" w:before="0"/>
                      <w:ind w:left="0" w:right="0" w:firstLine="0"/>
                      <w:jc w:val="left"/>
                      <w:rPr>
                        <w:rFonts w:ascii="Calibri" w:hAnsi="Calibri"/>
                        <w:b/>
                        <w:sz w:val="21"/>
                      </w:rPr>
                    </w:pPr>
                    <w:r>
                      <w:rPr>
                        <w:rFonts w:ascii="Calibri" w:hAnsi="Calibri"/>
                        <w:b/>
                        <w:sz w:val="21"/>
                      </w:rPr>
                      <w:t>Servicios Públicos</w:t>
                    </w:r>
                  </w:p>
                </w:txbxContent>
              </v:textbox>
              <w10:wrap type="none"/>
            </v:shape>
            <v:shape style="position:absolute;left:4522;top:2517;width:1230;height:477" type="#_x0000_t202" filled="false" stroked="false">
              <v:textbox inset="0,0,0,0">
                <w:txbxContent>
                  <w:p>
                    <w:pPr>
                      <w:spacing w:line="217" w:lineRule="exact" w:before="0"/>
                      <w:ind w:left="34" w:right="0" w:hanging="35"/>
                      <w:jc w:val="left"/>
                      <w:rPr>
                        <w:rFonts w:ascii="Calibri"/>
                        <w:b/>
                        <w:sz w:val="21"/>
                      </w:rPr>
                    </w:pPr>
                    <w:r>
                      <w:rPr>
                        <w:rFonts w:ascii="Calibri"/>
                        <w:b/>
                        <w:sz w:val="21"/>
                      </w:rPr>
                      <w:t>Materiales de</w:t>
                    </w:r>
                  </w:p>
                  <w:p>
                    <w:pPr>
                      <w:spacing w:line="254" w:lineRule="exact" w:before="5"/>
                      <w:ind w:left="34" w:right="0" w:firstLine="0"/>
                      <w:jc w:val="left"/>
                      <w:rPr>
                        <w:rFonts w:ascii="Calibri" w:hAnsi="Calibri"/>
                        <w:b/>
                        <w:sz w:val="21"/>
                      </w:rPr>
                    </w:pPr>
                    <w:r>
                      <w:rPr>
                        <w:rFonts w:ascii="Calibri" w:hAnsi="Calibri"/>
                        <w:b/>
                        <w:sz w:val="21"/>
                      </w:rPr>
                      <w:t>Construcción</w:t>
                    </w:r>
                  </w:p>
                </w:txbxContent>
              </v:textbox>
              <w10:wrap type="none"/>
            </v:shape>
            <v:shape style="position:absolute;left:6654;top:2517;width:1153;height:477" type="#_x0000_t202" filled="false" stroked="false">
              <v:textbox inset="0,0,0,0">
                <w:txbxContent>
                  <w:p>
                    <w:pPr>
                      <w:spacing w:line="217" w:lineRule="exact" w:before="0"/>
                      <w:ind w:left="0" w:right="0" w:firstLine="0"/>
                      <w:jc w:val="center"/>
                      <w:rPr>
                        <w:rFonts w:ascii="Calibri"/>
                        <w:b/>
                        <w:sz w:val="21"/>
                      </w:rPr>
                    </w:pPr>
                    <w:r>
                      <w:rPr>
                        <w:rFonts w:ascii="Calibri"/>
                        <w:b/>
                        <w:sz w:val="21"/>
                      </w:rPr>
                      <w:t>Bienes de las</w:t>
                    </w:r>
                  </w:p>
                  <w:p>
                    <w:pPr>
                      <w:spacing w:line="254" w:lineRule="exact" w:before="5"/>
                      <w:ind w:left="0" w:right="1" w:firstLine="0"/>
                      <w:jc w:val="center"/>
                      <w:rPr>
                        <w:rFonts w:ascii="Calibri"/>
                        <w:b/>
                        <w:sz w:val="21"/>
                      </w:rPr>
                    </w:pPr>
                    <w:r>
                      <w:rPr>
                        <w:rFonts w:ascii="Calibri"/>
                        <w:b/>
                        <w:sz w:val="21"/>
                      </w:rPr>
                      <w:t>Viviendas</w:t>
                    </w:r>
                  </w:p>
                </w:txbxContent>
              </v:textbox>
              <w10:wrap type="none"/>
            </v:shape>
            <v:shape style="position:absolute;left:8598;top:2517;width:1413;height:477" type="#_x0000_t202" filled="false" stroked="false">
              <v:textbox inset="0,0,0,0">
                <w:txbxContent>
                  <w:p>
                    <w:pPr>
                      <w:spacing w:line="217" w:lineRule="exact" w:before="0"/>
                      <w:ind w:left="-1" w:right="0" w:firstLine="0"/>
                      <w:jc w:val="center"/>
                      <w:rPr>
                        <w:rFonts w:ascii="Calibri"/>
                        <w:b/>
                        <w:sz w:val="21"/>
                      </w:rPr>
                    </w:pPr>
                    <w:r>
                      <w:rPr>
                        <w:rFonts w:ascii="Calibri"/>
                        <w:b/>
                        <w:sz w:val="21"/>
                      </w:rPr>
                      <w:t>Legalidad de</w:t>
                    </w:r>
                    <w:r>
                      <w:rPr>
                        <w:rFonts w:ascii="Calibri"/>
                        <w:b/>
                        <w:spacing w:val="25"/>
                        <w:sz w:val="21"/>
                      </w:rPr>
                      <w:t> </w:t>
                    </w:r>
                    <w:r>
                      <w:rPr>
                        <w:rFonts w:ascii="Calibri"/>
                        <w:b/>
                        <w:sz w:val="21"/>
                      </w:rPr>
                      <w:t>las</w:t>
                    </w:r>
                  </w:p>
                  <w:p>
                    <w:pPr>
                      <w:spacing w:line="254" w:lineRule="exact" w:before="5"/>
                      <w:ind w:left="4" w:right="0" w:firstLine="0"/>
                      <w:jc w:val="center"/>
                      <w:rPr>
                        <w:rFonts w:ascii="Calibri"/>
                        <w:b/>
                        <w:sz w:val="21"/>
                      </w:rPr>
                    </w:pPr>
                    <w:r>
                      <w:rPr>
                        <w:rFonts w:ascii="Calibri"/>
                        <w:b/>
                        <w:sz w:val="21"/>
                      </w:rPr>
                      <w:t>Viviendas</w:t>
                    </w:r>
                  </w:p>
                </w:txbxContent>
              </v:textbox>
              <w10:wrap type="none"/>
            </v:shape>
            <v:shape style="position:absolute;left:2530;top:3531;width:1157;height:215" type="#_x0000_t202" filled="false" stroked="false">
              <v:textbox inset="0,0,0,0">
                <w:txbxContent>
                  <w:p>
                    <w:pPr>
                      <w:spacing w:line="215" w:lineRule="exact" w:before="0"/>
                      <w:ind w:left="0" w:right="0" w:firstLine="0"/>
                      <w:jc w:val="left"/>
                      <w:rPr>
                        <w:rFonts w:ascii="Calibri"/>
                        <w:sz w:val="21"/>
                      </w:rPr>
                    </w:pPr>
                    <w:r>
                      <w:rPr>
                        <w:rFonts w:ascii="Calibri"/>
                        <w:sz w:val="21"/>
                      </w:rPr>
                      <w:t>Agua Potable</w:t>
                    </w:r>
                  </w:p>
                </w:txbxContent>
              </v:textbox>
              <w10:wrap type="none"/>
            </v:shape>
            <v:shape style="position:absolute;left:4586;top:3531;width:1186;height:215" type="#_x0000_t202" filled="false" stroked="false">
              <v:textbox inset="0,0,0,0">
                <w:txbxContent>
                  <w:p>
                    <w:pPr>
                      <w:spacing w:line="215" w:lineRule="exact" w:before="0"/>
                      <w:ind w:left="0" w:right="0" w:firstLine="0"/>
                      <w:jc w:val="left"/>
                      <w:rPr>
                        <w:rFonts w:ascii="Calibri"/>
                        <w:sz w:val="21"/>
                      </w:rPr>
                    </w:pPr>
                    <w:r>
                      <w:rPr>
                        <w:rFonts w:ascii="Calibri"/>
                        <w:sz w:val="21"/>
                      </w:rPr>
                      <w:t>Piso de Tierra</w:t>
                    </w:r>
                  </w:p>
                </w:txbxContent>
              </v:textbox>
              <w10:wrap type="none"/>
            </v:shape>
            <v:shape style="position:absolute;left:8809;top:3531;width:1093;height:215" type="#_x0000_t202" filled="false" stroked="false">
              <v:textbox inset="0,0,0,0">
                <w:txbxContent>
                  <w:p>
                    <w:pPr>
                      <w:spacing w:line="215" w:lineRule="exact" w:before="0"/>
                      <w:ind w:left="0" w:right="0" w:firstLine="0"/>
                      <w:jc w:val="left"/>
                      <w:rPr>
                        <w:rFonts w:ascii="Calibri"/>
                        <w:sz w:val="21"/>
                      </w:rPr>
                    </w:pPr>
                    <w:r>
                      <w:rPr>
                        <w:rFonts w:ascii="Calibri"/>
                        <w:sz w:val="21"/>
                      </w:rPr>
                      <w:t>Viv. 1 cuarto</w:t>
                    </w:r>
                  </w:p>
                </w:txbxContent>
              </v:textbox>
              <w10:wrap type="none"/>
            </v:shape>
            <v:shape style="position:absolute;left:2384;top:4125;width:1439;height:215" type="#_x0000_t202" filled="false" stroked="false">
              <v:textbox inset="0,0,0,0">
                <w:txbxContent>
                  <w:p>
                    <w:pPr>
                      <w:spacing w:line="215" w:lineRule="exact" w:before="0"/>
                      <w:ind w:left="0" w:right="0" w:firstLine="0"/>
                      <w:jc w:val="left"/>
                      <w:rPr>
                        <w:rFonts w:ascii="Calibri" w:hAnsi="Calibri"/>
                        <w:sz w:val="21"/>
                      </w:rPr>
                    </w:pPr>
                    <w:r>
                      <w:rPr>
                        <w:rFonts w:ascii="Calibri" w:hAnsi="Calibri"/>
                        <w:sz w:val="21"/>
                      </w:rPr>
                      <w:t>Energía Eléctrica</w:t>
                    </w:r>
                  </w:p>
                </w:txbxContent>
              </v:textbox>
              <w10:wrap type="none"/>
            </v:shape>
            <v:shape style="position:absolute;left:8766;top:4125;width:1176;height:215" type="#_x0000_t202" filled="false" stroked="false">
              <v:textbox inset="0,0,0,0">
                <w:txbxContent>
                  <w:p>
                    <w:pPr>
                      <w:spacing w:line="215" w:lineRule="exact" w:before="0"/>
                      <w:ind w:left="0" w:right="0" w:firstLine="0"/>
                      <w:jc w:val="left"/>
                      <w:rPr>
                        <w:rFonts w:ascii="Calibri"/>
                        <w:sz w:val="21"/>
                      </w:rPr>
                    </w:pPr>
                    <w:r>
                      <w:rPr>
                        <w:rFonts w:ascii="Calibri"/>
                        <w:sz w:val="21"/>
                      </w:rPr>
                      <w:t>Viv. 2 cuartos</w:t>
                    </w:r>
                  </w:p>
                </w:txbxContent>
              </v:textbox>
              <w10:wrap type="none"/>
            </v:shape>
            <v:shape style="position:absolute;left:2720;top:4709;width:775;height:778" type="#_x0000_t202" filled="false" stroked="false">
              <v:textbox inset="0,0,0,0">
                <w:txbxContent>
                  <w:p>
                    <w:pPr>
                      <w:spacing w:line="217" w:lineRule="exact" w:before="0"/>
                      <w:ind w:left="0" w:right="-4" w:firstLine="43"/>
                      <w:jc w:val="left"/>
                      <w:rPr>
                        <w:rFonts w:ascii="Calibri"/>
                        <w:sz w:val="21"/>
                      </w:rPr>
                    </w:pPr>
                    <w:r>
                      <w:rPr>
                        <w:rFonts w:ascii="Calibri"/>
                        <w:sz w:val="21"/>
                      </w:rPr>
                      <w:t>Drenaje</w:t>
                    </w:r>
                  </w:p>
                  <w:p>
                    <w:pPr>
                      <w:spacing w:line="240" w:lineRule="auto" w:before="7"/>
                      <w:rPr>
                        <w:sz w:val="26"/>
                      </w:rPr>
                    </w:pPr>
                  </w:p>
                  <w:p>
                    <w:pPr>
                      <w:spacing w:line="254" w:lineRule="exact" w:before="1"/>
                      <w:ind w:left="0" w:right="-4" w:firstLine="0"/>
                      <w:jc w:val="left"/>
                      <w:rPr>
                        <w:rFonts w:ascii="Calibri"/>
                        <w:sz w:val="21"/>
                      </w:rPr>
                    </w:pPr>
                    <w:r>
                      <w:rPr>
                        <w:rFonts w:ascii="Calibri"/>
                        <w:sz w:val="21"/>
                      </w:rPr>
                      <w:t>Sanitario</w:t>
                    </w:r>
                  </w:p>
                </w:txbxContent>
              </v:textbox>
              <w10:wrap type="none"/>
            </v:shape>
            <w10:wrap type="none"/>
          </v:group>
        </w:pict>
      </w:r>
      <w:r>
        <w:rPr>
          <w:sz w:val="20"/>
        </w:rPr>
        <w:t>Figura No. 6 Evaluación de la habitabilidad de las viviendas en la </w:t>
      </w:r>
      <w:r>
        <w:rPr>
          <w:sz w:val="16"/>
        </w:rPr>
        <w:t>ZMT</w:t>
      </w:r>
      <w:r>
        <w:rPr>
          <w:sz w:val="20"/>
        </w:rPr>
        <w:t>, 2010, por medio de sus dimensiones y variables.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2"/>
        </w:rPr>
      </w:pPr>
    </w:p>
    <w:tbl>
      <w:tblPr>
        <w:tblW w:w="0" w:type="auto"/>
        <w:jc w:val="left"/>
        <w:tblInd w:w="475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91"/>
        <w:gridCol w:w="1025"/>
      </w:tblGrid>
      <w:tr>
        <w:trPr>
          <w:trHeight w:val="339" w:hRule="exact"/>
        </w:trPr>
        <w:tc>
          <w:tcPr>
            <w:tcW w:w="891" w:type="dxa"/>
            <w:tcBorders>
              <w:bottom w:val="single" w:sz="5" w:space="0" w:color="000000"/>
              <w:right w:val="single" w:sz="5" w:space="0" w:color="000000"/>
            </w:tcBorders>
          </w:tcPr>
          <w:p>
            <w:pPr/>
          </w:p>
        </w:tc>
        <w:tc>
          <w:tcPr>
            <w:tcW w:w="1025" w:type="dxa"/>
            <w:tcBorders>
              <w:left w:val="single" w:sz="5" w:space="0" w:color="000000"/>
              <w:bottom w:val="single" w:sz="5" w:space="0" w:color="000000"/>
            </w:tcBorders>
          </w:tcPr>
          <w:p>
            <w:pPr/>
          </w:p>
        </w:tc>
      </w:tr>
      <w:tr>
        <w:trPr>
          <w:trHeight w:val="378" w:hRule="exact"/>
        </w:trPr>
        <w:tc>
          <w:tcPr>
            <w:tcW w:w="1917" w:type="dxa"/>
            <w:gridSpan w:val="2"/>
            <w:tcBorders>
              <w:top w:val="single" w:sz="5" w:space="0" w:color="000000"/>
              <w:right w:val="single" w:sz="5" w:space="0" w:color="000000"/>
            </w:tcBorders>
          </w:tcPr>
          <w:p>
            <w:pPr>
              <w:pStyle w:val="TableParagraph"/>
              <w:spacing w:before="78"/>
              <w:ind w:left="658" w:right="726"/>
              <w:jc w:val="center"/>
              <w:rPr>
                <w:sz w:val="21"/>
              </w:rPr>
            </w:pPr>
            <w:r>
              <w:rPr>
                <w:sz w:val="21"/>
              </w:rPr>
              <w:t>Radio</w:t>
            </w:r>
          </w:p>
        </w:tc>
      </w:tr>
      <w:tr>
        <w:trPr>
          <w:trHeight w:val="215" w:hRule="exact"/>
        </w:trPr>
        <w:tc>
          <w:tcPr>
            <w:tcW w:w="891" w:type="dxa"/>
            <w:tcBorders>
              <w:bottom w:val="single" w:sz="5" w:space="0" w:color="000000"/>
              <w:right w:val="single" w:sz="5" w:space="0" w:color="000000"/>
            </w:tcBorders>
          </w:tcPr>
          <w:p>
            <w:pPr/>
          </w:p>
        </w:tc>
        <w:tc>
          <w:tcPr>
            <w:tcW w:w="1025" w:type="dxa"/>
            <w:tcBorders>
              <w:left w:val="single" w:sz="5" w:space="0" w:color="000000"/>
              <w:bottom w:val="single" w:sz="5" w:space="0" w:color="000000"/>
            </w:tcBorders>
          </w:tcPr>
          <w:p>
            <w:pPr/>
          </w:p>
        </w:tc>
      </w:tr>
      <w:tr>
        <w:trPr>
          <w:trHeight w:val="378" w:hRule="exact"/>
        </w:trPr>
        <w:tc>
          <w:tcPr>
            <w:tcW w:w="1917" w:type="dxa"/>
            <w:gridSpan w:val="2"/>
            <w:tcBorders>
              <w:top w:val="single" w:sz="5" w:space="0" w:color="000000"/>
              <w:right w:val="single" w:sz="5" w:space="0" w:color="000000"/>
            </w:tcBorders>
          </w:tcPr>
          <w:p>
            <w:pPr>
              <w:pStyle w:val="TableParagraph"/>
              <w:spacing w:before="78"/>
              <w:ind w:left="527"/>
              <w:rPr>
                <w:sz w:val="21"/>
              </w:rPr>
            </w:pPr>
            <w:r>
              <w:rPr>
                <w:sz w:val="21"/>
              </w:rPr>
              <w:t>Televisor</w:t>
            </w:r>
          </w:p>
        </w:tc>
      </w:tr>
      <w:tr>
        <w:trPr>
          <w:trHeight w:val="205" w:hRule="exact"/>
        </w:trPr>
        <w:tc>
          <w:tcPr>
            <w:tcW w:w="891" w:type="dxa"/>
            <w:tcBorders>
              <w:bottom w:val="single" w:sz="5" w:space="0" w:color="000000"/>
              <w:right w:val="single" w:sz="5" w:space="0" w:color="000000"/>
            </w:tcBorders>
          </w:tcPr>
          <w:p>
            <w:pPr/>
          </w:p>
        </w:tc>
        <w:tc>
          <w:tcPr>
            <w:tcW w:w="1025" w:type="dxa"/>
            <w:tcBorders>
              <w:left w:val="single" w:sz="5" w:space="0" w:color="000000"/>
              <w:bottom w:val="single" w:sz="5" w:space="0" w:color="000000"/>
            </w:tcBorders>
          </w:tcPr>
          <w:p>
            <w:pPr/>
          </w:p>
        </w:tc>
      </w:tr>
      <w:tr>
        <w:trPr>
          <w:trHeight w:val="378" w:hRule="exact"/>
        </w:trPr>
        <w:tc>
          <w:tcPr>
            <w:tcW w:w="1917" w:type="dxa"/>
            <w:gridSpan w:val="2"/>
            <w:tcBorders>
              <w:top w:val="single" w:sz="5" w:space="0" w:color="000000"/>
              <w:right w:val="single" w:sz="5" w:space="0" w:color="000000"/>
            </w:tcBorders>
          </w:tcPr>
          <w:p>
            <w:pPr>
              <w:pStyle w:val="TableParagraph"/>
              <w:spacing w:before="80"/>
              <w:ind w:left="368"/>
              <w:rPr>
                <w:sz w:val="21"/>
              </w:rPr>
            </w:pPr>
            <w:r>
              <w:rPr>
                <w:sz w:val="21"/>
              </w:rPr>
              <w:t>Refrigerador</w:t>
            </w:r>
          </w:p>
        </w:tc>
      </w:tr>
      <w:tr>
        <w:trPr>
          <w:trHeight w:val="182" w:hRule="exact"/>
        </w:trPr>
        <w:tc>
          <w:tcPr>
            <w:tcW w:w="891" w:type="dxa"/>
            <w:tcBorders>
              <w:bottom w:val="single" w:sz="5" w:space="0" w:color="000000"/>
              <w:right w:val="single" w:sz="5" w:space="0" w:color="000000"/>
            </w:tcBorders>
          </w:tcPr>
          <w:p>
            <w:pPr/>
          </w:p>
        </w:tc>
        <w:tc>
          <w:tcPr>
            <w:tcW w:w="1025" w:type="dxa"/>
            <w:tcBorders>
              <w:left w:val="single" w:sz="5" w:space="0" w:color="000000"/>
              <w:bottom w:val="single" w:sz="5" w:space="0" w:color="000000"/>
            </w:tcBorders>
          </w:tcPr>
          <w:p>
            <w:pPr/>
          </w:p>
        </w:tc>
      </w:tr>
      <w:tr>
        <w:trPr>
          <w:trHeight w:val="378" w:hRule="exact"/>
        </w:trPr>
        <w:tc>
          <w:tcPr>
            <w:tcW w:w="1917" w:type="dxa"/>
            <w:gridSpan w:val="2"/>
            <w:tcBorders>
              <w:top w:val="single" w:sz="5" w:space="0" w:color="000000"/>
            </w:tcBorders>
          </w:tcPr>
          <w:p>
            <w:pPr>
              <w:pStyle w:val="TableParagraph"/>
              <w:spacing w:before="83"/>
              <w:ind w:left="579"/>
              <w:rPr>
                <w:sz w:val="21"/>
              </w:rPr>
            </w:pPr>
            <w:r>
              <w:rPr>
                <w:sz w:val="21"/>
              </w:rPr>
              <w:t>Lavadora</w:t>
            </w:r>
          </w:p>
        </w:tc>
      </w:tr>
      <w:tr>
        <w:trPr>
          <w:trHeight w:val="215" w:hRule="exact"/>
        </w:trPr>
        <w:tc>
          <w:tcPr>
            <w:tcW w:w="891" w:type="dxa"/>
            <w:tcBorders>
              <w:bottom w:val="single" w:sz="5" w:space="0" w:color="000000"/>
              <w:right w:val="single" w:sz="5" w:space="0" w:color="000000"/>
            </w:tcBorders>
          </w:tcPr>
          <w:p>
            <w:pPr/>
          </w:p>
        </w:tc>
        <w:tc>
          <w:tcPr>
            <w:tcW w:w="1025" w:type="dxa"/>
            <w:tcBorders>
              <w:left w:val="single" w:sz="5" w:space="0" w:color="000000"/>
              <w:bottom w:val="single" w:sz="5" w:space="0" w:color="000000"/>
            </w:tcBorders>
          </w:tcPr>
          <w:p>
            <w:pPr/>
          </w:p>
        </w:tc>
      </w:tr>
      <w:tr>
        <w:trPr>
          <w:trHeight w:val="378" w:hRule="exact"/>
        </w:trPr>
        <w:tc>
          <w:tcPr>
            <w:tcW w:w="1917" w:type="dxa"/>
            <w:gridSpan w:val="2"/>
            <w:tcBorders>
              <w:top w:val="single" w:sz="5" w:space="0" w:color="000000"/>
            </w:tcBorders>
          </w:tcPr>
          <w:p>
            <w:pPr>
              <w:pStyle w:val="TableParagraph"/>
              <w:spacing w:before="82"/>
              <w:ind w:left="523"/>
              <w:rPr>
                <w:sz w:val="21"/>
              </w:rPr>
            </w:pPr>
            <w:r>
              <w:rPr>
                <w:sz w:val="21"/>
              </w:rPr>
              <w:t>Automóvil</w:t>
            </w:r>
          </w:p>
        </w:tc>
      </w:tr>
      <w:tr>
        <w:trPr>
          <w:trHeight w:val="216" w:hRule="exact"/>
        </w:trPr>
        <w:tc>
          <w:tcPr>
            <w:tcW w:w="891" w:type="dxa"/>
            <w:tcBorders>
              <w:bottom w:val="single" w:sz="5" w:space="0" w:color="000000"/>
              <w:right w:val="single" w:sz="5" w:space="0" w:color="000000"/>
            </w:tcBorders>
          </w:tcPr>
          <w:p>
            <w:pPr/>
          </w:p>
        </w:tc>
        <w:tc>
          <w:tcPr>
            <w:tcW w:w="1025" w:type="dxa"/>
            <w:tcBorders>
              <w:left w:val="single" w:sz="5" w:space="0" w:color="000000"/>
              <w:bottom w:val="single" w:sz="5" w:space="0" w:color="000000"/>
            </w:tcBorders>
          </w:tcPr>
          <w:p>
            <w:pPr/>
          </w:p>
        </w:tc>
      </w:tr>
      <w:tr>
        <w:trPr>
          <w:trHeight w:val="378" w:hRule="exact"/>
        </w:trPr>
        <w:tc>
          <w:tcPr>
            <w:tcW w:w="1917" w:type="dxa"/>
            <w:gridSpan w:val="2"/>
            <w:tcBorders>
              <w:top w:val="single" w:sz="5" w:space="0" w:color="000000"/>
            </w:tcBorders>
          </w:tcPr>
          <w:p>
            <w:pPr>
              <w:pStyle w:val="TableParagraph"/>
              <w:spacing w:before="81"/>
              <w:ind w:left="372"/>
              <w:rPr>
                <w:sz w:val="21"/>
              </w:rPr>
            </w:pPr>
            <w:r>
              <w:rPr>
                <w:sz w:val="21"/>
              </w:rPr>
              <w:t>Computadora</w:t>
            </w:r>
          </w:p>
        </w:tc>
      </w:tr>
      <w:tr>
        <w:trPr>
          <w:trHeight w:val="182" w:hRule="exact"/>
        </w:trPr>
        <w:tc>
          <w:tcPr>
            <w:tcW w:w="891" w:type="dxa"/>
            <w:tcBorders>
              <w:bottom w:val="single" w:sz="5" w:space="0" w:color="000000"/>
              <w:right w:val="single" w:sz="5" w:space="0" w:color="000000"/>
            </w:tcBorders>
          </w:tcPr>
          <w:p>
            <w:pPr/>
          </w:p>
        </w:tc>
        <w:tc>
          <w:tcPr>
            <w:tcW w:w="1025" w:type="dxa"/>
            <w:tcBorders>
              <w:left w:val="single" w:sz="5" w:space="0" w:color="000000"/>
              <w:bottom w:val="single" w:sz="5" w:space="0" w:color="000000"/>
            </w:tcBorders>
          </w:tcPr>
          <w:p>
            <w:pPr/>
          </w:p>
        </w:tc>
      </w:tr>
      <w:tr>
        <w:trPr>
          <w:trHeight w:val="378" w:hRule="exact"/>
        </w:trPr>
        <w:tc>
          <w:tcPr>
            <w:tcW w:w="1917" w:type="dxa"/>
            <w:gridSpan w:val="2"/>
            <w:tcBorders>
              <w:top w:val="single" w:sz="5" w:space="0" w:color="000000"/>
            </w:tcBorders>
          </w:tcPr>
          <w:p>
            <w:pPr>
              <w:pStyle w:val="TableParagraph"/>
              <w:spacing w:before="80"/>
              <w:ind w:left="587"/>
              <w:rPr>
                <w:sz w:val="21"/>
              </w:rPr>
            </w:pPr>
            <w:r>
              <w:rPr>
                <w:sz w:val="21"/>
              </w:rPr>
              <w:t>Teléfono</w:t>
            </w:r>
          </w:p>
        </w:tc>
      </w:tr>
      <w:tr>
        <w:trPr>
          <w:trHeight w:val="182" w:hRule="exact"/>
        </w:trPr>
        <w:tc>
          <w:tcPr>
            <w:tcW w:w="891" w:type="dxa"/>
            <w:tcBorders>
              <w:bottom w:val="single" w:sz="5" w:space="0" w:color="000000"/>
              <w:right w:val="single" w:sz="5" w:space="0" w:color="000000"/>
            </w:tcBorders>
          </w:tcPr>
          <w:p>
            <w:pPr/>
          </w:p>
        </w:tc>
        <w:tc>
          <w:tcPr>
            <w:tcW w:w="1025" w:type="dxa"/>
            <w:tcBorders>
              <w:left w:val="single" w:sz="5" w:space="0" w:color="000000"/>
              <w:bottom w:val="single" w:sz="5" w:space="0" w:color="000000"/>
            </w:tcBorders>
          </w:tcPr>
          <w:p>
            <w:pPr/>
          </w:p>
        </w:tc>
      </w:tr>
      <w:tr>
        <w:trPr>
          <w:trHeight w:val="378" w:hRule="exact"/>
        </w:trPr>
        <w:tc>
          <w:tcPr>
            <w:tcW w:w="1917" w:type="dxa"/>
            <w:gridSpan w:val="2"/>
            <w:tcBorders>
              <w:top w:val="single" w:sz="5" w:space="0" w:color="000000"/>
            </w:tcBorders>
          </w:tcPr>
          <w:p>
            <w:pPr>
              <w:pStyle w:val="TableParagraph"/>
              <w:spacing w:before="83"/>
              <w:ind w:left="654" w:right="624"/>
              <w:jc w:val="center"/>
              <w:rPr>
                <w:sz w:val="21"/>
              </w:rPr>
            </w:pPr>
            <w:r>
              <w:rPr>
                <w:sz w:val="21"/>
              </w:rPr>
              <w:t>Celular</w:t>
            </w:r>
          </w:p>
        </w:tc>
      </w:tr>
      <w:tr>
        <w:trPr>
          <w:trHeight w:val="216" w:hRule="exact"/>
        </w:trPr>
        <w:tc>
          <w:tcPr>
            <w:tcW w:w="891" w:type="dxa"/>
            <w:tcBorders>
              <w:bottom w:val="single" w:sz="5" w:space="0" w:color="000000"/>
              <w:right w:val="single" w:sz="5" w:space="0" w:color="000000"/>
            </w:tcBorders>
          </w:tcPr>
          <w:p>
            <w:pPr/>
          </w:p>
        </w:tc>
        <w:tc>
          <w:tcPr>
            <w:tcW w:w="1025" w:type="dxa"/>
            <w:tcBorders>
              <w:left w:val="single" w:sz="5" w:space="0" w:color="000000"/>
              <w:bottom w:val="single" w:sz="5" w:space="0" w:color="000000"/>
            </w:tcBorders>
          </w:tcPr>
          <w:p>
            <w:pPr/>
          </w:p>
        </w:tc>
      </w:tr>
      <w:tr>
        <w:trPr>
          <w:trHeight w:val="378" w:hRule="exact"/>
        </w:trPr>
        <w:tc>
          <w:tcPr>
            <w:tcW w:w="1917" w:type="dxa"/>
            <w:gridSpan w:val="2"/>
            <w:tcBorders>
              <w:top w:val="single" w:sz="5" w:space="0" w:color="000000"/>
            </w:tcBorders>
          </w:tcPr>
          <w:p>
            <w:pPr>
              <w:pStyle w:val="TableParagraph"/>
              <w:spacing w:before="81"/>
              <w:ind w:left="618"/>
              <w:rPr>
                <w:sz w:val="21"/>
              </w:rPr>
            </w:pPr>
            <w:r>
              <w:rPr>
                <w:sz w:val="21"/>
              </w:rPr>
              <w:t>Internet</w:t>
            </w:r>
          </w:p>
        </w:tc>
      </w:tr>
    </w:tbl>
    <w:p>
      <w:pPr>
        <w:pStyle w:val="BodyText"/>
        <w:rPr>
          <w:sz w:val="20"/>
        </w:rPr>
      </w:pPr>
    </w:p>
    <w:p>
      <w:pPr>
        <w:pStyle w:val="BodyText"/>
        <w:spacing w:before="2"/>
        <w:rPr>
          <w:sz w:val="29"/>
        </w:rPr>
      </w:pPr>
    </w:p>
    <w:p>
      <w:pPr>
        <w:spacing w:before="0"/>
        <w:ind w:left="102" w:right="0" w:firstLine="9"/>
        <w:jc w:val="both"/>
        <w:rPr>
          <w:sz w:val="20"/>
        </w:rPr>
      </w:pPr>
      <w:r>
        <w:rPr>
          <w:sz w:val="20"/>
        </w:rPr>
        <w:t>Fuente: Elaboración propia con base en los datos del Censo de Población y Vivienda INEGI, 2010.</w:t>
      </w:r>
    </w:p>
    <w:p>
      <w:pPr>
        <w:pStyle w:val="BodyText"/>
        <w:rPr>
          <w:sz w:val="20"/>
        </w:rPr>
      </w:pPr>
    </w:p>
    <w:p>
      <w:pPr>
        <w:pStyle w:val="BodyText"/>
        <w:rPr>
          <w:sz w:val="20"/>
        </w:rPr>
      </w:pPr>
    </w:p>
    <w:p>
      <w:pPr>
        <w:pStyle w:val="BodyText"/>
        <w:rPr>
          <w:sz w:val="20"/>
        </w:rPr>
      </w:pPr>
    </w:p>
    <w:p>
      <w:pPr>
        <w:pStyle w:val="BodyText"/>
        <w:spacing w:before="2"/>
        <w:rPr>
          <w:sz w:val="22"/>
        </w:rPr>
      </w:pPr>
    </w:p>
    <w:p>
      <w:pPr>
        <w:pStyle w:val="BodyText"/>
        <w:spacing w:line="360" w:lineRule="auto"/>
        <w:ind w:left="102" w:right="99"/>
        <w:jc w:val="both"/>
      </w:pPr>
      <w:r>
        <w:rPr/>
        <w:t>Los municipios que contaron con alta habitabilidad en primer lugar encontramos a Toluca con 38 ageb´s, representando un 59 por ciento, Metepec con 22 ageb´s con más de 34 por ciento, mientras que los municipios de Almoloya de Juárez,  San Mateo Atenco, Zinacantepec y Temoaya con 1 ageb, es entendible ya que estos municipios representan la ciudad central de la zona en</w:t>
      </w:r>
      <w:r>
        <w:rPr>
          <w:spacing w:val="-20"/>
        </w:rPr>
        <w:t> </w:t>
      </w:r>
      <w:r>
        <w:rPr/>
        <w:t>estudio.</w:t>
      </w:r>
    </w:p>
    <w:p>
      <w:pPr>
        <w:spacing w:after="0" w:line="360" w:lineRule="auto"/>
        <w:jc w:val="both"/>
        <w:sectPr>
          <w:pgSz w:w="12240" w:h="15840"/>
          <w:pgMar w:header="0" w:footer="1003" w:top="1360" w:bottom="1200" w:left="1600" w:right="1600"/>
        </w:sectPr>
      </w:pPr>
    </w:p>
    <w:p>
      <w:pPr>
        <w:pStyle w:val="BodyText"/>
        <w:spacing w:line="360" w:lineRule="auto" w:before="54"/>
        <w:ind w:left="102" w:right="116"/>
        <w:jc w:val="both"/>
      </w:pPr>
      <w:r>
        <w:rPr/>
        <w:t>Geográficamente los ageb´s con alta habitabilidad de las viviendas se localizaron en los centros históricos de Toluca y Metepec, solo seis municipios de los quince que integran la zona metropolitana tienen al menos un ageb con alta evaluación  de la</w:t>
      </w:r>
      <w:r>
        <w:rPr>
          <w:spacing w:val="-7"/>
        </w:rPr>
        <w:t> </w:t>
      </w:r>
      <w:r>
        <w:rPr/>
        <w:t>habitabilidad.</w:t>
      </w:r>
    </w:p>
    <w:p>
      <w:pPr>
        <w:pStyle w:val="BodyText"/>
      </w:pPr>
    </w:p>
    <w:p>
      <w:pPr>
        <w:pStyle w:val="BodyText"/>
        <w:spacing w:line="360" w:lineRule="auto" w:before="142"/>
        <w:ind w:left="102" w:right="117"/>
        <w:jc w:val="both"/>
      </w:pPr>
      <w:r>
        <w:rPr/>
        <w:t>Mientras que 88 ageb´s se ubicaron con buena habitabilidad, es decir más de un 22 por ciento de estos ageb´s cuentan con buenos servicios públicos, bienes en la vivienda, los materiales de las viviendas son buenos y entre uno o dos cuartos en las viviendas (ver cuadro no. 19).</w:t>
      </w:r>
    </w:p>
    <w:p>
      <w:pPr>
        <w:pStyle w:val="BodyText"/>
      </w:pPr>
    </w:p>
    <w:p>
      <w:pPr>
        <w:spacing w:before="141" w:after="2"/>
        <w:ind w:left="198" w:right="216" w:firstLine="0"/>
        <w:jc w:val="center"/>
        <w:rPr>
          <w:sz w:val="20"/>
        </w:rPr>
      </w:pPr>
      <w:r>
        <w:rPr>
          <w:sz w:val="20"/>
        </w:rPr>
        <w:t>Cuadro No. 19 Niveles de habitabilidad a nivel ageb´s en la </w:t>
      </w:r>
      <w:r>
        <w:rPr>
          <w:sz w:val="16"/>
        </w:rPr>
        <w:t>ZMT</w:t>
      </w:r>
      <w:r>
        <w:rPr>
          <w:sz w:val="20"/>
        </w:rPr>
        <w:t>, 2010.</w:t>
      </w:r>
    </w:p>
    <w:tbl>
      <w:tblPr>
        <w:tblW w:w="0" w:type="auto"/>
        <w:jc w:val="left"/>
        <w:tblInd w:w="471"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1794"/>
        <w:gridCol w:w="1262"/>
        <w:gridCol w:w="1262"/>
        <w:gridCol w:w="1262"/>
        <w:gridCol w:w="1262"/>
        <w:gridCol w:w="1256"/>
      </w:tblGrid>
      <w:tr>
        <w:trPr>
          <w:trHeight w:val="326" w:hRule="exact"/>
        </w:trPr>
        <w:tc>
          <w:tcPr>
            <w:tcW w:w="1794" w:type="dxa"/>
            <w:tcBorders>
              <w:bottom w:val="single" w:sz="15" w:space="0" w:color="000000"/>
              <w:right w:val="single" w:sz="8" w:space="0" w:color="000000"/>
            </w:tcBorders>
            <w:shd w:val="clear" w:color="auto" w:fill="FFFF00"/>
          </w:tcPr>
          <w:p>
            <w:pPr>
              <w:pStyle w:val="TableParagraph"/>
              <w:spacing w:line="255" w:lineRule="exact"/>
              <w:ind w:left="19"/>
              <w:rPr>
                <w:rFonts w:ascii="Trebuchet MS"/>
                <w:b/>
                <w:sz w:val="22"/>
              </w:rPr>
            </w:pPr>
            <w:r>
              <w:rPr>
                <w:rFonts w:ascii="Trebuchet MS"/>
                <w:b/>
                <w:w w:val="95"/>
                <w:sz w:val="22"/>
              </w:rPr>
              <w:t>Municipio</w:t>
            </w:r>
          </w:p>
        </w:tc>
        <w:tc>
          <w:tcPr>
            <w:tcW w:w="1262" w:type="dxa"/>
            <w:tcBorders>
              <w:left w:val="single" w:sz="8" w:space="0" w:color="000000"/>
              <w:bottom w:val="single" w:sz="15" w:space="0" w:color="000000"/>
              <w:right w:val="single" w:sz="8" w:space="0" w:color="000000"/>
            </w:tcBorders>
            <w:shd w:val="clear" w:color="auto" w:fill="FFFF00"/>
          </w:tcPr>
          <w:p>
            <w:pPr>
              <w:pStyle w:val="TableParagraph"/>
              <w:spacing w:line="255" w:lineRule="exact"/>
              <w:ind w:right="27"/>
              <w:jc w:val="right"/>
              <w:rPr>
                <w:rFonts w:ascii="Trebuchet MS"/>
                <w:b/>
                <w:sz w:val="22"/>
              </w:rPr>
            </w:pPr>
            <w:r>
              <w:rPr>
                <w:rFonts w:ascii="Trebuchet MS"/>
                <w:b/>
                <w:w w:val="80"/>
                <w:sz w:val="22"/>
              </w:rPr>
              <w:t>Alta</w:t>
            </w:r>
          </w:p>
        </w:tc>
        <w:tc>
          <w:tcPr>
            <w:tcW w:w="1262" w:type="dxa"/>
            <w:tcBorders>
              <w:left w:val="single" w:sz="8" w:space="0" w:color="000000"/>
              <w:bottom w:val="single" w:sz="15" w:space="0" w:color="000000"/>
              <w:right w:val="single" w:sz="8" w:space="0" w:color="000000"/>
            </w:tcBorders>
            <w:shd w:val="clear" w:color="auto" w:fill="FFFF00"/>
          </w:tcPr>
          <w:p>
            <w:pPr>
              <w:pStyle w:val="TableParagraph"/>
              <w:spacing w:line="255" w:lineRule="exact"/>
              <w:ind w:right="26"/>
              <w:jc w:val="right"/>
              <w:rPr>
                <w:rFonts w:ascii="Trebuchet MS"/>
                <w:b/>
                <w:sz w:val="22"/>
              </w:rPr>
            </w:pPr>
            <w:r>
              <w:rPr>
                <w:rFonts w:ascii="Trebuchet MS"/>
                <w:b/>
                <w:w w:val="85"/>
                <w:sz w:val="22"/>
              </w:rPr>
              <w:t>Buena</w:t>
            </w:r>
          </w:p>
        </w:tc>
        <w:tc>
          <w:tcPr>
            <w:tcW w:w="1262" w:type="dxa"/>
            <w:tcBorders>
              <w:left w:val="single" w:sz="8" w:space="0" w:color="000000"/>
              <w:bottom w:val="single" w:sz="15" w:space="0" w:color="000000"/>
              <w:right w:val="single" w:sz="8" w:space="0" w:color="000000"/>
            </w:tcBorders>
            <w:shd w:val="clear" w:color="auto" w:fill="FFFF00"/>
          </w:tcPr>
          <w:p>
            <w:pPr>
              <w:pStyle w:val="TableParagraph"/>
              <w:spacing w:line="255" w:lineRule="exact"/>
              <w:ind w:right="26"/>
              <w:jc w:val="right"/>
              <w:rPr>
                <w:rFonts w:ascii="Trebuchet MS"/>
                <w:b/>
                <w:sz w:val="22"/>
              </w:rPr>
            </w:pPr>
            <w:r>
              <w:rPr>
                <w:rFonts w:ascii="Trebuchet MS"/>
                <w:b/>
                <w:w w:val="85"/>
                <w:sz w:val="22"/>
              </w:rPr>
              <w:t>Media</w:t>
            </w:r>
          </w:p>
        </w:tc>
        <w:tc>
          <w:tcPr>
            <w:tcW w:w="1262" w:type="dxa"/>
            <w:tcBorders>
              <w:left w:val="single" w:sz="8" w:space="0" w:color="000000"/>
              <w:bottom w:val="single" w:sz="15" w:space="0" w:color="000000"/>
              <w:right w:val="single" w:sz="8" w:space="0" w:color="000000"/>
            </w:tcBorders>
            <w:shd w:val="clear" w:color="auto" w:fill="FFFF00"/>
          </w:tcPr>
          <w:p>
            <w:pPr>
              <w:pStyle w:val="TableParagraph"/>
              <w:spacing w:line="255" w:lineRule="exact"/>
              <w:ind w:right="27"/>
              <w:jc w:val="right"/>
              <w:rPr>
                <w:rFonts w:ascii="Trebuchet MS"/>
                <w:b/>
                <w:sz w:val="22"/>
              </w:rPr>
            </w:pPr>
            <w:r>
              <w:rPr>
                <w:rFonts w:ascii="Trebuchet MS"/>
                <w:b/>
                <w:w w:val="80"/>
                <w:sz w:val="22"/>
              </w:rPr>
              <w:t>Baja</w:t>
            </w:r>
          </w:p>
        </w:tc>
        <w:tc>
          <w:tcPr>
            <w:tcW w:w="1256" w:type="dxa"/>
            <w:tcBorders>
              <w:left w:val="single" w:sz="8" w:space="0" w:color="000000"/>
              <w:bottom w:val="single" w:sz="15" w:space="0" w:color="000000"/>
            </w:tcBorders>
            <w:shd w:val="clear" w:color="auto" w:fill="FFFF00"/>
          </w:tcPr>
          <w:p>
            <w:pPr>
              <w:pStyle w:val="TableParagraph"/>
              <w:spacing w:line="255" w:lineRule="exact"/>
              <w:ind w:right="17"/>
              <w:jc w:val="right"/>
              <w:rPr>
                <w:rFonts w:ascii="Trebuchet MS"/>
                <w:b/>
                <w:sz w:val="22"/>
              </w:rPr>
            </w:pPr>
            <w:r>
              <w:rPr>
                <w:rFonts w:ascii="Trebuchet MS"/>
                <w:b/>
                <w:w w:val="85"/>
                <w:sz w:val="22"/>
              </w:rPr>
              <w:t>Muy Baja</w:t>
            </w:r>
          </w:p>
        </w:tc>
      </w:tr>
      <w:tr>
        <w:trPr>
          <w:trHeight w:val="317" w:hRule="exact"/>
        </w:trPr>
        <w:tc>
          <w:tcPr>
            <w:tcW w:w="1794" w:type="dxa"/>
            <w:tcBorders>
              <w:top w:val="single" w:sz="15" w:space="0" w:color="000000"/>
              <w:bottom w:val="single" w:sz="8" w:space="0" w:color="000000"/>
              <w:right w:val="single" w:sz="8" w:space="0" w:color="000000"/>
            </w:tcBorders>
          </w:tcPr>
          <w:p>
            <w:pPr>
              <w:pStyle w:val="TableParagraph"/>
              <w:spacing w:before="4"/>
              <w:ind w:left="19"/>
              <w:rPr>
                <w:rFonts w:ascii="Arial" w:hAnsi="Arial"/>
                <w:sz w:val="22"/>
              </w:rPr>
            </w:pPr>
            <w:r>
              <w:rPr>
                <w:rFonts w:ascii="Arial" w:hAnsi="Arial"/>
                <w:w w:val="85"/>
                <w:sz w:val="22"/>
              </w:rPr>
              <w:t>Almoloya de Juárez</w:t>
            </w:r>
          </w:p>
        </w:tc>
        <w:tc>
          <w:tcPr>
            <w:tcW w:w="1262" w:type="dxa"/>
            <w:tcBorders>
              <w:top w:val="single" w:sz="15" w:space="0" w:color="000000"/>
              <w:left w:val="single" w:sz="8" w:space="0" w:color="000000"/>
              <w:bottom w:val="nil"/>
              <w:right w:val="nil"/>
            </w:tcBorders>
          </w:tcPr>
          <w:p>
            <w:pPr>
              <w:pStyle w:val="TableParagraph"/>
              <w:spacing w:before="1"/>
              <w:ind w:right="34"/>
              <w:jc w:val="right"/>
              <w:rPr>
                <w:sz w:val="22"/>
              </w:rPr>
            </w:pPr>
            <w:r>
              <w:rPr>
                <w:w w:val="100"/>
                <w:sz w:val="22"/>
              </w:rPr>
              <w:t>1</w:t>
            </w:r>
          </w:p>
        </w:tc>
        <w:tc>
          <w:tcPr>
            <w:tcW w:w="1262" w:type="dxa"/>
            <w:tcBorders>
              <w:top w:val="single" w:sz="15" w:space="0" w:color="000000"/>
              <w:left w:val="nil"/>
              <w:bottom w:val="nil"/>
              <w:right w:val="nil"/>
            </w:tcBorders>
          </w:tcPr>
          <w:p>
            <w:pPr>
              <w:pStyle w:val="TableParagraph"/>
              <w:spacing w:before="1"/>
              <w:ind w:right="35"/>
              <w:jc w:val="right"/>
              <w:rPr>
                <w:sz w:val="22"/>
              </w:rPr>
            </w:pPr>
            <w:r>
              <w:rPr>
                <w:w w:val="100"/>
                <w:sz w:val="22"/>
              </w:rPr>
              <w:t>1</w:t>
            </w:r>
          </w:p>
        </w:tc>
        <w:tc>
          <w:tcPr>
            <w:tcW w:w="1262" w:type="dxa"/>
            <w:tcBorders>
              <w:top w:val="single" w:sz="15" w:space="0" w:color="000000"/>
              <w:left w:val="nil"/>
              <w:bottom w:val="nil"/>
              <w:right w:val="nil"/>
            </w:tcBorders>
          </w:tcPr>
          <w:p>
            <w:pPr>
              <w:pStyle w:val="TableParagraph"/>
              <w:spacing w:before="1"/>
              <w:ind w:right="34"/>
              <w:jc w:val="right"/>
              <w:rPr>
                <w:sz w:val="22"/>
              </w:rPr>
            </w:pPr>
            <w:r>
              <w:rPr>
                <w:w w:val="100"/>
                <w:sz w:val="22"/>
              </w:rPr>
              <w:t>2</w:t>
            </w:r>
          </w:p>
        </w:tc>
        <w:tc>
          <w:tcPr>
            <w:tcW w:w="1262" w:type="dxa"/>
            <w:tcBorders>
              <w:top w:val="single" w:sz="15" w:space="0" w:color="000000"/>
              <w:left w:val="nil"/>
              <w:bottom w:val="nil"/>
              <w:right w:val="nil"/>
            </w:tcBorders>
          </w:tcPr>
          <w:p>
            <w:pPr>
              <w:pStyle w:val="TableParagraph"/>
              <w:spacing w:before="1"/>
              <w:ind w:right="34"/>
              <w:jc w:val="right"/>
              <w:rPr>
                <w:sz w:val="22"/>
              </w:rPr>
            </w:pPr>
            <w:r>
              <w:rPr>
                <w:w w:val="100"/>
                <w:sz w:val="22"/>
              </w:rPr>
              <w:t>5</w:t>
            </w:r>
          </w:p>
        </w:tc>
        <w:tc>
          <w:tcPr>
            <w:tcW w:w="1256" w:type="dxa"/>
            <w:tcBorders>
              <w:top w:val="single" w:sz="15" w:space="0" w:color="000000"/>
              <w:left w:val="nil"/>
              <w:bottom w:val="nil"/>
            </w:tcBorders>
          </w:tcPr>
          <w:p>
            <w:pPr>
              <w:pStyle w:val="TableParagraph"/>
              <w:spacing w:before="1"/>
              <w:ind w:right="15"/>
              <w:jc w:val="right"/>
              <w:rPr>
                <w:sz w:val="22"/>
              </w:rPr>
            </w:pPr>
            <w:r>
              <w:rPr>
                <w:w w:val="100"/>
                <w:sz w:val="22"/>
              </w:rPr>
              <w:t>3</w:t>
            </w: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5"/>
              <w:ind w:left="19"/>
              <w:rPr>
                <w:rFonts w:ascii="Arial"/>
                <w:sz w:val="22"/>
              </w:rPr>
            </w:pPr>
            <w:r>
              <w:rPr>
                <w:rFonts w:ascii="Arial"/>
                <w:w w:val="90"/>
                <w:sz w:val="22"/>
              </w:rPr>
              <w:t>Calimaya</w:t>
            </w:r>
          </w:p>
        </w:tc>
        <w:tc>
          <w:tcPr>
            <w:tcW w:w="1262" w:type="dxa"/>
            <w:tcBorders>
              <w:top w:val="nil"/>
              <w:left w:val="single" w:sz="8" w:space="0" w:color="000000"/>
              <w:bottom w:val="nil"/>
              <w:right w:val="nil"/>
            </w:tcBorders>
          </w:tcPr>
          <w:p>
            <w:pPr/>
          </w:p>
        </w:tc>
        <w:tc>
          <w:tcPr>
            <w:tcW w:w="1262" w:type="dxa"/>
            <w:tcBorders>
              <w:top w:val="nil"/>
              <w:left w:val="nil"/>
              <w:bottom w:val="nil"/>
              <w:right w:val="nil"/>
            </w:tcBorders>
          </w:tcPr>
          <w:p>
            <w:pPr>
              <w:pStyle w:val="TableParagraph"/>
              <w:spacing w:before="21"/>
              <w:ind w:right="35"/>
              <w:jc w:val="right"/>
              <w:rPr>
                <w:sz w:val="22"/>
              </w:rPr>
            </w:pPr>
            <w:r>
              <w:rPr>
                <w:w w:val="100"/>
                <w:sz w:val="22"/>
              </w:rPr>
              <w:t>1</w:t>
            </w:r>
          </w:p>
        </w:tc>
        <w:tc>
          <w:tcPr>
            <w:tcW w:w="1262" w:type="dxa"/>
            <w:tcBorders>
              <w:top w:val="nil"/>
              <w:left w:val="nil"/>
              <w:bottom w:val="nil"/>
              <w:right w:val="nil"/>
            </w:tcBorders>
          </w:tcPr>
          <w:p>
            <w:pPr>
              <w:pStyle w:val="TableParagraph"/>
              <w:spacing w:before="21"/>
              <w:ind w:right="34"/>
              <w:jc w:val="right"/>
              <w:rPr>
                <w:sz w:val="22"/>
              </w:rPr>
            </w:pPr>
            <w:r>
              <w:rPr>
                <w:w w:val="100"/>
                <w:sz w:val="22"/>
              </w:rPr>
              <w:t>6</w:t>
            </w:r>
          </w:p>
        </w:tc>
        <w:tc>
          <w:tcPr>
            <w:tcW w:w="1262" w:type="dxa"/>
            <w:tcBorders>
              <w:top w:val="nil"/>
              <w:left w:val="nil"/>
              <w:bottom w:val="nil"/>
              <w:right w:val="nil"/>
            </w:tcBorders>
          </w:tcPr>
          <w:p>
            <w:pPr>
              <w:pStyle w:val="TableParagraph"/>
              <w:spacing w:before="21"/>
              <w:ind w:right="34"/>
              <w:jc w:val="right"/>
              <w:rPr>
                <w:sz w:val="22"/>
              </w:rPr>
            </w:pPr>
            <w:r>
              <w:rPr>
                <w:w w:val="100"/>
                <w:sz w:val="22"/>
              </w:rPr>
              <w:t>1</w:t>
            </w:r>
          </w:p>
        </w:tc>
        <w:tc>
          <w:tcPr>
            <w:tcW w:w="1256" w:type="dxa"/>
            <w:tcBorders>
              <w:top w:val="nil"/>
              <w:left w:val="nil"/>
              <w:bottom w:val="nil"/>
            </w:tcBorders>
          </w:tcPr>
          <w:p>
            <w:pP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Chapultepec</w:t>
            </w:r>
          </w:p>
        </w:tc>
        <w:tc>
          <w:tcPr>
            <w:tcW w:w="1262" w:type="dxa"/>
            <w:tcBorders>
              <w:top w:val="nil"/>
              <w:left w:val="single" w:sz="8" w:space="0" w:color="000000"/>
              <w:bottom w:val="nil"/>
              <w:right w:val="nil"/>
            </w:tcBorders>
          </w:tcPr>
          <w:p>
            <w:pPr/>
          </w:p>
        </w:tc>
        <w:tc>
          <w:tcPr>
            <w:tcW w:w="1262" w:type="dxa"/>
            <w:tcBorders>
              <w:top w:val="nil"/>
              <w:left w:val="nil"/>
              <w:bottom w:val="nil"/>
              <w:right w:val="nil"/>
            </w:tcBorders>
          </w:tcPr>
          <w:p>
            <w:pPr/>
          </w:p>
        </w:tc>
        <w:tc>
          <w:tcPr>
            <w:tcW w:w="1262" w:type="dxa"/>
            <w:tcBorders>
              <w:top w:val="nil"/>
              <w:left w:val="nil"/>
              <w:bottom w:val="nil"/>
              <w:right w:val="nil"/>
            </w:tcBorders>
          </w:tcPr>
          <w:p>
            <w:pPr>
              <w:pStyle w:val="TableParagraph"/>
              <w:spacing w:before="20"/>
              <w:ind w:right="34"/>
              <w:jc w:val="right"/>
              <w:rPr>
                <w:sz w:val="22"/>
              </w:rPr>
            </w:pPr>
            <w:r>
              <w:rPr>
                <w:w w:val="100"/>
                <w:sz w:val="22"/>
              </w:rPr>
              <w:t>2</w:t>
            </w:r>
          </w:p>
        </w:tc>
        <w:tc>
          <w:tcPr>
            <w:tcW w:w="1262" w:type="dxa"/>
            <w:tcBorders>
              <w:top w:val="nil"/>
              <w:left w:val="nil"/>
              <w:bottom w:val="nil"/>
              <w:right w:val="nil"/>
            </w:tcBorders>
          </w:tcPr>
          <w:p>
            <w:pPr>
              <w:pStyle w:val="TableParagraph"/>
              <w:spacing w:before="20"/>
              <w:ind w:right="34"/>
              <w:jc w:val="right"/>
              <w:rPr>
                <w:sz w:val="22"/>
              </w:rPr>
            </w:pPr>
            <w:r>
              <w:rPr>
                <w:w w:val="100"/>
                <w:sz w:val="22"/>
              </w:rPr>
              <w:t>2</w:t>
            </w:r>
          </w:p>
        </w:tc>
        <w:tc>
          <w:tcPr>
            <w:tcW w:w="1256" w:type="dxa"/>
            <w:tcBorders>
              <w:top w:val="nil"/>
              <w:left w:val="nil"/>
              <w:bottom w:val="nil"/>
            </w:tcBorders>
          </w:tcPr>
          <w:p>
            <w:pP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Lerma</w:t>
            </w:r>
          </w:p>
        </w:tc>
        <w:tc>
          <w:tcPr>
            <w:tcW w:w="1262" w:type="dxa"/>
            <w:tcBorders>
              <w:top w:val="nil"/>
              <w:left w:val="single" w:sz="8" w:space="0" w:color="000000"/>
              <w:bottom w:val="nil"/>
              <w:right w:val="nil"/>
            </w:tcBorders>
          </w:tcPr>
          <w:p>
            <w:pPr/>
          </w:p>
        </w:tc>
        <w:tc>
          <w:tcPr>
            <w:tcW w:w="1262" w:type="dxa"/>
            <w:tcBorders>
              <w:top w:val="nil"/>
              <w:left w:val="nil"/>
              <w:bottom w:val="nil"/>
              <w:right w:val="nil"/>
            </w:tcBorders>
          </w:tcPr>
          <w:p>
            <w:pPr>
              <w:pStyle w:val="TableParagraph"/>
              <w:spacing w:before="21"/>
              <w:ind w:right="35"/>
              <w:jc w:val="right"/>
              <w:rPr>
                <w:sz w:val="22"/>
              </w:rPr>
            </w:pPr>
            <w:r>
              <w:rPr>
                <w:w w:val="100"/>
                <w:sz w:val="22"/>
              </w:rPr>
              <w:t>8</w:t>
            </w:r>
          </w:p>
        </w:tc>
        <w:tc>
          <w:tcPr>
            <w:tcW w:w="1262" w:type="dxa"/>
            <w:tcBorders>
              <w:top w:val="nil"/>
              <w:left w:val="nil"/>
              <w:bottom w:val="nil"/>
              <w:right w:val="nil"/>
            </w:tcBorders>
          </w:tcPr>
          <w:p>
            <w:pPr>
              <w:pStyle w:val="TableParagraph"/>
              <w:spacing w:before="21"/>
              <w:ind w:right="34"/>
              <w:jc w:val="right"/>
              <w:rPr>
                <w:sz w:val="22"/>
              </w:rPr>
            </w:pPr>
            <w:r>
              <w:rPr>
                <w:w w:val="100"/>
                <w:sz w:val="22"/>
              </w:rPr>
              <w:t>6</w:t>
            </w:r>
          </w:p>
        </w:tc>
        <w:tc>
          <w:tcPr>
            <w:tcW w:w="1262" w:type="dxa"/>
            <w:tcBorders>
              <w:top w:val="nil"/>
              <w:left w:val="nil"/>
              <w:bottom w:val="nil"/>
              <w:right w:val="nil"/>
            </w:tcBorders>
          </w:tcPr>
          <w:p>
            <w:pPr>
              <w:pStyle w:val="TableParagraph"/>
              <w:spacing w:before="21"/>
              <w:ind w:right="34"/>
              <w:jc w:val="right"/>
              <w:rPr>
                <w:sz w:val="22"/>
              </w:rPr>
            </w:pPr>
            <w:r>
              <w:rPr>
                <w:w w:val="100"/>
                <w:sz w:val="22"/>
              </w:rPr>
              <w:t>6</w:t>
            </w:r>
          </w:p>
        </w:tc>
        <w:tc>
          <w:tcPr>
            <w:tcW w:w="1256" w:type="dxa"/>
            <w:tcBorders>
              <w:top w:val="nil"/>
              <w:left w:val="nil"/>
              <w:bottom w:val="nil"/>
            </w:tcBorders>
          </w:tcPr>
          <w:p>
            <w:pP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5"/>
              <w:ind w:left="19"/>
              <w:rPr>
                <w:rFonts w:ascii="Arial"/>
                <w:sz w:val="22"/>
              </w:rPr>
            </w:pPr>
            <w:r>
              <w:rPr>
                <w:rFonts w:ascii="Arial"/>
                <w:w w:val="90"/>
                <w:sz w:val="22"/>
              </w:rPr>
              <w:t>Metepec</w:t>
            </w:r>
          </w:p>
        </w:tc>
        <w:tc>
          <w:tcPr>
            <w:tcW w:w="1262" w:type="dxa"/>
            <w:tcBorders>
              <w:top w:val="nil"/>
              <w:left w:val="single" w:sz="8" w:space="0" w:color="000000"/>
              <w:bottom w:val="nil"/>
              <w:right w:val="nil"/>
            </w:tcBorders>
          </w:tcPr>
          <w:p>
            <w:pPr>
              <w:pStyle w:val="TableParagraph"/>
              <w:spacing w:before="21"/>
              <w:ind w:right="36"/>
              <w:jc w:val="right"/>
              <w:rPr>
                <w:sz w:val="22"/>
              </w:rPr>
            </w:pPr>
            <w:r>
              <w:rPr>
                <w:sz w:val="22"/>
              </w:rPr>
              <w:t>22</w:t>
            </w:r>
          </w:p>
        </w:tc>
        <w:tc>
          <w:tcPr>
            <w:tcW w:w="1262" w:type="dxa"/>
            <w:tcBorders>
              <w:top w:val="nil"/>
              <w:left w:val="nil"/>
              <w:bottom w:val="nil"/>
              <w:right w:val="nil"/>
            </w:tcBorders>
          </w:tcPr>
          <w:p>
            <w:pPr>
              <w:pStyle w:val="TableParagraph"/>
              <w:spacing w:before="21"/>
              <w:ind w:right="36"/>
              <w:jc w:val="right"/>
              <w:rPr>
                <w:sz w:val="22"/>
              </w:rPr>
            </w:pPr>
            <w:r>
              <w:rPr>
                <w:sz w:val="22"/>
              </w:rPr>
              <w:t>11</w:t>
            </w:r>
          </w:p>
        </w:tc>
        <w:tc>
          <w:tcPr>
            <w:tcW w:w="1262" w:type="dxa"/>
            <w:tcBorders>
              <w:top w:val="nil"/>
              <w:left w:val="nil"/>
              <w:bottom w:val="nil"/>
              <w:right w:val="nil"/>
            </w:tcBorders>
          </w:tcPr>
          <w:p>
            <w:pPr>
              <w:pStyle w:val="TableParagraph"/>
              <w:spacing w:before="21"/>
              <w:ind w:right="34"/>
              <w:jc w:val="right"/>
              <w:rPr>
                <w:sz w:val="22"/>
              </w:rPr>
            </w:pPr>
            <w:r>
              <w:rPr>
                <w:w w:val="100"/>
                <w:sz w:val="22"/>
              </w:rPr>
              <w:t>7</w:t>
            </w:r>
          </w:p>
        </w:tc>
        <w:tc>
          <w:tcPr>
            <w:tcW w:w="1262" w:type="dxa"/>
            <w:tcBorders>
              <w:top w:val="nil"/>
              <w:left w:val="nil"/>
              <w:bottom w:val="nil"/>
              <w:right w:val="nil"/>
            </w:tcBorders>
          </w:tcPr>
          <w:p>
            <w:pPr>
              <w:pStyle w:val="TableParagraph"/>
              <w:spacing w:before="21"/>
              <w:ind w:right="34"/>
              <w:jc w:val="right"/>
              <w:rPr>
                <w:sz w:val="22"/>
              </w:rPr>
            </w:pPr>
            <w:r>
              <w:rPr>
                <w:w w:val="100"/>
                <w:sz w:val="22"/>
              </w:rPr>
              <w:t>4</w:t>
            </w:r>
          </w:p>
        </w:tc>
        <w:tc>
          <w:tcPr>
            <w:tcW w:w="1256" w:type="dxa"/>
            <w:tcBorders>
              <w:top w:val="nil"/>
              <w:left w:val="nil"/>
              <w:bottom w:val="nil"/>
            </w:tcBorders>
          </w:tcPr>
          <w:p>
            <w:pPr>
              <w:pStyle w:val="TableParagraph"/>
              <w:spacing w:before="21"/>
              <w:ind w:right="15"/>
              <w:jc w:val="right"/>
              <w:rPr>
                <w:sz w:val="22"/>
              </w:rPr>
            </w:pPr>
            <w:r>
              <w:rPr>
                <w:w w:val="100"/>
                <w:sz w:val="22"/>
              </w:rPr>
              <w:t>2</w:t>
            </w: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Mexicaltzingo</w:t>
            </w:r>
          </w:p>
        </w:tc>
        <w:tc>
          <w:tcPr>
            <w:tcW w:w="1262" w:type="dxa"/>
            <w:tcBorders>
              <w:top w:val="nil"/>
              <w:left w:val="single" w:sz="8" w:space="0" w:color="000000"/>
              <w:bottom w:val="nil"/>
              <w:right w:val="nil"/>
            </w:tcBorders>
          </w:tcPr>
          <w:p>
            <w:pPr/>
          </w:p>
        </w:tc>
        <w:tc>
          <w:tcPr>
            <w:tcW w:w="1262" w:type="dxa"/>
            <w:tcBorders>
              <w:top w:val="nil"/>
              <w:left w:val="nil"/>
              <w:bottom w:val="nil"/>
              <w:right w:val="nil"/>
            </w:tcBorders>
          </w:tcPr>
          <w:p>
            <w:pPr>
              <w:pStyle w:val="TableParagraph"/>
              <w:spacing w:before="20"/>
              <w:ind w:right="35"/>
              <w:jc w:val="right"/>
              <w:rPr>
                <w:sz w:val="22"/>
              </w:rPr>
            </w:pPr>
            <w:r>
              <w:rPr>
                <w:w w:val="100"/>
                <w:sz w:val="22"/>
              </w:rPr>
              <w:t>1</w:t>
            </w:r>
          </w:p>
        </w:tc>
        <w:tc>
          <w:tcPr>
            <w:tcW w:w="1262" w:type="dxa"/>
            <w:tcBorders>
              <w:top w:val="nil"/>
              <w:left w:val="nil"/>
              <w:bottom w:val="nil"/>
              <w:right w:val="nil"/>
            </w:tcBorders>
          </w:tcPr>
          <w:p>
            <w:pPr>
              <w:pStyle w:val="TableParagraph"/>
              <w:spacing w:before="20"/>
              <w:ind w:right="34"/>
              <w:jc w:val="right"/>
              <w:rPr>
                <w:sz w:val="22"/>
              </w:rPr>
            </w:pPr>
            <w:r>
              <w:rPr>
                <w:w w:val="100"/>
                <w:sz w:val="22"/>
              </w:rPr>
              <w:t>1</w:t>
            </w:r>
          </w:p>
        </w:tc>
        <w:tc>
          <w:tcPr>
            <w:tcW w:w="1262" w:type="dxa"/>
            <w:tcBorders>
              <w:top w:val="nil"/>
              <w:left w:val="nil"/>
              <w:bottom w:val="nil"/>
              <w:right w:val="nil"/>
            </w:tcBorders>
          </w:tcPr>
          <w:p>
            <w:pPr>
              <w:pStyle w:val="TableParagraph"/>
              <w:spacing w:before="20"/>
              <w:ind w:right="34"/>
              <w:jc w:val="right"/>
              <w:rPr>
                <w:sz w:val="22"/>
              </w:rPr>
            </w:pPr>
            <w:r>
              <w:rPr>
                <w:w w:val="100"/>
                <w:sz w:val="22"/>
              </w:rPr>
              <w:t>1</w:t>
            </w:r>
          </w:p>
        </w:tc>
        <w:tc>
          <w:tcPr>
            <w:tcW w:w="1256" w:type="dxa"/>
            <w:tcBorders>
              <w:top w:val="nil"/>
              <w:left w:val="nil"/>
              <w:bottom w:val="nil"/>
            </w:tcBorders>
          </w:tcPr>
          <w:p>
            <w:pP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Ocoyoacac</w:t>
            </w:r>
          </w:p>
        </w:tc>
        <w:tc>
          <w:tcPr>
            <w:tcW w:w="1262" w:type="dxa"/>
            <w:tcBorders>
              <w:top w:val="nil"/>
              <w:left w:val="single" w:sz="8" w:space="0" w:color="000000"/>
              <w:bottom w:val="nil"/>
              <w:right w:val="nil"/>
            </w:tcBorders>
          </w:tcPr>
          <w:p>
            <w:pPr/>
          </w:p>
        </w:tc>
        <w:tc>
          <w:tcPr>
            <w:tcW w:w="1262" w:type="dxa"/>
            <w:tcBorders>
              <w:top w:val="nil"/>
              <w:left w:val="nil"/>
              <w:bottom w:val="nil"/>
              <w:right w:val="nil"/>
            </w:tcBorders>
          </w:tcPr>
          <w:p>
            <w:pPr>
              <w:pStyle w:val="TableParagraph"/>
              <w:spacing w:before="21"/>
              <w:ind w:right="35"/>
              <w:jc w:val="right"/>
              <w:rPr>
                <w:sz w:val="22"/>
              </w:rPr>
            </w:pPr>
            <w:r>
              <w:rPr>
                <w:w w:val="100"/>
                <w:sz w:val="22"/>
              </w:rPr>
              <w:t>3</w:t>
            </w:r>
          </w:p>
        </w:tc>
        <w:tc>
          <w:tcPr>
            <w:tcW w:w="1262" w:type="dxa"/>
            <w:tcBorders>
              <w:top w:val="nil"/>
              <w:left w:val="nil"/>
              <w:bottom w:val="nil"/>
              <w:right w:val="nil"/>
            </w:tcBorders>
          </w:tcPr>
          <w:p>
            <w:pPr>
              <w:pStyle w:val="TableParagraph"/>
              <w:spacing w:before="21"/>
              <w:ind w:right="34"/>
              <w:jc w:val="right"/>
              <w:rPr>
                <w:sz w:val="22"/>
              </w:rPr>
            </w:pPr>
            <w:r>
              <w:rPr>
                <w:w w:val="100"/>
                <w:sz w:val="22"/>
              </w:rPr>
              <w:t>7</w:t>
            </w:r>
          </w:p>
        </w:tc>
        <w:tc>
          <w:tcPr>
            <w:tcW w:w="1262" w:type="dxa"/>
            <w:tcBorders>
              <w:top w:val="nil"/>
              <w:left w:val="nil"/>
              <w:bottom w:val="nil"/>
              <w:right w:val="nil"/>
            </w:tcBorders>
          </w:tcPr>
          <w:p>
            <w:pPr>
              <w:pStyle w:val="TableParagraph"/>
              <w:spacing w:before="21"/>
              <w:ind w:right="34"/>
              <w:jc w:val="right"/>
              <w:rPr>
                <w:sz w:val="22"/>
              </w:rPr>
            </w:pPr>
            <w:r>
              <w:rPr>
                <w:w w:val="100"/>
                <w:sz w:val="22"/>
              </w:rPr>
              <w:t>3</w:t>
            </w:r>
          </w:p>
        </w:tc>
        <w:tc>
          <w:tcPr>
            <w:tcW w:w="1256" w:type="dxa"/>
            <w:tcBorders>
              <w:top w:val="nil"/>
              <w:left w:val="nil"/>
              <w:bottom w:val="nil"/>
            </w:tcBorders>
          </w:tcPr>
          <w:p>
            <w:pPr>
              <w:pStyle w:val="TableParagraph"/>
              <w:spacing w:before="21"/>
              <w:ind w:right="15"/>
              <w:jc w:val="right"/>
              <w:rPr>
                <w:sz w:val="22"/>
              </w:rPr>
            </w:pPr>
            <w:r>
              <w:rPr>
                <w:w w:val="100"/>
                <w:sz w:val="22"/>
              </w:rPr>
              <w:t>1</w:t>
            </w: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Otzolotepec</w:t>
            </w:r>
          </w:p>
        </w:tc>
        <w:tc>
          <w:tcPr>
            <w:tcW w:w="1262" w:type="dxa"/>
            <w:tcBorders>
              <w:top w:val="nil"/>
              <w:left w:val="single" w:sz="8" w:space="0" w:color="000000"/>
              <w:bottom w:val="nil"/>
              <w:right w:val="nil"/>
            </w:tcBorders>
          </w:tcPr>
          <w:p>
            <w:pPr/>
          </w:p>
        </w:tc>
        <w:tc>
          <w:tcPr>
            <w:tcW w:w="1262" w:type="dxa"/>
            <w:tcBorders>
              <w:top w:val="nil"/>
              <w:left w:val="nil"/>
              <w:bottom w:val="nil"/>
              <w:right w:val="nil"/>
            </w:tcBorders>
          </w:tcPr>
          <w:p>
            <w:pPr>
              <w:pStyle w:val="TableParagraph"/>
              <w:spacing w:before="20"/>
              <w:ind w:right="35"/>
              <w:jc w:val="right"/>
              <w:rPr>
                <w:sz w:val="22"/>
              </w:rPr>
            </w:pPr>
            <w:r>
              <w:rPr>
                <w:w w:val="100"/>
                <w:sz w:val="22"/>
              </w:rPr>
              <w:t>1</w:t>
            </w:r>
          </w:p>
        </w:tc>
        <w:tc>
          <w:tcPr>
            <w:tcW w:w="1262" w:type="dxa"/>
            <w:tcBorders>
              <w:top w:val="nil"/>
              <w:left w:val="nil"/>
              <w:bottom w:val="nil"/>
              <w:right w:val="nil"/>
            </w:tcBorders>
          </w:tcPr>
          <w:p>
            <w:pPr>
              <w:pStyle w:val="TableParagraph"/>
              <w:spacing w:before="20"/>
              <w:ind w:right="34"/>
              <w:jc w:val="right"/>
              <w:rPr>
                <w:sz w:val="22"/>
              </w:rPr>
            </w:pPr>
            <w:r>
              <w:rPr>
                <w:w w:val="100"/>
                <w:sz w:val="22"/>
              </w:rPr>
              <w:t>2</w:t>
            </w:r>
          </w:p>
        </w:tc>
        <w:tc>
          <w:tcPr>
            <w:tcW w:w="1262" w:type="dxa"/>
            <w:tcBorders>
              <w:top w:val="nil"/>
              <w:left w:val="nil"/>
              <w:bottom w:val="nil"/>
              <w:right w:val="nil"/>
            </w:tcBorders>
          </w:tcPr>
          <w:p>
            <w:pPr>
              <w:pStyle w:val="TableParagraph"/>
              <w:spacing w:before="20"/>
              <w:ind w:right="34"/>
              <w:jc w:val="right"/>
              <w:rPr>
                <w:sz w:val="22"/>
              </w:rPr>
            </w:pPr>
            <w:r>
              <w:rPr>
                <w:w w:val="100"/>
                <w:sz w:val="22"/>
              </w:rPr>
              <w:t>2</w:t>
            </w:r>
          </w:p>
        </w:tc>
        <w:tc>
          <w:tcPr>
            <w:tcW w:w="1256" w:type="dxa"/>
            <w:tcBorders>
              <w:top w:val="nil"/>
              <w:left w:val="nil"/>
              <w:bottom w:val="nil"/>
            </w:tcBorders>
          </w:tcPr>
          <w:p>
            <w:pPr>
              <w:pStyle w:val="TableParagraph"/>
              <w:spacing w:before="20"/>
              <w:ind w:right="15"/>
              <w:jc w:val="right"/>
              <w:rPr>
                <w:sz w:val="22"/>
              </w:rPr>
            </w:pPr>
            <w:r>
              <w:rPr>
                <w:w w:val="100"/>
                <w:sz w:val="22"/>
              </w:rPr>
              <w:t>3</w:t>
            </w: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Rayon</w:t>
            </w:r>
          </w:p>
        </w:tc>
        <w:tc>
          <w:tcPr>
            <w:tcW w:w="1262" w:type="dxa"/>
            <w:tcBorders>
              <w:top w:val="nil"/>
              <w:left w:val="single" w:sz="8" w:space="0" w:color="000000"/>
              <w:bottom w:val="nil"/>
              <w:right w:val="nil"/>
            </w:tcBorders>
          </w:tcPr>
          <w:p>
            <w:pPr/>
          </w:p>
        </w:tc>
        <w:tc>
          <w:tcPr>
            <w:tcW w:w="1262" w:type="dxa"/>
            <w:tcBorders>
              <w:top w:val="nil"/>
              <w:left w:val="nil"/>
              <w:bottom w:val="nil"/>
              <w:right w:val="nil"/>
            </w:tcBorders>
          </w:tcPr>
          <w:p>
            <w:pPr/>
          </w:p>
        </w:tc>
        <w:tc>
          <w:tcPr>
            <w:tcW w:w="1262" w:type="dxa"/>
            <w:tcBorders>
              <w:top w:val="nil"/>
              <w:left w:val="nil"/>
              <w:bottom w:val="nil"/>
              <w:right w:val="nil"/>
            </w:tcBorders>
          </w:tcPr>
          <w:p>
            <w:pPr>
              <w:pStyle w:val="TableParagraph"/>
              <w:spacing w:before="21"/>
              <w:ind w:right="34"/>
              <w:jc w:val="right"/>
              <w:rPr>
                <w:sz w:val="22"/>
              </w:rPr>
            </w:pPr>
            <w:r>
              <w:rPr>
                <w:w w:val="100"/>
                <w:sz w:val="22"/>
              </w:rPr>
              <w:t>2</w:t>
            </w:r>
          </w:p>
        </w:tc>
        <w:tc>
          <w:tcPr>
            <w:tcW w:w="1262" w:type="dxa"/>
            <w:tcBorders>
              <w:top w:val="nil"/>
              <w:left w:val="nil"/>
              <w:bottom w:val="nil"/>
              <w:right w:val="nil"/>
            </w:tcBorders>
          </w:tcPr>
          <w:p>
            <w:pPr/>
          </w:p>
        </w:tc>
        <w:tc>
          <w:tcPr>
            <w:tcW w:w="1256" w:type="dxa"/>
            <w:tcBorders>
              <w:top w:val="nil"/>
              <w:left w:val="nil"/>
              <w:bottom w:val="nil"/>
            </w:tcBorders>
          </w:tcPr>
          <w:p>
            <w:pP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5"/>
              <w:ind w:left="19"/>
              <w:rPr>
                <w:rFonts w:ascii="Arial"/>
                <w:sz w:val="22"/>
              </w:rPr>
            </w:pPr>
            <w:r>
              <w:rPr>
                <w:rFonts w:ascii="Arial"/>
                <w:w w:val="85"/>
                <w:sz w:val="22"/>
              </w:rPr>
              <w:t>San Antonio la Isla</w:t>
            </w:r>
          </w:p>
        </w:tc>
        <w:tc>
          <w:tcPr>
            <w:tcW w:w="1262" w:type="dxa"/>
            <w:tcBorders>
              <w:top w:val="nil"/>
              <w:left w:val="single" w:sz="8" w:space="0" w:color="000000"/>
              <w:bottom w:val="nil"/>
              <w:right w:val="nil"/>
            </w:tcBorders>
          </w:tcPr>
          <w:p>
            <w:pPr/>
          </w:p>
        </w:tc>
        <w:tc>
          <w:tcPr>
            <w:tcW w:w="1262" w:type="dxa"/>
            <w:tcBorders>
              <w:top w:val="nil"/>
              <w:left w:val="nil"/>
              <w:bottom w:val="nil"/>
              <w:right w:val="nil"/>
            </w:tcBorders>
          </w:tcPr>
          <w:p>
            <w:pPr>
              <w:pStyle w:val="TableParagraph"/>
              <w:spacing w:before="21"/>
              <w:ind w:right="35"/>
              <w:jc w:val="right"/>
              <w:rPr>
                <w:sz w:val="22"/>
              </w:rPr>
            </w:pPr>
            <w:r>
              <w:rPr>
                <w:w w:val="100"/>
                <w:sz w:val="22"/>
              </w:rPr>
              <w:t>1</w:t>
            </w:r>
          </w:p>
        </w:tc>
        <w:tc>
          <w:tcPr>
            <w:tcW w:w="1262" w:type="dxa"/>
            <w:tcBorders>
              <w:top w:val="nil"/>
              <w:left w:val="nil"/>
              <w:bottom w:val="nil"/>
              <w:right w:val="nil"/>
            </w:tcBorders>
          </w:tcPr>
          <w:p>
            <w:pPr/>
          </w:p>
        </w:tc>
        <w:tc>
          <w:tcPr>
            <w:tcW w:w="1262" w:type="dxa"/>
            <w:tcBorders>
              <w:top w:val="nil"/>
              <w:left w:val="nil"/>
              <w:bottom w:val="nil"/>
              <w:right w:val="nil"/>
            </w:tcBorders>
          </w:tcPr>
          <w:p>
            <w:pPr>
              <w:pStyle w:val="TableParagraph"/>
              <w:spacing w:before="21"/>
              <w:ind w:right="34"/>
              <w:jc w:val="right"/>
              <w:rPr>
                <w:sz w:val="22"/>
              </w:rPr>
            </w:pPr>
            <w:r>
              <w:rPr>
                <w:w w:val="100"/>
                <w:sz w:val="22"/>
              </w:rPr>
              <w:t>3</w:t>
            </w:r>
          </w:p>
        </w:tc>
        <w:tc>
          <w:tcPr>
            <w:tcW w:w="1256" w:type="dxa"/>
            <w:tcBorders>
              <w:top w:val="nil"/>
              <w:left w:val="nil"/>
              <w:bottom w:val="nil"/>
            </w:tcBorders>
          </w:tcPr>
          <w:p>
            <w:pPr>
              <w:pStyle w:val="TableParagraph"/>
              <w:spacing w:before="21"/>
              <w:ind w:right="15"/>
              <w:jc w:val="right"/>
              <w:rPr>
                <w:sz w:val="22"/>
              </w:rPr>
            </w:pPr>
            <w:r>
              <w:rPr>
                <w:w w:val="100"/>
                <w:sz w:val="22"/>
              </w:rPr>
              <w:t>1</w:t>
            </w: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85"/>
                <w:sz w:val="22"/>
              </w:rPr>
              <w:t>San Mateo Atenco</w:t>
            </w:r>
          </w:p>
        </w:tc>
        <w:tc>
          <w:tcPr>
            <w:tcW w:w="1262" w:type="dxa"/>
            <w:tcBorders>
              <w:top w:val="nil"/>
              <w:left w:val="single" w:sz="8" w:space="0" w:color="000000"/>
              <w:bottom w:val="nil"/>
              <w:right w:val="nil"/>
            </w:tcBorders>
          </w:tcPr>
          <w:p>
            <w:pPr>
              <w:pStyle w:val="TableParagraph"/>
              <w:spacing w:before="20"/>
              <w:ind w:right="34"/>
              <w:jc w:val="right"/>
              <w:rPr>
                <w:sz w:val="22"/>
              </w:rPr>
            </w:pPr>
            <w:r>
              <w:rPr>
                <w:w w:val="100"/>
                <w:sz w:val="22"/>
              </w:rPr>
              <w:t>1</w:t>
            </w:r>
          </w:p>
        </w:tc>
        <w:tc>
          <w:tcPr>
            <w:tcW w:w="1262" w:type="dxa"/>
            <w:tcBorders>
              <w:top w:val="nil"/>
              <w:left w:val="nil"/>
              <w:bottom w:val="nil"/>
              <w:right w:val="nil"/>
            </w:tcBorders>
          </w:tcPr>
          <w:p>
            <w:pPr>
              <w:pStyle w:val="TableParagraph"/>
              <w:spacing w:before="20"/>
              <w:ind w:right="35"/>
              <w:jc w:val="right"/>
              <w:rPr>
                <w:sz w:val="22"/>
              </w:rPr>
            </w:pPr>
            <w:r>
              <w:rPr>
                <w:w w:val="100"/>
                <w:sz w:val="22"/>
              </w:rPr>
              <w:t>1</w:t>
            </w:r>
          </w:p>
        </w:tc>
        <w:tc>
          <w:tcPr>
            <w:tcW w:w="1262" w:type="dxa"/>
            <w:tcBorders>
              <w:top w:val="nil"/>
              <w:left w:val="nil"/>
              <w:bottom w:val="nil"/>
              <w:right w:val="nil"/>
            </w:tcBorders>
          </w:tcPr>
          <w:p>
            <w:pPr>
              <w:pStyle w:val="TableParagraph"/>
              <w:spacing w:before="20"/>
              <w:ind w:right="34"/>
              <w:jc w:val="right"/>
              <w:rPr>
                <w:sz w:val="22"/>
              </w:rPr>
            </w:pPr>
            <w:r>
              <w:rPr>
                <w:w w:val="100"/>
                <w:sz w:val="22"/>
              </w:rPr>
              <w:t>3</w:t>
            </w:r>
          </w:p>
        </w:tc>
        <w:tc>
          <w:tcPr>
            <w:tcW w:w="1262" w:type="dxa"/>
            <w:tcBorders>
              <w:top w:val="nil"/>
              <w:left w:val="nil"/>
              <w:bottom w:val="nil"/>
              <w:right w:val="nil"/>
            </w:tcBorders>
          </w:tcPr>
          <w:p>
            <w:pPr>
              <w:pStyle w:val="TableParagraph"/>
              <w:spacing w:before="20"/>
              <w:ind w:right="34"/>
              <w:jc w:val="right"/>
              <w:rPr>
                <w:sz w:val="22"/>
              </w:rPr>
            </w:pPr>
            <w:r>
              <w:rPr>
                <w:w w:val="100"/>
                <w:sz w:val="22"/>
              </w:rPr>
              <w:t>8</w:t>
            </w:r>
          </w:p>
        </w:tc>
        <w:tc>
          <w:tcPr>
            <w:tcW w:w="1256" w:type="dxa"/>
            <w:tcBorders>
              <w:top w:val="nil"/>
              <w:left w:val="nil"/>
              <w:bottom w:val="nil"/>
            </w:tcBorders>
          </w:tcPr>
          <w:p>
            <w:pPr>
              <w:pStyle w:val="TableParagraph"/>
              <w:spacing w:before="20"/>
              <w:ind w:right="15"/>
              <w:jc w:val="right"/>
              <w:rPr>
                <w:sz w:val="22"/>
              </w:rPr>
            </w:pPr>
            <w:r>
              <w:rPr>
                <w:w w:val="100"/>
                <w:sz w:val="22"/>
              </w:rPr>
              <w:t>4</w:t>
            </w: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Temoaya</w:t>
            </w:r>
          </w:p>
        </w:tc>
        <w:tc>
          <w:tcPr>
            <w:tcW w:w="1262" w:type="dxa"/>
            <w:tcBorders>
              <w:top w:val="nil"/>
              <w:left w:val="single" w:sz="8" w:space="0" w:color="000000"/>
              <w:bottom w:val="nil"/>
              <w:right w:val="nil"/>
            </w:tcBorders>
          </w:tcPr>
          <w:p>
            <w:pPr>
              <w:pStyle w:val="TableParagraph"/>
              <w:spacing w:before="21"/>
              <w:ind w:right="34"/>
              <w:jc w:val="right"/>
              <w:rPr>
                <w:sz w:val="22"/>
              </w:rPr>
            </w:pPr>
            <w:r>
              <w:rPr>
                <w:w w:val="100"/>
                <w:sz w:val="22"/>
              </w:rPr>
              <w:t>1</w:t>
            </w:r>
          </w:p>
        </w:tc>
        <w:tc>
          <w:tcPr>
            <w:tcW w:w="1262" w:type="dxa"/>
            <w:tcBorders>
              <w:top w:val="nil"/>
              <w:left w:val="nil"/>
              <w:bottom w:val="nil"/>
              <w:right w:val="nil"/>
            </w:tcBorders>
          </w:tcPr>
          <w:p>
            <w:pPr/>
          </w:p>
        </w:tc>
        <w:tc>
          <w:tcPr>
            <w:tcW w:w="1262" w:type="dxa"/>
            <w:tcBorders>
              <w:top w:val="nil"/>
              <w:left w:val="nil"/>
              <w:bottom w:val="nil"/>
              <w:right w:val="nil"/>
            </w:tcBorders>
          </w:tcPr>
          <w:p>
            <w:pPr>
              <w:pStyle w:val="TableParagraph"/>
              <w:spacing w:before="21"/>
              <w:ind w:right="34"/>
              <w:jc w:val="right"/>
              <w:rPr>
                <w:sz w:val="22"/>
              </w:rPr>
            </w:pPr>
            <w:r>
              <w:rPr>
                <w:w w:val="100"/>
                <w:sz w:val="22"/>
              </w:rPr>
              <w:t>1</w:t>
            </w:r>
          </w:p>
        </w:tc>
        <w:tc>
          <w:tcPr>
            <w:tcW w:w="1262" w:type="dxa"/>
            <w:tcBorders>
              <w:top w:val="nil"/>
              <w:left w:val="nil"/>
              <w:bottom w:val="nil"/>
              <w:right w:val="nil"/>
            </w:tcBorders>
          </w:tcPr>
          <w:p>
            <w:pPr>
              <w:pStyle w:val="TableParagraph"/>
              <w:spacing w:before="21"/>
              <w:ind w:right="34"/>
              <w:jc w:val="right"/>
              <w:rPr>
                <w:sz w:val="22"/>
              </w:rPr>
            </w:pPr>
            <w:r>
              <w:rPr>
                <w:w w:val="100"/>
                <w:sz w:val="22"/>
              </w:rPr>
              <w:t>2</w:t>
            </w:r>
          </w:p>
        </w:tc>
        <w:tc>
          <w:tcPr>
            <w:tcW w:w="1256" w:type="dxa"/>
            <w:tcBorders>
              <w:top w:val="nil"/>
              <w:left w:val="nil"/>
              <w:bottom w:val="nil"/>
            </w:tcBorders>
          </w:tcPr>
          <w:p>
            <w:pPr>
              <w:pStyle w:val="TableParagraph"/>
              <w:spacing w:before="21"/>
              <w:ind w:right="15"/>
              <w:jc w:val="right"/>
              <w:rPr>
                <w:sz w:val="22"/>
              </w:rPr>
            </w:pPr>
            <w:r>
              <w:rPr>
                <w:w w:val="100"/>
                <w:sz w:val="22"/>
              </w:rPr>
              <w:t>7</w:t>
            </w: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sz w:val="22"/>
              </w:rPr>
            </w:pPr>
            <w:r>
              <w:rPr>
                <w:rFonts w:ascii="Arial"/>
                <w:w w:val="90"/>
                <w:sz w:val="22"/>
              </w:rPr>
              <w:t>Toluca</w:t>
            </w:r>
          </w:p>
        </w:tc>
        <w:tc>
          <w:tcPr>
            <w:tcW w:w="1262" w:type="dxa"/>
            <w:tcBorders>
              <w:top w:val="nil"/>
              <w:left w:val="single" w:sz="8" w:space="0" w:color="000000"/>
              <w:bottom w:val="nil"/>
              <w:right w:val="nil"/>
            </w:tcBorders>
          </w:tcPr>
          <w:p>
            <w:pPr>
              <w:pStyle w:val="TableParagraph"/>
              <w:spacing w:before="20"/>
              <w:ind w:right="36"/>
              <w:jc w:val="right"/>
              <w:rPr>
                <w:sz w:val="22"/>
              </w:rPr>
            </w:pPr>
            <w:r>
              <w:rPr>
                <w:sz w:val="22"/>
              </w:rPr>
              <w:t>38</w:t>
            </w:r>
          </w:p>
        </w:tc>
        <w:tc>
          <w:tcPr>
            <w:tcW w:w="1262" w:type="dxa"/>
            <w:tcBorders>
              <w:top w:val="nil"/>
              <w:left w:val="nil"/>
              <w:bottom w:val="nil"/>
              <w:right w:val="nil"/>
            </w:tcBorders>
          </w:tcPr>
          <w:p>
            <w:pPr>
              <w:pStyle w:val="TableParagraph"/>
              <w:spacing w:before="20"/>
              <w:ind w:right="36"/>
              <w:jc w:val="right"/>
              <w:rPr>
                <w:sz w:val="22"/>
              </w:rPr>
            </w:pPr>
            <w:r>
              <w:rPr>
                <w:sz w:val="22"/>
              </w:rPr>
              <w:t>53</w:t>
            </w:r>
          </w:p>
        </w:tc>
        <w:tc>
          <w:tcPr>
            <w:tcW w:w="1262" w:type="dxa"/>
            <w:tcBorders>
              <w:top w:val="nil"/>
              <w:left w:val="nil"/>
              <w:bottom w:val="nil"/>
              <w:right w:val="nil"/>
            </w:tcBorders>
          </w:tcPr>
          <w:p>
            <w:pPr>
              <w:pStyle w:val="TableParagraph"/>
              <w:spacing w:before="20"/>
              <w:ind w:right="36"/>
              <w:jc w:val="right"/>
              <w:rPr>
                <w:sz w:val="22"/>
              </w:rPr>
            </w:pPr>
            <w:r>
              <w:rPr>
                <w:sz w:val="22"/>
              </w:rPr>
              <w:t>42</w:t>
            </w:r>
          </w:p>
        </w:tc>
        <w:tc>
          <w:tcPr>
            <w:tcW w:w="1262" w:type="dxa"/>
            <w:tcBorders>
              <w:top w:val="nil"/>
              <w:left w:val="nil"/>
              <w:bottom w:val="nil"/>
              <w:right w:val="nil"/>
            </w:tcBorders>
          </w:tcPr>
          <w:p>
            <w:pPr>
              <w:pStyle w:val="TableParagraph"/>
              <w:spacing w:before="20"/>
              <w:ind w:right="36"/>
              <w:jc w:val="right"/>
              <w:rPr>
                <w:sz w:val="22"/>
              </w:rPr>
            </w:pPr>
            <w:r>
              <w:rPr>
                <w:sz w:val="22"/>
              </w:rPr>
              <w:t>28</w:t>
            </w:r>
          </w:p>
        </w:tc>
        <w:tc>
          <w:tcPr>
            <w:tcW w:w="1256" w:type="dxa"/>
            <w:tcBorders>
              <w:top w:val="nil"/>
              <w:left w:val="nil"/>
              <w:bottom w:val="nil"/>
            </w:tcBorders>
          </w:tcPr>
          <w:p>
            <w:pPr>
              <w:pStyle w:val="TableParagraph"/>
              <w:spacing w:before="20"/>
              <w:ind w:right="17"/>
              <w:jc w:val="right"/>
              <w:rPr>
                <w:sz w:val="22"/>
              </w:rPr>
            </w:pPr>
            <w:r>
              <w:rPr>
                <w:sz w:val="22"/>
              </w:rPr>
              <w:t>32</w:t>
            </w:r>
          </w:p>
        </w:tc>
      </w:tr>
      <w:tr>
        <w:trPr>
          <w:trHeight w:val="317" w:hRule="exact"/>
        </w:trPr>
        <w:tc>
          <w:tcPr>
            <w:tcW w:w="1794" w:type="dxa"/>
            <w:tcBorders>
              <w:top w:val="single" w:sz="8" w:space="0" w:color="000000"/>
              <w:bottom w:val="single" w:sz="8" w:space="0" w:color="000000"/>
              <w:right w:val="single" w:sz="8" w:space="0" w:color="000000"/>
            </w:tcBorders>
          </w:tcPr>
          <w:p>
            <w:pPr>
              <w:pStyle w:val="TableParagraph"/>
              <w:spacing w:before="14"/>
              <w:ind w:left="19"/>
              <w:rPr>
                <w:rFonts w:ascii="Arial" w:hAnsi="Arial"/>
                <w:sz w:val="22"/>
              </w:rPr>
            </w:pPr>
            <w:r>
              <w:rPr>
                <w:rFonts w:ascii="Arial" w:hAnsi="Arial"/>
                <w:w w:val="90"/>
                <w:sz w:val="22"/>
              </w:rPr>
              <w:t>Xonacatlán</w:t>
            </w:r>
          </w:p>
        </w:tc>
        <w:tc>
          <w:tcPr>
            <w:tcW w:w="1262" w:type="dxa"/>
            <w:tcBorders>
              <w:top w:val="nil"/>
              <w:left w:val="single" w:sz="8" w:space="0" w:color="000000"/>
              <w:bottom w:val="nil"/>
              <w:right w:val="nil"/>
            </w:tcBorders>
          </w:tcPr>
          <w:p>
            <w:pPr/>
          </w:p>
        </w:tc>
        <w:tc>
          <w:tcPr>
            <w:tcW w:w="1262" w:type="dxa"/>
            <w:tcBorders>
              <w:top w:val="nil"/>
              <w:left w:val="nil"/>
              <w:bottom w:val="nil"/>
              <w:right w:val="nil"/>
            </w:tcBorders>
          </w:tcPr>
          <w:p>
            <w:pPr/>
          </w:p>
        </w:tc>
        <w:tc>
          <w:tcPr>
            <w:tcW w:w="1262" w:type="dxa"/>
            <w:tcBorders>
              <w:top w:val="nil"/>
              <w:left w:val="nil"/>
              <w:bottom w:val="nil"/>
              <w:right w:val="nil"/>
            </w:tcBorders>
          </w:tcPr>
          <w:p>
            <w:pPr>
              <w:pStyle w:val="TableParagraph"/>
              <w:spacing w:before="20"/>
              <w:ind w:right="34"/>
              <w:jc w:val="right"/>
              <w:rPr>
                <w:sz w:val="22"/>
              </w:rPr>
            </w:pPr>
            <w:r>
              <w:rPr>
                <w:w w:val="100"/>
                <w:sz w:val="22"/>
              </w:rPr>
              <w:t>2</w:t>
            </w:r>
          </w:p>
        </w:tc>
        <w:tc>
          <w:tcPr>
            <w:tcW w:w="1262" w:type="dxa"/>
            <w:tcBorders>
              <w:top w:val="nil"/>
              <w:left w:val="nil"/>
              <w:bottom w:val="nil"/>
              <w:right w:val="nil"/>
            </w:tcBorders>
          </w:tcPr>
          <w:p>
            <w:pPr>
              <w:pStyle w:val="TableParagraph"/>
              <w:spacing w:before="20"/>
              <w:ind w:right="34"/>
              <w:jc w:val="right"/>
              <w:rPr>
                <w:sz w:val="22"/>
              </w:rPr>
            </w:pPr>
            <w:r>
              <w:rPr>
                <w:w w:val="100"/>
                <w:sz w:val="22"/>
              </w:rPr>
              <w:t>3</w:t>
            </w:r>
          </w:p>
        </w:tc>
        <w:tc>
          <w:tcPr>
            <w:tcW w:w="1256" w:type="dxa"/>
            <w:tcBorders>
              <w:top w:val="nil"/>
              <w:left w:val="nil"/>
              <w:bottom w:val="nil"/>
            </w:tcBorders>
          </w:tcPr>
          <w:p>
            <w:pPr/>
          </w:p>
        </w:tc>
      </w:tr>
      <w:tr>
        <w:trPr>
          <w:trHeight w:val="331" w:hRule="exact"/>
        </w:trPr>
        <w:tc>
          <w:tcPr>
            <w:tcW w:w="1794" w:type="dxa"/>
            <w:tcBorders>
              <w:top w:val="single" w:sz="8" w:space="0" w:color="000000"/>
              <w:bottom w:val="single" w:sz="15" w:space="0" w:color="000000"/>
              <w:right w:val="single" w:sz="8" w:space="0" w:color="000000"/>
            </w:tcBorders>
          </w:tcPr>
          <w:p>
            <w:pPr>
              <w:pStyle w:val="TableParagraph"/>
              <w:spacing w:before="10"/>
              <w:ind w:left="19"/>
              <w:rPr>
                <w:rFonts w:ascii="Arial"/>
                <w:sz w:val="22"/>
              </w:rPr>
            </w:pPr>
            <w:r>
              <w:rPr>
                <w:rFonts w:ascii="Arial"/>
                <w:w w:val="90"/>
                <w:sz w:val="22"/>
              </w:rPr>
              <w:t>Zinacantepec</w:t>
            </w:r>
          </w:p>
        </w:tc>
        <w:tc>
          <w:tcPr>
            <w:tcW w:w="1262" w:type="dxa"/>
            <w:tcBorders>
              <w:top w:val="nil"/>
              <w:left w:val="single" w:sz="8" w:space="0" w:color="000000"/>
              <w:bottom w:val="single" w:sz="15" w:space="0" w:color="000000"/>
              <w:right w:val="nil"/>
            </w:tcBorders>
          </w:tcPr>
          <w:p>
            <w:pPr>
              <w:pStyle w:val="TableParagraph"/>
              <w:spacing w:before="16"/>
              <w:ind w:right="34"/>
              <w:jc w:val="right"/>
              <w:rPr>
                <w:sz w:val="22"/>
              </w:rPr>
            </w:pPr>
            <w:r>
              <w:rPr>
                <w:w w:val="100"/>
                <w:sz w:val="22"/>
              </w:rPr>
              <w:t>1</w:t>
            </w:r>
          </w:p>
        </w:tc>
        <w:tc>
          <w:tcPr>
            <w:tcW w:w="1262" w:type="dxa"/>
            <w:tcBorders>
              <w:top w:val="nil"/>
              <w:left w:val="nil"/>
              <w:bottom w:val="single" w:sz="15" w:space="0" w:color="000000"/>
              <w:right w:val="nil"/>
            </w:tcBorders>
          </w:tcPr>
          <w:p>
            <w:pPr>
              <w:pStyle w:val="TableParagraph"/>
              <w:spacing w:before="16"/>
              <w:ind w:right="35"/>
              <w:jc w:val="right"/>
              <w:rPr>
                <w:sz w:val="22"/>
              </w:rPr>
            </w:pPr>
            <w:r>
              <w:rPr>
                <w:w w:val="100"/>
                <w:sz w:val="22"/>
              </w:rPr>
              <w:t>7</w:t>
            </w:r>
          </w:p>
        </w:tc>
        <w:tc>
          <w:tcPr>
            <w:tcW w:w="1262" w:type="dxa"/>
            <w:tcBorders>
              <w:top w:val="nil"/>
              <w:left w:val="nil"/>
              <w:bottom w:val="single" w:sz="15" w:space="0" w:color="000000"/>
              <w:right w:val="nil"/>
            </w:tcBorders>
          </w:tcPr>
          <w:p>
            <w:pPr>
              <w:pStyle w:val="TableParagraph"/>
              <w:spacing w:before="16"/>
              <w:ind w:right="36"/>
              <w:jc w:val="right"/>
              <w:rPr>
                <w:sz w:val="22"/>
              </w:rPr>
            </w:pPr>
            <w:r>
              <w:rPr>
                <w:sz w:val="22"/>
              </w:rPr>
              <w:t>14</w:t>
            </w:r>
          </w:p>
        </w:tc>
        <w:tc>
          <w:tcPr>
            <w:tcW w:w="1262" w:type="dxa"/>
            <w:tcBorders>
              <w:top w:val="nil"/>
              <w:left w:val="nil"/>
              <w:bottom w:val="single" w:sz="15" w:space="0" w:color="000000"/>
              <w:right w:val="nil"/>
            </w:tcBorders>
          </w:tcPr>
          <w:p>
            <w:pPr>
              <w:pStyle w:val="TableParagraph"/>
              <w:spacing w:before="16"/>
              <w:ind w:right="34"/>
              <w:jc w:val="right"/>
              <w:rPr>
                <w:sz w:val="22"/>
              </w:rPr>
            </w:pPr>
            <w:r>
              <w:rPr>
                <w:w w:val="100"/>
                <w:sz w:val="22"/>
              </w:rPr>
              <w:t>9</w:t>
            </w:r>
          </w:p>
        </w:tc>
        <w:tc>
          <w:tcPr>
            <w:tcW w:w="1256" w:type="dxa"/>
            <w:tcBorders>
              <w:top w:val="nil"/>
              <w:left w:val="nil"/>
              <w:bottom w:val="single" w:sz="15" w:space="0" w:color="000000"/>
            </w:tcBorders>
          </w:tcPr>
          <w:p>
            <w:pPr>
              <w:pStyle w:val="TableParagraph"/>
              <w:spacing w:before="16"/>
              <w:ind w:right="15"/>
              <w:jc w:val="right"/>
              <w:rPr>
                <w:sz w:val="22"/>
              </w:rPr>
            </w:pPr>
            <w:r>
              <w:rPr>
                <w:w w:val="100"/>
                <w:sz w:val="22"/>
              </w:rPr>
              <w:t>9</w:t>
            </w:r>
          </w:p>
        </w:tc>
      </w:tr>
      <w:tr>
        <w:trPr>
          <w:trHeight w:val="326" w:hRule="exact"/>
        </w:trPr>
        <w:tc>
          <w:tcPr>
            <w:tcW w:w="1794" w:type="dxa"/>
            <w:tcBorders>
              <w:top w:val="single" w:sz="15" w:space="0" w:color="000000"/>
              <w:right w:val="single" w:sz="8" w:space="0" w:color="000000"/>
            </w:tcBorders>
          </w:tcPr>
          <w:p>
            <w:pPr>
              <w:pStyle w:val="TableParagraph"/>
              <w:ind w:left="19"/>
              <w:rPr>
                <w:rFonts w:ascii="Arial"/>
                <w:sz w:val="22"/>
              </w:rPr>
            </w:pPr>
            <w:r>
              <w:rPr>
                <w:rFonts w:ascii="Arial"/>
                <w:w w:val="90"/>
                <w:sz w:val="22"/>
              </w:rPr>
              <w:t>Total</w:t>
            </w:r>
          </w:p>
        </w:tc>
        <w:tc>
          <w:tcPr>
            <w:tcW w:w="1262" w:type="dxa"/>
            <w:tcBorders>
              <w:top w:val="single" w:sz="15" w:space="0" w:color="000000"/>
              <w:left w:val="single" w:sz="8" w:space="0" w:color="000000"/>
              <w:right w:val="single" w:sz="8" w:space="0" w:color="000000"/>
            </w:tcBorders>
          </w:tcPr>
          <w:p>
            <w:pPr>
              <w:pStyle w:val="TableParagraph"/>
              <w:spacing w:line="265" w:lineRule="exact"/>
              <w:ind w:right="26"/>
              <w:jc w:val="right"/>
              <w:rPr>
                <w:sz w:val="22"/>
              </w:rPr>
            </w:pPr>
            <w:r>
              <w:rPr>
                <w:sz w:val="22"/>
              </w:rPr>
              <w:t>64</w:t>
            </w:r>
          </w:p>
        </w:tc>
        <w:tc>
          <w:tcPr>
            <w:tcW w:w="1262" w:type="dxa"/>
            <w:tcBorders>
              <w:top w:val="single" w:sz="15" w:space="0" w:color="000000"/>
              <w:left w:val="single" w:sz="8" w:space="0" w:color="000000"/>
              <w:right w:val="single" w:sz="8" w:space="0" w:color="000000"/>
            </w:tcBorders>
          </w:tcPr>
          <w:p>
            <w:pPr>
              <w:pStyle w:val="TableParagraph"/>
              <w:spacing w:line="265" w:lineRule="exact"/>
              <w:ind w:right="27"/>
              <w:jc w:val="right"/>
              <w:rPr>
                <w:sz w:val="22"/>
              </w:rPr>
            </w:pPr>
            <w:r>
              <w:rPr>
                <w:sz w:val="22"/>
              </w:rPr>
              <w:t>88</w:t>
            </w:r>
          </w:p>
        </w:tc>
        <w:tc>
          <w:tcPr>
            <w:tcW w:w="1262" w:type="dxa"/>
            <w:tcBorders>
              <w:top w:val="single" w:sz="15" w:space="0" w:color="000000"/>
              <w:left w:val="single" w:sz="8" w:space="0" w:color="000000"/>
              <w:right w:val="single" w:sz="8" w:space="0" w:color="000000"/>
            </w:tcBorders>
          </w:tcPr>
          <w:p>
            <w:pPr>
              <w:pStyle w:val="TableParagraph"/>
              <w:spacing w:line="265" w:lineRule="exact"/>
              <w:ind w:right="26"/>
              <w:jc w:val="right"/>
              <w:rPr>
                <w:sz w:val="22"/>
              </w:rPr>
            </w:pPr>
            <w:r>
              <w:rPr>
                <w:sz w:val="22"/>
              </w:rPr>
              <w:t>97</w:t>
            </w:r>
          </w:p>
        </w:tc>
        <w:tc>
          <w:tcPr>
            <w:tcW w:w="1262" w:type="dxa"/>
            <w:tcBorders>
              <w:top w:val="single" w:sz="15" w:space="0" w:color="000000"/>
              <w:left w:val="single" w:sz="8" w:space="0" w:color="000000"/>
              <w:right w:val="single" w:sz="8" w:space="0" w:color="000000"/>
            </w:tcBorders>
          </w:tcPr>
          <w:p>
            <w:pPr>
              <w:pStyle w:val="TableParagraph"/>
              <w:spacing w:line="265" w:lineRule="exact"/>
              <w:ind w:right="27"/>
              <w:jc w:val="right"/>
              <w:rPr>
                <w:sz w:val="22"/>
              </w:rPr>
            </w:pPr>
            <w:r>
              <w:rPr>
                <w:sz w:val="22"/>
              </w:rPr>
              <w:t>77</w:t>
            </w:r>
          </w:p>
        </w:tc>
        <w:tc>
          <w:tcPr>
            <w:tcW w:w="1256" w:type="dxa"/>
            <w:tcBorders>
              <w:top w:val="single" w:sz="15" w:space="0" w:color="000000"/>
              <w:left w:val="single" w:sz="8" w:space="0" w:color="000000"/>
            </w:tcBorders>
          </w:tcPr>
          <w:p>
            <w:pPr>
              <w:pStyle w:val="TableParagraph"/>
              <w:spacing w:line="265" w:lineRule="exact"/>
              <w:ind w:right="17"/>
              <w:jc w:val="right"/>
              <w:rPr>
                <w:sz w:val="22"/>
              </w:rPr>
            </w:pPr>
            <w:r>
              <w:rPr>
                <w:sz w:val="22"/>
              </w:rPr>
              <w:t>62</w:t>
            </w:r>
          </w:p>
        </w:tc>
      </w:tr>
    </w:tbl>
    <w:p>
      <w:pPr>
        <w:spacing w:before="0"/>
        <w:ind w:left="102" w:right="0" w:firstLine="36"/>
        <w:jc w:val="both"/>
        <w:rPr>
          <w:sz w:val="20"/>
        </w:rPr>
      </w:pPr>
      <w:r>
        <w:rPr>
          <w:sz w:val="20"/>
        </w:rPr>
        <w:t>Fuente: Elaboración propia con base en los datos del Censo de Población y Vivienda INEGI, 2010</w:t>
      </w:r>
    </w:p>
    <w:p>
      <w:pPr>
        <w:pStyle w:val="BodyText"/>
        <w:rPr>
          <w:sz w:val="20"/>
        </w:rPr>
      </w:pPr>
    </w:p>
    <w:p>
      <w:pPr>
        <w:pStyle w:val="BodyText"/>
        <w:rPr>
          <w:sz w:val="26"/>
        </w:rPr>
      </w:pPr>
    </w:p>
    <w:p>
      <w:pPr>
        <w:pStyle w:val="BodyText"/>
        <w:spacing w:line="360" w:lineRule="auto" w:before="1"/>
        <w:ind w:left="102" w:right="119"/>
        <w:jc w:val="both"/>
      </w:pPr>
      <w:r>
        <w:rPr/>
        <w:t>El municipio de Toluca registró 53 ageb´s con buena habitabilidad representando más del 60 por ciento en este nivel, Metepec 11 ageb´s con más del 12 por ciento con buena habitabilidad, Lerma y Zinacantepec con 8 y 7 ageb´s respectivamente, Ocoyoacac con 3 ageb´s, con 1 ageb encontramos a los municipios San Antonio la Isla, Calimaya, Almoloya de Juárez, Otzolotepec, San Mateo Atenco y Mexicaltzingo.</w:t>
      </w:r>
    </w:p>
    <w:p>
      <w:pPr>
        <w:spacing w:after="0" w:line="360" w:lineRule="auto"/>
        <w:jc w:val="both"/>
        <w:sectPr>
          <w:pgSz w:w="12240" w:h="15840"/>
          <w:pgMar w:header="0" w:footer="1003" w:top="1360" w:bottom="1200" w:left="1600" w:right="1580"/>
        </w:sectPr>
      </w:pPr>
    </w:p>
    <w:p>
      <w:pPr>
        <w:pStyle w:val="BodyText"/>
        <w:spacing w:line="360" w:lineRule="auto" w:before="54"/>
        <w:ind w:left="102" w:right="116"/>
        <w:jc w:val="both"/>
      </w:pPr>
      <w:r>
        <w:rPr/>
        <w:t>Los ageb´s con buena habitabilidad se van expandiendo hacia la periferia de la zona metropolitana, de las cabeceras municipales o centros históricos hacia el exterior de los municipios anteriormente mencionados.</w:t>
      </w:r>
    </w:p>
    <w:p>
      <w:pPr>
        <w:pStyle w:val="BodyText"/>
      </w:pPr>
    </w:p>
    <w:p>
      <w:pPr>
        <w:pStyle w:val="BodyText"/>
        <w:spacing w:line="360" w:lineRule="auto" w:before="142"/>
        <w:ind w:left="102" w:right="118"/>
        <w:jc w:val="both"/>
      </w:pPr>
      <w:r>
        <w:rPr/>
        <w:t>Dentro del nivel de media habitabilidad encontramos 97 ageb´s los cuales representan más del 24 por ciento, esta media habitabilidad es entendida como las viviendas que se encuentran con un porcentaje medio en servicios públicos como servicio de agua, drenaje o que no cuentan con sanitario, cuentan con solo algunos bienes en las viviendas, las viviendas no son propias y solo cuentan con un</w:t>
      </w:r>
      <w:r>
        <w:rPr>
          <w:spacing w:val="-2"/>
        </w:rPr>
        <w:t> </w:t>
      </w:r>
      <w:r>
        <w:rPr/>
        <w:t>cuarto.</w:t>
      </w:r>
    </w:p>
    <w:p>
      <w:pPr>
        <w:pStyle w:val="BodyText"/>
      </w:pPr>
    </w:p>
    <w:p>
      <w:pPr>
        <w:pStyle w:val="BodyText"/>
        <w:spacing w:line="360" w:lineRule="auto" w:before="142"/>
        <w:ind w:left="102" w:right="116"/>
        <w:jc w:val="both"/>
      </w:pPr>
      <w:r>
        <w:rPr/>
        <w:t>El municipio de Toluca cuenta con 42 ageb´s representando más de un 43 por ciento de sus viviendas con media habitabilidad, seguido del municipio de Zinacantepec con 14 ageb´s es decir, un 14 por ciento de sus ageb´s están en este nivel medio de habitabilidad, Metepec y Ocoyoacac con 7 ageb´s representan más del 7 por ciento de sus ageb´s en este nivel, Lerma y Calimaya con 6 ageb´s cada uno con más del 6 por</w:t>
      </w:r>
      <w:r>
        <w:rPr>
          <w:spacing w:val="-13"/>
        </w:rPr>
        <w:t> </w:t>
      </w:r>
      <w:r>
        <w:rPr/>
        <w:t>ciento.</w:t>
      </w:r>
    </w:p>
    <w:p>
      <w:pPr>
        <w:pStyle w:val="BodyText"/>
      </w:pPr>
    </w:p>
    <w:p>
      <w:pPr>
        <w:pStyle w:val="BodyText"/>
        <w:spacing w:line="360" w:lineRule="auto" w:before="142"/>
        <w:ind w:left="102" w:right="116"/>
        <w:jc w:val="both"/>
      </w:pPr>
      <w:r>
        <w:rPr/>
        <w:t>San Mateo Atenco tiene 3 ageb´s con la evaluación de media habitabilidad de sus viviendas representando más del 3 por ciento, municipios como Almoloya de Juárez, Otzolotepec, Xonacatlán, Chapultepec y Rayón con 2 ageb´s representan más del 2 por ciento respectivamente, Mexicaltzingo y Temoaya solo con 1 ageb, el municipio de San Antonio la Isla no registró ageb en este nivel de media habitabilidad.</w:t>
      </w:r>
    </w:p>
    <w:p>
      <w:pPr>
        <w:pStyle w:val="BodyText"/>
      </w:pPr>
    </w:p>
    <w:p>
      <w:pPr>
        <w:pStyle w:val="BodyText"/>
        <w:spacing w:line="360" w:lineRule="auto" w:before="142"/>
        <w:ind w:left="102" w:right="116"/>
        <w:jc w:val="both"/>
      </w:pPr>
      <w:r>
        <w:rPr/>
        <w:t>Estos ageb´s de media habitabilidad de sus viviendas se ubican ya más retirados de los centros históricos o cabeceras municipales, se puede decir que se localizan entre el centro de los municipios y la periferia de la zona metropolitana de Toluca.</w:t>
      </w:r>
    </w:p>
    <w:p>
      <w:pPr>
        <w:pStyle w:val="BodyText"/>
      </w:pPr>
    </w:p>
    <w:p>
      <w:pPr>
        <w:pStyle w:val="BodyText"/>
        <w:spacing w:line="360" w:lineRule="auto" w:before="139"/>
        <w:ind w:left="102" w:right="119"/>
        <w:jc w:val="both"/>
      </w:pPr>
      <w:r>
        <w:rPr/>
        <w:t>Según el nivel de baja habitabilidad encontramos 77 ageb´s en la zona metropolitana  lo  cual  representa  más  del  19  por  ciento  de  ageb´s  con</w:t>
      </w:r>
      <w:r>
        <w:rPr>
          <w:spacing w:val="53"/>
        </w:rPr>
        <w:t> </w:t>
      </w:r>
      <w:r>
        <w:rPr/>
        <w:t>bajos</w:t>
      </w:r>
    </w:p>
    <w:p>
      <w:pPr>
        <w:spacing w:after="0" w:line="360" w:lineRule="auto"/>
        <w:jc w:val="both"/>
        <w:sectPr>
          <w:pgSz w:w="12240" w:h="15840"/>
          <w:pgMar w:header="0" w:footer="1003" w:top="1360" w:bottom="1200" w:left="1600" w:right="1580"/>
        </w:sectPr>
      </w:pPr>
    </w:p>
    <w:p>
      <w:pPr>
        <w:pStyle w:val="BodyText"/>
        <w:spacing w:line="360" w:lineRule="auto" w:before="54"/>
        <w:ind w:left="102" w:right="124"/>
        <w:jc w:val="both"/>
      </w:pPr>
      <w:r>
        <w:rPr/>
        <w:t>servicios públicos como el servicio de agua, drenaje y sanitario, las viviendas casi no cuentan con bienes en las viviendas, los materiales de construcción llegan a  ser precarios y no son propias las viviendas puedan que las estén rentando o que algún familiar, amigo o conocido se las haya</w:t>
      </w:r>
      <w:r>
        <w:rPr>
          <w:spacing w:val="-17"/>
        </w:rPr>
        <w:t> </w:t>
      </w:r>
      <w:r>
        <w:rPr/>
        <w:t>prestado.</w:t>
      </w:r>
    </w:p>
    <w:p>
      <w:pPr>
        <w:pStyle w:val="BodyText"/>
      </w:pPr>
    </w:p>
    <w:p>
      <w:pPr>
        <w:pStyle w:val="BodyText"/>
        <w:spacing w:line="360" w:lineRule="auto" w:before="142"/>
        <w:ind w:left="102" w:right="116"/>
        <w:jc w:val="both"/>
      </w:pPr>
      <w:r>
        <w:rPr/>
        <w:t>Toluca registra 28 ageb´s con este nivel bajo de habitabilidad principalmente al oriente y norte del municipio representando más del 36 por ciento, Zinacantepec con 9 ageb´s representando más del 11 por ciento ubicados al poniente del municipio, San Mateo Atenco con 8 ageb´s representando más del 10 por ciento ubicados al oriente y al norte del municipio.</w:t>
      </w:r>
    </w:p>
    <w:p>
      <w:pPr>
        <w:pStyle w:val="BodyText"/>
      </w:pPr>
    </w:p>
    <w:p>
      <w:pPr>
        <w:pStyle w:val="BodyText"/>
        <w:spacing w:line="360" w:lineRule="auto" w:before="142"/>
        <w:ind w:left="102" w:right="119"/>
        <w:jc w:val="both"/>
      </w:pPr>
      <w:r>
        <w:rPr/>
        <w:t>Lerma contó con 6 ageb´s representando más del 7 por ciento estos ageb´s se ubican en el oriente del municipio, Almoloya de Juárez con 5 ageb´s  representando más del 6 por ciento ubicándolos en el oriente y sur del municipio, Metepec 4 ageb´s ubicados al suroeste del municipio, se puede decir que es donde se está dando el crecimiento urbano del</w:t>
      </w:r>
      <w:r>
        <w:rPr>
          <w:spacing w:val="-17"/>
        </w:rPr>
        <w:t> </w:t>
      </w:r>
      <w:r>
        <w:rPr/>
        <w:t>municipio.</w:t>
      </w:r>
    </w:p>
    <w:p>
      <w:pPr>
        <w:pStyle w:val="BodyText"/>
      </w:pPr>
    </w:p>
    <w:p>
      <w:pPr>
        <w:pStyle w:val="BodyText"/>
        <w:spacing w:line="360" w:lineRule="auto" w:before="142"/>
        <w:ind w:left="102" w:right="120"/>
        <w:jc w:val="both"/>
      </w:pPr>
      <w:r>
        <w:rPr/>
        <w:t>San Antonio la Isla 3 ageb´s ubicados al sur del municipio, Ocoyoacac igual con 3 ageb´s, ubicados al oriente y sur del municipio y Xonacatlán registran 3 ageb´s ubicados al oriente del municipio, mientras que Otzolotepec, Chapultepec y Temoaya 2 ageb´s respectivamente, los municipios de Calimaya y Mexicaltzingo solo 1 ageb de baja habitabilidad de sus viviendas.</w:t>
      </w:r>
    </w:p>
    <w:p>
      <w:pPr>
        <w:pStyle w:val="BodyText"/>
      </w:pPr>
    </w:p>
    <w:p>
      <w:pPr>
        <w:pStyle w:val="BodyText"/>
        <w:spacing w:line="360" w:lineRule="auto" w:before="142"/>
        <w:ind w:left="102" w:right="116"/>
        <w:jc w:val="both"/>
      </w:pPr>
      <w:r>
        <w:rPr/>
        <w:t>Para este nivel de baja habitabilidad los ageb´s evaluados se visualiza que están ubicados en las zonas donde se está dando el crecimiento urbano de cada uno de los municipios de la zona metropolitana, en este nivel Rayón no registró ningún ageb, con estas características.</w:t>
      </w:r>
    </w:p>
    <w:p>
      <w:pPr>
        <w:pStyle w:val="BodyText"/>
      </w:pPr>
    </w:p>
    <w:p>
      <w:pPr>
        <w:pStyle w:val="BodyText"/>
        <w:spacing w:line="360" w:lineRule="auto" w:before="142"/>
        <w:ind w:left="102" w:right="116"/>
        <w:jc w:val="both"/>
      </w:pPr>
      <w:r>
        <w:rPr/>
        <w:t>Finalmente la evaluación con muy baja habitabilidad de las viviendas registra 62 ageb´s en la zona metropolitana de Toluca, representando más de 15 por ciento, esto  quiere  decir  que  las  viviendas  cuentan  con  los  peores  porcentajes     en</w:t>
      </w:r>
    </w:p>
    <w:p>
      <w:pPr>
        <w:spacing w:after="0" w:line="360" w:lineRule="auto"/>
        <w:jc w:val="both"/>
        <w:sectPr>
          <w:pgSz w:w="12240" w:h="15840"/>
          <w:pgMar w:header="0" w:footer="1003" w:top="1360" w:bottom="1200" w:left="1600" w:right="1580"/>
        </w:sectPr>
      </w:pPr>
    </w:p>
    <w:p>
      <w:pPr>
        <w:pStyle w:val="BodyText"/>
        <w:spacing w:line="360" w:lineRule="auto" w:before="54"/>
        <w:ind w:left="102" w:right="125"/>
        <w:jc w:val="both"/>
      </w:pPr>
      <w:r>
        <w:rPr/>
        <w:t>servicios públicos como son el servicio del agua, drenaje y sanitario o excusado, no existen casi bienes en las viviendas, además se encuentran con materiales de construcción precarios y las viviendas no son propias, las cuales rentan o se las prestan familiares, conocidos o</w:t>
      </w:r>
      <w:r>
        <w:rPr>
          <w:spacing w:val="-10"/>
        </w:rPr>
        <w:t> </w:t>
      </w:r>
      <w:r>
        <w:rPr/>
        <w:t>amigos.</w:t>
      </w:r>
    </w:p>
    <w:p>
      <w:pPr>
        <w:pStyle w:val="BodyText"/>
      </w:pPr>
    </w:p>
    <w:p>
      <w:pPr>
        <w:pStyle w:val="BodyText"/>
        <w:spacing w:line="360" w:lineRule="auto" w:before="142"/>
        <w:ind w:left="102" w:right="115"/>
        <w:jc w:val="both"/>
      </w:pPr>
      <w:r>
        <w:rPr/>
        <w:t>El municipio de Toluca cuenta con 32 ageb´s con muy baja habitabilidad de las viviendas representando más del 51 por ciento, ubicados en el noreste del municipio, Zinacantepec con 9 ageb´s representando más del 14 por ciento, localizados al poniente y sur del municipio, Temoaya registró 7 ageb´s con estas características registrando más del 11 por ciento, ubicados los ageb´s al noreste del municipio.</w:t>
      </w:r>
    </w:p>
    <w:p>
      <w:pPr>
        <w:pStyle w:val="BodyText"/>
      </w:pPr>
    </w:p>
    <w:p>
      <w:pPr>
        <w:pStyle w:val="BodyText"/>
        <w:spacing w:line="360" w:lineRule="auto" w:before="142"/>
        <w:ind w:left="102" w:right="116"/>
        <w:jc w:val="both"/>
      </w:pPr>
      <w:r>
        <w:rPr/>
        <w:t>San Mateo Atenco registró 4 ageb´s representando más del 6 por ciento en este nivel muy bajo de habitabilidad, ubicando sus ageb´s en el norte y oriente de su municipio, Almoloya de Juárez registró 3 ageb´s ubicados uno al norte otro al sur y el último al poniente del municipio, Otzolotepec registró 3 ageb´s ubicados al norte del municipio, Metepec registró 2 ageb´s ubicados al sur, por último San Antonio la Isla y Ocoyoacac registraron 1 ageb con muy baja habitabilidad para sus  viviendas.</w:t>
      </w:r>
    </w:p>
    <w:p>
      <w:pPr>
        <w:pStyle w:val="BodyText"/>
      </w:pPr>
    </w:p>
    <w:p>
      <w:pPr>
        <w:pStyle w:val="BodyText"/>
        <w:spacing w:line="360" w:lineRule="auto" w:before="142"/>
        <w:ind w:left="102" w:right="123"/>
        <w:jc w:val="both"/>
      </w:pPr>
      <w:r>
        <w:rPr/>
        <w:t>Cinco municipios de la zona metropolitana no registraron ageb´s con muy baja habitabilidad de sus viviendas los cuales fueron, Lerma, Mexicaltzingo,  Xonacatlán, Chapultepec y Rayón (ver mapa no.</w:t>
      </w:r>
      <w:r>
        <w:rPr>
          <w:spacing w:val="-18"/>
        </w:rPr>
        <w:t> </w:t>
      </w:r>
      <w:r>
        <w:rPr/>
        <w:t>22).</w:t>
      </w:r>
    </w:p>
    <w:p>
      <w:pPr>
        <w:spacing w:after="0" w:line="360" w:lineRule="auto"/>
        <w:jc w:val="both"/>
        <w:sectPr>
          <w:pgSz w:w="12240" w:h="15840"/>
          <w:pgMar w:header="0" w:footer="1003" w:top="1360" w:bottom="1200" w:left="1600" w:right="1580"/>
        </w:sectPr>
      </w:pPr>
    </w:p>
    <w:p>
      <w:pPr>
        <w:spacing w:before="53" w:after="2"/>
        <w:ind w:left="193" w:right="213" w:firstLine="0"/>
        <w:jc w:val="center"/>
        <w:rPr>
          <w:sz w:val="20"/>
        </w:rPr>
      </w:pPr>
      <w:r>
        <w:rPr>
          <w:sz w:val="20"/>
        </w:rPr>
        <w:t>Mapa No. 22 Porcentaje de habitabilidad de las viviendas a nivel ageb´s en la </w:t>
      </w:r>
      <w:r>
        <w:rPr>
          <w:sz w:val="16"/>
        </w:rPr>
        <w:t>ZMT</w:t>
      </w:r>
      <w:r>
        <w:rPr>
          <w:sz w:val="20"/>
        </w:rPr>
        <w:t>, 2010.</w:t>
      </w:r>
    </w:p>
    <w:p>
      <w:pPr>
        <w:pStyle w:val="BodyText"/>
        <w:ind w:left="102"/>
        <w:rPr>
          <w:sz w:val="20"/>
        </w:rPr>
      </w:pPr>
      <w:r>
        <w:rPr>
          <w:sz w:val="20"/>
        </w:rPr>
        <w:drawing>
          <wp:inline distT="0" distB="0" distL="0" distR="0">
            <wp:extent cx="5598929" cy="3959352"/>
            <wp:effectExtent l="0" t="0" r="0" b="0"/>
            <wp:docPr id="165" name="image955.jpeg" descr=""/>
            <wp:cNvGraphicFramePr>
              <a:graphicFrameLocks noChangeAspect="1"/>
            </wp:cNvGraphicFramePr>
            <a:graphic>
              <a:graphicData uri="http://schemas.openxmlformats.org/drawingml/2006/picture">
                <pic:pic>
                  <pic:nvPicPr>
                    <pic:cNvPr id="166" name="image955.jpeg"/>
                    <pic:cNvPicPr/>
                  </pic:nvPicPr>
                  <pic:blipFill>
                    <a:blip r:embed="rId987" cstate="print"/>
                    <a:stretch>
                      <a:fillRect/>
                    </a:stretch>
                  </pic:blipFill>
                  <pic:spPr>
                    <a:xfrm>
                      <a:off x="0" y="0"/>
                      <a:ext cx="5598929" cy="3959352"/>
                    </a:xfrm>
                    <a:prstGeom prst="rect">
                      <a:avLst/>
                    </a:prstGeom>
                  </pic:spPr>
                </pic:pic>
              </a:graphicData>
            </a:graphic>
          </wp:inline>
        </w:drawing>
      </w:r>
      <w:r>
        <w:rPr>
          <w:sz w:val="20"/>
        </w:rPr>
      </w:r>
    </w:p>
    <w:p>
      <w:pPr>
        <w:spacing w:line="242" w:lineRule="auto" w:before="2"/>
        <w:ind w:left="193" w:right="212" w:firstLine="0"/>
        <w:jc w:val="center"/>
        <w:rPr>
          <w:sz w:val="20"/>
        </w:rPr>
      </w:pPr>
      <w:r>
        <w:rPr>
          <w:sz w:val="20"/>
        </w:rPr>
        <w:t>Fuente: Elaboración propia con base en los datos del Censo de Población y Vivienda INEGI, 2010.</w:t>
      </w:r>
    </w:p>
    <w:p>
      <w:pPr>
        <w:pStyle w:val="BodyText"/>
        <w:rPr>
          <w:sz w:val="17"/>
        </w:rPr>
      </w:pPr>
    </w:p>
    <w:p>
      <w:pPr>
        <w:pStyle w:val="BodyText"/>
        <w:spacing w:line="360" w:lineRule="auto"/>
        <w:ind w:left="102" w:right="117"/>
        <w:jc w:val="both"/>
      </w:pPr>
      <w:r>
        <w:rPr/>
        <w:t>Para ser más específicos a continuación se describen los ageb´s que tienen muy baja habitabilidad de sus viviendas y en los cuales el Estado y las  administraciones municipales deberían poner mayor atención, ya que es la población más vulnerable por contar con viviendas no habitables para sus moradores, el cual era el fin de la investigación, evaluar </w:t>
      </w:r>
      <w:r>
        <w:rPr>
          <w:spacing w:val="2"/>
        </w:rPr>
        <w:t>las </w:t>
      </w:r>
      <w:r>
        <w:rPr/>
        <w:t>zonas con  habitabilidad critica en las viviendas en la</w:t>
      </w:r>
      <w:r>
        <w:rPr>
          <w:spacing w:val="-13"/>
        </w:rPr>
        <w:t> </w:t>
      </w:r>
      <w:r>
        <w:rPr>
          <w:sz w:val="19"/>
        </w:rPr>
        <w:t>ZMT</w:t>
      </w:r>
      <w:r>
        <w:rPr/>
        <w:t>.</w:t>
      </w:r>
    </w:p>
    <w:p>
      <w:pPr>
        <w:pStyle w:val="BodyText"/>
      </w:pPr>
    </w:p>
    <w:p>
      <w:pPr>
        <w:pStyle w:val="BodyText"/>
        <w:spacing w:line="360" w:lineRule="auto" w:before="142"/>
        <w:ind w:left="102" w:right="114"/>
        <w:jc w:val="both"/>
      </w:pPr>
      <w:r>
        <w:rPr/>
        <w:t>Son nueve municipios que integran la zona metropolitana que registraron ageb´s con muy baja habitabilidad, Almoloya de Juárez registró 3 ageb´s los cuales son: San Miguel Almoloyán, Mayorazgo de León, San Mateo Tlalchichilpan. Metepec registró 2 ageb´s San Gaspar Tlahuelilpan y San Bartolomé  Tlaltelulco  (ver cuadro no. 20).</w:t>
      </w:r>
    </w:p>
    <w:p>
      <w:pPr>
        <w:spacing w:after="0" w:line="360" w:lineRule="auto"/>
        <w:jc w:val="both"/>
        <w:sectPr>
          <w:pgSz w:w="12240" w:h="15840"/>
          <w:pgMar w:header="0" w:footer="1003" w:top="1360" w:bottom="1200" w:left="1600" w:right="1580"/>
        </w:sectPr>
      </w:pPr>
    </w:p>
    <w:p>
      <w:pPr>
        <w:pStyle w:val="BodyText"/>
        <w:spacing w:line="360" w:lineRule="auto" w:before="54"/>
        <w:ind w:left="102" w:right="135"/>
        <w:jc w:val="both"/>
      </w:pPr>
      <w:r>
        <w:rPr/>
        <w:t>Ocoyoacac registró el ageb de San Pedro Atlapulco, Otzolotepec registró 3 ageb´s los cuales son Santa Ana Jilotzingo y el Ejido de la Y Sección Siete A Revolución (0241, 0256). San Antonio registró 1 ageb en la cabecera municipal con el número 0075. San Mateo Atenco registró 4 ageb´s ubicados en la cabecera municipal con los números (0132, 0058, 0359, 0240).</w:t>
      </w:r>
    </w:p>
    <w:p>
      <w:pPr>
        <w:pStyle w:val="BodyText"/>
      </w:pPr>
    </w:p>
    <w:p>
      <w:pPr>
        <w:spacing w:before="141"/>
        <w:ind w:left="106" w:right="0" w:firstLine="0"/>
        <w:jc w:val="both"/>
        <w:rPr>
          <w:sz w:val="20"/>
        </w:rPr>
      </w:pPr>
      <w:r>
        <w:rPr>
          <w:sz w:val="20"/>
        </w:rPr>
        <w:t>Cuadro No. 20 Habitabilidad muy baja en las viviendas por localidad donde se ubica el ageb´s de la</w:t>
      </w:r>
    </w:p>
    <w:p>
      <w:pPr>
        <w:spacing w:before="0" w:after="4"/>
        <w:ind w:left="84" w:right="122" w:firstLine="0"/>
        <w:jc w:val="center"/>
        <w:rPr>
          <w:sz w:val="20"/>
        </w:rPr>
      </w:pPr>
      <w:r>
        <w:rPr>
          <w:sz w:val="16"/>
        </w:rPr>
        <w:t>ZMT</w:t>
      </w:r>
      <w:r>
        <w:rPr>
          <w:sz w:val="20"/>
        </w:rPr>
        <w:t>, 2010.</w:t>
      </w:r>
    </w:p>
    <w:tbl>
      <w:tblPr>
        <w:tblW w:w="0" w:type="auto"/>
        <w:jc w:val="left"/>
        <w:tblInd w:w="1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34"/>
        <w:gridCol w:w="429"/>
        <w:gridCol w:w="3132"/>
        <w:gridCol w:w="927"/>
        <w:gridCol w:w="429"/>
        <w:gridCol w:w="2563"/>
      </w:tblGrid>
      <w:tr>
        <w:trPr>
          <w:trHeight w:val="216" w:hRule="exact"/>
        </w:trPr>
        <w:tc>
          <w:tcPr>
            <w:tcW w:w="1334" w:type="dxa"/>
            <w:tcBorders>
              <w:bottom w:val="single" w:sz="10" w:space="0" w:color="000000"/>
              <w:right w:val="single" w:sz="10" w:space="0" w:color="000000"/>
            </w:tcBorders>
            <w:shd w:val="clear" w:color="auto" w:fill="9BBA58"/>
          </w:tcPr>
          <w:p>
            <w:pPr>
              <w:pStyle w:val="TableParagraph"/>
              <w:spacing w:before="3"/>
              <w:ind w:left="12"/>
              <w:rPr>
                <w:b/>
                <w:sz w:val="14"/>
              </w:rPr>
            </w:pPr>
            <w:r>
              <w:rPr>
                <w:b/>
                <w:color w:val="FFFFFF"/>
                <w:w w:val="105"/>
                <w:sz w:val="14"/>
              </w:rPr>
              <w:t>MUNICIPIO</w:t>
            </w:r>
          </w:p>
        </w:tc>
        <w:tc>
          <w:tcPr>
            <w:tcW w:w="429" w:type="dxa"/>
            <w:tcBorders>
              <w:left w:val="single" w:sz="10" w:space="0" w:color="000000"/>
              <w:bottom w:val="single" w:sz="10" w:space="0" w:color="000000"/>
              <w:right w:val="single" w:sz="10" w:space="0" w:color="000000"/>
            </w:tcBorders>
            <w:shd w:val="clear" w:color="auto" w:fill="9BBA58"/>
          </w:tcPr>
          <w:p>
            <w:pPr>
              <w:pStyle w:val="TableParagraph"/>
              <w:spacing w:before="3"/>
              <w:ind w:left="12"/>
              <w:rPr>
                <w:b/>
                <w:sz w:val="14"/>
              </w:rPr>
            </w:pPr>
            <w:r>
              <w:rPr>
                <w:b/>
                <w:color w:val="FFFFFF"/>
                <w:w w:val="105"/>
                <w:sz w:val="14"/>
              </w:rPr>
              <w:t>AGEB</w:t>
            </w:r>
          </w:p>
        </w:tc>
        <w:tc>
          <w:tcPr>
            <w:tcW w:w="3132" w:type="dxa"/>
            <w:tcBorders>
              <w:left w:val="single" w:sz="10" w:space="0" w:color="000000"/>
              <w:bottom w:val="single" w:sz="10" w:space="0" w:color="000000"/>
              <w:right w:val="single" w:sz="10" w:space="0" w:color="000000"/>
            </w:tcBorders>
            <w:shd w:val="clear" w:color="auto" w:fill="9BBA58"/>
          </w:tcPr>
          <w:p>
            <w:pPr>
              <w:pStyle w:val="TableParagraph"/>
              <w:spacing w:before="3"/>
              <w:ind w:left="12"/>
              <w:rPr>
                <w:b/>
                <w:sz w:val="14"/>
              </w:rPr>
            </w:pPr>
            <w:r>
              <w:rPr>
                <w:b/>
                <w:color w:val="FFFFFF"/>
                <w:w w:val="105"/>
                <w:sz w:val="14"/>
              </w:rPr>
              <w:t>AGEB</w:t>
            </w:r>
          </w:p>
        </w:tc>
        <w:tc>
          <w:tcPr>
            <w:tcW w:w="927" w:type="dxa"/>
            <w:tcBorders>
              <w:left w:val="single" w:sz="10" w:space="0" w:color="000000"/>
              <w:bottom w:val="single" w:sz="10" w:space="0" w:color="000000"/>
              <w:right w:val="single" w:sz="10" w:space="0" w:color="000000"/>
            </w:tcBorders>
            <w:shd w:val="clear" w:color="auto" w:fill="9BBA58"/>
          </w:tcPr>
          <w:p>
            <w:pPr>
              <w:pStyle w:val="TableParagraph"/>
              <w:spacing w:before="3"/>
              <w:ind w:left="12"/>
              <w:rPr>
                <w:b/>
                <w:sz w:val="14"/>
              </w:rPr>
            </w:pPr>
            <w:r>
              <w:rPr>
                <w:b/>
                <w:color w:val="FFFFFF"/>
                <w:w w:val="105"/>
                <w:sz w:val="14"/>
              </w:rPr>
              <w:t>MUNICIPIO</w:t>
            </w:r>
          </w:p>
        </w:tc>
        <w:tc>
          <w:tcPr>
            <w:tcW w:w="429" w:type="dxa"/>
            <w:tcBorders>
              <w:left w:val="single" w:sz="10" w:space="0" w:color="000000"/>
              <w:bottom w:val="single" w:sz="10" w:space="0" w:color="000000"/>
              <w:right w:val="single" w:sz="10" w:space="0" w:color="000000"/>
            </w:tcBorders>
            <w:shd w:val="clear" w:color="auto" w:fill="9BBA58"/>
          </w:tcPr>
          <w:p>
            <w:pPr>
              <w:pStyle w:val="TableParagraph"/>
              <w:spacing w:before="3"/>
              <w:ind w:left="13"/>
              <w:rPr>
                <w:b/>
                <w:sz w:val="14"/>
              </w:rPr>
            </w:pPr>
            <w:r>
              <w:rPr>
                <w:b/>
                <w:color w:val="FFFFFF"/>
                <w:w w:val="105"/>
                <w:sz w:val="14"/>
              </w:rPr>
              <w:t>AGEB</w:t>
            </w:r>
          </w:p>
        </w:tc>
        <w:tc>
          <w:tcPr>
            <w:tcW w:w="2563" w:type="dxa"/>
            <w:tcBorders>
              <w:left w:val="single" w:sz="10" w:space="0" w:color="000000"/>
              <w:bottom w:val="single" w:sz="10" w:space="0" w:color="000000"/>
            </w:tcBorders>
            <w:shd w:val="clear" w:color="auto" w:fill="9BBA58"/>
          </w:tcPr>
          <w:p>
            <w:pPr>
              <w:pStyle w:val="TableParagraph"/>
              <w:spacing w:before="3"/>
              <w:ind w:left="12"/>
              <w:rPr>
                <w:b/>
                <w:sz w:val="14"/>
              </w:rPr>
            </w:pPr>
            <w:r>
              <w:rPr>
                <w:b/>
                <w:color w:val="FFFFFF"/>
                <w:w w:val="105"/>
                <w:sz w:val="14"/>
              </w:rPr>
              <w:t>AGEB</w:t>
            </w:r>
          </w:p>
        </w:tc>
      </w:tr>
      <w:tr>
        <w:trPr>
          <w:trHeight w:val="221" w:hRule="exact"/>
        </w:trPr>
        <w:tc>
          <w:tcPr>
            <w:tcW w:w="1334" w:type="dxa"/>
            <w:tcBorders>
              <w:top w:val="single" w:sz="10" w:space="0" w:color="000000"/>
              <w:bottom w:val="nil"/>
              <w:right w:val="single" w:sz="10" w:space="0" w:color="000000"/>
            </w:tcBorders>
          </w:tcPr>
          <w:p>
            <w:pPr>
              <w:pStyle w:val="TableParagraph"/>
              <w:spacing w:before="6"/>
              <w:ind w:left="12"/>
              <w:rPr>
                <w:sz w:val="14"/>
              </w:rPr>
            </w:pPr>
            <w:r>
              <w:rPr>
                <w:w w:val="105"/>
                <w:sz w:val="14"/>
              </w:rPr>
              <w:t>Almoloya de Juárez</w:t>
            </w:r>
          </w:p>
        </w:tc>
        <w:tc>
          <w:tcPr>
            <w:tcW w:w="3561" w:type="dxa"/>
            <w:gridSpan w:val="2"/>
            <w:tcBorders>
              <w:top w:val="single" w:sz="10" w:space="0" w:color="000000"/>
              <w:left w:val="single" w:sz="10" w:space="0" w:color="000000"/>
              <w:bottom w:val="nil"/>
              <w:right w:val="single" w:sz="10" w:space="0" w:color="000000"/>
            </w:tcBorders>
          </w:tcPr>
          <w:p>
            <w:pPr>
              <w:pStyle w:val="TableParagraph"/>
              <w:spacing w:before="6"/>
              <w:ind w:left="98" w:right="479"/>
              <w:rPr>
                <w:sz w:val="14"/>
              </w:rPr>
            </w:pPr>
            <w:r>
              <w:rPr>
                <w:w w:val="105"/>
                <w:sz w:val="14"/>
              </w:rPr>
              <w:t>0499 San Miguel Almoloyán</w:t>
            </w:r>
          </w:p>
        </w:tc>
        <w:tc>
          <w:tcPr>
            <w:tcW w:w="927" w:type="dxa"/>
            <w:tcBorders>
              <w:top w:val="single" w:sz="10" w:space="0" w:color="000000"/>
              <w:left w:val="single" w:sz="10" w:space="0" w:color="000000"/>
              <w:bottom w:val="nil"/>
              <w:right w:val="single" w:sz="10" w:space="0" w:color="000000"/>
            </w:tcBorders>
          </w:tcPr>
          <w:p>
            <w:pPr>
              <w:pStyle w:val="TableParagraph"/>
              <w:spacing w:before="6"/>
              <w:ind w:left="12"/>
              <w:rPr>
                <w:sz w:val="14"/>
              </w:rPr>
            </w:pPr>
            <w:r>
              <w:rPr>
                <w:w w:val="105"/>
                <w:sz w:val="14"/>
              </w:rPr>
              <w:t>Toluca</w:t>
            </w:r>
          </w:p>
        </w:tc>
        <w:tc>
          <w:tcPr>
            <w:tcW w:w="2993" w:type="dxa"/>
            <w:gridSpan w:val="2"/>
            <w:tcBorders>
              <w:top w:val="single" w:sz="10" w:space="0" w:color="000000"/>
              <w:left w:val="single" w:sz="10" w:space="0" w:color="000000"/>
              <w:bottom w:val="nil"/>
            </w:tcBorders>
          </w:tcPr>
          <w:p>
            <w:pPr>
              <w:pStyle w:val="TableParagraph"/>
              <w:spacing w:before="6"/>
              <w:ind w:left="98"/>
              <w:rPr>
                <w:sz w:val="14"/>
              </w:rPr>
            </w:pPr>
            <w:r>
              <w:rPr>
                <w:w w:val="105"/>
                <w:sz w:val="14"/>
              </w:rPr>
              <w:t>2337 Toluca de Lerdo</w:t>
            </w:r>
          </w:p>
        </w:tc>
      </w:tr>
      <w:tr>
        <w:trPr>
          <w:trHeight w:val="208" w:hRule="exact"/>
        </w:trPr>
        <w:tc>
          <w:tcPr>
            <w:tcW w:w="1334" w:type="dxa"/>
            <w:tcBorders>
              <w:top w:val="nil"/>
              <w:bottom w:val="nil"/>
              <w:right w:val="single" w:sz="10" w:space="0" w:color="000000"/>
            </w:tcBorders>
          </w:tcPr>
          <w:p>
            <w:pPr>
              <w:pStyle w:val="TableParagraph"/>
              <w:spacing w:before="8"/>
              <w:ind w:left="12"/>
              <w:rPr>
                <w:sz w:val="14"/>
              </w:rPr>
            </w:pPr>
            <w:r>
              <w:rPr>
                <w:w w:val="105"/>
                <w:sz w:val="14"/>
              </w:rPr>
              <w:t>Almoloya de Juárez</w:t>
            </w:r>
          </w:p>
        </w:tc>
        <w:tc>
          <w:tcPr>
            <w:tcW w:w="3561" w:type="dxa"/>
            <w:gridSpan w:val="2"/>
            <w:tcBorders>
              <w:top w:val="nil"/>
              <w:left w:val="single" w:sz="10" w:space="0" w:color="000000"/>
              <w:bottom w:val="nil"/>
              <w:right w:val="single" w:sz="10" w:space="0" w:color="000000"/>
            </w:tcBorders>
          </w:tcPr>
          <w:p>
            <w:pPr>
              <w:pStyle w:val="TableParagraph"/>
              <w:spacing w:before="8"/>
              <w:ind w:left="98" w:right="479"/>
              <w:rPr>
                <w:sz w:val="14"/>
              </w:rPr>
            </w:pPr>
            <w:r>
              <w:rPr>
                <w:w w:val="105"/>
                <w:sz w:val="14"/>
              </w:rPr>
              <w:t>0431 Mayorazgo de León (Estación Río México)</w:t>
            </w:r>
          </w:p>
        </w:tc>
        <w:tc>
          <w:tcPr>
            <w:tcW w:w="927" w:type="dxa"/>
            <w:tcBorders>
              <w:top w:val="nil"/>
              <w:left w:val="single" w:sz="10" w:space="0" w:color="000000"/>
              <w:bottom w:val="nil"/>
              <w:right w:val="single" w:sz="10" w:space="0" w:color="000000"/>
            </w:tcBorders>
          </w:tcPr>
          <w:p>
            <w:pPr>
              <w:pStyle w:val="TableParagraph"/>
              <w:spacing w:before="8"/>
              <w:ind w:left="12"/>
              <w:rPr>
                <w:sz w:val="14"/>
              </w:rPr>
            </w:pPr>
            <w:r>
              <w:rPr>
                <w:w w:val="105"/>
                <w:sz w:val="14"/>
              </w:rPr>
              <w:t>Toluca</w:t>
            </w:r>
          </w:p>
        </w:tc>
        <w:tc>
          <w:tcPr>
            <w:tcW w:w="2993" w:type="dxa"/>
            <w:gridSpan w:val="2"/>
            <w:tcBorders>
              <w:top w:val="nil"/>
              <w:left w:val="single" w:sz="10" w:space="0" w:color="000000"/>
              <w:bottom w:val="nil"/>
            </w:tcBorders>
          </w:tcPr>
          <w:p>
            <w:pPr>
              <w:pStyle w:val="TableParagraph"/>
              <w:spacing w:before="8"/>
              <w:ind w:left="98"/>
              <w:rPr>
                <w:sz w:val="14"/>
              </w:rPr>
            </w:pPr>
            <w:r>
              <w:rPr>
                <w:w w:val="105"/>
                <w:sz w:val="14"/>
              </w:rPr>
              <w:t>2712 San Pablo Autopan</w:t>
            </w:r>
          </w:p>
        </w:tc>
      </w:tr>
      <w:tr>
        <w:trPr>
          <w:trHeight w:val="210" w:hRule="exact"/>
        </w:trPr>
        <w:tc>
          <w:tcPr>
            <w:tcW w:w="1334" w:type="dxa"/>
            <w:tcBorders>
              <w:top w:val="nil"/>
              <w:bottom w:val="single" w:sz="10" w:space="0" w:color="000000"/>
              <w:right w:val="single" w:sz="10" w:space="0" w:color="000000"/>
            </w:tcBorders>
          </w:tcPr>
          <w:p>
            <w:pPr>
              <w:pStyle w:val="TableParagraph"/>
              <w:spacing w:before="6"/>
              <w:ind w:left="12"/>
              <w:rPr>
                <w:sz w:val="14"/>
              </w:rPr>
            </w:pPr>
            <w:r>
              <w:rPr>
                <w:w w:val="105"/>
                <w:sz w:val="14"/>
              </w:rPr>
              <w:t>Almoloya de Juárez</w:t>
            </w:r>
          </w:p>
        </w:tc>
        <w:tc>
          <w:tcPr>
            <w:tcW w:w="3561" w:type="dxa"/>
            <w:gridSpan w:val="2"/>
            <w:tcBorders>
              <w:top w:val="nil"/>
              <w:left w:val="single" w:sz="10" w:space="0" w:color="000000"/>
              <w:bottom w:val="single" w:sz="10" w:space="0" w:color="000000"/>
              <w:right w:val="single" w:sz="10" w:space="0" w:color="000000"/>
            </w:tcBorders>
          </w:tcPr>
          <w:p>
            <w:pPr>
              <w:pStyle w:val="TableParagraph"/>
              <w:spacing w:before="6"/>
              <w:ind w:left="98" w:right="479"/>
              <w:rPr>
                <w:sz w:val="14"/>
              </w:rPr>
            </w:pPr>
            <w:r>
              <w:rPr>
                <w:w w:val="105"/>
                <w:sz w:val="14"/>
              </w:rPr>
              <w:t>0380 San Mateo Tlalchichilpan</w:t>
            </w:r>
          </w:p>
        </w:tc>
        <w:tc>
          <w:tcPr>
            <w:tcW w:w="927" w:type="dxa"/>
            <w:tcBorders>
              <w:top w:val="nil"/>
              <w:left w:val="single" w:sz="10" w:space="0" w:color="000000"/>
              <w:bottom w:val="nil"/>
              <w:right w:val="single" w:sz="10" w:space="0" w:color="000000"/>
            </w:tcBorders>
          </w:tcPr>
          <w:p>
            <w:pPr>
              <w:pStyle w:val="TableParagraph"/>
              <w:spacing w:before="6"/>
              <w:ind w:left="12"/>
              <w:rPr>
                <w:sz w:val="14"/>
              </w:rPr>
            </w:pPr>
            <w:r>
              <w:rPr>
                <w:w w:val="105"/>
                <w:sz w:val="14"/>
              </w:rPr>
              <w:t>Toluca</w:t>
            </w:r>
          </w:p>
        </w:tc>
        <w:tc>
          <w:tcPr>
            <w:tcW w:w="2993" w:type="dxa"/>
            <w:gridSpan w:val="2"/>
            <w:tcBorders>
              <w:top w:val="nil"/>
              <w:left w:val="single" w:sz="10" w:space="0" w:color="000000"/>
              <w:bottom w:val="nil"/>
            </w:tcBorders>
          </w:tcPr>
          <w:p>
            <w:pPr>
              <w:pStyle w:val="TableParagraph"/>
              <w:spacing w:before="6"/>
              <w:ind w:left="98"/>
              <w:rPr>
                <w:sz w:val="14"/>
              </w:rPr>
            </w:pPr>
            <w:r>
              <w:rPr>
                <w:w w:val="105"/>
                <w:sz w:val="14"/>
              </w:rPr>
              <w:t>3585 Toluca de Lerdo</w:t>
            </w:r>
          </w:p>
        </w:tc>
      </w:tr>
      <w:tr>
        <w:trPr>
          <w:trHeight w:val="219" w:hRule="exact"/>
        </w:trPr>
        <w:tc>
          <w:tcPr>
            <w:tcW w:w="1334" w:type="dxa"/>
            <w:vMerge w:val="restart"/>
            <w:tcBorders>
              <w:top w:val="single" w:sz="10" w:space="0" w:color="000000"/>
              <w:right w:val="single" w:sz="10" w:space="0" w:color="000000"/>
            </w:tcBorders>
          </w:tcPr>
          <w:p>
            <w:pPr>
              <w:pStyle w:val="TableParagraph"/>
              <w:spacing w:line="290" w:lineRule="auto" w:before="6"/>
              <w:ind w:left="12" w:right="303"/>
              <w:rPr>
                <w:sz w:val="14"/>
              </w:rPr>
            </w:pPr>
            <w:r>
              <w:rPr>
                <w:sz w:val="14"/>
              </w:rPr>
              <w:t>Metepec Metepec</w:t>
            </w:r>
          </w:p>
        </w:tc>
        <w:tc>
          <w:tcPr>
            <w:tcW w:w="3561" w:type="dxa"/>
            <w:gridSpan w:val="2"/>
            <w:vMerge w:val="restart"/>
            <w:tcBorders>
              <w:top w:val="single" w:sz="10" w:space="0" w:color="000000"/>
              <w:left w:val="single" w:sz="10" w:space="0" w:color="000000"/>
              <w:right w:val="single" w:sz="10" w:space="0" w:color="000000"/>
            </w:tcBorders>
          </w:tcPr>
          <w:p>
            <w:pPr>
              <w:pStyle w:val="TableParagraph"/>
              <w:spacing w:line="290" w:lineRule="auto" w:before="6"/>
              <w:ind w:left="98" w:right="1557"/>
              <w:rPr>
                <w:sz w:val="14"/>
              </w:rPr>
            </w:pPr>
            <w:r>
              <w:rPr>
                <w:w w:val="105"/>
                <w:sz w:val="14"/>
              </w:rPr>
              <w:t>0811 San Gaspar Tlahuelilpan 0760 San Bartolomé Tlaltelulco</w:t>
            </w:r>
          </w:p>
        </w:tc>
        <w:tc>
          <w:tcPr>
            <w:tcW w:w="927" w:type="dxa"/>
            <w:tcBorders>
              <w:top w:val="nil"/>
              <w:left w:val="single" w:sz="10" w:space="0" w:color="000000"/>
              <w:bottom w:val="nil"/>
              <w:right w:val="single" w:sz="10" w:space="0" w:color="000000"/>
            </w:tcBorders>
          </w:tcPr>
          <w:p>
            <w:pPr>
              <w:pStyle w:val="TableParagraph"/>
              <w:spacing w:before="19"/>
              <w:ind w:left="12"/>
              <w:rPr>
                <w:sz w:val="14"/>
              </w:rPr>
            </w:pPr>
            <w:r>
              <w:rPr>
                <w:w w:val="105"/>
                <w:sz w:val="14"/>
              </w:rPr>
              <w:t>Toluca</w:t>
            </w:r>
          </w:p>
        </w:tc>
        <w:tc>
          <w:tcPr>
            <w:tcW w:w="2993" w:type="dxa"/>
            <w:gridSpan w:val="2"/>
            <w:tcBorders>
              <w:top w:val="nil"/>
              <w:left w:val="single" w:sz="10" w:space="0" w:color="000000"/>
              <w:bottom w:val="nil"/>
            </w:tcBorders>
          </w:tcPr>
          <w:p>
            <w:pPr>
              <w:pStyle w:val="TableParagraph"/>
              <w:spacing w:before="19"/>
              <w:ind w:left="98"/>
              <w:rPr>
                <w:sz w:val="14"/>
              </w:rPr>
            </w:pPr>
            <w:r>
              <w:rPr>
                <w:w w:val="105"/>
                <w:sz w:val="14"/>
              </w:rPr>
              <w:t>3119 Toluca de Lerdo</w:t>
            </w:r>
          </w:p>
        </w:tc>
      </w:tr>
      <w:tr>
        <w:trPr>
          <w:trHeight w:val="210" w:hRule="exact"/>
        </w:trPr>
        <w:tc>
          <w:tcPr>
            <w:tcW w:w="1334" w:type="dxa"/>
            <w:vMerge/>
            <w:tcBorders>
              <w:bottom w:val="single" w:sz="10" w:space="0" w:color="000000"/>
              <w:right w:val="single" w:sz="10" w:space="0" w:color="000000"/>
            </w:tcBorders>
          </w:tcPr>
          <w:p>
            <w:pPr/>
          </w:p>
        </w:tc>
        <w:tc>
          <w:tcPr>
            <w:tcW w:w="3561" w:type="dxa"/>
            <w:gridSpan w:val="2"/>
            <w:vMerge/>
            <w:tcBorders>
              <w:left w:val="single" w:sz="10" w:space="0" w:color="000000"/>
              <w:bottom w:val="single" w:sz="10" w:space="0" w:color="000000"/>
              <w:right w:val="single" w:sz="10" w:space="0" w:color="000000"/>
            </w:tcBorders>
          </w:tcPr>
          <w:p>
            <w:pPr/>
          </w:p>
        </w:tc>
        <w:tc>
          <w:tcPr>
            <w:tcW w:w="927" w:type="dxa"/>
            <w:tcBorders>
              <w:top w:val="nil"/>
              <w:left w:val="single" w:sz="10" w:space="0" w:color="000000"/>
              <w:bottom w:val="nil"/>
              <w:right w:val="single" w:sz="10" w:space="0" w:color="000000"/>
            </w:tcBorders>
          </w:tcPr>
          <w:p>
            <w:pPr>
              <w:pStyle w:val="TableParagraph"/>
              <w:spacing w:before="6"/>
              <w:ind w:left="12"/>
              <w:rPr>
                <w:sz w:val="14"/>
              </w:rPr>
            </w:pPr>
            <w:r>
              <w:rPr>
                <w:w w:val="105"/>
                <w:sz w:val="14"/>
              </w:rPr>
              <w:t>Toluca</w:t>
            </w:r>
          </w:p>
        </w:tc>
        <w:tc>
          <w:tcPr>
            <w:tcW w:w="2993" w:type="dxa"/>
            <w:gridSpan w:val="2"/>
            <w:tcBorders>
              <w:top w:val="nil"/>
              <w:left w:val="single" w:sz="10" w:space="0" w:color="000000"/>
              <w:bottom w:val="nil"/>
            </w:tcBorders>
          </w:tcPr>
          <w:p>
            <w:pPr>
              <w:pStyle w:val="TableParagraph"/>
              <w:spacing w:before="6"/>
              <w:ind w:left="98"/>
              <w:rPr>
                <w:sz w:val="14"/>
              </w:rPr>
            </w:pPr>
            <w:r>
              <w:rPr>
                <w:w w:val="105"/>
                <w:sz w:val="14"/>
              </w:rPr>
              <w:t>2695 San Mateo Otzacatipan</w:t>
            </w:r>
          </w:p>
        </w:tc>
      </w:tr>
      <w:tr>
        <w:trPr>
          <w:trHeight w:val="219" w:hRule="exact"/>
        </w:trPr>
        <w:tc>
          <w:tcPr>
            <w:tcW w:w="1334" w:type="dxa"/>
            <w:tcBorders>
              <w:top w:val="single" w:sz="10" w:space="0" w:color="000000"/>
              <w:bottom w:val="single" w:sz="10" w:space="0" w:color="000000"/>
              <w:right w:val="single" w:sz="10" w:space="0" w:color="000000"/>
            </w:tcBorders>
          </w:tcPr>
          <w:p>
            <w:pPr>
              <w:pStyle w:val="TableParagraph"/>
              <w:spacing w:before="3"/>
              <w:ind w:left="12"/>
              <w:rPr>
                <w:sz w:val="14"/>
              </w:rPr>
            </w:pPr>
            <w:r>
              <w:rPr>
                <w:w w:val="105"/>
                <w:sz w:val="14"/>
              </w:rPr>
              <w:t>Ocoyoacac</w:t>
            </w:r>
          </w:p>
        </w:tc>
        <w:tc>
          <w:tcPr>
            <w:tcW w:w="3561" w:type="dxa"/>
            <w:gridSpan w:val="2"/>
            <w:tcBorders>
              <w:top w:val="single" w:sz="10" w:space="0" w:color="000000"/>
              <w:left w:val="single" w:sz="10" w:space="0" w:color="000000"/>
              <w:bottom w:val="single" w:sz="10" w:space="0" w:color="000000"/>
              <w:right w:val="single" w:sz="10" w:space="0" w:color="000000"/>
            </w:tcBorders>
          </w:tcPr>
          <w:p>
            <w:pPr>
              <w:pStyle w:val="TableParagraph"/>
              <w:spacing w:before="3"/>
              <w:ind w:left="98" w:right="479"/>
              <w:rPr>
                <w:sz w:val="14"/>
              </w:rPr>
            </w:pPr>
            <w:r>
              <w:rPr>
                <w:w w:val="105"/>
                <w:sz w:val="14"/>
              </w:rPr>
              <w:t>0141 San Pedro Atlapulco</w:t>
            </w:r>
          </w:p>
        </w:tc>
        <w:tc>
          <w:tcPr>
            <w:tcW w:w="927" w:type="dxa"/>
            <w:tcBorders>
              <w:top w:val="nil"/>
              <w:left w:val="single" w:sz="10" w:space="0" w:color="000000"/>
              <w:bottom w:val="nil"/>
              <w:right w:val="single" w:sz="10" w:space="0" w:color="000000"/>
            </w:tcBorders>
          </w:tcPr>
          <w:p>
            <w:pPr>
              <w:pStyle w:val="TableParagraph"/>
              <w:spacing w:before="16"/>
              <w:ind w:left="12"/>
              <w:rPr>
                <w:sz w:val="14"/>
              </w:rPr>
            </w:pPr>
            <w:r>
              <w:rPr>
                <w:w w:val="105"/>
                <w:sz w:val="14"/>
              </w:rPr>
              <w:t>Toluca</w:t>
            </w:r>
          </w:p>
        </w:tc>
        <w:tc>
          <w:tcPr>
            <w:tcW w:w="2993" w:type="dxa"/>
            <w:gridSpan w:val="2"/>
            <w:tcBorders>
              <w:top w:val="nil"/>
              <w:left w:val="single" w:sz="10" w:space="0" w:color="000000"/>
              <w:bottom w:val="nil"/>
            </w:tcBorders>
          </w:tcPr>
          <w:p>
            <w:pPr>
              <w:pStyle w:val="TableParagraph"/>
              <w:spacing w:before="16"/>
              <w:ind w:left="98"/>
              <w:rPr>
                <w:sz w:val="14"/>
              </w:rPr>
            </w:pPr>
            <w:r>
              <w:rPr>
                <w:w w:val="105"/>
                <w:sz w:val="14"/>
              </w:rPr>
              <w:t>2483 San Miguel Totoltepec</w:t>
            </w:r>
          </w:p>
        </w:tc>
      </w:tr>
      <w:tr>
        <w:trPr>
          <w:trHeight w:val="221" w:hRule="exact"/>
        </w:trPr>
        <w:tc>
          <w:tcPr>
            <w:tcW w:w="1334" w:type="dxa"/>
            <w:vMerge w:val="restart"/>
            <w:tcBorders>
              <w:top w:val="single" w:sz="10" w:space="0" w:color="000000"/>
              <w:right w:val="single" w:sz="10" w:space="0" w:color="000000"/>
            </w:tcBorders>
          </w:tcPr>
          <w:p>
            <w:pPr>
              <w:pStyle w:val="TableParagraph"/>
              <w:spacing w:line="292" w:lineRule="auto" w:before="6"/>
              <w:ind w:left="12" w:right="578"/>
              <w:jc w:val="both"/>
              <w:rPr>
                <w:sz w:val="14"/>
              </w:rPr>
            </w:pPr>
            <w:r>
              <w:rPr>
                <w:spacing w:val="-1"/>
                <w:w w:val="105"/>
                <w:sz w:val="14"/>
              </w:rPr>
              <w:t>Otzolotepec Otzolotepec Otzolotepec</w:t>
            </w:r>
          </w:p>
        </w:tc>
        <w:tc>
          <w:tcPr>
            <w:tcW w:w="3561" w:type="dxa"/>
            <w:gridSpan w:val="2"/>
            <w:vMerge w:val="restart"/>
            <w:tcBorders>
              <w:top w:val="single" w:sz="10" w:space="0" w:color="000000"/>
              <w:left w:val="single" w:sz="10" w:space="0" w:color="000000"/>
              <w:right w:val="single" w:sz="10" w:space="0" w:color="000000"/>
            </w:tcBorders>
          </w:tcPr>
          <w:p>
            <w:pPr>
              <w:pStyle w:val="TableParagraph"/>
              <w:spacing w:before="6"/>
              <w:ind w:left="98" w:right="479"/>
              <w:rPr>
                <w:sz w:val="14"/>
              </w:rPr>
            </w:pPr>
            <w:r>
              <w:rPr>
                <w:w w:val="105"/>
                <w:sz w:val="14"/>
              </w:rPr>
              <w:t>0148 Santa Ana Jilotzingo</w:t>
            </w:r>
          </w:p>
          <w:p>
            <w:pPr>
              <w:pStyle w:val="TableParagraph"/>
              <w:spacing w:line="290" w:lineRule="auto" w:before="39"/>
              <w:ind w:left="98" w:right="479"/>
              <w:rPr>
                <w:sz w:val="14"/>
              </w:rPr>
            </w:pPr>
            <w:r>
              <w:rPr>
                <w:w w:val="105"/>
                <w:sz w:val="14"/>
              </w:rPr>
              <w:t>0241 Ejido de la Y Sección Siete A Revolución 0256 Ejido de la Y Sección Siete A Revolución</w:t>
            </w:r>
          </w:p>
        </w:tc>
        <w:tc>
          <w:tcPr>
            <w:tcW w:w="927" w:type="dxa"/>
            <w:tcBorders>
              <w:top w:val="nil"/>
              <w:left w:val="single" w:sz="10" w:space="0" w:color="000000"/>
              <w:bottom w:val="nil"/>
              <w:right w:val="single" w:sz="10" w:space="0" w:color="000000"/>
            </w:tcBorders>
          </w:tcPr>
          <w:p>
            <w:pPr>
              <w:pStyle w:val="TableParagraph"/>
              <w:spacing w:before="19"/>
              <w:ind w:left="12"/>
              <w:rPr>
                <w:sz w:val="14"/>
              </w:rPr>
            </w:pPr>
            <w:r>
              <w:rPr>
                <w:w w:val="105"/>
                <w:sz w:val="14"/>
              </w:rPr>
              <w:t>Toluca</w:t>
            </w:r>
          </w:p>
        </w:tc>
        <w:tc>
          <w:tcPr>
            <w:tcW w:w="2993" w:type="dxa"/>
            <w:gridSpan w:val="2"/>
            <w:tcBorders>
              <w:top w:val="nil"/>
              <w:left w:val="single" w:sz="10" w:space="0" w:color="000000"/>
              <w:bottom w:val="nil"/>
            </w:tcBorders>
          </w:tcPr>
          <w:p>
            <w:pPr>
              <w:pStyle w:val="TableParagraph"/>
              <w:spacing w:before="19"/>
              <w:ind w:left="98"/>
              <w:rPr>
                <w:sz w:val="14"/>
              </w:rPr>
            </w:pPr>
            <w:r>
              <w:rPr>
                <w:w w:val="105"/>
                <w:sz w:val="14"/>
              </w:rPr>
              <w:t>2731 La Constitución Toltepec</w:t>
            </w:r>
          </w:p>
        </w:tc>
      </w:tr>
      <w:tr>
        <w:trPr>
          <w:trHeight w:val="208" w:hRule="exact"/>
        </w:trPr>
        <w:tc>
          <w:tcPr>
            <w:tcW w:w="1334" w:type="dxa"/>
            <w:vMerge/>
            <w:tcBorders>
              <w:right w:val="single" w:sz="10" w:space="0" w:color="000000"/>
            </w:tcBorders>
          </w:tcPr>
          <w:p>
            <w:pPr/>
          </w:p>
        </w:tc>
        <w:tc>
          <w:tcPr>
            <w:tcW w:w="3561" w:type="dxa"/>
            <w:gridSpan w:val="2"/>
            <w:vMerge/>
            <w:tcBorders>
              <w:left w:val="single" w:sz="10" w:space="0" w:color="000000"/>
              <w:right w:val="single" w:sz="10" w:space="0" w:color="000000"/>
            </w:tcBorders>
          </w:tcPr>
          <w:p>
            <w:pPr/>
          </w:p>
        </w:tc>
        <w:tc>
          <w:tcPr>
            <w:tcW w:w="927" w:type="dxa"/>
            <w:tcBorders>
              <w:top w:val="nil"/>
              <w:left w:val="single" w:sz="10" w:space="0" w:color="000000"/>
              <w:bottom w:val="nil"/>
              <w:right w:val="single" w:sz="10" w:space="0" w:color="000000"/>
            </w:tcBorders>
          </w:tcPr>
          <w:p>
            <w:pPr>
              <w:pStyle w:val="TableParagraph"/>
              <w:spacing w:before="8"/>
              <w:ind w:left="12"/>
              <w:rPr>
                <w:sz w:val="14"/>
              </w:rPr>
            </w:pPr>
            <w:r>
              <w:rPr>
                <w:w w:val="105"/>
                <w:sz w:val="14"/>
              </w:rPr>
              <w:t>Toluca</w:t>
            </w:r>
          </w:p>
        </w:tc>
        <w:tc>
          <w:tcPr>
            <w:tcW w:w="2993" w:type="dxa"/>
            <w:gridSpan w:val="2"/>
            <w:tcBorders>
              <w:top w:val="nil"/>
              <w:left w:val="single" w:sz="10" w:space="0" w:color="000000"/>
              <w:bottom w:val="nil"/>
            </w:tcBorders>
          </w:tcPr>
          <w:p>
            <w:pPr>
              <w:pStyle w:val="TableParagraph"/>
              <w:spacing w:before="8"/>
              <w:ind w:left="98"/>
              <w:rPr>
                <w:sz w:val="14"/>
              </w:rPr>
            </w:pPr>
            <w:r>
              <w:rPr>
                <w:w w:val="105"/>
                <w:sz w:val="14"/>
              </w:rPr>
              <w:t>2765 Calixtlahuaca</w:t>
            </w:r>
          </w:p>
        </w:tc>
      </w:tr>
      <w:tr>
        <w:trPr>
          <w:trHeight w:val="210" w:hRule="exact"/>
        </w:trPr>
        <w:tc>
          <w:tcPr>
            <w:tcW w:w="1334" w:type="dxa"/>
            <w:vMerge/>
            <w:tcBorders>
              <w:bottom w:val="single" w:sz="10" w:space="0" w:color="000000"/>
              <w:right w:val="single" w:sz="10" w:space="0" w:color="000000"/>
            </w:tcBorders>
          </w:tcPr>
          <w:p>
            <w:pPr/>
          </w:p>
        </w:tc>
        <w:tc>
          <w:tcPr>
            <w:tcW w:w="3561" w:type="dxa"/>
            <w:gridSpan w:val="2"/>
            <w:vMerge/>
            <w:tcBorders>
              <w:left w:val="single" w:sz="10" w:space="0" w:color="000000"/>
              <w:bottom w:val="single" w:sz="10" w:space="0" w:color="000000"/>
              <w:right w:val="single" w:sz="10" w:space="0" w:color="000000"/>
            </w:tcBorders>
          </w:tcPr>
          <w:p>
            <w:pPr/>
          </w:p>
        </w:tc>
        <w:tc>
          <w:tcPr>
            <w:tcW w:w="927" w:type="dxa"/>
            <w:tcBorders>
              <w:top w:val="nil"/>
              <w:left w:val="single" w:sz="10" w:space="0" w:color="000000"/>
              <w:bottom w:val="nil"/>
              <w:right w:val="single" w:sz="10" w:space="0" w:color="000000"/>
            </w:tcBorders>
          </w:tcPr>
          <w:p>
            <w:pPr>
              <w:pStyle w:val="TableParagraph"/>
              <w:spacing w:before="6"/>
              <w:ind w:left="12"/>
              <w:rPr>
                <w:sz w:val="14"/>
              </w:rPr>
            </w:pPr>
            <w:r>
              <w:rPr>
                <w:w w:val="105"/>
                <w:sz w:val="14"/>
              </w:rPr>
              <w:t>Toluca</w:t>
            </w:r>
          </w:p>
        </w:tc>
        <w:tc>
          <w:tcPr>
            <w:tcW w:w="2993" w:type="dxa"/>
            <w:gridSpan w:val="2"/>
            <w:tcBorders>
              <w:top w:val="nil"/>
              <w:left w:val="single" w:sz="10" w:space="0" w:color="000000"/>
              <w:bottom w:val="nil"/>
            </w:tcBorders>
          </w:tcPr>
          <w:p>
            <w:pPr>
              <w:pStyle w:val="TableParagraph"/>
              <w:spacing w:before="6"/>
              <w:ind w:left="98"/>
              <w:rPr>
                <w:sz w:val="14"/>
              </w:rPr>
            </w:pPr>
            <w:r>
              <w:rPr>
                <w:w w:val="105"/>
                <w:sz w:val="14"/>
              </w:rPr>
              <w:t>2587 Toluca de Lerdo</w:t>
            </w:r>
          </w:p>
        </w:tc>
      </w:tr>
      <w:tr>
        <w:trPr>
          <w:trHeight w:val="219" w:hRule="exact"/>
        </w:trPr>
        <w:tc>
          <w:tcPr>
            <w:tcW w:w="1334" w:type="dxa"/>
            <w:tcBorders>
              <w:top w:val="single" w:sz="10" w:space="0" w:color="000000"/>
              <w:bottom w:val="single" w:sz="10" w:space="0" w:color="000000"/>
              <w:right w:val="single" w:sz="10" w:space="0" w:color="000000"/>
            </w:tcBorders>
          </w:tcPr>
          <w:p>
            <w:pPr>
              <w:pStyle w:val="TableParagraph"/>
              <w:spacing w:before="3"/>
              <w:ind w:left="12"/>
              <w:rPr>
                <w:sz w:val="14"/>
              </w:rPr>
            </w:pPr>
            <w:r>
              <w:rPr>
                <w:w w:val="105"/>
                <w:sz w:val="14"/>
              </w:rPr>
              <w:t>San Antonio la Isla</w:t>
            </w:r>
          </w:p>
        </w:tc>
        <w:tc>
          <w:tcPr>
            <w:tcW w:w="3561" w:type="dxa"/>
            <w:gridSpan w:val="2"/>
            <w:tcBorders>
              <w:top w:val="single" w:sz="10" w:space="0" w:color="000000"/>
              <w:left w:val="single" w:sz="10" w:space="0" w:color="000000"/>
              <w:bottom w:val="single" w:sz="10" w:space="0" w:color="000000"/>
              <w:right w:val="single" w:sz="10" w:space="0" w:color="000000"/>
            </w:tcBorders>
          </w:tcPr>
          <w:p>
            <w:pPr>
              <w:pStyle w:val="TableParagraph"/>
              <w:spacing w:before="3"/>
              <w:ind w:left="98" w:right="479"/>
              <w:rPr>
                <w:sz w:val="14"/>
              </w:rPr>
            </w:pPr>
            <w:r>
              <w:rPr>
                <w:w w:val="105"/>
                <w:sz w:val="14"/>
              </w:rPr>
              <w:t>0075 San Antonio la Isla</w:t>
            </w:r>
          </w:p>
        </w:tc>
        <w:tc>
          <w:tcPr>
            <w:tcW w:w="927" w:type="dxa"/>
            <w:tcBorders>
              <w:top w:val="nil"/>
              <w:left w:val="single" w:sz="10" w:space="0" w:color="000000"/>
              <w:bottom w:val="nil"/>
              <w:right w:val="single" w:sz="10" w:space="0" w:color="000000"/>
            </w:tcBorders>
          </w:tcPr>
          <w:p>
            <w:pPr>
              <w:pStyle w:val="TableParagraph"/>
              <w:spacing w:before="16"/>
              <w:ind w:left="12"/>
              <w:rPr>
                <w:sz w:val="14"/>
              </w:rPr>
            </w:pPr>
            <w:r>
              <w:rPr>
                <w:w w:val="105"/>
                <w:sz w:val="14"/>
              </w:rPr>
              <w:t>Toluca</w:t>
            </w:r>
          </w:p>
        </w:tc>
        <w:tc>
          <w:tcPr>
            <w:tcW w:w="2993" w:type="dxa"/>
            <w:gridSpan w:val="2"/>
            <w:tcBorders>
              <w:top w:val="nil"/>
              <w:left w:val="single" w:sz="10" w:space="0" w:color="000000"/>
              <w:bottom w:val="nil"/>
            </w:tcBorders>
          </w:tcPr>
          <w:p>
            <w:pPr>
              <w:pStyle w:val="TableParagraph"/>
              <w:spacing w:before="16"/>
              <w:ind w:left="98"/>
              <w:rPr>
                <w:sz w:val="14"/>
              </w:rPr>
            </w:pPr>
            <w:r>
              <w:rPr>
                <w:w w:val="105"/>
                <w:sz w:val="14"/>
              </w:rPr>
              <w:t>3744 San Diego de los Padres Cuexcontitlán</w:t>
            </w:r>
          </w:p>
        </w:tc>
      </w:tr>
      <w:tr>
        <w:trPr>
          <w:trHeight w:val="221" w:hRule="exact"/>
        </w:trPr>
        <w:tc>
          <w:tcPr>
            <w:tcW w:w="1334" w:type="dxa"/>
            <w:tcBorders>
              <w:top w:val="single" w:sz="10" w:space="0" w:color="000000"/>
              <w:bottom w:val="nil"/>
              <w:right w:val="single" w:sz="10" w:space="0" w:color="000000"/>
            </w:tcBorders>
          </w:tcPr>
          <w:p>
            <w:pPr>
              <w:pStyle w:val="TableParagraph"/>
              <w:spacing w:before="6"/>
              <w:ind w:left="12"/>
              <w:rPr>
                <w:sz w:val="14"/>
              </w:rPr>
            </w:pPr>
            <w:r>
              <w:rPr>
                <w:w w:val="105"/>
                <w:sz w:val="14"/>
              </w:rPr>
              <w:t>San Mateo Atenco</w:t>
            </w:r>
          </w:p>
        </w:tc>
        <w:tc>
          <w:tcPr>
            <w:tcW w:w="3561" w:type="dxa"/>
            <w:gridSpan w:val="2"/>
            <w:tcBorders>
              <w:top w:val="single" w:sz="10" w:space="0" w:color="000000"/>
              <w:left w:val="single" w:sz="10" w:space="0" w:color="000000"/>
              <w:bottom w:val="nil"/>
              <w:right w:val="single" w:sz="10" w:space="0" w:color="000000"/>
            </w:tcBorders>
          </w:tcPr>
          <w:p>
            <w:pPr>
              <w:pStyle w:val="TableParagraph"/>
              <w:spacing w:before="6"/>
              <w:ind w:left="98" w:right="479"/>
              <w:rPr>
                <w:sz w:val="14"/>
              </w:rPr>
            </w:pPr>
            <w:r>
              <w:rPr>
                <w:w w:val="105"/>
                <w:sz w:val="14"/>
              </w:rPr>
              <w:t>0132 San Mateo Atenco</w:t>
            </w:r>
          </w:p>
        </w:tc>
        <w:tc>
          <w:tcPr>
            <w:tcW w:w="927" w:type="dxa"/>
            <w:tcBorders>
              <w:top w:val="nil"/>
              <w:left w:val="single" w:sz="10" w:space="0" w:color="000000"/>
              <w:bottom w:val="nil"/>
              <w:right w:val="single" w:sz="10" w:space="0" w:color="000000"/>
            </w:tcBorders>
          </w:tcPr>
          <w:p>
            <w:pPr>
              <w:pStyle w:val="TableParagraph"/>
              <w:spacing w:before="19"/>
              <w:ind w:left="12"/>
              <w:rPr>
                <w:sz w:val="14"/>
              </w:rPr>
            </w:pPr>
            <w:r>
              <w:rPr>
                <w:w w:val="105"/>
                <w:sz w:val="14"/>
              </w:rPr>
              <w:t>Toluca</w:t>
            </w:r>
          </w:p>
        </w:tc>
        <w:tc>
          <w:tcPr>
            <w:tcW w:w="2993" w:type="dxa"/>
            <w:gridSpan w:val="2"/>
            <w:tcBorders>
              <w:top w:val="nil"/>
              <w:left w:val="single" w:sz="10" w:space="0" w:color="000000"/>
              <w:bottom w:val="nil"/>
            </w:tcBorders>
          </w:tcPr>
          <w:p>
            <w:pPr>
              <w:pStyle w:val="TableParagraph"/>
              <w:spacing w:before="19"/>
              <w:ind w:left="98"/>
              <w:rPr>
                <w:sz w:val="14"/>
              </w:rPr>
            </w:pPr>
            <w:r>
              <w:rPr>
                <w:w w:val="105"/>
                <w:sz w:val="14"/>
              </w:rPr>
              <w:t>1767 San Andrés Cuexcontitlán</w:t>
            </w:r>
          </w:p>
        </w:tc>
      </w:tr>
      <w:tr>
        <w:trPr>
          <w:trHeight w:val="210" w:hRule="exact"/>
        </w:trPr>
        <w:tc>
          <w:tcPr>
            <w:tcW w:w="1334" w:type="dxa"/>
            <w:tcBorders>
              <w:top w:val="nil"/>
              <w:bottom w:val="nil"/>
              <w:right w:val="single" w:sz="10" w:space="0" w:color="000000"/>
            </w:tcBorders>
          </w:tcPr>
          <w:p>
            <w:pPr>
              <w:pStyle w:val="TableParagraph"/>
              <w:spacing w:before="8"/>
              <w:ind w:left="12"/>
              <w:rPr>
                <w:sz w:val="14"/>
              </w:rPr>
            </w:pPr>
            <w:r>
              <w:rPr>
                <w:w w:val="105"/>
                <w:sz w:val="14"/>
              </w:rPr>
              <w:t>San Mateo Atenco</w:t>
            </w:r>
          </w:p>
        </w:tc>
        <w:tc>
          <w:tcPr>
            <w:tcW w:w="3561" w:type="dxa"/>
            <w:gridSpan w:val="2"/>
            <w:tcBorders>
              <w:top w:val="nil"/>
              <w:left w:val="single" w:sz="10" w:space="0" w:color="000000"/>
              <w:bottom w:val="nil"/>
              <w:right w:val="single" w:sz="10" w:space="0" w:color="000000"/>
            </w:tcBorders>
          </w:tcPr>
          <w:p>
            <w:pPr>
              <w:pStyle w:val="TableParagraph"/>
              <w:spacing w:before="8"/>
              <w:ind w:left="98" w:right="479"/>
              <w:rPr>
                <w:sz w:val="14"/>
              </w:rPr>
            </w:pPr>
            <w:r>
              <w:rPr>
                <w:w w:val="105"/>
                <w:sz w:val="14"/>
              </w:rPr>
              <w:t>0058 San Mateo Atenco</w:t>
            </w:r>
          </w:p>
        </w:tc>
        <w:tc>
          <w:tcPr>
            <w:tcW w:w="927" w:type="dxa"/>
            <w:tcBorders>
              <w:top w:val="nil"/>
              <w:left w:val="single" w:sz="10" w:space="0" w:color="000000"/>
              <w:bottom w:val="nil"/>
              <w:right w:val="single" w:sz="10" w:space="0" w:color="000000"/>
            </w:tcBorders>
          </w:tcPr>
          <w:p>
            <w:pPr>
              <w:pStyle w:val="TableParagraph"/>
              <w:spacing w:before="8"/>
              <w:ind w:left="12"/>
              <w:rPr>
                <w:sz w:val="14"/>
              </w:rPr>
            </w:pPr>
            <w:r>
              <w:rPr>
                <w:w w:val="105"/>
                <w:sz w:val="14"/>
              </w:rPr>
              <w:t>Toluca</w:t>
            </w:r>
          </w:p>
        </w:tc>
        <w:tc>
          <w:tcPr>
            <w:tcW w:w="2993" w:type="dxa"/>
            <w:gridSpan w:val="2"/>
            <w:tcBorders>
              <w:top w:val="nil"/>
              <w:left w:val="single" w:sz="10" w:space="0" w:color="000000"/>
              <w:bottom w:val="nil"/>
            </w:tcBorders>
          </w:tcPr>
          <w:p>
            <w:pPr>
              <w:pStyle w:val="TableParagraph"/>
              <w:spacing w:before="8"/>
              <w:ind w:left="98"/>
              <w:rPr>
                <w:sz w:val="14"/>
              </w:rPr>
            </w:pPr>
            <w:r>
              <w:rPr>
                <w:w w:val="105"/>
                <w:sz w:val="14"/>
              </w:rPr>
              <w:t>3636 El Cerrillo Vista Hermosa</w:t>
            </w:r>
          </w:p>
        </w:tc>
      </w:tr>
      <w:tr>
        <w:trPr>
          <w:trHeight w:val="208" w:hRule="exact"/>
        </w:trPr>
        <w:tc>
          <w:tcPr>
            <w:tcW w:w="1334" w:type="dxa"/>
            <w:tcBorders>
              <w:top w:val="nil"/>
              <w:bottom w:val="nil"/>
              <w:right w:val="single" w:sz="10" w:space="0" w:color="000000"/>
            </w:tcBorders>
          </w:tcPr>
          <w:p>
            <w:pPr>
              <w:pStyle w:val="TableParagraph"/>
              <w:spacing w:before="8"/>
              <w:ind w:left="12"/>
              <w:rPr>
                <w:sz w:val="14"/>
              </w:rPr>
            </w:pPr>
            <w:r>
              <w:rPr>
                <w:w w:val="105"/>
                <w:sz w:val="14"/>
              </w:rPr>
              <w:t>San Mateo Atenco</w:t>
            </w:r>
          </w:p>
        </w:tc>
        <w:tc>
          <w:tcPr>
            <w:tcW w:w="3561" w:type="dxa"/>
            <w:gridSpan w:val="2"/>
            <w:tcBorders>
              <w:top w:val="nil"/>
              <w:left w:val="single" w:sz="10" w:space="0" w:color="000000"/>
              <w:bottom w:val="nil"/>
              <w:right w:val="single" w:sz="10" w:space="0" w:color="000000"/>
            </w:tcBorders>
          </w:tcPr>
          <w:p>
            <w:pPr>
              <w:pStyle w:val="TableParagraph"/>
              <w:spacing w:before="8"/>
              <w:ind w:left="98" w:right="479"/>
              <w:rPr>
                <w:sz w:val="14"/>
              </w:rPr>
            </w:pPr>
            <w:r>
              <w:rPr>
                <w:w w:val="105"/>
                <w:sz w:val="14"/>
              </w:rPr>
              <w:t>0359 San Mateo Atenco</w:t>
            </w:r>
          </w:p>
        </w:tc>
        <w:tc>
          <w:tcPr>
            <w:tcW w:w="927" w:type="dxa"/>
            <w:tcBorders>
              <w:top w:val="nil"/>
              <w:left w:val="single" w:sz="10" w:space="0" w:color="000000"/>
              <w:bottom w:val="nil"/>
              <w:right w:val="single" w:sz="10" w:space="0" w:color="000000"/>
            </w:tcBorders>
          </w:tcPr>
          <w:p>
            <w:pPr>
              <w:pStyle w:val="TableParagraph"/>
              <w:spacing w:before="8"/>
              <w:ind w:left="12"/>
              <w:rPr>
                <w:sz w:val="14"/>
              </w:rPr>
            </w:pPr>
            <w:r>
              <w:rPr>
                <w:w w:val="105"/>
                <w:sz w:val="14"/>
              </w:rPr>
              <w:t>Toluca</w:t>
            </w:r>
          </w:p>
        </w:tc>
        <w:tc>
          <w:tcPr>
            <w:tcW w:w="2993" w:type="dxa"/>
            <w:gridSpan w:val="2"/>
            <w:tcBorders>
              <w:top w:val="nil"/>
              <w:left w:val="single" w:sz="10" w:space="0" w:color="000000"/>
              <w:bottom w:val="nil"/>
            </w:tcBorders>
          </w:tcPr>
          <w:p>
            <w:pPr>
              <w:pStyle w:val="TableParagraph"/>
              <w:spacing w:before="8"/>
              <w:ind w:left="86"/>
              <w:rPr>
                <w:sz w:val="14"/>
              </w:rPr>
            </w:pPr>
            <w:r>
              <w:rPr>
                <w:w w:val="105"/>
                <w:sz w:val="14"/>
              </w:rPr>
              <w:t>220A Jicaltepec Autopan</w:t>
            </w:r>
          </w:p>
        </w:tc>
      </w:tr>
      <w:tr>
        <w:trPr>
          <w:trHeight w:val="210" w:hRule="exact"/>
        </w:trPr>
        <w:tc>
          <w:tcPr>
            <w:tcW w:w="1334" w:type="dxa"/>
            <w:tcBorders>
              <w:top w:val="nil"/>
              <w:bottom w:val="single" w:sz="10" w:space="0" w:color="000000"/>
              <w:right w:val="single" w:sz="10" w:space="0" w:color="000000"/>
            </w:tcBorders>
          </w:tcPr>
          <w:p>
            <w:pPr>
              <w:pStyle w:val="TableParagraph"/>
              <w:spacing w:before="6"/>
              <w:ind w:left="12"/>
              <w:rPr>
                <w:sz w:val="14"/>
              </w:rPr>
            </w:pPr>
            <w:r>
              <w:rPr>
                <w:w w:val="105"/>
                <w:sz w:val="14"/>
              </w:rPr>
              <w:t>San Mateo Atenco</w:t>
            </w:r>
          </w:p>
        </w:tc>
        <w:tc>
          <w:tcPr>
            <w:tcW w:w="3561" w:type="dxa"/>
            <w:gridSpan w:val="2"/>
            <w:tcBorders>
              <w:top w:val="nil"/>
              <w:left w:val="single" w:sz="10" w:space="0" w:color="000000"/>
              <w:bottom w:val="single" w:sz="10" w:space="0" w:color="000000"/>
              <w:right w:val="single" w:sz="10" w:space="0" w:color="000000"/>
            </w:tcBorders>
          </w:tcPr>
          <w:p>
            <w:pPr>
              <w:pStyle w:val="TableParagraph"/>
              <w:spacing w:before="6"/>
              <w:ind w:left="98" w:right="479"/>
              <w:rPr>
                <w:sz w:val="14"/>
              </w:rPr>
            </w:pPr>
            <w:r>
              <w:rPr>
                <w:w w:val="105"/>
                <w:sz w:val="14"/>
              </w:rPr>
              <w:t>0240 San Mateo Atenco</w:t>
            </w:r>
          </w:p>
        </w:tc>
        <w:tc>
          <w:tcPr>
            <w:tcW w:w="927" w:type="dxa"/>
            <w:tcBorders>
              <w:top w:val="nil"/>
              <w:left w:val="single" w:sz="10" w:space="0" w:color="000000"/>
              <w:bottom w:val="nil"/>
              <w:right w:val="single" w:sz="10" w:space="0" w:color="000000"/>
            </w:tcBorders>
          </w:tcPr>
          <w:p>
            <w:pPr>
              <w:pStyle w:val="TableParagraph"/>
              <w:spacing w:before="6"/>
              <w:ind w:left="12"/>
              <w:rPr>
                <w:sz w:val="14"/>
              </w:rPr>
            </w:pPr>
            <w:r>
              <w:rPr>
                <w:w w:val="105"/>
                <w:sz w:val="14"/>
              </w:rPr>
              <w:t>Toluca</w:t>
            </w:r>
          </w:p>
        </w:tc>
        <w:tc>
          <w:tcPr>
            <w:tcW w:w="2993" w:type="dxa"/>
            <w:gridSpan w:val="2"/>
            <w:tcBorders>
              <w:top w:val="nil"/>
              <w:left w:val="single" w:sz="10" w:space="0" w:color="000000"/>
              <w:bottom w:val="nil"/>
            </w:tcBorders>
          </w:tcPr>
          <w:p>
            <w:pPr>
              <w:pStyle w:val="TableParagraph"/>
              <w:spacing w:before="6"/>
              <w:ind w:left="98"/>
              <w:rPr>
                <w:sz w:val="14"/>
              </w:rPr>
            </w:pPr>
            <w:r>
              <w:rPr>
                <w:w w:val="105"/>
                <w:sz w:val="14"/>
              </w:rPr>
              <w:t>2727 San Pablo Autopan</w:t>
            </w:r>
          </w:p>
        </w:tc>
      </w:tr>
      <w:tr>
        <w:trPr>
          <w:trHeight w:val="222" w:hRule="exact"/>
        </w:trPr>
        <w:tc>
          <w:tcPr>
            <w:tcW w:w="1334" w:type="dxa"/>
            <w:tcBorders>
              <w:top w:val="single" w:sz="10" w:space="0" w:color="000000"/>
              <w:bottom w:val="nil"/>
              <w:right w:val="single" w:sz="10" w:space="0" w:color="000000"/>
            </w:tcBorders>
          </w:tcPr>
          <w:p>
            <w:pPr>
              <w:pStyle w:val="TableParagraph"/>
              <w:spacing w:before="3"/>
              <w:ind w:left="12"/>
              <w:rPr>
                <w:sz w:val="14"/>
              </w:rPr>
            </w:pPr>
            <w:r>
              <w:rPr>
                <w:w w:val="105"/>
                <w:sz w:val="14"/>
              </w:rPr>
              <w:t>Temoaya</w:t>
            </w:r>
          </w:p>
        </w:tc>
        <w:tc>
          <w:tcPr>
            <w:tcW w:w="3561" w:type="dxa"/>
            <w:gridSpan w:val="2"/>
            <w:tcBorders>
              <w:top w:val="single" w:sz="10" w:space="0" w:color="000000"/>
              <w:left w:val="single" w:sz="10" w:space="0" w:color="000000"/>
              <w:bottom w:val="nil"/>
              <w:right w:val="single" w:sz="10" w:space="0" w:color="000000"/>
            </w:tcBorders>
          </w:tcPr>
          <w:p>
            <w:pPr>
              <w:pStyle w:val="TableParagraph"/>
              <w:spacing w:before="3"/>
              <w:ind w:left="85" w:right="479"/>
              <w:rPr>
                <w:sz w:val="14"/>
              </w:rPr>
            </w:pPr>
            <w:r>
              <w:rPr>
                <w:w w:val="105"/>
                <w:sz w:val="14"/>
              </w:rPr>
              <w:t>016A San Pedro Arriba</w:t>
            </w:r>
          </w:p>
        </w:tc>
        <w:tc>
          <w:tcPr>
            <w:tcW w:w="927" w:type="dxa"/>
            <w:tcBorders>
              <w:top w:val="nil"/>
              <w:left w:val="single" w:sz="10" w:space="0" w:color="000000"/>
              <w:bottom w:val="nil"/>
              <w:right w:val="single" w:sz="10" w:space="0" w:color="000000"/>
            </w:tcBorders>
          </w:tcPr>
          <w:p>
            <w:pPr>
              <w:pStyle w:val="TableParagraph"/>
              <w:spacing w:before="16"/>
              <w:ind w:left="12"/>
              <w:rPr>
                <w:sz w:val="14"/>
              </w:rPr>
            </w:pPr>
            <w:r>
              <w:rPr>
                <w:w w:val="105"/>
                <w:sz w:val="14"/>
              </w:rPr>
              <w:t>Toluca</w:t>
            </w:r>
          </w:p>
        </w:tc>
        <w:tc>
          <w:tcPr>
            <w:tcW w:w="2993" w:type="dxa"/>
            <w:gridSpan w:val="2"/>
            <w:tcBorders>
              <w:top w:val="nil"/>
              <w:left w:val="single" w:sz="10" w:space="0" w:color="000000"/>
              <w:bottom w:val="nil"/>
            </w:tcBorders>
          </w:tcPr>
          <w:p>
            <w:pPr>
              <w:pStyle w:val="TableParagraph"/>
              <w:spacing w:before="16"/>
              <w:ind w:left="98"/>
              <w:rPr>
                <w:sz w:val="14"/>
              </w:rPr>
            </w:pPr>
            <w:r>
              <w:rPr>
                <w:w w:val="105"/>
                <w:sz w:val="14"/>
              </w:rPr>
              <w:t>3655 Jicaltepec Cuexcontitlán</w:t>
            </w:r>
          </w:p>
        </w:tc>
      </w:tr>
      <w:tr>
        <w:trPr>
          <w:trHeight w:val="216" w:hRule="exact"/>
        </w:trPr>
        <w:tc>
          <w:tcPr>
            <w:tcW w:w="1334" w:type="dxa"/>
            <w:tcBorders>
              <w:top w:val="nil"/>
              <w:bottom w:val="nil"/>
              <w:right w:val="single" w:sz="10" w:space="0" w:color="000000"/>
            </w:tcBorders>
          </w:tcPr>
          <w:p>
            <w:pPr>
              <w:pStyle w:val="TableParagraph"/>
              <w:spacing w:before="12"/>
              <w:ind w:left="12"/>
              <w:rPr>
                <w:sz w:val="14"/>
              </w:rPr>
            </w:pPr>
            <w:r>
              <w:rPr>
                <w:w w:val="105"/>
                <w:sz w:val="14"/>
              </w:rPr>
              <w:t>Temoaya</w:t>
            </w:r>
          </w:p>
        </w:tc>
        <w:tc>
          <w:tcPr>
            <w:tcW w:w="3561" w:type="dxa"/>
            <w:gridSpan w:val="2"/>
            <w:tcBorders>
              <w:top w:val="nil"/>
              <w:left w:val="single" w:sz="10" w:space="0" w:color="000000"/>
              <w:bottom w:val="nil"/>
              <w:right w:val="single" w:sz="10" w:space="0" w:color="000000"/>
            </w:tcBorders>
          </w:tcPr>
          <w:p>
            <w:pPr>
              <w:pStyle w:val="TableParagraph"/>
              <w:spacing w:before="12"/>
              <w:ind w:left="98" w:right="479"/>
              <w:rPr>
                <w:sz w:val="14"/>
              </w:rPr>
            </w:pPr>
            <w:r>
              <w:rPr>
                <w:w w:val="105"/>
                <w:sz w:val="14"/>
              </w:rPr>
              <w:t>0085 San Pedro Arriba</w:t>
            </w:r>
          </w:p>
        </w:tc>
        <w:tc>
          <w:tcPr>
            <w:tcW w:w="927" w:type="dxa"/>
            <w:tcBorders>
              <w:top w:val="nil"/>
              <w:left w:val="single" w:sz="10" w:space="0" w:color="000000"/>
              <w:bottom w:val="nil"/>
              <w:right w:val="single" w:sz="10" w:space="0" w:color="000000"/>
            </w:tcBorders>
          </w:tcPr>
          <w:p>
            <w:pPr>
              <w:pStyle w:val="TableParagraph"/>
              <w:spacing w:before="12"/>
              <w:ind w:left="12"/>
              <w:rPr>
                <w:sz w:val="14"/>
              </w:rPr>
            </w:pPr>
            <w:r>
              <w:rPr>
                <w:w w:val="105"/>
                <w:sz w:val="14"/>
              </w:rPr>
              <w:t>Toluca</w:t>
            </w:r>
          </w:p>
        </w:tc>
        <w:tc>
          <w:tcPr>
            <w:tcW w:w="2993" w:type="dxa"/>
            <w:gridSpan w:val="2"/>
            <w:tcBorders>
              <w:top w:val="nil"/>
              <w:left w:val="single" w:sz="10" w:space="0" w:color="000000"/>
              <w:bottom w:val="nil"/>
            </w:tcBorders>
          </w:tcPr>
          <w:p>
            <w:pPr>
              <w:pStyle w:val="TableParagraph"/>
              <w:spacing w:before="12"/>
              <w:ind w:left="86"/>
              <w:rPr>
                <w:sz w:val="14"/>
              </w:rPr>
            </w:pPr>
            <w:r>
              <w:rPr>
                <w:w w:val="105"/>
                <w:sz w:val="14"/>
              </w:rPr>
              <w:t>373A San Diego de los Padres Cuexcontitlán</w:t>
            </w:r>
          </w:p>
        </w:tc>
      </w:tr>
      <w:tr>
        <w:trPr>
          <w:trHeight w:val="202" w:hRule="exact"/>
        </w:trPr>
        <w:tc>
          <w:tcPr>
            <w:tcW w:w="1334" w:type="dxa"/>
            <w:tcBorders>
              <w:top w:val="nil"/>
              <w:bottom w:val="nil"/>
              <w:right w:val="single" w:sz="10" w:space="0" w:color="000000"/>
            </w:tcBorders>
          </w:tcPr>
          <w:p>
            <w:pPr>
              <w:pStyle w:val="TableParagraph"/>
              <w:spacing w:before="9"/>
              <w:ind w:left="12"/>
              <w:rPr>
                <w:sz w:val="14"/>
              </w:rPr>
            </w:pPr>
            <w:r>
              <w:rPr>
                <w:w w:val="105"/>
                <w:sz w:val="14"/>
              </w:rPr>
              <w:t>Temoaya</w:t>
            </w:r>
          </w:p>
        </w:tc>
        <w:tc>
          <w:tcPr>
            <w:tcW w:w="3561" w:type="dxa"/>
            <w:gridSpan w:val="2"/>
            <w:tcBorders>
              <w:top w:val="nil"/>
              <w:left w:val="single" w:sz="10" w:space="0" w:color="000000"/>
              <w:bottom w:val="nil"/>
              <w:right w:val="single" w:sz="10" w:space="0" w:color="000000"/>
            </w:tcBorders>
          </w:tcPr>
          <w:p>
            <w:pPr>
              <w:pStyle w:val="TableParagraph"/>
              <w:spacing w:before="9"/>
              <w:ind w:left="98" w:right="479"/>
              <w:rPr>
                <w:sz w:val="14"/>
              </w:rPr>
            </w:pPr>
            <w:r>
              <w:rPr>
                <w:w w:val="105"/>
                <w:sz w:val="14"/>
              </w:rPr>
              <w:t>0278 San Lorenzo Oyamel</w:t>
            </w:r>
          </w:p>
        </w:tc>
        <w:tc>
          <w:tcPr>
            <w:tcW w:w="927" w:type="dxa"/>
            <w:tcBorders>
              <w:top w:val="nil"/>
              <w:left w:val="single" w:sz="10" w:space="0" w:color="000000"/>
              <w:bottom w:val="nil"/>
              <w:right w:val="single" w:sz="10" w:space="0" w:color="000000"/>
            </w:tcBorders>
          </w:tcPr>
          <w:p>
            <w:pPr>
              <w:pStyle w:val="TableParagraph"/>
              <w:spacing w:before="9"/>
              <w:ind w:left="12"/>
              <w:rPr>
                <w:sz w:val="14"/>
              </w:rPr>
            </w:pPr>
            <w:r>
              <w:rPr>
                <w:w w:val="105"/>
                <w:sz w:val="14"/>
              </w:rPr>
              <w:t>Toluca</w:t>
            </w:r>
          </w:p>
        </w:tc>
        <w:tc>
          <w:tcPr>
            <w:tcW w:w="2993" w:type="dxa"/>
            <w:gridSpan w:val="2"/>
            <w:tcBorders>
              <w:top w:val="nil"/>
              <w:left w:val="single" w:sz="10" w:space="0" w:color="000000"/>
              <w:bottom w:val="nil"/>
            </w:tcBorders>
          </w:tcPr>
          <w:p>
            <w:pPr>
              <w:pStyle w:val="TableParagraph"/>
              <w:spacing w:before="9"/>
              <w:ind w:left="98"/>
              <w:rPr>
                <w:sz w:val="14"/>
              </w:rPr>
            </w:pPr>
            <w:r>
              <w:rPr>
                <w:w w:val="105"/>
                <w:sz w:val="14"/>
              </w:rPr>
              <w:t>2680 San Andrés Cuexcontitlán</w:t>
            </w:r>
          </w:p>
        </w:tc>
      </w:tr>
      <w:tr>
        <w:trPr>
          <w:trHeight w:val="190" w:hRule="exact"/>
        </w:trPr>
        <w:tc>
          <w:tcPr>
            <w:tcW w:w="1334" w:type="dxa"/>
            <w:tcBorders>
              <w:top w:val="nil"/>
              <w:bottom w:val="nil"/>
              <w:right w:val="single" w:sz="10" w:space="0" w:color="000000"/>
            </w:tcBorders>
          </w:tcPr>
          <w:p>
            <w:pPr>
              <w:pStyle w:val="TableParagraph"/>
              <w:spacing w:line="169" w:lineRule="exact"/>
              <w:ind w:left="12"/>
              <w:rPr>
                <w:sz w:val="14"/>
              </w:rPr>
            </w:pPr>
            <w:r>
              <w:rPr>
                <w:w w:val="105"/>
                <w:sz w:val="14"/>
              </w:rPr>
              <w:t>Temoaya</w:t>
            </w:r>
          </w:p>
        </w:tc>
        <w:tc>
          <w:tcPr>
            <w:tcW w:w="3561" w:type="dxa"/>
            <w:gridSpan w:val="2"/>
            <w:tcBorders>
              <w:top w:val="nil"/>
              <w:left w:val="single" w:sz="10" w:space="0" w:color="000000"/>
              <w:bottom w:val="nil"/>
              <w:right w:val="single" w:sz="10" w:space="0" w:color="000000"/>
            </w:tcBorders>
          </w:tcPr>
          <w:p>
            <w:pPr>
              <w:pStyle w:val="TableParagraph"/>
              <w:spacing w:line="169" w:lineRule="exact"/>
              <w:ind w:left="98" w:right="479"/>
              <w:rPr>
                <w:sz w:val="14"/>
              </w:rPr>
            </w:pPr>
            <w:r>
              <w:rPr>
                <w:w w:val="105"/>
                <w:sz w:val="14"/>
              </w:rPr>
              <w:t>0282 San Pedro Abajo</w:t>
            </w:r>
          </w:p>
        </w:tc>
        <w:tc>
          <w:tcPr>
            <w:tcW w:w="927" w:type="dxa"/>
            <w:tcBorders>
              <w:top w:val="nil"/>
              <w:left w:val="single" w:sz="10" w:space="0" w:color="000000"/>
              <w:bottom w:val="nil"/>
              <w:right w:val="single" w:sz="10" w:space="0" w:color="000000"/>
            </w:tcBorders>
          </w:tcPr>
          <w:p>
            <w:pPr>
              <w:pStyle w:val="TableParagraph"/>
              <w:spacing w:line="169" w:lineRule="exact"/>
              <w:ind w:left="12"/>
              <w:rPr>
                <w:sz w:val="14"/>
              </w:rPr>
            </w:pPr>
            <w:r>
              <w:rPr>
                <w:w w:val="105"/>
                <w:sz w:val="14"/>
              </w:rPr>
              <w:t>Toluca</w:t>
            </w:r>
          </w:p>
        </w:tc>
        <w:tc>
          <w:tcPr>
            <w:tcW w:w="2993" w:type="dxa"/>
            <w:gridSpan w:val="2"/>
            <w:tcBorders>
              <w:top w:val="nil"/>
              <w:left w:val="single" w:sz="10" w:space="0" w:color="000000"/>
              <w:bottom w:val="nil"/>
            </w:tcBorders>
          </w:tcPr>
          <w:p>
            <w:pPr>
              <w:pStyle w:val="TableParagraph"/>
              <w:spacing w:line="169" w:lineRule="exact"/>
              <w:ind w:left="98"/>
              <w:rPr>
                <w:sz w:val="14"/>
              </w:rPr>
            </w:pPr>
            <w:r>
              <w:rPr>
                <w:w w:val="105"/>
                <w:sz w:val="14"/>
              </w:rPr>
              <w:t>1771 San Andrés Cuexcontitlán</w:t>
            </w:r>
          </w:p>
        </w:tc>
      </w:tr>
      <w:tr>
        <w:trPr>
          <w:trHeight w:val="190" w:hRule="exact"/>
        </w:trPr>
        <w:tc>
          <w:tcPr>
            <w:tcW w:w="1334" w:type="dxa"/>
            <w:tcBorders>
              <w:top w:val="nil"/>
              <w:bottom w:val="nil"/>
              <w:right w:val="single" w:sz="10" w:space="0" w:color="000000"/>
            </w:tcBorders>
          </w:tcPr>
          <w:p>
            <w:pPr>
              <w:pStyle w:val="TableParagraph"/>
              <w:spacing w:line="169" w:lineRule="exact"/>
              <w:ind w:left="12"/>
              <w:rPr>
                <w:sz w:val="14"/>
              </w:rPr>
            </w:pPr>
            <w:r>
              <w:rPr>
                <w:w w:val="105"/>
                <w:sz w:val="14"/>
              </w:rPr>
              <w:t>Temoaya</w:t>
            </w:r>
          </w:p>
        </w:tc>
        <w:tc>
          <w:tcPr>
            <w:tcW w:w="3561" w:type="dxa"/>
            <w:gridSpan w:val="2"/>
            <w:tcBorders>
              <w:top w:val="nil"/>
              <w:left w:val="single" w:sz="10" w:space="0" w:color="000000"/>
              <w:bottom w:val="nil"/>
              <w:right w:val="single" w:sz="10" w:space="0" w:color="000000"/>
            </w:tcBorders>
          </w:tcPr>
          <w:p>
            <w:pPr>
              <w:pStyle w:val="TableParagraph"/>
              <w:spacing w:line="169" w:lineRule="exact"/>
              <w:ind w:left="98" w:right="479"/>
              <w:rPr>
                <w:sz w:val="14"/>
              </w:rPr>
            </w:pPr>
            <w:r>
              <w:rPr>
                <w:w w:val="105"/>
                <w:sz w:val="14"/>
              </w:rPr>
              <w:t>0189 San Pedro Arriba</w:t>
            </w:r>
          </w:p>
        </w:tc>
        <w:tc>
          <w:tcPr>
            <w:tcW w:w="927" w:type="dxa"/>
            <w:tcBorders>
              <w:top w:val="nil"/>
              <w:left w:val="single" w:sz="10" w:space="0" w:color="000000"/>
              <w:bottom w:val="nil"/>
              <w:right w:val="single" w:sz="10" w:space="0" w:color="000000"/>
            </w:tcBorders>
          </w:tcPr>
          <w:p>
            <w:pPr>
              <w:pStyle w:val="TableParagraph"/>
              <w:spacing w:line="169" w:lineRule="exact"/>
              <w:ind w:left="12"/>
              <w:rPr>
                <w:sz w:val="14"/>
              </w:rPr>
            </w:pPr>
            <w:r>
              <w:rPr>
                <w:w w:val="105"/>
                <w:sz w:val="14"/>
              </w:rPr>
              <w:t>Toluca</w:t>
            </w:r>
          </w:p>
        </w:tc>
        <w:tc>
          <w:tcPr>
            <w:tcW w:w="2993" w:type="dxa"/>
            <w:gridSpan w:val="2"/>
            <w:tcBorders>
              <w:top w:val="nil"/>
              <w:left w:val="single" w:sz="10" w:space="0" w:color="000000"/>
              <w:bottom w:val="nil"/>
            </w:tcBorders>
          </w:tcPr>
          <w:p>
            <w:pPr>
              <w:pStyle w:val="TableParagraph"/>
              <w:spacing w:line="169" w:lineRule="exact"/>
              <w:ind w:left="98"/>
              <w:rPr>
                <w:sz w:val="14"/>
              </w:rPr>
            </w:pPr>
            <w:r>
              <w:rPr>
                <w:w w:val="105"/>
                <w:sz w:val="14"/>
              </w:rPr>
              <w:t>1659 San Pablo Autopan</w:t>
            </w:r>
          </w:p>
        </w:tc>
      </w:tr>
      <w:tr>
        <w:trPr>
          <w:trHeight w:val="189" w:hRule="exact"/>
        </w:trPr>
        <w:tc>
          <w:tcPr>
            <w:tcW w:w="1334" w:type="dxa"/>
            <w:tcBorders>
              <w:top w:val="nil"/>
              <w:bottom w:val="nil"/>
              <w:right w:val="single" w:sz="10" w:space="0" w:color="000000"/>
            </w:tcBorders>
          </w:tcPr>
          <w:p>
            <w:pPr>
              <w:pStyle w:val="TableParagraph"/>
              <w:spacing w:line="169" w:lineRule="exact"/>
              <w:ind w:left="12"/>
              <w:rPr>
                <w:sz w:val="14"/>
              </w:rPr>
            </w:pPr>
            <w:r>
              <w:rPr>
                <w:w w:val="105"/>
                <w:sz w:val="14"/>
              </w:rPr>
              <w:t>Temoaya</w:t>
            </w:r>
          </w:p>
        </w:tc>
        <w:tc>
          <w:tcPr>
            <w:tcW w:w="3561" w:type="dxa"/>
            <w:gridSpan w:val="2"/>
            <w:tcBorders>
              <w:top w:val="nil"/>
              <w:left w:val="single" w:sz="10" w:space="0" w:color="000000"/>
              <w:bottom w:val="nil"/>
              <w:right w:val="single" w:sz="10" w:space="0" w:color="000000"/>
            </w:tcBorders>
          </w:tcPr>
          <w:p>
            <w:pPr>
              <w:pStyle w:val="TableParagraph"/>
              <w:spacing w:line="169" w:lineRule="exact"/>
              <w:ind w:left="98" w:right="479"/>
              <w:rPr>
                <w:sz w:val="14"/>
              </w:rPr>
            </w:pPr>
            <w:r>
              <w:rPr>
                <w:w w:val="105"/>
                <w:sz w:val="14"/>
              </w:rPr>
              <w:t>0297 San Pedro Abajo</w:t>
            </w:r>
          </w:p>
        </w:tc>
        <w:tc>
          <w:tcPr>
            <w:tcW w:w="927" w:type="dxa"/>
            <w:tcBorders>
              <w:top w:val="nil"/>
              <w:left w:val="single" w:sz="10" w:space="0" w:color="000000"/>
              <w:bottom w:val="nil"/>
              <w:right w:val="single" w:sz="10" w:space="0" w:color="000000"/>
            </w:tcBorders>
          </w:tcPr>
          <w:p>
            <w:pPr>
              <w:pStyle w:val="TableParagraph"/>
              <w:spacing w:line="169" w:lineRule="exact"/>
              <w:ind w:left="12"/>
              <w:rPr>
                <w:sz w:val="14"/>
              </w:rPr>
            </w:pPr>
            <w:r>
              <w:rPr>
                <w:w w:val="105"/>
                <w:sz w:val="14"/>
              </w:rPr>
              <w:t>Toluca</w:t>
            </w:r>
          </w:p>
        </w:tc>
        <w:tc>
          <w:tcPr>
            <w:tcW w:w="2993" w:type="dxa"/>
            <w:gridSpan w:val="2"/>
            <w:tcBorders>
              <w:top w:val="nil"/>
              <w:left w:val="single" w:sz="10" w:space="0" w:color="000000"/>
              <w:bottom w:val="nil"/>
            </w:tcBorders>
          </w:tcPr>
          <w:p>
            <w:pPr>
              <w:pStyle w:val="TableParagraph"/>
              <w:spacing w:line="169" w:lineRule="exact"/>
              <w:ind w:left="98"/>
              <w:rPr>
                <w:sz w:val="14"/>
              </w:rPr>
            </w:pPr>
            <w:r>
              <w:rPr>
                <w:w w:val="105"/>
                <w:sz w:val="14"/>
              </w:rPr>
              <w:t>2676 Toluca de Lerdo</w:t>
            </w:r>
          </w:p>
        </w:tc>
      </w:tr>
      <w:tr>
        <w:trPr>
          <w:trHeight w:val="191" w:hRule="exact"/>
        </w:trPr>
        <w:tc>
          <w:tcPr>
            <w:tcW w:w="1334" w:type="dxa"/>
            <w:tcBorders>
              <w:top w:val="nil"/>
              <w:bottom w:val="single" w:sz="10" w:space="0" w:color="000000"/>
              <w:right w:val="single" w:sz="10" w:space="0" w:color="000000"/>
            </w:tcBorders>
          </w:tcPr>
          <w:p>
            <w:pPr>
              <w:pStyle w:val="TableParagraph"/>
              <w:spacing w:line="168" w:lineRule="exact"/>
              <w:ind w:left="12"/>
              <w:rPr>
                <w:sz w:val="14"/>
              </w:rPr>
            </w:pPr>
            <w:r>
              <w:rPr>
                <w:w w:val="105"/>
                <w:sz w:val="14"/>
              </w:rPr>
              <w:t>Temoaya</w:t>
            </w:r>
          </w:p>
        </w:tc>
        <w:tc>
          <w:tcPr>
            <w:tcW w:w="3561" w:type="dxa"/>
            <w:gridSpan w:val="2"/>
            <w:tcBorders>
              <w:top w:val="nil"/>
              <w:left w:val="single" w:sz="10" w:space="0" w:color="000000"/>
              <w:bottom w:val="single" w:sz="10" w:space="0" w:color="000000"/>
              <w:right w:val="single" w:sz="10" w:space="0" w:color="000000"/>
            </w:tcBorders>
          </w:tcPr>
          <w:p>
            <w:pPr>
              <w:pStyle w:val="TableParagraph"/>
              <w:spacing w:line="168" w:lineRule="exact"/>
              <w:ind w:left="85" w:right="479"/>
              <w:rPr>
                <w:sz w:val="14"/>
              </w:rPr>
            </w:pPr>
            <w:r>
              <w:rPr>
                <w:w w:val="105"/>
                <w:sz w:val="14"/>
              </w:rPr>
              <w:t>030A Enthavi</w:t>
            </w:r>
          </w:p>
        </w:tc>
        <w:tc>
          <w:tcPr>
            <w:tcW w:w="927" w:type="dxa"/>
            <w:tcBorders>
              <w:top w:val="nil"/>
              <w:left w:val="single" w:sz="10" w:space="0" w:color="000000"/>
              <w:bottom w:val="nil"/>
              <w:right w:val="single" w:sz="10" w:space="0" w:color="000000"/>
            </w:tcBorders>
          </w:tcPr>
          <w:p>
            <w:pPr>
              <w:pStyle w:val="TableParagraph"/>
              <w:spacing w:line="168" w:lineRule="exact"/>
              <w:ind w:left="12"/>
              <w:rPr>
                <w:sz w:val="14"/>
              </w:rPr>
            </w:pPr>
            <w:r>
              <w:rPr>
                <w:w w:val="105"/>
                <w:sz w:val="14"/>
              </w:rPr>
              <w:t>Toluca</w:t>
            </w:r>
          </w:p>
        </w:tc>
        <w:tc>
          <w:tcPr>
            <w:tcW w:w="2993" w:type="dxa"/>
            <w:gridSpan w:val="2"/>
            <w:tcBorders>
              <w:top w:val="nil"/>
              <w:left w:val="single" w:sz="10" w:space="0" w:color="000000"/>
              <w:bottom w:val="nil"/>
            </w:tcBorders>
          </w:tcPr>
          <w:p>
            <w:pPr>
              <w:pStyle w:val="TableParagraph"/>
              <w:spacing w:line="168" w:lineRule="exact"/>
              <w:ind w:left="98"/>
              <w:rPr>
                <w:sz w:val="14"/>
              </w:rPr>
            </w:pPr>
            <w:r>
              <w:rPr>
                <w:w w:val="105"/>
                <w:sz w:val="14"/>
              </w:rPr>
              <w:t>2407 San Andrés Cuexcontitlán</w:t>
            </w:r>
          </w:p>
        </w:tc>
      </w:tr>
      <w:tr>
        <w:trPr>
          <w:trHeight w:val="200" w:hRule="exact"/>
        </w:trPr>
        <w:tc>
          <w:tcPr>
            <w:tcW w:w="1334" w:type="dxa"/>
            <w:tcBorders>
              <w:top w:val="single" w:sz="10" w:space="0" w:color="000000"/>
              <w:bottom w:val="nil"/>
              <w:right w:val="single" w:sz="10" w:space="0" w:color="000000"/>
            </w:tcBorders>
          </w:tcPr>
          <w:p>
            <w:pPr>
              <w:pStyle w:val="TableParagraph"/>
              <w:spacing w:line="165" w:lineRule="exact"/>
              <w:ind w:left="12"/>
              <w:rPr>
                <w:sz w:val="14"/>
              </w:rPr>
            </w:pPr>
            <w:r>
              <w:rPr>
                <w:w w:val="105"/>
                <w:sz w:val="14"/>
              </w:rPr>
              <w:t>Toluca</w:t>
            </w:r>
          </w:p>
        </w:tc>
        <w:tc>
          <w:tcPr>
            <w:tcW w:w="3561" w:type="dxa"/>
            <w:gridSpan w:val="2"/>
            <w:tcBorders>
              <w:top w:val="single" w:sz="10" w:space="0" w:color="000000"/>
              <w:left w:val="single" w:sz="10" w:space="0" w:color="000000"/>
              <w:bottom w:val="nil"/>
              <w:right w:val="single" w:sz="10" w:space="0" w:color="000000"/>
            </w:tcBorders>
          </w:tcPr>
          <w:p>
            <w:pPr>
              <w:pStyle w:val="TableParagraph"/>
              <w:spacing w:line="165" w:lineRule="exact"/>
              <w:ind w:left="98" w:right="479"/>
              <w:rPr>
                <w:sz w:val="14"/>
              </w:rPr>
            </w:pPr>
            <w:r>
              <w:rPr>
                <w:w w:val="105"/>
                <w:sz w:val="14"/>
              </w:rPr>
              <w:t>3570 Toluca de Lerdo</w:t>
            </w:r>
          </w:p>
        </w:tc>
        <w:tc>
          <w:tcPr>
            <w:tcW w:w="927" w:type="dxa"/>
            <w:tcBorders>
              <w:top w:val="nil"/>
              <w:left w:val="single" w:sz="10" w:space="0" w:color="000000"/>
              <w:bottom w:val="single" w:sz="10" w:space="0" w:color="000000"/>
              <w:right w:val="single" w:sz="10" w:space="0" w:color="000000"/>
            </w:tcBorders>
          </w:tcPr>
          <w:p>
            <w:pPr>
              <w:pStyle w:val="TableParagraph"/>
              <w:spacing w:before="6"/>
              <w:ind w:left="12"/>
              <w:rPr>
                <w:sz w:val="14"/>
              </w:rPr>
            </w:pPr>
            <w:r>
              <w:rPr>
                <w:w w:val="105"/>
                <w:sz w:val="14"/>
              </w:rPr>
              <w:t>Toluca</w:t>
            </w:r>
          </w:p>
        </w:tc>
        <w:tc>
          <w:tcPr>
            <w:tcW w:w="2993" w:type="dxa"/>
            <w:gridSpan w:val="2"/>
            <w:tcBorders>
              <w:top w:val="nil"/>
              <w:left w:val="single" w:sz="10" w:space="0" w:color="000000"/>
              <w:bottom w:val="single" w:sz="10" w:space="0" w:color="000000"/>
            </w:tcBorders>
          </w:tcPr>
          <w:p>
            <w:pPr>
              <w:pStyle w:val="TableParagraph"/>
              <w:spacing w:before="6"/>
              <w:ind w:left="86"/>
              <w:rPr>
                <w:sz w:val="14"/>
              </w:rPr>
            </w:pPr>
            <w:r>
              <w:rPr>
                <w:w w:val="105"/>
                <w:sz w:val="14"/>
              </w:rPr>
              <w:t>170A San Pablo Autopan</w:t>
            </w:r>
          </w:p>
        </w:tc>
      </w:tr>
      <w:tr>
        <w:trPr>
          <w:trHeight w:val="202" w:hRule="exact"/>
        </w:trPr>
        <w:tc>
          <w:tcPr>
            <w:tcW w:w="1334" w:type="dxa"/>
            <w:tcBorders>
              <w:top w:val="nil"/>
              <w:bottom w:val="nil"/>
              <w:right w:val="single" w:sz="10" w:space="0" w:color="000000"/>
            </w:tcBorders>
          </w:tcPr>
          <w:p>
            <w:pPr>
              <w:pStyle w:val="TableParagraph"/>
              <w:spacing w:before="9"/>
              <w:ind w:left="12"/>
              <w:rPr>
                <w:sz w:val="14"/>
              </w:rPr>
            </w:pPr>
            <w:r>
              <w:rPr>
                <w:w w:val="105"/>
                <w:sz w:val="14"/>
              </w:rPr>
              <w:t>Toluca</w:t>
            </w:r>
          </w:p>
        </w:tc>
        <w:tc>
          <w:tcPr>
            <w:tcW w:w="3561" w:type="dxa"/>
            <w:gridSpan w:val="2"/>
            <w:tcBorders>
              <w:top w:val="nil"/>
              <w:left w:val="single" w:sz="10" w:space="0" w:color="000000"/>
              <w:bottom w:val="nil"/>
              <w:right w:val="single" w:sz="10" w:space="0" w:color="000000"/>
            </w:tcBorders>
          </w:tcPr>
          <w:p>
            <w:pPr>
              <w:pStyle w:val="TableParagraph"/>
              <w:spacing w:before="9"/>
              <w:ind w:left="98" w:right="479"/>
              <w:rPr>
                <w:sz w:val="14"/>
              </w:rPr>
            </w:pPr>
            <w:r>
              <w:rPr>
                <w:w w:val="105"/>
                <w:sz w:val="14"/>
              </w:rPr>
              <w:t>3706 Toluca de Lerdo</w:t>
            </w:r>
          </w:p>
        </w:tc>
        <w:tc>
          <w:tcPr>
            <w:tcW w:w="927" w:type="dxa"/>
            <w:tcBorders>
              <w:top w:val="single" w:sz="10" w:space="0" w:color="000000"/>
              <w:left w:val="single" w:sz="10" w:space="0" w:color="000000"/>
              <w:bottom w:val="nil"/>
              <w:right w:val="single" w:sz="10" w:space="0" w:color="000000"/>
            </w:tcBorders>
          </w:tcPr>
          <w:p>
            <w:pPr>
              <w:pStyle w:val="TableParagraph"/>
              <w:spacing w:line="168" w:lineRule="exact"/>
              <w:ind w:left="12"/>
              <w:rPr>
                <w:sz w:val="14"/>
              </w:rPr>
            </w:pPr>
            <w:r>
              <w:rPr>
                <w:w w:val="105"/>
                <w:sz w:val="14"/>
              </w:rPr>
              <w:t>Zinacantepec</w:t>
            </w:r>
          </w:p>
        </w:tc>
        <w:tc>
          <w:tcPr>
            <w:tcW w:w="2993" w:type="dxa"/>
            <w:gridSpan w:val="2"/>
            <w:tcBorders>
              <w:top w:val="single" w:sz="10" w:space="0" w:color="000000"/>
              <w:left w:val="single" w:sz="10" w:space="0" w:color="000000"/>
              <w:bottom w:val="nil"/>
            </w:tcBorders>
          </w:tcPr>
          <w:p>
            <w:pPr>
              <w:pStyle w:val="TableParagraph"/>
              <w:spacing w:line="168" w:lineRule="exact"/>
              <w:ind w:left="98"/>
              <w:rPr>
                <w:sz w:val="14"/>
              </w:rPr>
            </w:pPr>
            <w:r>
              <w:rPr>
                <w:w w:val="105"/>
                <w:sz w:val="14"/>
              </w:rPr>
              <w:t>0276 San Antonio Acahualco</w:t>
            </w:r>
          </w:p>
        </w:tc>
      </w:tr>
      <w:tr>
        <w:trPr>
          <w:trHeight w:val="191" w:hRule="exact"/>
        </w:trPr>
        <w:tc>
          <w:tcPr>
            <w:tcW w:w="1334" w:type="dxa"/>
            <w:tcBorders>
              <w:top w:val="nil"/>
              <w:bottom w:val="nil"/>
              <w:right w:val="single" w:sz="10" w:space="0" w:color="000000"/>
            </w:tcBorders>
          </w:tcPr>
          <w:p>
            <w:pPr>
              <w:pStyle w:val="TableParagraph"/>
              <w:spacing w:line="169" w:lineRule="exact"/>
              <w:ind w:left="12"/>
              <w:rPr>
                <w:sz w:val="14"/>
              </w:rPr>
            </w:pPr>
            <w:r>
              <w:rPr>
                <w:w w:val="105"/>
                <w:sz w:val="14"/>
              </w:rPr>
              <w:t>Toluca</w:t>
            </w:r>
          </w:p>
        </w:tc>
        <w:tc>
          <w:tcPr>
            <w:tcW w:w="3561" w:type="dxa"/>
            <w:gridSpan w:val="2"/>
            <w:tcBorders>
              <w:top w:val="nil"/>
              <w:left w:val="single" w:sz="10" w:space="0" w:color="000000"/>
              <w:bottom w:val="nil"/>
              <w:right w:val="single" w:sz="10" w:space="0" w:color="000000"/>
            </w:tcBorders>
          </w:tcPr>
          <w:p>
            <w:pPr>
              <w:pStyle w:val="TableParagraph"/>
              <w:spacing w:line="169" w:lineRule="exact"/>
              <w:ind w:left="98" w:right="479"/>
              <w:rPr>
                <w:sz w:val="14"/>
              </w:rPr>
            </w:pPr>
            <w:r>
              <w:rPr>
                <w:w w:val="105"/>
                <w:sz w:val="14"/>
              </w:rPr>
              <w:t>3763 Toluca de Lerdo</w:t>
            </w:r>
          </w:p>
        </w:tc>
        <w:tc>
          <w:tcPr>
            <w:tcW w:w="927" w:type="dxa"/>
            <w:tcBorders>
              <w:top w:val="nil"/>
              <w:left w:val="single" w:sz="10" w:space="0" w:color="000000"/>
              <w:bottom w:val="nil"/>
              <w:right w:val="single" w:sz="10" w:space="0" w:color="000000"/>
            </w:tcBorders>
          </w:tcPr>
          <w:p>
            <w:pPr>
              <w:pStyle w:val="TableParagraph"/>
              <w:spacing w:line="169" w:lineRule="exact"/>
              <w:ind w:left="12"/>
              <w:rPr>
                <w:sz w:val="14"/>
              </w:rPr>
            </w:pPr>
            <w:r>
              <w:rPr>
                <w:w w:val="105"/>
                <w:sz w:val="14"/>
              </w:rPr>
              <w:t>Zinacantepec</w:t>
            </w:r>
          </w:p>
        </w:tc>
        <w:tc>
          <w:tcPr>
            <w:tcW w:w="2993" w:type="dxa"/>
            <w:gridSpan w:val="2"/>
            <w:tcBorders>
              <w:top w:val="nil"/>
              <w:left w:val="single" w:sz="10" w:space="0" w:color="000000"/>
              <w:bottom w:val="nil"/>
            </w:tcBorders>
          </w:tcPr>
          <w:p>
            <w:pPr>
              <w:pStyle w:val="TableParagraph"/>
              <w:spacing w:line="169" w:lineRule="exact"/>
              <w:ind w:left="98"/>
              <w:rPr>
                <w:sz w:val="14"/>
              </w:rPr>
            </w:pPr>
            <w:r>
              <w:rPr>
                <w:w w:val="105"/>
                <w:sz w:val="14"/>
              </w:rPr>
              <w:t>0596 Santa María del Monte</w:t>
            </w:r>
          </w:p>
        </w:tc>
      </w:tr>
      <w:tr>
        <w:trPr>
          <w:trHeight w:val="190" w:hRule="exact"/>
        </w:trPr>
        <w:tc>
          <w:tcPr>
            <w:tcW w:w="1334" w:type="dxa"/>
            <w:tcBorders>
              <w:top w:val="nil"/>
              <w:bottom w:val="nil"/>
              <w:right w:val="single" w:sz="10" w:space="0" w:color="000000"/>
            </w:tcBorders>
          </w:tcPr>
          <w:p>
            <w:pPr>
              <w:pStyle w:val="TableParagraph"/>
              <w:spacing w:line="169" w:lineRule="exact"/>
              <w:ind w:left="12"/>
              <w:rPr>
                <w:sz w:val="14"/>
              </w:rPr>
            </w:pPr>
            <w:r>
              <w:rPr>
                <w:w w:val="105"/>
                <w:sz w:val="14"/>
              </w:rPr>
              <w:t>Toluca</w:t>
            </w:r>
          </w:p>
        </w:tc>
        <w:tc>
          <w:tcPr>
            <w:tcW w:w="3561" w:type="dxa"/>
            <w:gridSpan w:val="2"/>
            <w:tcBorders>
              <w:top w:val="nil"/>
              <w:left w:val="single" w:sz="10" w:space="0" w:color="000000"/>
              <w:bottom w:val="nil"/>
              <w:right w:val="single" w:sz="10" w:space="0" w:color="000000"/>
            </w:tcBorders>
          </w:tcPr>
          <w:p>
            <w:pPr>
              <w:pStyle w:val="TableParagraph"/>
              <w:spacing w:line="169" w:lineRule="exact"/>
              <w:ind w:left="98" w:right="479"/>
              <w:rPr>
                <w:sz w:val="14"/>
              </w:rPr>
            </w:pPr>
            <w:r>
              <w:rPr>
                <w:w w:val="105"/>
                <w:sz w:val="14"/>
              </w:rPr>
              <w:t>2197 Tlachaloya Segunda Sección</w:t>
            </w:r>
          </w:p>
        </w:tc>
        <w:tc>
          <w:tcPr>
            <w:tcW w:w="927" w:type="dxa"/>
            <w:tcBorders>
              <w:top w:val="nil"/>
              <w:left w:val="single" w:sz="10" w:space="0" w:color="000000"/>
              <w:bottom w:val="nil"/>
              <w:right w:val="single" w:sz="10" w:space="0" w:color="000000"/>
            </w:tcBorders>
          </w:tcPr>
          <w:p>
            <w:pPr>
              <w:pStyle w:val="TableParagraph"/>
              <w:spacing w:line="169" w:lineRule="exact"/>
              <w:ind w:left="12"/>
              <w:rPr>
                <w:sz w:val="14"/>
              </w:rPr>
            </w:pPr>
            <w:r>
              <w:rPr>
                <w:w w:val="105"/>
                <w:sz w:val="14"/>
              </w:rPr>
              <w:t>Zinacantepec</w:t>
            </w:r>
          </w:p>
        </w:tc>
        <w:tc>
          <w:tcPr>
            <w:tcW w:w="2993" w:type="dxa"/>
            <w:gridSpan w:val="2"/>
            <w:tcBorders>
              <w:top w:val="nil"/>
              <w:left w:val="single" w:sz="10" w:space="0" w:color="000000"/>
              <w:bottom w:val="nil"/>
            </w:tcBorders>
          </w:tcPr>
          <w:p>
            <w:pPr>
              <w:pStyle w:val="TableParagraph"/>
              <w:spacing w:line="169" w:lineRule="exact"/>
              <w:ind w:left="98"/>
              <w:rPr>
                <w:sz w:val="14"/>
              </w:rPr>
            </w:pPr>
            <w:r>
              <w:rPr>
                <w:w w:val="105"/>
                <w:sz w:val="14"/>
              </w:rPr>
              <w:t>0721 Conjunto Urbano la Loma I</w:t>
            </w:r>
          </w:p>
        </w:tc>
      </w:tr>
      <w:tr>
        <w:trPr>
          <w:trHeight w:val="190" w:hRule="exact"/>
        </w:trPr>
        <w:tc>
          <w:tcPr>
            <w:tcW w:w="1334" w:type="dxa"/>
            <w:tcBorders>
              <w:top w:val="nil"/>
              <w:bottom w:val="nil"/>
              <w:right w:val="single" w:sz="10" w:space="0" w:color="000000"/>
            </w:tcBorders>
          </w:tcPr>
          <w:p>
            <w:pPr>
              <w:pStyle w:val="TableParagraph"/>
              <w:spacing w:line="169" w:lineRule="exact"/>
              <w:ind w:left="12"/>
              <w:rPr>
                <w:sz w:val="14"/>
              </w:rPr>
            </w:pPr>
            <w:r>
              <w:rPr>
                <w:w w:val="105"/>
                <w:sz w:val="14"/>
              </w:rPr>
              <w:t>Toluca</w:t>
            </w:r>
          </w:p>
        </w:tc>
        <w:tc>
          <w:tcPr>
            <w:tcW w:w="3561" w:type="dxa"/>
            <w:gridSpan w:val="2"/>
            <w:tcBorders>
              <w:top w:val="nil"/>
              <w:left w:val="single" w:sz="10" w:space="0" w:color="000000"/>
              <w:bottom w:val="nil"/>
              <w:right w:val="single" w:sz="10" w:space="0" w:color="000000"/>
            </w:tcBorders>
          </w:tcPr>
          <w:p>
            <w:pPr>
              <w:pStyle w:val="TableParagraph"/>
              <w:spacing w:line="169" w:lineRule="exact"/>
              <w:ind w:left="98" w:right="479"/>
              <w:rPr>
                <w:sz w:val="14"/>
              </w:rPr>
            </w:pPr>
            <w:r>
              <w:rPr>
                <w:w w:val="105"/>
                <w:sz w:val="14"/>
              </w:rPr>
              <w:t>2286 San Pablo Autopan</w:t>
            </w:r>
          </w:p>
        </w:tc>
        <w:tc>
          <w:tcPr>
            <w:tcW w:w="927" w:type="dxa"/>
            <w:tcBorders>
              <w:top w:val="nil"/>
              <w:left w:val="single" w:sz="10" w:space="0" w:color="000000"/>
              <w:bottom w:val="nil"/>
              <w:right w:val="single" w:sz="10" w:space="0" w:color="000000"/>
            </w:tcBorders>
          </w:tcPr>
          <w:p>
            <w:pPr>
              <w:pStyle w:val="TableParagraph"/>
              <w:spacing w:line="169" w:lineRule="exact"/>
              <w:ind w:left="12"/>
              <w:rPr>
                <w:sz w:val="14"/>
              </w:rPr>
            </w:pPr>
            <w:r>
              <w:rPr>
                <w:w w:val="105"/>
                <w:sz w:val="14"/>
              </w:rPr>
              <w:t>Zinacantepec</w:t>
            </w:r>
          </w:p>
        </w:tc>
        <w:tc>
          <w:tcPr>
            <w:tcW w:w="2993" w:type="dxa"/>
            <w:gridSpan w:val="2"/>
            <w:tcBorders>
              <w:top w:val="nil"/>
              <w:left w:val="single" w:sz="10" w:space="0" w:color="000000"/>
              <w:bottom w:val="nil"/>
            </w:tcBorders>
          </w:tcPr>
          <w:p>
            <w:pPr>
              <w:pStyle w:val="TableParagraph"/>
              <w:spacing w:line="169" w:lineRule="exact"/>
              <w:ind w:left="98"/>
              <w:rPr>
                <w:sz w:val="14"/>
              </w:rPr>
            </w:pPr>
            <w:r>
              <w:rPr>
                <w:w w:val="105"/>
                <w:sz w:val="14"/>
              </w:rPr>
              <w:t>0204 Santa María del Monte</w:t>
            </w:r>
          </w:p>
        </w:tc>
      </w:tr>
      <w:tr>
        <w:trPr>
          <w:trHeight w:val="191" w:hRule="exact"/>
        </w:trPr>
        <w:tc>
          <w:tcPr>
            <w:tcW w:w="1334" w:type="dxa"/>
            <w:tcBorders>
              <w:top w:val="nil"/>
              <w:bottom w:val="nil"/>
              <w:right w:val="single" w:sz="10" w:space="0" w:color="000000"/>
            </w:tcBorders>
          </w:tcPr>
          <w:p>
            <w:pPr>
              <w:pStyle w:val="TableParagraph"/>
              <w:spacing w:line="169" w:lineRule="exact"/>
              <w:ind w:left="12"/>
              <w:rPr>
                <w:sz w:val="14"/>
              </w:rPr>
            </w:pPr>
            <w:r>
              <w:rPr>
                <w:w w:val="105"/>
                <w:sz w:val="14"/>
              </w:rPr>
              <w:t>Toluca</w:t>
            </w:r>
          </w:p>
        </w:tc>
        <w:tc>
          <w:tcPr>
            <w:tcW w:w="3561" w:type="dxa"/>
            <w:gridSpan w:val="2"/>
            <w:tcBorders>
              <w:top w:val="nil"/>
              <w:left w:val="single" w:sz="10" w:space="0" w:color="000000"/>
              <w:bottom w:val="nil"/>
              <w:right w:val="single" w:sz="10" w:space="0" w:color="000000"/>
            </w:tcBorders>
          </w:tcPr>
          <w:p>
            <w:pPr>
              <w:pStyle w:val="TableParagraph"/>
              <w:spacing w:line="169" w:lineRule="exact"/>
              <w:ind w:left="98" w:right="479"/>
              <w:rPr>
                <w:sz w:val="14"/>
              </w:rPr>
            </w:pPr>
            <w:r>
              <w:rPr>
                <w:w w:val="105"/>
                <w:sz w:val="14"/>
              </w:rPr>
              <w:t>2746 La Constitución Toltepec</w:t>
            </w:r>
          </w:p>
        </w:tc>
        <w:tc>
          <w:tcPr>
            <w:tcW w:w="927" w:type="dxa"/>
            <w:tcBorders>
              <w:top w:val="nil"/>
              <w:left w:val="single" w:sz="10" w:space="0" w:color="000000"/>
              <w:bottom w:val="nil"/>
              <w:right w:val="single" w:sz="10" w:space="0" w:color="000000"/>
            </w:tcBorders>
          </w:tcPr>
          <w:p>
            <w:pPr>
              <w:pStyle w:val="TableParagraph"/>
              <w:spacing w:line="169" w:lineRule="exact"/>
              <w:ind w:left="12"/>
              <w:rPr>
                <w:sz w:val="14"/>
              </w:rPr>
            </w:pPr>
            <w:r>
              <w:rPr>
                <w:w w:val="105"/>
                <w:sz w:val="14"/>
              </w:rPr>
              <w:t>Zinacantepec</w:t>
            </w:r>
          </w:p>
        </w:tc>
        <w:tc>
          <w:tcPr>
            <w:tcW w:w="2993" w:type="dxa"/>
            <w:gridSpan w:val="2"/>
            <w:tcBorders>
              <w:top w:val="nil"/>
              <w:left w:val="single" w:sz="10" w:space="0" w:color="000000"/>
              <w:bottom w:val="nil"/>
            </w:tcBorders>
          </w:tcPr>
          <w:p>
            <w:pPr>
              <w:pStyle w:val="TableParagraph"/>
              <w:spacing w:line="169" w:lineRule="exact"/>
              <w:ind w:left="86"/>
              <w:rPr>
                <w:sz w:val="14"/>
              </w:rPr>
            </w:pPr>
            <w:r>
              <w:rPr>
                <w:w w:val="105"/>
                <w:sz w:val="14"/>
              </w:rPr>
              <w:t>069A Ejido San Lorenzo Cuauhtenco</w:t>
            </w:r>
          </w:p>
        </w:tc>
      </w:tr>
      <w:tr>
        <w:trPr>
          <w:trHeight w:val="191" w:hRule="exact"/>
        </w:trPr>
        <w:tc>
          <w:tcPr>
            <w:tcW w:w="1334" w:type="dxa"/>
            <w:tcBorders>
              <w:top w:val="nil"/>
              <w:bottom w:val="nil"/>
              <w:right w:val="single" w:sz="10" w:space="0" w:color="000000"/>
            </w:tcBorders>
          </w:tcPr>
          <w:p>
            <w:pPr>
              <w:pStyle w:val="TableParagraph"/>
              <w:spacing w:line="169" w:lineRule="exact"/>
              <w:ind w:left="12"/>
              <w:rPr>
                <w:sz w:val="14"/>
              </w:rPr>
            </w:pPr>
            <w:r>
              <w:rPr>
                <w:w w:val="105"/>
                <w:sz w:val="14"/>
              </w:rPr>
              <w:t>Toluca</w:t>
            </w:r>
          </w:p>
        </w:tc>
        <w:tc>
          <w:tcPr>
            <w:tcW w:w="3561" w:type="dxa"/>
            <w:gridSpan w:val="2"/>
            <w:tcBorders>
              <w:top w:val="nil"/>
              <w:left w:val="single" w:sz="10" w:space="0" w:color="000000"/>
              <w:bottom w:val="nil"/>
              <w:right w:val="single" w:sz="10" w:space="0" w:color="000000"/>
            </w:tcBorders>
          </w:tcPr>
          <w:p>
            <w:pPr>
              <w:pStyle w:val="TableParagraph"/>
              <w:spacing w:line="169" w:lineRule="exact"/>
              <w:ind w:left="85"/>
              <w:rPr>
                <w:sz w:val="14"/>
              </w:rPr>
            </w:pPr>
            <w:r>
              <w:rPr>
                <w:w w:val="105"/>
                <w:sz w:val="14"/>
              </w:rPr>
              <w:t>252A San Diego los Padres Cuexcontitlán Sección 5 B</w:t>
            </w:r>
          </w:p>
        </w:tc>
        <w:tc>
          <w:tcPr>
            <w:tcW w:w="927" w:type="dxa"/>
            <w:tcBorders>
              <w:top w:val="nil"/>
              <w:left w:val="single" w:sz="10" w:space="0" w:color="000000"/>
              <w:bottom w:val="nil"/>
              <w:right w:val="single" w:sz="10" w:space="0" w:color="000000"/>
            </w:tcBorders>
          </w:tcPr>
          <w:p>
            <w:pPr>
              <w:pStyle w:val="TableParagraph"/>
              <w:spacing w:line="169" w:lineRule="exact"/>
              <w:ind w:left="12"/>
              <w:rPr>
                <w:sz w:val="14"/>
              </w:rPr>
            </w:pPr>
            <w:r>
              <w:rPr>
                <w:w w:val="105"/>
                <w:sz w:val="14"/>
              </w:rPr>
              <w:t>Zinacantepec</w:t>
            </w:r>
          </w:p>
        </w:tc>
        <w:tc>
          <w:tcPr>
            <w:tcW w:w="2993" w:type="dxa"/>
            <w:gridSpan w:val="2"/>
            <w:tcBorders>
              <w:top w:val="nil"/>
              <w:left w:val="single" w:sz="10" w:space="0" w:color="000000"/>
              <w:bottom w:val="nil"/>
            </w:tcBorders>
          </w:tcPr>
          <w:p>
            <w:pPr>
              <w:pStyle w:val="TableParagraph"/>
              <w:spacing w:line="169" w:lineRule="exact"/>
              <w:ind w:left="98"/>
              <w:rPr>
                <w:sz w:val="14"/>
              </w:rPr>
            </w:pPr>
            <w:r>
              <w:rPr>
                <w:w w:val="105"/>
                <w:sz w:val="14"/>
              </w:rPr>
              <w:t>0609 Barrio de México</w:t>
            </w:r>
          </w:p>
        </w:tc>
      </w:tr>
      <w:tr>
        <w:trPr>
          <w:trHeight w:val="190" w:hRule="exact"/>
        </w:trPr>
        <w:tc>
          <w:tcPr>
            <w:tcW w:w="1334" w:type="dxa"/>
            <w:tcBorders>
              <w:top w:val="nil"/>
              <w:bottom w:val="nil"/>
              <w:right w:val="single" w:sz="10" w:space="0" w:color="000000"/>
            </w:tcBorders>
          </w:tcPr>
          <w:p>
            <w:pPr>
              <w:pStyle w:val="TableParagraph"/>
              <w:spacing w:line="169" w:lineRule="exact"/>
              <w:ind w:left="12"/>
              <w:rPr>
                <w:sz w:val="14"/>
              </w:rPr>
            </w:pPr>
            <w:r>
              <w:rPr>
                <w:w w:val="105"/>
                <w:sz w:val="14"/>
              </w:rPr>
              <w:t>Toluca</w:t>
            </w:r>
          </w:p>
        </w:tc>
        <w:tc>
          <w:tcPr>
            <w:tcW w:w="3561" w:type="dxa"/>
            <w:gridSpan w:val="2"/>
            <w:tcBorders>
              <w:top w:val="nil"/>
              <w:left w:val="single" w:sz="10" w:space="0" w:color="000000"/>
              <w:bottom w:val="nil"/>
              <w:right w:val="single" w:sz="10" w:space="0" w:color="000000"/>
            </w:tcBorders>
          </w:tcPr>
          <w:p>
            <w:pPr>
              <w:pStyle w:val="TableParagraph"/>
              <w:spacing w:line="169" w:lineRule="exact"/>
              <w:ind w:left="98" w:right="479"/>
              <w:rPr>
                <w:sz w:val="14"/>
              </w:rPr>
            </w:pPr>
            <w:r>
              <w:rPr>
                <w:w w:val="105"/>
                <w:sz w:val="14"/>
              </w:rPr>
              <w:t>2549 Barrio Santa Cruz</w:t>
            </w:r>
          </w:p>
        </w:tc>
        <w:tc>
          <w:tcPr>
            <w:tcW w:w="927" w:type="dxa"/>
            <w:tcBorders>
              <w:top w:val="nil"/>
              <w:left w:val="single" w:sz="10" w:space="0" w:color="000000"/>
              <w:bottom w:val="nil"/>
              <w:right w:val="single" w:sz="10" w:space="0" w:color="000000"/>
            </w:tcBorders>
          </w:tcPr>
          <w:p>
            <w:pPr>
              <w:pStyle w:val="TableParagraph"/>
              <w:spacing w:line="169" w:lineRule="exact"/>
              <w:ind w:left="12"/>
              <w:rPr>
                <w:sz w:val="14"/>
              </w:rPr>
            </w:pPr>
            <w:r>
              <w:rPr>
                <w:w w:val="105"/>
                <w:sz w:val="14"/>
              </w:rPr>
              <w:t>Zinacantepec</w:t>
            </w:r>
          </w:p>
        </w:tc>
        <w:tc>
          <w:tcPr>
            <w:tcW w:w="2993" w:type="dxa"/>
            <w:gridSpan w:val="2"/>
            <w:tcBorders>
              <w:top w:val="nil"/>
              <w:left w:val="single" w:sz="10" w:space="0" w:color="000000"/>
              <w:bottom w:val="nil"/>
            </w:tcBorders>
          </w:tcPr>
          <w:p>
            <w:pPr>
              <w:pStyle w:val="TableParagraph"/>
              <w:spacing w:line="169" w:lineRule="exact"/>
              <w:ind w:left="98"/>
              <w:rPr>
                <w:sz w:val="14"/>
              </w:rPr>
            </w:pPr>
            <w:r>
              <w:rPr>
                <w:w w:val="105"/>
                <w:sz w:val="14"/>
              </w:rPr>
              <w:t>0420 Tejalpa</w:t>
            </w:r>
          </w:p>
        </w:tc>
      </w:tr>
      <w:tr>
        <w:trPr>
          <w:trHeight w:val="189" w:hRule="exact"/>
        </w:trPr>
        <w:tc>
          <w:tcPr>
            <w:tcW w:w="1334" w:type="dxa"/>
            <w:tcBorders>
              <w:top w:val="nil"/>
              <w:bottom w:val="nil"/>
              <w:right w:val="single" w:sz="10" w:space="0" w:color="000000"/>
            </w:tcBorders>
          </w:tcPr>
          <w:p>
            <w:pPr>
              <w:pStyle w:val="TableParagraph"/>
              <w:spacing w:line="169" w:lineRule="exact"/>
              <w:ind w:left="12"/>
              <w:rPr>
                <w:sz w:val="14"/>
              </w:rPr>
            </w:pPr>
            <w:r>
              <w:rPr>
                <w:w w:val="105"/>
                <w:sz w:val="14"/>
              </w:rPr>
              <w:t>Toluca</w:t>
            </w:r>
          </w:p>
        </w:tc>
        <w:tc>
          <w:tcPr>
            <w:tcW w:w="3561" w:type="dxa"/>
            <w:gridSpan w:val="2"/>
            <w:tcBorders>
              <w:top w:val="nil"/>
              <w:left w:val="single" w:sz="10" w:space="0" w:color="000000"/>
              <w:bottom w:val="nil"/>
              <w:right w:val="single" w:sz="10" w:space="0" w:color="000000"/>
            </w:tcBorders>
          </w:tcPr>
          <w:p>
            <w:pPr>
              <w:pStyle w:val="TableParagraph"/>
              <w:spacing w:line="169" w:lineRule="exact"/>
              <w:ind w:left="98" w:right="479"/>
              <w:rPr>
                <w:sz w:val="14"/>
              </w:rPr>
            </w:pPr>
            <w:r>
              <w:rPr>
                <w:w w:val="105"/>
                <w:sz w:val="14"/>
              </w:rPr>
              <w:t>3778 Fraccionamiento Real de San Pablo</w:t>
            </w:r>
          </w:p>
        </w:tc>
        <w:tc>
          <w:tcPr>
            <w:tcW w:w="927" w:type="dxa"/>
            <w:tcBorders>
              <w:top w:val="nil"/>
              <w:left w:val="single" w:sz="10" w:space="0" w:color="000000"/>
              <w:bottom w:val="nil"/>
              <w:right w:val="single" w:sz="10" w:space="0" w:color="000000"/>
            </w:tcBorders>
          </w:tcPr>
          <w:p>
            <w:pPr>
              <w:pStyle w:val="TableParagraph"/>
              <w:spacing w:line="169" w:lineRule="exact"/>
              <w:ind w:left="12"/>
              <w:rPr>
                <w:sz w:val="14"/>
              </w:rPr>
            </w:pPr>
            <w:r>
              <w:rPr>
                <w:w w:val="105"/>
                <w:sz w:val="14"/>
              </w:rPr>
              <w:t>Zinacantepec</w:t>
            </w:r>
          </w:p>
        </w:tc>
        <w:tc>
          <w:tcPr>
            <w:tcW w:w="2993" w:type="dxa"/>
            <w:gridSpan w:val="2"/>
            <w:tcBorders>
              <w:top w:val="nil"/>
              <w:left w:val="single" w:sz="10" w:space="0" w:color="000000"/>
              <w:bottom w:val="nil"/>
            </w:tcBorders>
          </w:tcPr>
          <w:p>
            <w:pPr>
              <w:pStyle w:val="TableParagraph"/>
              <w:spacing w:line="169" w:lineRule="exact"/>
              <w:ind w:left="98"/>
              <w:rPr>
                <w:sz w:val="14"/>
              </w:rPr>
            </w:pPr>
            <w:r>
              <w:rPr>
                <w:w w:val="105"/>
                <w:sz w:val="14"/>
              </w:rPr>
              <w:t>0416 Ejido San Lorenzo Cuauhtenco</w:t>
            </w:r>
          </w:p>
        </w:tc>
      </w:tr>
      <w:tr>
        <w:trPr>
          <w:trHeight w:val="187" w:hRule="exact"/>
        </w:trPr>
        <w:tc>
          <w:tcPr>
            <w:tcW w:w="1334" w:type="dxa"/>
            <w:tcBorders>
              <w:top w:val="nil"/>
              <w:right w:val="single" w:sz="10" w:space="0" w:color="000000"/>
            </w:tcBorders>
          </w:tcPr>
          <w:p>
            <w:pPr>
              <w:pStyle w:val="TableParagraph"/>
              <w:spacing w:line="168" w:lineRule="exact"/>
              <w:ind w:left="12"/>
              <w:rPr>
                <w:sz w:val="14"/>
              </w:rPr>
            </w:pPr>
            <w:r>
              <w:rPr>
                <w:w w:val="105"/>
                <w:sz w:val="14"/>
              </w:rPr>
              <w:t>Toluca</w:t>
            </w:r>
          </w:p>
        </w:tc>
        <w:tc>
          <w:tcPr>
            <w:tcW w:w="3561" w:type="dxa"/>
            <w:gridSpan w:val="2"/>
            <w:tcBorders>
              <w:top w:val="nil"/>
              <w:left w:val="single" w:sz="10" w:space="0" w:color="000000"/>
              <w:right w:val="single" w:sz="10" w:space="0" w:color="000000"/>
            </w:tcBorders>
          </w:tcPr>
          <w:p>
            <w:pPr>
              <w:pStyle w:val="TableParagraph"/>
              <w:spacing w:line="168" w:lineRule="exact"/>
              <w:ind w:left="85" w:right="479"/>
              <w:rPr>
                <w:sz w:val="14"/>
              </w:rPr>
            </w:pPr>
            <w:r>
              <w:rPr>
                <w:w w:val="105"/>
                <w:sz w:val="14"/>
              </w:rPr>
              <w:t>277A Toluca de Lerdo</w:t>
            </w:r>
          </w:p>
        </w:tc>
        <w:tc>
          <w:tcPr>
            <w:tcW w:w="927" w:type="dxa"/>
            <w:tcBorders>
              <w:top w:val="nil"/>
              <w:left w:val="single" w:sz="10" w:space="0" w:color="000000"/>
              <w:right w:val="single" w:sz="10" w:space="0" w:color="000000"/>
            </w:tcBorders>
          </w:tcPr>
          <w:p>
            <w:pPr>
              <w:pStyle w:val="TableParagraph"/>
              <w:spacing w:line="168" w:lineRule="exact"/>
              <w:ind w:left="12"/>
              <w:rPr>
                <w:sz w:val="14"/>
              </w:rPr>
            </w:pPr>
            <w:r>
              <w:rPr>
                <w:w w:val="105"/>
                <w:sz w:val="14"/>
              </w:rPr>
              <w:t>Zinacantepec</w:t>
            </w:r>
          </w:p>
        </w:tc>
        <w:tc>
          <w:tcPr>
            <w:tcW w:w="2993" w:type="dxa"/>
            <w:gridSpan w:val="2"/>
            <w:tcBorders>
              <w:top w:val="nil"/>
              <w:left w:val="single" w:sz="10" w:space="0" w:color="000000"/>
            </w:tcBorders>
          </w:tcPr>
          <w:p>
            <w:pPr>
              <w:pStyle w:val="TableParagraph"/>
              <w:spacing w:line="168" w:lineRule="exact"/>
              <w:ind w:left="86"/>
              <w:rPr>
                <w:sz w:val="14"/>
              </w:rPr>
            </w:pPr>
            <w:r>
              <w:rPr>
                <w:w w:val="105"/>
                <w:sz w:val="14"/>
              </w:rPr>
              <w:t>037A El Cóporo</w:t>
            </w:r>
          </w:p>
        </w:tc>
      </w:tr>
    </w:tbl>
    <w:p>
      <w:pPr>
        <w:spacing w:before="1"/>
        <w:ind w:left="102" w:right="0" w:firstLine="36"/>
        <w:jc w:val="both"/>
        <w:rPr>
          <w:sz w:val="20"/>
        </w:rPr>
      </w:pPr>
      <w:r>
        <w:rPr>
          <w:sz w:val="20"/>
        </w:rPr>
        <w:t>Fuente: Elaboración propia con base en los datos del Censo de Población y Vivienda INEGI, 2010</w:t>
      </w:r>
    </w:p>
    <w:p>
      <w:pPr>
        <w:pStyle w:val="BodyText"/>
        <w:rPr>
          <w:sz w:val="20"/>
        </w:rPr>
      </w:pPr>
    </w:p>
    <w:p>
      <w:pPr>
        <w:pStyle w:val="BodyText"/>
        <w:rPr>
          <w:sz w:val="20"/>
        </w:rPr>
      </w:pPr>
    </w:p>
    <w:p>
      <w:pPr>
        <w:pStyle w:val="BodyText"/>
        <w:spacing w:before="3"/>
        <w:rPr>
          <w:sz w:val="16"/>
        </w:rPr>
      </w:pPr>
    </w:p>
    <w:p>
      <w:pPr>
        <w:pStyle w:val="BodyText"/>
        <w:spacing w:line="360" w:lineRule="auto"/>
        <w:ind w:left="102" w:right="137"/>
        <w:jc w:val="both"/>
      </w:pPr>
      <w:r>
        <w:rPr/>
        <w:t>Temoaya registró 7 ageb´s San Pedro Arriba (016A, 0085, 0189), San Pedro  Abajo (0282, 0297), San Lorenzo Oyamel y Enthavi. Toluca registró 32 ageb´s, nueve se ubican en la cabecera municipal (3570, 3706, 3763, 277A, 2337,   </w:t>
      </w:r>
      <w:r>
        <w:rPr>
          <w:spacing w:val="15"/>
        </w:rPr>
        <w:t> </w:t>
      </w:r>
      <w:r>
        <w:rPr/>
        <w:t>3585,</w:t>
      </w:r>
    </w:p>
    <w:p>
      <w:pPr>
        <w:pStyle w:val="BodyText"/>
        <w:spacing w:before="2"/>
        <w:ind w:left="102"/>
        <w:jc w:val="both"/>
      </w:pPr>
      <w:r>
        <w:rPr/>
        <w:t>3119, 2587, 2676), Tlachaloya segunda sección, 5 ageb´s en San Pablo   Autopan</w:t>
      </w:r>
    </w:p>
    <w:p>
      <w:pPr>
        <w:pStyle w:val="BodyText"/>
        <w:spacing w:line="360" w:lineRule="auto" w:before="139"/>
        <w:ind w:left="102" w:right="141"/>
        <w:jc w:val="both"/>
      </w:pPr>
      <w:r>
        <w:rPr/>
        <w:t>(2286, 2712, 2727, 1659, 170A), 2 ageb´s en La Constitución Toltepec (2746, 2731),  San  Diego  los  Padres  Cuexcontitlán  sección  5B,  Barrio  Santa     Cruz,</w:t>
      </w:r>
    </w:p>
    <w:p>
      <w:pPr>
        <w:spacing w:after="0" w:line="360" w:lineRule="auto"/>
        <w:jc w:val="both"/>
        <w:sectPr>
          <w:footerReference w:type="default" r:id="rId988"/>
          <w:pgSz w:w="12240" w:h="15840"/>
          <w:pgMar w:footer="1003" w:header="0" w:top="1360" w:bottom="1200" w:left="1600" w:right="1560"/>
          <w:pgNumType w:start="190"/>
        </w:sectPr>
      </w:pPr>
    </w:p>
    <w:p>
      <w:pPr>
        <w:pStyle w:val="BodyText"/>
        <w:spacing w:line="360" w:lineRule="auto" w:before="54"/>
        <w:ind w:left="102" w:right="115"/>
        <w:jc w:val="both"/>
      </w:pPr>
      <w:r>
        <w:rPr/>
        <w:t>Fraccionamiento Real de San Pablo, San Mateo Otzacatipan, San Miguel Totoltepec, Calixtlahuaca, 2 ageb´s San Diego de los Padres Cuexcontitlán (3744, 373A), 4 ageb´s en San Andrés Cuexcontitlán (1767, 2680,  1771,  2407),  el Cerrillo Vistahermosa, Jicaltepec Autopan, Jicaltepec Cuexcontitlán.</w:t>
      </w:r>
    </w:p>
    <w:p>
      <w:pPr>
        <w:pStyle w:val="BodyText"/>
      </w:pPr>
    </w:p>
    <w:p>
      <w:pPr>
        <w:pStyle w:val="BodyText"/>
        <w:spacing w:line="360" w:lineRule="auto" w:before="142"/>
        <w:ind w:left="102" w:right="121"/>
        <w:jc w:val="both"/>
      </w:pPr>
      <w:r>
        <w:rPr/>
        <w:t>Zinacantepec registró 9 ageb´s los cuales son: San Antonio Acahualco, 2 ageb´s en Santa María del Monte (0596, 0204), Conjunto Urbano La Loma I, 2 ageb´s en el Ejido San Lorenzo Cuahutenco (069A, 0416), Barrio México, Tejalpa y El Cóporo</w:t>
      </w:r>
    </w:p>
    <w:p>
      <w:pPr>
        <w:pStyle w:val="BodyText"/>
      </w:pPr>
    </w:p>
    <w:p>
      <w:pPr>
        <w:pStyle w:val="BodyText"/>
        <w:spacing w:line="360" w:lineRule="auto" w:before="142"/>
        <w:ind w:left="102" w:right="122"/>
        <w:jc w:val="both"/>
      </w:pPr>
      <w:r>
        <w:rPr/>
        <w:t>Seis municipios que integran la zona metropolitana no registraron ageb´s con muy baja habitabilidad para sus viviendas los cuales son: Calimaya, Chapultepec, Lerma, Mexicaltzingo, Rayón y Xonacatlán, todo esto con base en las 16 variables analizadas y evaluadas por medio del método Saaty aplicado para la  investigación.</w:t>
      </w:r>
    </w:p>
    <w:p>
      <w:pPr>
        <w:pStyle w:val="BodyText"/>
      </w:pPr>
    </w:p>
    <w:p>
      <w:pPr>
        <w:pStyle w:val="BodyText"/>
        <w:spacing w:line="360" w:lineRule="auto" w:before="142"/>
        <w:ind w:left="102" w:right="119"/>
        <w:jc w:val="both"/>
      </w:pPr>
      <w:r>
        <w:rPr/>
        <w:t>Como aporte a la investigación en la siguiente sección se hace la evaluación de la habitabilidad de las viviendas a través de la construcción de un índice de habitabilidad por medio de variables del entorno donde están ubicadas las viviendas.</w:t>
      </w:r>
    </w:p>
    <w:p>
      <w:pPr>
        <w:pStyle w:val="BodyText"/>
      </w:pPr>
    </w:p>
    <w:p>
      <w:pPr>
        <w:pStyle w:val="BodyText"/>
      </w:pPr>
    </w:p>
    <w:p>
      <w:pPr>
        <w:pStyle w:val="Heading3"/>
        <w:numPr>
          <w:ilvl w:val="1"/>
          <w:numId w:val="25"/>
        </w:numPr>
        <w:tabs>
          <w:tab w:pos="527" w:val="left" w:leader="none"/>
        </w:tabs>
        <w:spacing w:line="240" w:lineRule="auto" w:before="204" w:after="0"/>
        <w:ind w:left="526" w:right="0" w:hanging="424"/>
        <w:jc w:val="both"/>
      </w:pPr>
      <w:bookmarkStart w:name="_TOC_250008" w:id="26"/>
      <w:r>
        <w:rPr>
          <w:color w:val="4F81BC"/>
        </w:rPr>
        <w:t>Evaluación del entorno de las viviendas y su</w:t>
      </w:r>
      <w:r>
        <w:rPr>
          <w:color w:val="4F81BC"/>
          <w:spacing w:val="-31"/>
        </w:rPr>
        <w:t> </w:t>
      </w:r>
      <w:bookmarkEnd w:id="26"/>
      <w:r>
        <w:rPr>
          <w:color w:val="4F81BC"/>
        </w:rPr>
        <w:t>habitabilidad</w:t>
      </w:r>
    </w:p>
    <w:p>
      <w:pPr>
        <w:pStyle w:val="BodyText"/>
        <w:rPr>
          <w:rFonts w:ascii="Cambria"/>
          <w:b/>
          <w:sz w:val="26"/>
        </w:rPr>
      </w:pPr>
    </w:p>
    <w:p>
      <w:pPr>
        <w:pStyle w:val="BodyText"/>
        <w:spacing w:before="6"/>
        <w:rPr>
          <w:rFonts w:ascii="Cambria"/>
          <w:b/>
          <w:sz w:val="23"/>
        </w:rPr>
      </w:pPr>
    </w:p>
    <w:p>
      <w:pPr>
        <w:pStyle w:val="BodyText"/>
        <w:spacing w:line="360" w:lineRule="auto"/>
        <w:ind w:left="102" w:right="114"/>
        <w:jc w:val="both"/>
      </w:pPr>
      <w:r>
        <w:rPr/>
        <w:t>En este apartado de la investigación se analiza e interpreta la evaluación del entorno de las viviendas, por medio, del índice de habitabilidad de las viviendas respecto a su ubicación a través del método del índice de accesibilidad, que se encuentran en la zona metropolitana de Toluca, utilizando seis variables del  </w:t>
      </w:r>
      <w:r>
        <w:rPr>
          <w:sz w:val="19"/>
        </w:rPr>
        <w:t>DENUE</w:t>
      </w:r>
      <w:r>
        <w:rPr/>
        <w:t>, 2014; las cuales son; el empleo, educación, salud, abasto de alimentos, áreas verdes y recreación, obteniendo un índice de habitabilidad del entorno de  las</w:t>
      </w:r>
      <w:r>
        <w:rPr>
          <w:spacing w:val="-5"/>
        </w:rPr>
        <w:t> </w:t>
      </w:r>
      <w:r>
        <w:rPr/>
        <w:t>viviendas.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5"/>
        <w:jc w:val="both"/>
      </w:pPr>
      <w:r>
        <w:rPr/>
        <w:t>Adicionalmente en la investigación se evaluó la habitabilidad de las viviendas con las variables del Directorio Estadístico Nacional de Unidades Económicas (</w:t>
      </w:r>
      <w:r>
        <w:rPr>
          <w:sz w:val="19"/>
        </w:rPr>
        <w:t>DENUE</w:t>
      </w:r>
      <w:r>
        <w:rPr/>
        <w:t>, 2014) del </w:t>
      </w:r>
      <w:r>
        <w:rPr>
          <w:sz w:val="19"/>
        </w:rPr>
        <w:t>INEGI</w:t>
      </w:r>
      <w:r>
        <w:rPr/>
        <w:t>, variables que no encontramos en el Censo de Población y Vivienda 2010. Reconociendo la metodología del análisis espacial por medio del método de accesibilidad, haciendo referencia al papel que juega la localización de las viviendas respecto a los equipamientos e infraestructura donde se prestan los servicios analizados (empleo, educación, salud, abasto de alimentos, áreas verdes,</w:t>
      </w:r>
      <w:r>
        <w:rPr>
          <w:spacing w:val="-2"/>
        </w:rPr>
        <w:t> </w:t>
      </w:r>
      <w:r>
        <w:rPr/>
        <w:t>recreación).</w:t>
      </w:r>
    </w:p>
    <w:p>
      <w:pPr>
        <w:pStyle w:val="BodyText"/>
      </w:pPr>
    </w:p>
    <w:p>
      <w:pPr>
        <w:pStyle w:val="BodyText"/>
        <w:spacing w:line="360" w:lineRule="auto" w:before="142"/>
        <w:ind w:left="102" w:right="123"/>
        <w:jc w:val="both"/>
      </w:pPr>
      <w:r>
        <w:rPr/>
        <w:t>En el siguiente apartado se analiza la oferta de empleo, respecto a la ubicación o localización de las viviendas en la zona metropolitana en estudio.</w:t>
      </w:r>
    </w:p>
    <w:p>
      <w:pPr>
        <w:pStyle w:val="BodyText"/>
      </w:pPr>
    </w:p>
    <w:p>
      <w:pPr>
        <w:pStyle w:val="BodyText"/>
        <w:spacing w:before="9"/>
        <w:rPr>
          <w:sz w:val="29"/>
        </w:rPr>
      </w:pPr>
    </w:p>
    <w:p>
      <w:pPr>
        <w:pStyle w:val="ListParagraph"/>
        <w:numPr>
          <w:ilvl w:val="2"/>
          <w:numId w:val="25"/>
        </w:numPr>
        <w:tabs>
          <w:tab w:pos="594" w:val="left" w:leader="none"/>
        </w:tabs>
        <w:spacing w:line="240" w:lineRule="auto" w:before="0" w:after="0"/>
        <w:ind w:left="593" w:right="0" w:hanging="491"/>
        <w:jc w:val="both"/>
        <w:rPr>
          <w:rFonts w:ascii="Cambria"/>
          <w:b/>
          <w:sz w:val="22"/>
        </w:rPr>
      </w:pPr>
      <w:r>
        <w:rPr>
          <w:rFonts w:ascii="Cambria"/>
          <w:b/>
          <w:color w:val="4F81BC"/>
          <w:sz w:val="22"/>
        </w:rPr>
        <w:t>Empleo</w:t>
      </w:r>
    </w:p>
    <w:p>
      <w:pPr>
        <w:pStyle w:val="BodyText"/>
        <w:rPr>
          <w:rFonts w:ascii="Cambria"/>
          <w:b/>
          <w:sz w:val="22"/>
        </w:rPr>
      </w:pPr>
    </w:p>
    <w:p>
      <w:pPr>
        <w:pStyle w:val="BodyText"/>
        <w:spacing w:line="360" w:lineRule="auto" w:before="195"/>
        <w:ind w:left="102" w:right="119"/>
        <w:jc w:val="both"/>
      </w:pPr>
      <w:r>
        <w:rPr/>
        <w:t>La variable empleo fue obtenida del </w:t>
      </w:r>
      <w:r>
        <w:rPr>
          <w:sz w:val="19"/>
        </w:rPr>
        <w:t>DENUE</w:t>
      </w:r>
      <w:r>
        <w:rPr/>
        <w:t>, 2014a escala AGEB, donde se descubrió la estructura de las fuentes de empleo en la zona metropolitana de Toluca y se identifican las zonas donde se concentra la oferta de trabajo. Esta información fue utilizada en esta investigación para determinar la accesibilidad a las fuentes de trabajo.</w:t>
      </w:r>
    </w:p>
    <w:p>
      <w:pPr>
        <w:pStyle w:val="BodyText"/>
      </w:pPr>
    </w:p>
    <w:p>
      <w:pPr>
        <w:pStyle w:val="BodyText"/>
        <w:spacing w:line="360" w:lineRule="auto" w:before="142"/>
        <w:ind w:left="102" w:right="119"/>
        <w:jc w:val="both"/>
      </w:pPr>
      <w:r>
        <w:rPr/>
        <w:t>Esta variable del empleo es un indicador de alta importancia debido a que bajo el modelo neoliberal que actualmente funciona en nuestro país, cada vez son menos las fuentes formales de trabajo que brindan a los trabajadores una serie de prestaciones laborales como son el fondo de vivienda, la salud, fondo de ahorro por mencionar algunas.</w:t>
      </w:r>
    </w:p>
    <w:p>
      <w:pPr>
        <w:pStyle w:val="BodyText"/>
      </w:pPr>
    </w:p>
    <w:p>
      <w:pPr>
        <w:pStyle w:val="BodyText"/>
        <w:spacing w:line="360" w:lineRule="auto" w:before="142"/>
        <w:ind w:left="102" w:right="115"/>
        <w:jc w:val="both"/>
      </w:pPr>
      <w:r>
        <w:rPr/>
        <w:t>El empleo formal es importante para los habitantes de la zona metropolitana de Toluca, ya que teniendo empleo estas personas tienen la posibilidad de que sus viviendas estén ubicadas cerca de los servicios públicos de la ciudad, lo cual genera ventajas para contar con una buena habitabilidad que es el objetivo de  esta</w:t>
      </w:r>
      <w:r>
        <w:rPr>
          <w:spacing w:val="-4"/>
        </w:rPr>
        <w:t> </w:t>
      </w:r>
      <w:r>
        <w:rPr/>
        <w:t>investigación.</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pPr>
      <w:r>
        <w:rPr/>
        <w:t>Para la obtención del índice de accesibilidad al empleo respecto donde se ubican las viviendas, se obtuvo la población potencial a ocupar estas fuentes de empleo, es decir, la población económicamente activa (</w:t>
      </w:r>
      <w:r>
        <w:rPr>
          <w:sz w:val="19"/>
        </w:rPr>
        <w:t>PEA</w:t>
      </w:r>
      <w:r>
        <w:rPr/>
        <w:t>) de cada uno de los ageb´s donde se oferta el empleo.</w:t>
      </w:r>
    </w:p>
    <w:p>
      <w:pPr>
        <w:pStyle w:val="BodyText"/>
      </w:pPr>
    </w:p>
    <w:p>
      <w:pPr>
        <w:pStyle w:val="BodyText"/>
        <w:spacing w:line="360" w:lineRule="auto" w:before="142"/>
        <w:ind w:left="102" w:right="119"/>
        <w:jc w:val="both"/>
      </w:pPr>
      <w:r>
        <w:rPr/>
        <w:t>Este índice de accesibilidad de empleo analizado, se observa un claro patrón centro- periferia, donde las zonas con menores desventajas corresponden a las partes centrales de los municipios de Toluca y Metepec, mientras que conforme se aleja del centro, el valor de los indicadores empieza a representar mayores desventajas con respecto a las fuentes de empleo (ver mapa No. 23).</w:t>
      </w:r>
    </w:p>
    <w:p>
      <w:pPr>
        <w:pStyle w:val="BodyText"/>
      </w:pPr>
    </w:p>
    <w:p>
      <w:pPr>
        <w:pStyle w:val="BodyText"/>
        <w:spacing w:line="360" w:lineRule="auto" w:before="142"/>
        <w:ind w:left="102" w:right="116"/>
        <w:jc w:val="both"/>
      </w:pPr>
      <w:r>
        <w:rPr/>
        <w:t>A pesar de la gran importancia económica que tiene esta urbe, la distribución espacial de las fuentes laborales es heterogénea ya que existe un patrón de concentración en la parte que corresponde al centro de Toluca, además del corredor industrial Toluca-Lerma, los centros de Lerma, Zinacantepec así como en la zona comercial de Metepec.</w:t>
      </w:r>
    </w:p>
    <w:p>
      <w:pPr>
        <w:pStyle w:val="BodyText"/>
      </w:pPr>
    </w:p>
    <w:p>
      <w:pPr>
        <w:pStyle w:val="BodyText"/>
        <w:spacing w:line="360" w:lineRule="auto" w:before="142"/>
        <w:ind w:left="102" w:right="126"/>
        <w:jc w:val="both"/>
      </w:pPr>
      <w:r>
        <w:rPr/>
        <w:t>Se visualiza en el mapa 23 que la parte norte del municipio de Toluca es donde se presenta las menores fuentes de empleo, y como zonas criticas una parte del oriente del municipio, así como la parte poniente y sur del municipio, el municipio con las menores fuentes laborales es el municipio de Temoaya.</w:t>
      </w:r>
    </w:p>
    <w:p>
      <w:pPr>
        <w:pStyle w:val="BodyText"/>
      </w:pPr>
    </w:p>
    <w:p>
      <w:pPr>
        <w:spacing w:line="360" w:lineRule="auto" w:before="142"/>
        <w:ind w:left="102" w:right="118" w:firstLine="0"/>
        <w:jc w:val="both"/>
        <w:rPr>
          <w:sz w:val="24"/>
        </w:rPr>
      </w:pPr>
      <w:r>
        <w:rPr>
          <w:sz w:val="24"/>
        </w:rPr>
        <w:t>Realizando una recapitulación de los indicadores analizados hasta el momento, no queda duda que la </w:t>
      </w:r>
      <w:r>
        <w:rPr>
          <w:sz w:val="19"/>
        </w:rPr>
        <w:t>ZMT </w:t>
      </w:r>
      <w:r>
        <w:rPr>
          <w:sz w:val="24"/>
        </w:rPr>
        <w:t>coincide con la descripción de las ciudades mexicanas que hace Garrocho (2008) y que las concibe como “…</w:t>
      </w:r>
      <w:r>
        <w:rPr>
          <w:i/>
          <w:sz w:val="24"/>
        </w:rPr>
        <w:t>espacios segregados que </w:t>
      </w:r>
      <w:r>
        <w:rPr>
          <w:i/>
          <w:sz w:val="24"/>
        </w:rPr>
        <w:t>excluyen social y territorialmente a la población pobre; son altamente desiguales en su dotación de servicios y oportunidades </w:t>
      </w:r>
      <w:r>
        <w:rPr>
          <w:i/>
          <w:spacing w:val="3"/>
          <w:sz w:val="24"/>
        </w:rPr>
        <w:t>de </w:t>
      </w:r>
      <w:r>
        <w:rPr>
          <w:i/>
          <w:sz w:val="24"/>
        </w:rPr>
        <w:t>desarrollo familiar y colectivo…” </w:t>
      </w:r>
      <w:r>
        <w:rPr>
          <w:sz w:val="24"/>
        </w:rPr>
        <w:t>pues de acuerdo con los resultados de los datos, son claras las deficiencias en las periferias.</w:t>
      </w:r>
    </w:p>
    <w:p>
      <w:pPr>
        <w:spacing w:after="0" w:line="360" w:lineRule="auto"/>
        <w:jc w:val="both"/>
        <w:rPr>
          <w:sz w:val="24"/>
        </w:rPr>
        <w:sectPr>
          <w:pgSz w:w="12240" w:h="15840"/>
          <w:pgMar w:header="0" w:footer="1003" w:top="1360" w:bottom="1200" w:left="1600" w:right="1580"/>
        </w:sectPr>
      </w:pPr>
    </w:p>
    <w:p>
      <w:pPr>
        <w:spacing w:before="53" w:after="3"/>
        <w:ind w:left="196" w:right="216" w:firstLine="0"/>
        <w:jc w:val="center"/>
        <w:rPr>
          <w:sz w:val="20"/>
        </w:rPr>
      </w:pPr>
      <w:r>
        <w:rPr>
          <w:sz w:val="20"/>
        </w:rPr>
        <w:t>Mapa No. 23 Densidad de la oferta del empleo a nivel ageb´s en la </w:t>
      </w:r>
      <w:r>
        <w:rPr>
          <w:sz w:val="16"/>
        </w:rPr>
        <w:t>ZMT</w:t>
      </w:r>
      <w:r>
        <w:rPr>
          <w:sz w:val="20"/>
        </w:rPr>
        <w:t>, 2014.</w:t>
      </w:r>
    </w:p>
    <w:p>
      <w:pPr>
        <w:pStyle w:val="BodyText"/>
        <w:ind w:left="101"/>
        <w:rPr>
          <w:sz w:val="20"/>
        </w:rPr>
      </w:pPr>
      <w:r>
        <w:rPr>
          <w:sz w:val="20"/>
        </w:rPr>
        <w:drawing>
          <wp:inline distT="0" distB="0" distL="0" distR="0">
            <wp:extent cx="5645397" cy="3994023"/>
            <wp:effectExtent l="0" t="0" r="0" b="0"/>
            <wp:docPr id="167" name="image956.jpeg" descr=""/>
            <wp:cNvGraphicFramePr>
              <a:graphicFrameLocks noChangeAspect="1"/>
            </wp:cNvGraphicFramePr>
            <a:graphic>
              <a:graphicData uri="http://schemas.openxmlformats.org/drawingml/2006/picture">
                <pic:pic>
                  <pic:nvPicPr>
                    <pic:cNvPr id="168" name="image956.jpeg"/>
                    <pic:cNvPicPr/>
                  </pic:nvPicPr>
                  <pic:blipFill>
                    <a:blip r:embed="rId989" cstate="print"/>
                    <a:stretch>
                      <a:fillRect/>
                    </a:stretch>
                  </pic:blipFill>
                  <pic:spPr>
                    <a:xfrm>
                      <a:off x="0" y="0"/>
                      <a:ext cx="5645397" cy="3994023"/>
                    </a:xfrm>
                    <a:prstGeom prst="rect">
                      <a:avLst/>
                    </a:prstGeom>
                  </pic:spPr>
                </pic:pic>
              </a:graphicData>
            </a:graphic>
          </wp:inline>
        </w:drawing>
      </w:r>
      <w:r>
        <w:rPr>
          <w:sz w:val="20"/>
        </w:rPr>
      </w:r>
    </w:p>
    <w:p>
      <w:pPr>
        <w:spacing w:line="242" w:lineRule="auto" w:before="94"/>
        <w:ind w:left="3342" w:right="0" w:hanging="3164"/>
        <w:jc w:val="left"/>
        <w:rPr>
          <w:sz w:val="20"/>
        </w:rPr>
      </w:pPr>
      <w:r>
        <w:rPr>
          <w:sz w:val="20"/>
        </w:rPr>
        <w:t>Fuente: Elaboración propia con base en los datos del Directorio Estadístico Nacional de Unidades Económicas, INEGI, 2014.</w:t>
      </w:r>
    </w:p>
    <w:p>
      <w:pPr>
        <w:pStyle w:val="BodyText"/>
        <w:rPr>
          <w:sz w:val="20"/>
        </w:rPr>
      </w:pPr>
    </w:p>
    <w:p>
      <w:pPr>
        <w:pStyle w:val="BodyText"/>
        <w:rPr>
          <w:sz w:val="20"/>
        </w:rPr>
      </w:pPr>
    </w:p>
    <w:p>
      <w:pPr>
        <w:pStyle w:val="BodyText"/>
        <w:rPr>
          <w:sz w:val="20"/>
        </w:rPr>
      </w:pPr>
    </w:p>
    <w:p>
      <w:pPr>
        <w:pStyle w:val="BodyText"/>
        <w:spacing w:line="360" w:lineRule="auto" w:before="120"/>
        <w:ind w:left="102" w:right="116"/>
        <w:jc w:val="both"/>
      </w:pPr>
      <w:r>
        <w:rPr/>
        <w:t>Finalmente se observa una clara regularidad en las ageb´s que conforman parte del núcleo urbano inicial de los municipios de Toluca y Metepec (centros históricos de las ciudades) ya que son las zonas más consolidadas, con mayor infraestructura y mejor dotadas de equipamiento. Estos resultados del análisis tienen incorporado de manera implícita el componente espacial.</w:t>
      </w:r>
    </w:p>
    <w:p>
      <w:pPr>
        <w:pStyle w:val="ListParagraph"/>
        <w:numPr>
          <w:ilvl w:val="2"/>
          <w:numId w:val="25"/>
        </w:numPr>
        <w:tabs>
          <w:tab w:pos="594" w:val="left" w:leader="none"/>
        </w:tabs>
        <w:spacing w:line="240" w:lineRule="auto" w:before="206" w:after="0"/>
        <w:ind w:left="593" w:right="0" w:hanging="491"/>
        <w:jc w:val="both"/>
        <w:rPr>
          <w:rFonts w:ascii="Cambria" w:hAnsi="Cambria"/>
          <w:b/>
          <w:sz w:val="22"/>
        </w:rPr>
      </w:pPr>
      <w:r>
        <w:rPr>
          <w:rFonts w:ascii="Cambria" w:hAnsi="Cambria"/>
          <w:b/>
          <w:color w:val="4F81BC"/>
          <w:sz w:val="22"/>
        </w:rPr>
        <w:t>Educación</w:t>
      </w:r>
    </w:p>
    <w:p>
      <w:pPr>
        <w:pStyle w:val="BodyText"/>
        <w:rPr>
          <w:rFonts w:ascii="Cambria"/>
          <w:b/>
          <w:sz w:val="22"/>
        </w:rPr>
      </w:pPr>
    </w:p>
    <w:p>
      <w:pPr>
        <w:pStyle w:val="BodyText"/>
        <w:spacing w:before="10"/>
        <w:rPr>
          <w:rFonts w:ascii="Cambria"/>
          <w:b/>
          <w:sz w:val="26"/>
        </w:rPr>
      </w:pPr>
    </w:p>
    <w:p>
      <w:pPr>
        <w:pStyle w:val="BodyText"/>
        <w:spacing w:line="360" w:lineRule="auto"/>
        <w:ind w:left="102" w:right="115"/>
        <w:jc w:val="both"/>
      </w:pPr>
      <w:r>
        <w:rPr/>
        <w:t>Esta variable de educación está relacionada como un servicio que el Estado es el responsable de brindar y que está vinculado con los derechos que otorga la propia ciudadanía, los cuales son atendidos por la política social del país, la cual tiene como objetivo modificar la distribución de recursos y oportunidades entre los miembros de la sociedad.</w:t>
      </w:r>
    </w:p>
    <w:p>
      <w:pPr>
        <w:spacing w:after="0" w:line="360" w:lineRule="auto"/>
        <w:jc w:val="both"/>
        <w:sectPr>
          <w:pgSz w:w="12240" w:h="15840"/>
          <w:pgMar w:header="0" w:footer="1003" w:top="1360" w:bottom="1200" w:left="1600" w:right="1580"/>
        </w:sectPr>
      </w:pPr>
    </w:p>
    <w:p>
      <w:pPr>
        <w:spacing w:line="360" w:lineRule="auto" w:before="52"/>
        <w:ind w:left="102" w:right="120" w:firstLine="0"/>
        <w:jc w:val="both"/>
        <w:rPr>
          <w:sz w:val="24"/>
        </w:rPr>
      </w:pPr>
      <w:r>
        <w:rPr>
          <w:sz w:val="24"/>
        </w:rPr>
        <w:t>Como afirma Marshall (1998:57) “</w:t>
      </w:r>
      <w:r>
        <w:rPr>
          <w:i/>
          <w:sz w:val="24"/>
        </w:rPr>
        <w:t>el estado tiene como obligación garantizar una </w:t>
      </w:r>
      <w:r>
        <w:rPr>
          <w:i/>
          <w:sz w:val="24"/>
        </w:rPr>
        <w:t>provisión mínima de bienes y servicios esenciales (asistencia médica y suministros de otro tipo casa y educación) o una renta monetaria mínima para gastos de primera necesidad, como en el caso de pensiones de los ancianos, subsidios sociales y familiares</w:t>
      </w:r>
      <w:r>
        <w:rPr>
          <w:sz w:val="24"/>
        </w:rPr>
        <w:t>”.</w:t>
      </w:r>
    </w:p>
    <w:p>
      <w:pPr>
        <w:pStyle w:val="BodyText"/>
        <w:spacing w:line="360" w:lineRule="auto" w:before="206"/>
        <w:ind w:left="102" w:right="120"/>
        <w:jc w:val="both"/>
      </w:pPr>
      <w:r>
        <w:rPr/>
        <w:t>El acceso al servicio de educación se constituye como un elemento fundamental para que las personas puedan realizar un proyecto de vida, se constituye como uno de los elementos fundamentales para el aumento de la productividad del trabajo, además del desarrollo científico y tecnológico insertos en la economía.</w:t>
      </w:r>
    </w:p>
    <w:p>
      <w:pPr>
        <w:spacing w:line="360" w:lineRule="auto" w:before="202"/>
        <w:ind w:left="102" w:right="116" w:firstLine="0"/>
        <w:jc w:val="both"/>
        <w:rPr>
          <w:sz w:val="24"/>
        </w:rPr>
      </w:pPr>
      <w:r>
        <w:rPr>
          <w:sz w:val="24"/>
        </w:rPr>
        <w:t>Tal es su importancia que en nuestro país está establecido en el Artículo Tercero de la Constitución Política de los Estados Unidos Mexicanos, Artículo 3º. </w:t>
      </w:r>
      <w:r>
        <w:rPr>
          <w:i/>
          <w:sz w:val="24"/>
        </w:rPr>
        <w:t>“Todo </w:t>
      </w:r>
      <w:r>
        <w:rPr>
          <w:i/>
          <w:sz w:val="24"/>
        </w:rPr>
        <w:t>individuo tiene derecho a recibir educación. El Estado -Federación, Estados, Distrito Federal y Municipios-, impartirá educación preescolar, primaria, secundaria y media superior” </w:t>
      </w:r>
      <w:r>
        <w:rPr>
          <w:sz w:val="24"/>
        </w:rPr>
        <w:t>sin embargo existen rezagos dentro de la población mexicana y mexiquense creando situaciones de exclusión.</w:t>
      </w:r>
    </w:p>
    <w:p>
      <w:pPr>
        <w:pStyle w:val="BodyText"/>
        <w:spacing w:line="360" w:lineRule="auto" w:before="204"/>
        <w:ind w:left="102" w:right="119"/>
        <w:jc w:val="both"/>
      </w:pPr>
      <w:r>
        <w:rPr/>
        <w:t>El servicio educativo necesariamente requiere un edificio al cual los estudiantes, en sus diversas modalidades se desplacen para recibir su instrucción. Realizando un desplazamiento de las zonas de residencia a las zonas donde reciben su educación.</w:t>
      </w:r>
    </w:p>
    <w:p>
      <w:pPr>
        <w:pStyle w:val="BodyText"/>
        <w:spacing w:line="360" w:lineRule="auto" w:before="204"/>
        <w:ind w:left="102" w:right="119"/>
        <w:jc w:val="both"/>
      </w:pPr>
      <w:r>
        <w:rPr/>
        <w:t>Para realizar el análisis se recurrió a utilizar la variable de educación básica del </w:t>
      </w:r>
      <w:r>
        <w:rPr>
          <w:sz w:val="19"/>
        </w:rPr>
        <w:t>DENUE</w:t>
      </w:r>
      <w:r>
        <w:rPr/>
        <w:t>, 2014, catalogada como 61 servicios educativos (escuelas de educación preescolar, escuelas de educación primaria, escuelas de educación secundaria general, escuelas de educación secundaria técnica, escuelas de educación media técnica terminal, escuelas de educación media superior). Así como la población potencial que va de los tres años a los diecisiete años, es decir, educación básica.</w:t>
      </w:r>
    </w:p>
    <w:p>
      <w:pPr>
        <w:pStyle w:val="BodyText"/>
        <w:spacing w:line="360" w:lineRule="auto" w:before="204"/>
        <w:ind w:left="102" w:right="118"/>
        <w:jc w:val="both"/>
      </w:pPr>
      <w:r>
        <w:rPr/>
        <w:t>Al analizar el comportamiento de la variable de la oferta de educación básica respecto a la ubicación de las viviendas en la </w:t>
      </w:r>
      <w:r>
        <w:rPr>
          <w:sz w:val="19"/>
        </w:rPr>
        <w:t>ZMT</w:t>
      </w:r>
      <w:r>
        <w:rPr/>
        <w:t>, podemos establecer ciertas zonas críticas donde la incidencia del problema escolar es severa, es decir la zona</w:t>
      </w:r>
    </w:p>
    <w:p>
      <w:pPr>
        <w:spacing w:after="0" w:line="360" w:lineRule="auto"/>
        <w:jc w:val="both"/>
        <w:sectPr>
          <w:pgSz w:w="12240" w:h="15840"/>
          <w:pgMar w:header="0" w:footer="1003" w:top="1360" w:bottom="1200" w:left="1600" w:right="1580"/>
        </w:sectPr>
      </w:pPr>
    </w:p>
    <w:p>
      <w:pPr>
        <w:pStyle w:val="BodyText"/>
        <w:spacing w:line="360" w:lineRule="auto" w:before="54"/>
        <w:ind w:left="102" w:right="146"/>
        <w:jc w:val="both"/>
      </w:pPr>
      <w:r>
        <w:rPr/>
        <w:t>norte, sur y poniente del municipio de Toluca registra los niveles más bajos a lo que respecta la educación básica.</w:t>
      </w:r>
    </w:p>
    <w:p>
      <w:pPr>
        <w:pStyle w:val="BodyText"/>
        <w:spacing w:line="360" w:lineRule="auto" w:before="204"/>
        <w:ind w:left="102" w:right="139"/>
        <w:jc w:val="both"/>
      </w:pPr>
      <w:r>
        <w:rPr/>
        <w:t>Como este servicio de educación no es homogéneo en la zona metropolitana, las zonas críticas respecto a la variable de educación básica, están situados en los municipios de Xonacatlán, Temoaya, Almoloya de Juárez y la parte poniente y sur del municipio de Zinacantepec. Mientras que los municipios ubicados en la parte oriente y sur de la </w:t>
      </w:r>
      <w:r>
        <w:rPr>
          <w:sz w:val="19"/>
        </w:rPr>
        <w:t>ZMT</w:t>
      </w:r>
      <w:r>
        <w:rPr/>
        <w:t>, son los que representan los mejores niveles de educación básica, Metepec contiene según los resultados la mejor educación básica (ver mapa 24).</w:t>
      </w:r>
    </w:p>
    <w:p>
      <w:pPr>
        <w:spacing w:before="201" w:after="2"/>
        <w:ind w:left="85" w:right="122" w:firstLine="0"/>
        <w:jc w:val="center"/>
        <w:rPr>
          <w:sz w:val="20"/>
        </w:rPr>
      </w:pPr>
      <w:r>
        <w:rPr>
          <w:sz w:val="20"/>
        </w:rPr>
        <w:t>Mapa No. 24 Oferta de educación básica a escala de ageb´s en la </w:t>
      </w:r>
      <w:r>
        <w:rPr>
          <w:sz w:val="16"/>
        </w:rPr>
        <w:t>ZMT</w:t>
      </w:r>
      <w:r>
        <w:rPr>
          <w:sz w:val="20"/>
        </w:rPr>
        <w:t>, 2014.</w:t>
      </w:r>
    </w:p>
    <w:p>
      <w:pPr>
        <w:pStyle w:val="BodyText"/>
        <w:ind w:left="130" w:right="-3"/>
        <w:rPr>
          <w:sz w:val="20"/>
        </w:rPr>
      </w:pPr>
      <w:r>
        <w:rPr>
          <w:sz w:val="20"/>
        </w:rPr>
        <w:drawing>
          <wp:inline distT="0" distB="0" distL="0" distR="0">
            <wp:extent cx="5659314" cy="4002404"/>
            <wp:effectExtent l="0" t="0" r="0" b="0"/>
            <wp:docPr id="169" name="image957.jpeg" descr=""/>
            <wp:cNvGraphicFramePr>
              <a:graphicFrameLocks noChangeAspect="1"/>
            </wp:cNvGraphicFramePr>
            <a:graphic>
              <a:graphicData uri="http://schemas.openxmlformats.org/drawingml/2006/picture">
                <pic:pic>
                  <pic:nvPicPr>
                    <pic:cNvPr id="170" name="image957.jpeg"/>
                    <pic:cNvPicPr/>
                  </pic:nvPicPr>
                  <pic:blipFill>
                    <a:blip r:embed="rId990" cstate="print"/>
                    <a:stretch>
                      <a:fillRect/>
                    </a:stretch>
                  </pic:blipFill>
                  <pic:spPr>
                    <a:xfrm>
                      <a:off x="0" y="0"/>
                      <a:ext cx="5659314" cy="4002404"/>
                    </a:xfrm>
                    <a:prstGeom prst="rect">
                      <a:avLst/>
                    </a:prstGeom>
                  </pic:spPr>
                </pic:pic>
              </a:graphicData>
            </a:graphic>
          </wp:inline>
        </w:drawing>
      </w:r>
      <w:r>
        <w:rPr>
          <w:sz w:val="20"/>
        </w:rPr>
      </w:r>
    </w:p>
    <w:p>
      <w:pPr>
        <w:spacing w:before="92"/>
        <w:ind w:left="76" w:right="122" w:firstLine="0"/>
        <w:jc w:val="center"/>
        <w:rPr>
          <w:sz w:val="20"/>
        </w:rPr>
      </w:pPr>
      <w:r>
        <w:rPr>
          <w:sz w:val="20"/>
        </w:rPr>
        <w:t>Fuente: Elaboración propia con base en los datos del Directorio Estadístico Nacional de Unidades Económicas, INEGI, 2014.</w:t>
      </w:r>
    </w:p>
    <w:p>
      <w:pPr>
        <w:pStyle w:val="BodyText"/>
        <w:spacing w:before="5"/>
        <w:rPr>
          <w:sz w:val="17"/>
        </w:rPr>
      </w:pPr>
    </w:p>
    <w:p>
      <w:pPr>
        <w:pStyle w:val="BodyText"/>
        <w:spacing w:line="360" w:lineRule="auto"/>
        <w:ind w:left="102" w:right="145"/>
        <w:jc w:val="both"/>
      </w:pPr>
      <w:r>
        <w:rPr/>
        <w:t>Algunas de las zonas críticas respecto a educación básica corresponden a localidades rurales, que por el proceso de expansión urbana de la ciudad, fueron absorbidas por la propia dinámica de crecimiento y que son colindantes de las cabeceras municipales de la zona metropolitana.</w:t>
      </w:r>
    </w:p>
    <w:p>
      <w:pPr>
        <w:spacing w:after="0" w:line="360" w:lineRule="auto"/>
        <w:jc w:val="both"/>
        <w:sectPr>
          <w:pgSz w:w="12240" w:h="15840"/>
          <w:pgMar w:header="0" w:footer="1003" w:top="1360" w:bottom="1200" w:left="1600" w:right="1560"/>
        </w:sectPr>
      </w:pPr>
    </w:p>
    <w:p>
      <w:pPr>
        <w:pStyle w:val="BodyText"/>
        <w:spacing w:line="360" w:lineRule="auto" w:before="54"/>
        <w:ind w:left="102" w:right="115"/>
        <w:jc w:val="both"/>
      </w:pPr>
      <w:r>
        <w:rPr/>
        <w:t>En este índice de accesibilidad de educación básica el panorama se torna en un claro patrón centro periferia, donde el municipio de Metepec resultó el mejor posicionado respecto a este indicador de accesibilidad a la educación.</w:t>
      </w:r>
    </w:p>
    <w:p>
      <w:pPr>
        <w:pStyle w:val="BodyText"/>
      </w:pPr>
    </w:p>
    <w:p>
      <w:pPr>
        <w:pStyle w:val="BodyText"/>
      </w:pPr>
    </w:p>
    <w:p>
      <w:pPr>
        <w:pStyle w:val="BodyText"/>
        <w:spacing w:before="4"/>
        <w:rPr>
          <w:sz w:val="23"/>
        </w:rPr>
      </w:pPr>
    </w:p>
    <w:p>
      <w:pPr>
        <w:pStyle w:val="ListParagraph"/>
        <w:numPr>
          <w:ilvl w:val="2"/>
          <w:numId w:val="25"/>
        </w:numPr>
        <w:tabs>
          <w:tab w:pos="594" w:val="left" w:leader="none"/>
        </w:tabs>
        <w:spacing w:line="240" w:lineRule="auto" w:before="0" w:after="0"/>
        <w:ind w:left="593" w:right="0" w:hanging="491"/>
        <w:jc w:val="both"/>
        <w:rPr>
          <w:rFonts w:ascii="Cambria"/>
          <w:b/>
          <w:sz w:val="22"/>
        </w:rPr>
      </w:pPr>
      <w:r>
        <w:rPr>
          <w:rFonts w:ascii="Cambria"/>
          <w:b/>
          <w:color w:val="4F81BC"/>
          <w:sz w:val="22"/>
        </w:rPr>
        <w:t>Salud</w:t>
      </w:r>
    </w:p>
    <w:p>
      <w:pPr>
        <w:pStyle w:val="BodyText"/>
        <w:rPr>
          <w:rFonts w:ascii="Cambria"/>
          <w:b/>
          <w:sz w:val="22"/>
        </w:rPr>
      </w:pPr>
    </w:p>
    <w:p>
      <w:pPr>
        <w:pStyle w:val="BodyText"/>
        <w:spacing w:before="10"/>
        <w:rPr>
          <w:rFonts w:ascii="Cambria"/>
          <w:b/>
          <w:sz w:val="26"/>
        </w:rPr>
      </w:pPr>
    </w:p>
    <w:p>
      <w:pPr>
        <w:pStyle w:val="BodyText"/>
        <w:spacing w:line="360" w:lineRule="auto"/>
        <w:ind w:left="102" w:right="118"/>
        <w:jc w:val="both"/>
      </w:pPr>
      <w:r>
        <w:rPr/>
        <w:t>Uno de los servicios de gran importancia para asegurar la calidad de vida adecuada de los habitantes de la </w:t>
      </w:r>
      <w:r>
        <w:rPr>
          <w:sz w:val="19"/>
        </w:rPr>
        <w:t>ZMT </w:t>
      </w:r>
      <w:r>
        <w:rPr/>
        <w:t>son los servicios de salud, pero poseer o no este servicio no siempre refleja los problemas a los que se enfrentan la población para acceder a él.</w:t>
      </w:r>
    </w:p>
    <w:p>
      <w:pPr>
        <w:pStyle w:val="BodyText"/>
        <w:spacing w:line="360" w:lineRule="auto" w:before="204"/>
        <w:ind w:left="102" w:right="116"/>
        <w:jc w:val="both"/>
      </w:pPr>
      <w:r>
        <w:rPr/>
        <w:t>Los resultados del indicador de salud para el caso de consultorios públicos y privados a población abierta en esta zona metropolitana se muestran en el mapa No. 25. En este caso de salud, el comportamiento de las zonas críticas o con menor accesibilidad para atender la salud para el caso del municipio de Toluca es la parte norte, poniente y sur las que registran las ageb´s con menor accesibilidad, Metepec su zona critica de inaccesibilidad a la salud es la zona sur del municipio, los municipios que cuentan con zonas críticas a la salud son Temoaya con casi la totalidad del municipio, Almoloya de Juárez en su parte poniente y Zinacantepec al oriente y sur.</w:t>
      </w:r>
    </w:p>
    <w:p>
      <w:pPr>
        <w:pStyle w:val="BodyText"/>
        <w:spacing w:line="360" w:lineRule="auto" w:before="204"/>
        <w:ind w:left="102" w:right="115"/>
        <w:jc w:val="both"/>
      </w:pPr>
      <w:r>
        <w:rPr/>
        <w:t>Se puede apreciar una distribución más regular en el territorio de la </w:t>
      </w:r>
      <w:r>
        <w:rPr>
          <w:sz w:val="19"/>
        </w:rPr>
        <w:t>ZMT</w:t>
      </w:r>
      <w:r>
        <w:rPr/>
        <w:t>, de los consultorios públicos y privados a los que puede acceder la población abierta cuando presentan problemas de salud. Entonces se puede establecer las  acciones de dotación de infraestructura y equipamiento que el Estado realiza, son un factor determinante para lograr mejor bienestar en esta zona metropolitana del país.</w:t>
      </w:r>
    </w:p>
    <w:p>
      <w:pPr>
        <w:pStyle w:val="BodyText"/>
        <w:spacing w:line="360" w:lineRule="auto" w:before="204"/>
        <w:ind w:left="102" w:right="121"/>
        <w:jc w:val="both"/>
      </w:pPr>
      <w:r>
        <w:rPr/>
        <w:t>No podemos perder de vista que los consultorios públicos la mayoría de veces son establecidos por parte del Estado a través de las instituciones de salud, por ejemplo, </w:t>
      </w:r>
      <w:r>
        <w:rPr>
          <w:sz w:val="19"/>
        </w:rPr>
        <w:t>IMSS</w:t>
      </w:r>
      <w:r>
        <w:rPr/>
        <w:t>, </w:t>
      </w:r>
      <w:r>
        <w:rPr>
          <w:sz w:val="19"/>
        </w:rPr>
        <w:t>ISSSTE</w:t>
      </w:r>
      <w:r>
        <w:rPr/>
        <w:t>, </w:t>
      </w:r>
      <w:r>
        <w:rPr>
          <w:sz w:val="19"/>
        </w:rPr>
        <w:t>ISSEMYN</w:t>
      </w:r>
      <w:r>
        <w:rPr/>
        <w:t>, </w:t>
      </w:r>
      <w:r>
        <w:rPr>
          <w:sz w:val="19"/>
        </w:rPr>
        <w:t>PEMEX</w:t>
      </w:r>
      <w:r>
        <w:rPr/>
        <w:t>, mientras que los consultorios privados son establecidos principalmente por el sector privado. Los consultorios públicos son</w:t>
      </w:r>
    </w:p>
    <w:p>
      <w:pPr>
        <w:spacing w:after="0" w:line="360" w:lineRule="auto"/>
        <w:jc w:val="both"/>
        <w:sectPr>
          <w:pgSz w:w="12240" w:h="15840"/>
          <w:pgMar w:header="0" w:footer="1003" w:top="1360" w:bottom="1200" w:left="1600" w:right="1580"/>
        </w:sectPr>
      </w:pPr>
    </w:p>
    <w:p>
      <w:pPr>
        <w:pStyle w:val="BodyText"/>
        <w:spacing w:line="360" w:lineRule="auto" w:before="54"/>
        <w:ind w:left="102" w:right="141"/>
        <w:jc w:val="both"/>
      </w:pPr>
      <w:r>
        <w:rPr/>
        <w:t>los que los habitantes utilizan como parte de sus prestaciones laborales, mientras que los privados son principalmente para los habitantes que tienen posibilidades de asistir a una consulta médica con recursos económicos</w:t>
      </w:r>
      <w:r>
        <w:rPr>
          <w:spacing w:val="-23"/>
        </w:rPr>
        <w:t> </w:t>
      </w:r>
      <w:r>
        <w:rPr/>
        <w:t>propios.</w:t>
      </w:r>
    </w:p>
    <w:p>
      <w:pPr>
        <w:pStyle w:val="BodyText"/>
      </w:pPr>
    </w:p>
    <w:p>
      <w:pPr>
        <w:spacing w:before="158" w:after="3"/>
        <w:ind w:left="82" w:right="122" w:firstLine="0"/>
        <w:jc w:val="center"/>
        <w:rPr>
          <w:sz w:val="20"/>
        </w:rPr>
      </w:pPr>
      <w:r>
        <w:rPr>
          <w:sz w:val="20"/>
        </w:rPr>
        <w:t>Mapa No. 25 Salud a nivel ageb´s en la </w:t>
      </w:r>
      <w:r>
        <w:rPr>
          <w:sz w:val="16"/>
        </w:rPr>
        <w:t>ZMT</w:t>
      </w:r>
      <w:r>
        <w:rPr>
          <w:sz w:val="20"/>
        </w:rPr>
        <w:t>, 2014.</w:t>
      </w:r>
    </w:p>
    <w:p>
      <w:pPr>
        <w:pStyle w:val="BodyText"/>
        <w:ind w:left="130" w:right="-7"/>
        <w:rPr>
          <w:sz w:val="20"/>
        </w:rPr>
      </w:pPr>
      <w:r>
        <w:rPr>
          <w:sz w:val="20"/>
        </w:rPr>
        <w:drawing>
          <wp:inline distT="0" distB="0" distL="0" distR="0">
            <wp:extent cx="5661488" cy="4002404"/>
            <wp:effectExtent l="0" t="0" r="0" b="0"/>
            <wp:docPr id="171" name="image958.jpeg" descr=""/>
            <wp:cNvGraphicFramePr>
              <a:graphicFrameLocks noChangeAspect="1"/>
            </wp:cNvGraphicFramePr>
            <a:graphic>
              <a:graphicData uri="http://schemas.openxmlformats.org/drawingml/2006/picture">
                <pic:pic>
                  <pic:nvPicPr>
                    <pic:cNvPr id="172" name="image958.jpeg"/>
                    <pic:cNvPicPr/>
                  </pic:nvPicPr>
                  <pic:blipFill>
                    <a:blip r:embed="rId991" cstate="print"/>
                    <a:stretch>
                      <a:fillRect/>
                    </a:stretch>
                  </pic:blipFill>
                  <pic:spPr>
                    <a:xfrm>
                      <a:off x="0" y="0"/>
                      <a:ext cx="5661488" cy="4002404"/>
                    </a:xfrm>
                    <a:prstGeom prst="rect">
                      <a:avLst/>
                    </a:prstGeom>
                  </pic:spPr>
                </pic:pic>
              </a:graphicData>
            </a:graphic>
          </wp:inline>
        </w:drawing>
      </w:r>
      <w:r>
        <w:rPr>
          <w:sz w:val="20"/>
        </w:rPr>
      </w:r>
    </w:p>
    <w:p>
      <w:pPr>
        <w:spacing w:line="242" w:lineRule="auto" w:before="89"/>
        <w:ind w:left="82" w:right="122" w:firstLine="0"/>
        <w:jc w:val="center"/>
        <w:rPr>
          <w:sz w:val="20"/>
        </w:rPr>
      </w:pPr>
      <w:r>
        <w:rPr>
          <w:sz w:val="20"/>
        </w:rPr>
        <w:t>Fuente: Elaboración propia con base en los datos del Directorio Estadístico Nacional de Unidades Económicas, INEGI, 2014.</w:t>
      </w:r>
    </w:p>
    <w:p>
      <w:pPr>
        <w:pStyle w:val="BodyText"/>
        <w:rPr>
          <w:sz w:val="20"/>
        </w:rPr>
      </w:pPr>
    </w:p>
    <w:p>
      <w:pPr>
        <w:pStyle w:val="BodyText"/>
        <w:rPr>
          <w:sz w:val="20"/>
        </w:rPr>
      </w:pPr>
    </w:p>
    <w:p>
      <w:pPr>
        <w:pStyle w:val="BodyText"/>
        <w:rPr>
          <w:sz w:val="20"/>
        </w:rPr>
      </w:pPr>
    </w:p>
    <w:p>
      <w:pPr>
        <w:pStyle w:val="BodyText"/>
        <w:spacing w:line="360" w:lineRule="auto" w:before="120"/>
        <w:ind w:left="102" w:right="135"/>
        <w:jc w:val="both"/>
      </w:pPr>
      <w:r>
        <w:rPr/>
        <w:t>Conforme se siga presentando el crecimiento urbano hacia las periferias de los centros o cabeceras municipales de esta zona metropolitana, se espera que los consultorios públicos como privados se sigan incrementando para que los habitantes puedan acceder a ellos para atender, controlar o mejorar su salud. Lo que significa contar con una habitabilidad aceptable que establece la Organización Mundial de la Salud, que las personas cuenten con una salud integral.</w:t>
      </w:r>
    </w:p>
    <w:p>
      <w:pPr>
        <w:spacing w:after="0" w:line="360" w:lineRule="auto"/>
        <w:jc w:val="both"/>
        <w:sectPr>
          <w:pgSz w:w="12240" w:h="15840"/>
          <w:pgMar w:header="0" w:footer="1003" w:top="1360" w:bottom="1200" w:left="1600" w:right="1560"/>
        </w:sectPr>
      </w:pPr>
    </w:p>
    <w:p>
      <w:pPr>
        <w:pStyle w:val="ListParagraph"/>
        <w:numPr>
          <w:ilvl w:val="2"/>
          <w:numId w:val="25"/>
        </w:numPr>
        <w:tabs>
          <w:tab w:pos="643" w:val="left" w:leader="none"/>
        </w:tabs>
        <w:spacing w:line="240" w:lineRule="auto" w:before="56" w:after="0"/>
        <w:ind w:left="642" w:right="0" w:hanging="540"/>
        <w:jc w:val="both"/>
        <w:rPr>
          <w:rFonts w:ascii="Cambria"/>
          <w:b/>
          <w:sz w:val="22"/>
        </w:rPr>
      </w:pPr>
      <w:r>
        <w:rPr>
          <w:rFonts w:ascii="Cambria"/>
          <w:b/>
          <w:color w:val="4F81BC"/>
          <w:sz w:val="22"/>
        </w:rPr>
        <w:t>Abasto de</w:t>
      </w:r>
      <w:r>
        <w:rPr>
          <w:rFonts w:ascii="Cambria"/>
          <w:b/>
          <w:color w:val="4F81BC"/>
          <w:spacing w:val="-11"/>
          <w:sz w:val="22"/>
        </w:rPr>
        <w:t> </w:t>
      </w:r>
      <w:r>
        <w:rPr>
          <w:rFonts w:ascii="Cambria"/>
          <w:b/>
          <w:color w:val="4F81BC"/>
          <w:sz w:val="22"/>
        </w:rPr>
        <w:t>alimentos</w:t>
      </w:r>
    </w:p>
    <w:p>
      <w:pPr>
        <w:pStyle w:val="BodyText"/>
        <w:rPr>
          <w:rFonts w:ascii="Cambria"/>
          <w:b/>
          <w:sz w:val="22"/>
        </w:rPr>
      </w:pPr>
    </w:p>
    <w:p>
      <w:pPr>
        <w:pStyle w:val="BodyText"/>
        <w:spacing w:before="1"/>
        <w:rPr>
          <w:rFonts w:ascii="Cambria"/>
          <w:b/>
          <w:sz w:val="27"/>
        </w:rPr>
      </w:pPr>
    </w:p>
    <w:p>
      <w:pPr>
        <w:pStyle w:val="BodyText"/>
        <w:spacing w:line="360" w:lineRule="auto"/>
        <w:ind w:left="102" w:right="116"/>
        <w:jc w:val="both"/>
      </w:pPr>
      <w:r>
        <w:rPr/>
        <w:t>El indicador de abasto de alimentos ha sido abordado como </w:t>
      </w:r>
      <w:r>
        <w:rPr>
          <w:spacing w:val="2"/>
        </w:rPr>
        <w:t>una </w:t>
      </w:r>
      <w:r>
        <w:rPr/>
        <w:t>variable adecuada para determinar la provisión de alimentos a la población, por la ubicación de las viviendas en la zona metropolitana. Se analizó este comportamiento de los sitios de venta de alimentos, buscando la localización de alimentos ya que la mayoría de las veces se localizan en las áreas centrales de  las ciudades, dejando en desventaja a los consumidores de las zonas con un bajo acceso a la provisión de</w:t>
      </w:r>
      <w:r>
        <w:rPr>
          <w:spacing w:val="-13"/>
        </w:rPr>
        <w:t> </w:t>
      </w:r>
      <w:r>
        <w:rPr/>
        <w:t>alimentos.</w:t>
      </w:r>
    </w:p>
    <w:p>
      <w:pPr>
        <w:pStyle w:val="BodyText"/>
        <w:spacing w:line="360" w:lineRule="auto" w:before="202"/>
        <w:ind w:left="102" w:right="124"/>
        <w:jc w:val="both"/>
      </w:pPr>
      <w:r>
        <w:rPr/>
        <w:t>Contar con habitabilidad en las viviendas de las personas de la zona metropolitana, significa poder acceder al abasto de alimentos de la población, de acuerdo a las posibilidades de accesibilidad a los servicios</w:t>
      </w:r>
      <w:r>
        <w:rPr>
          <w:spacing w:val="-25"/>
        </w:rPr>
        <w:t> </w:t>
      </w:r>
      <w:r>
        <w:rPr/>
        <w:t>seleccionados.</w:t>
      </w:r>
    </w:p>
    <w:p>
      <w:pPr>
        <w:pStyle w:val="BodyText"/>
        <w:spacing w:line="360" w:lineRule="auto" w:before="204"/>
        <w:ind w:left="102" w:right="118"/>
        <w:jc w:val="both"/>
      </w:pPr>
      <w:r>
        <w:rPr/>
        <w:t>En la </w:t>
      </w:r>
      <w:r>
        <w:rPr>
          <w:sz w:val="19"/>
        </w:rPr>
        <w:t>ZMT</w:t>
      </w:r>
      <w:r>
        <w:rPr/>
        <w:t>, se registraron 51 unidades de abasto, entre ellos los mercados  públicos, centrales de abasto, además de tiendas de autoservicio, la distribución espacial está concentrada en la parte central de la zona metropolitana en</w:t>
      </w:r>
      <w:r>
        <w:rPr>
          <w:spacing w:val="-33"/>
        </w:rPr>
        <w:t> </w:t>
      </w:r>
      <w:r>
        <w:rPr/>
        <w:t>estudio.</w:t>
      </w:r>
    </w:p>
    <w:p>
      <w:pPr>
        <w:pStyle w:val="BodyText"/>
        <w:spacing w:line="360" w:lineRule="auto" w:before="204"/>
        <w:ind w:left="102" w:right="118"/>
        <w:jc w:val="both"/>
      </w:pPr>
      <w:r>
        <w:rPr/>
        <w:t>La distribución en el indicador de abasto de alimentos tiene una marcada concentración en la parte centro-sur y centro-norte del municipio de Toluca, así como parte norte-poniente del municipio de Metepec, lo que influye en la estimación del índice de accesibilidad a este servicio (ver mapa 26).</w:t>
      </w:r>
    </w:p>
    <w:p>
      <w:pPr>
        <w:pStyle w:val="BodyText"/>
        <w:spacing w:line="360" w:lineRule="auto" w:before="204"/>
        <w:ind w:left="102" w:right="118"/>
        <w:jc w:val="both"/>
      </w:pPr>
      <w:r>
        <w:rPr/>
        <w:t>Dejando a los trece municipios restantes que integran la zona metropolitana, como zonas críticas al servicio de abasto de alimentos y por ende con zonas críticas de habitabilidad, ya que no cuentan con mercados, centros comerciales cercanos a  su lugar de residencia, por su parte el Estado, deberá conceder licencias de usos de suelo de tipo comercial de una forma heterogénea y planificada para este tipo de  establecimientos de abasto de alimentos en la zona</w:t>
      </w:r>
      <w:r>
        <w:rPr>
          <w:spacing w:val="-16"/>
        </w:rPr>
        <w:t> </w:t>
      </w:r>
      <w:r>
        <w:rPr/>
        <w:t>metropolitana.</w:t>
      </w:r>
    </w:p>
    <w:p>
      <w:pPr>
        <w:spacing w:after="0" w:line="360" w:lineRule="auto"/>
        <w:jc w:val="both"/>
        <w:sectPr>
          <w:pgSz w:w="12240" w:h="15840"/>
          <w:pgMar w:header="0" w:footer="1003" w:top="1360" w:bottom="1200" w:left="1600" w:right="1580"/>
        </w:sectPr>
      </w:pPr>
    </w:p>
    <w:p>
      <w:pPr>
        <w:spacing w:before="53" w:after="3"/>
        <w:ind w:left="85" w:right="122" w:firstLine="0"/>
        <w:jc w:val="center"/>
        <w:rPr>
          <w:sz w:val="20"/>
        </w:rPr>
      </w:pPr>
      <w:r>
        <w:rPr>
          <w:sz w:val="20"/>
        </w:rPr>
        <w:t>Mapa No. 26 Oferta de abasto de alimentos a nivel ageb´s en la </w:t>
      </w:r>
      <w:r>
        <w:rPr>
          <w:sz w:val="16"/>
        </w:rPr>
        <w:t>ZMT</w:t>
      </w:r>
      <w:r>
        <w:rPr>
          <w:sz w:val="20"/>
        </w:rPr>
        <w:t>, 2014.</w:t>
      </w:r>
    </w:p>
    <w:p>
      <w:pPr>
        <w:pStyle w:val="BodyText"/>
        <w:ind w:left="130" w:right="-3"/>
        <w:rPr>
          <w:sz w:val="20"/>
        </w:rPr>
      </w:pPr>
      <w:r>
        <w:rPr>
          <w:sz w:val="20"/>
        </w:rPr>
        <w:drawing>
          <wp:inline distT="0" distB="0" distL="0" distR="0">
            <wp:extent cx="5659314" cy="4002404"/>
            <wp:effectExtent l="0" t="0" r="0" b="0"/>
            <wp:docPr id="173" name="image959.jpeg" descr=""/>
            <wp:cNvGraphicFramePr>
              <a:graphicFrameLocks noChangeAspect="1"/>
            </wp:cNvGraphicFramePr>
            <a:graphic>
              <a:graphicData uri="http://schemas.openxmlformats.org/drawingml/2006/picture">
                <pic:pic>
                  <pic:nvPicPr>
                    <pic:cNvPr id="174" name="image959.jpeg"/>
                    <pic:cNvPicPr/>
                  </pic:nvPicPr>
                  <pic:blipFill>
                    <a:blip r:embed="rId993" cstate="print"/>
                    <a:stretch>
                      <a:fillRect/>
                    </a:stretch>
                  </pic:blipFill>
                  <pic:spPr>
                    <a:xfrm>
                      <a:off x="0" y="0"/>
                      <a:ext cx="5659314" cy="4002404"/>
                    </a:xfrm>
                    <a:prstGeom prst="rect">
                      <a:avLst/>
                    </a:prstGeom>
                  </pic:spPr>
                </pic:pic>
              </a:graphicData>
            </a:graphic>
          </wp:inline>
        </w:drawing>
      </w:r>
      <w:r>
        <w:rPr>
          <w:sz w:val="20"/>
        </w:rPr>
      </w:r>
    </w:p>
    <w:p>
      <w:pPr>
        <w:spacing w:before="91"/>
        <w:ind w:left="76" w:right="122" w:firstLine="0"/>
        <w:jc w:val="center"/>
        <w:rPr>
          <w:sz w:val="20"/>
        </w:rPr>
      </w:pPr>
      <w:r>
        <w:rPr>
          <w:sz w:val="20"/>
        </w:rPr>
        <w:t>Fuente: Elaboración propia con base en los datos del Directorio Estadístico Nacional de Unidades Económicas, INEGI, 2014.</w:t>
      </w:r>
    </w:p>
    <w:p>
      <w:pPr>
        <w:pStyle w:val="BodyText"/>
        <w:rPr>
          <w:sz w:val="20"/>
        </w:rPr>
      </w:pPr>
    </w:p>
    <w:p>
      <w:pPr>
        <w:pStyle w:val="BodyText"/>
        <w:rPr>
          <w:sz w:val="20"/>
        </w:rPr>
      </w:pPr>
    </w:p>
    <w:p>
      <w:pPr>
        <w:pStyle w:val="BodyText"/>
        <w:spacing w:before="11"/>
        <w:rPr>
          <w:sz w:val="23"/>
        </w:rPr>
      </w:pPr>
    </w:p>
    <w:p>
      <w:pPr>
        <w:pStyle w:val="BodyText"/>
        <w:spacing w:line="360" w:lineRule="auto"/>
        <w:ind w:left="102" w:right="143"/>
        <w:jc w:val="both"/>
      </w:pPr>
      <w:r>
        <w:rPr/>
        <w:t>Respecto a este servicio de abasto de alimentos en el mapa anterior se observa que este servicio está dominado por la iniciativa privada como son los centros comerciales, dejando pocos centros de abasto públicos como son los mercados, entonces de deben reconfigurar los patrones de accesibilidad hacia lo público en esta zona de estudio, ya que deja en desventaja a aquellas zonas con menor equipamiento e infraestructura urbana y que generalmente son las más alejadas del centro de la ciudad.</w:t>
      </w:r>
    </w:p>
    <w:p>
      <w:pPr>
        <w:spacing w:after="0" w:line="360" w:lineRule="auto"/>
        <w:jc w:val="both"/>
        <w:sectPr>
          <w:footerReference w:type="default" r:id="rId992"/>
          <w:pgSz w:w="12240" w:h="15840"/>
          <w:pgMar w:footer="1003" w:header="0" w:top="1360" w:bottom="1200" w:left="1600" w:right="1560"/>
          <w:pgNumType w:start="200"/>
        </w:sectPr>
      </w:pPr>
    </w:p>
    <w:p>
      <w:pPr>
        <w:pStyle w:val="ListParagraph"/>
        <w:numPr>
          <w:ilvl w:val="2"/>
          <w:numId w:val="25"/>
        </w:numPr>
        <w:tabs>
          <w:tab w:pos="662" w:val="left" w:leader="none"/>
        </w:tabs>
        <w:spacing w:line="240" w:lineRule="auto" w:before="56" w:after="0"/>
        <w:ind w:left="662" w:right="0" w:hanging="540"/>
        <w:jc w:val="both"/>
        <w:rPr>
          <w:rFonts w:ascii="Cambria" w:hAnsi="Cambria"/>
          <w:b/>
          <w:sz w:val="22"/>
        </w:rPr>
      </w:pPr>
      <w:r>
        <w:rPr>
          <w:rFonts w:ascii="Cambria" w:hAnsi="Cambria"/>
          <w:b/>
          <w:color w:val="4F81BC"/>
          <w:sz w:val="22"/>
        </w:rPr>
        <w:t>Áreas Verdes</w:t>
      </w:r>
    </w:p>
    <w:p>
      <w:pPr>
        <w:pStyle w:val="BodyText"/>
        <w:rPr>
          <w:rFonts w:ascii="Cambria"/>
          <w:b/>
          <w:sz w:val="22"/>
        </w:rPr>
      </w:pPr>
    </w:p>
    <w:p>
      <w:pPr>
        <w:pStyle w:val="BodyText"/>
        <w:rPr>
          <w:rFonts w:ascii="Cambria"/>
          <w:b/>
          <w:sz w:val="22"/>
        </w:rPr>
      </w:pPr>
    </w:p>
    <w:p>
      <w:pPr>
        <w:pStyle w:val="BodyText"/>
        <w:spacing w:line="360" w:lineRule="auto" w:before="136"/>
        <w:ind w:left="122" w:right="122"/>
        <w:jc w:val="both"/>
      </w:pPr>
      <w:r>
        <w:rPr/>
        <w:t>Contar con un indicador de áreas verdes en la zona de estudio es de gran importancia ya que ayuda a establecer cuáles son las zonas que cuentan con mayor habitabilidad en sus viviendas, ya que la investigación se presenta en un lugar donde el crecimiento poblacional y económico sigue en auge.</w:t>
      </w:r>
    </w:p>
    <w:p>
      <w:pPr>
        <w:pStyle w:val="BodyText"/>
        <w:spacing w:line="360" w:lineRule="auto" w:before="204"/>
        <w:ind w:left="122" w:right="122"/>
        <w:jc w:val="both"/>
      </w:pPr>
      <w:r>
        <w:rPr/>
        <w:t>Establecer un equilibrio entre las variables de población, los recursos naturales y  el medio ambiente, puede ser un nuevo modelo de habitabilidad, el cual podía provocar efectos positivos en la calidad de vida de los</w:t>
      </w:r>
      <w:r>
        <w:rPr>
          <w:spacing w:val="-19"/>
        </w:rPr>
        <w:t> </w:t>
      </w:r>
      <w:r>
        <w:rPr/>
        <w:t>habitantes.</w:t>
      </w:r>
    </w:p>
    <w:p>
      <w:pPr>
        <w:pStyle w:val="BodyText"/>
        <w:spacing w:line="360" w:lineRule="auto" w:before="204"/>
        <w:ind w:left="122" w:right="115"/>
        <w:jc w:val="both"/>
      </w:pPr>
      <w:r>
        <w:rPr/>
        <w:t>La falta de parques y jardines en las ciudades son considerados como problemas de espacios urbanos y por ende, de calidad de vida. Hoy en día se debe apostar que los nuevos desarrollos urbanos de vivienda, cuenten con espacios verdes urbanos.</w:t>
      </w:r>
    </w:p>
    <w:p>
      <w:pPr>
        <w:pStyle w:val="BodyText"/>
        <w:spacing w:line="360" w:lineRule="auto" w:before="204"/>
        <w:ind w:left="122" w:right="116"/>
        <w:jc w:val="both"/>
      </w:pPr>
      <w:r>
        <w:rPr/>
        <w:t>Encontramos que la mayoría de los trabajos realizados sobre los beneficios que aportan las áreas verdes urbanas a la población están llevados a cabo en América del Norte y en Europa. Se puede decir que en América Latina está iniciando este tipo de investigaciones.</w:t>
      </w:r>
    </w:p>
    <w:p>
      <w:pPr>
        <w:pStyle w:val="BodyText"/>
        <w:spacing w:line="360" w:lineRule="auto" w:before="202"/>
        <w:ind w:left="122" w:right="115"/>
        <w:jc w:val="both"/>
      </w:pPr>
      <w:r>
        <w:rPr/>
        <w:t>Además de contar con efectos positivos para los habitantes (salud física y mental, identidad social), cuando existen áreas verdes cerca del lugar de residencia, existe una conciencia ecológica o ambiental por parte de los habitantes. La presencia de áreas verdes urbanas en la </w:t>
      </w:r>
      <w:r>
        <w:rPr>
          <w:sz w:val="19"/>
        </w:rPr>
        <w:t>ZMT</w:t>
      </w:r>
      <w:r>
        <w:rPr/>
        <w:t>, constituye uno de los aspectos para medir el grado de calidad y de habitabilidad de los ciudadanos.</w:t>
      </w:r>
    </w:p>
    <w:p>
      <w:pPr>
        <w:pStyle w:val="BodyText"/>
        <w:spacing w:line="360" w:lineRule="auto" w:before="205"/>
        <w:ind w:left="122" w:right="117"/>
        <w:jc w:val="both"/>
      </w:pPr>
      <w:r>
        <w:rPr/>
        <w:t>La Organización Mundial de la Salud (</w:t>
      </w:r>
      <w:r>
        <w:rPr>
          <w:sz w:val="19"/>
        </w:rPr>
        <w:t>OMS</w:t>
      </w:r>
      <w:r>
        <w:rPr/>
        <w:t>) marca un mínimo de 10 metros cuadrados de parques, jardines o áreas verdes por habitante, este indicador enfrenta problemas para su aplicación por mencionar algunos; la ubicación de las áreas verdes y su accesibilidad</w:t>
      </w:r>
      <w:r>
        <w:rPr>
          <w:position w:val="8"/>
          <w:sz w:val="16"/>
        </w:rPr>
        <w:t>17</w:t>
      </w:r>
      <w:r>
        <w:rPr/>
        <w:t>.</w:t>
      </w:r>
    </w:p>
    <w:p>
      <w:pPr>
        <w:pStyle w:val="BodyText"/>
        <w:rPr>
          <w:sz w:val="20"/>
        </w:rPr>
      </w:pPr>
    </w:p>
    <w:p>
      <w:pPr>
        <w:pStyle w:val="BodyText"/>
        <w:spacing w:before="3"/>
      </w:pPr>
      <w:r>
        <w:rPr/>
        <w:pict>
          <v:line style="position:absolute;mso-position-horizontal-relative:page;mso-position-vertical-relative:paragraph;z-index:7192;mso-wrap-distance-left:0;mso-wrap-distance-right:0" from="85.103996pt,16.325409pt" to="229.123996pt,16.325409pt" stroked="true" strokeweight=".84003pt" strokecolor="#000000">
            <w10:wrap type="topAndBottom"/>
          </v:line>
        </w:pict>
      </w:r>
    </w:p>
    <w:p>
      <w:pPr>
        <w:spacing w:before="74"/>
        <w:ind w:left="122" w:right="214" w:firstLine="0"/>
        <w:jc w:val="left"/>
        <w:rPr>
          <w:rFonts w:ascii="Calibri" w:hAnsi="Calibri"/>
          <w:sz w:val="20"/>
        </w:rPr>
      </w:pPr>
      <w:r>
        <w:rPr>
          <w:rFonts w:ascii="Calibri" w:hAnsi="Calibri"/>
          <w:position w:val="7"/>
          <w:sz w:val="13"/>
        </w:rPr>
        <w:t>17 </w:t>
      </w:r>
      <w:r>
        <w:rPr>
          <w:rFonts w:ascii="Calibri" w:hAnsi="Calibri"/>
          <w:sz w:val="20"/>
        </w:rPr>
        <w:t>Cuando se menciona la ubicación y accesibilidad, nos referimos a las posibilidades que tienen los individuos de poder utilizar físicamente las áreas verdes.</w:t>
      </w:r>
    </w:p>
    <w:p>
      <w:pPr>
        <w:spacing w:after="0"/>
        <w:jc w:val="left"/>
        <w:rPr>
          <w:rFonts w:ascii="Calibri" w:hAnsi="Calibri"/>
          <w:sz w:val="20"/>
        </w:rPr>
        <w:sectPr>
          <w:pgSz w:w="12240" w:h="15840"/>
          <w:pgMar w:header="0" w:footer="1003" w:top="1360" w:bottom="1200" w:left="1580" w:right="1580"/>
        </w:sectPr>
      </w:pPr>
    </w:p>
    <w:p>
      <w:pPr>
        <w:pStyle w:val="BodyText"/>
        <w:spacing w:line="360" w:lineRule="auto" w:before="54"/>
        <w:ind w:left="102" w:right="137"/>
        <w:jc w:val="both"/>
      </w:pPr>
      <w:r>
        <w:rPr/>
        <w:t>Encontramos así que las áreas verdes en la zona de estudio se ubican principalmente en el municipio de Toluca en la parte poniente-sur, mientras que en el municipio de Metepec se puede decir que cuenta con áreas verdes en la parte central (ver mapa 27).</w:t>
      </w:r>
    </w:p>
    <w:p>
      <w:pPr>
        <w:spacing w:before="203" w:after="3"/>
        <w:ind w:left="84" w:right="122" w:firstLine="0"/>
        <w:jc w:val="center"/>
        <w:rPr>
          <w:sz w:val="20"/>
        </w:rPr>
      </w:pPr>
      <w:r>
        <w:rPr>
          <w:sz w:val="20"/>
        </w:rPr>
        <w:t>Mapa No. 27 Áreas verdes a nivel ageb´s en la </w:t>
      </w:r>
      <w:r>
        <w:rPr>
          <w:sz w:val="16"/>
        </w:rPr>
        <w:t>ZMT</w:t>
      </w:r>
      <w:r>
        <w:rPr>
          <w:sz w:val="20"/>
        </w:rPr>
        <w:t>, 2014.</w:t>
      </w:r>
    </w:p>
    <w:p>
      <w:pPr>
        <w:pStyle w:val="BodyText"/>
        <w:ind w:left="130" w:right="-7"/>
        <w:rPr>
          <w:sz w:val="20"/>
        </w:rPr>
      </w:pPr>
      <w:r>
        <w:rPr>
          <w:sz w:val="20"/>
        </w:rPr>
        <w:drawing>
          <wp:inline distT="0" distB="0" distL="0" distR="0">
            <wp:extent cx="5661488" cy="4002404"/>
            <wp:effectExtent l="0" t="0" r="0" b="0"/>
            <wp:docPr id="175" name="image960.jpeg" descr=""/>
            <wp:cNvGraphicFramePr>
              <a:graphicFrameLocks noChangeAspect="1"/>
            </wp:cNvGraphicFramePr>
            <a:graphic>
              <a:graphicData uri="http://schemas.openxmlformats.org/drawingml/2006/picture">
                <pic:pic>
                  <pic:nvPicPr>
                    <pic:cNvPr id="176" name="image960.jpeg"/>
                    <pic:cNvPicPr/>
                  </pic:nvPicPr>
                  <pic:blipFill>
                    <a:blip r:embed="rId994" cstate="print"/>
                    <a:stretch>
                      <a:fillRect/>
                    </a:stretch>
                  </pic:blipFill>
                  <pic:spPr>
                    <a:xfrm>
                      <a:off x="0" y="0"/>
                      <a:ext cx="5661488" cy="4002404"/>
                    </a:xfrm>
                    <a:prstGeom prst="rect">
                      <a:avLst/>
                    </a:prstGeom>
                  </pic:spPr>
                </pic:pic>
              </a:graphicData>
            </a:graphic>
          </wp:inline>
        </w:drawing>
      </w:r>
      <w:r>
        <w:rPr>
          <w:sz w:val="20"/>
        </w:rPr>
      </w:r>
    </w:p>
    <w:p>
      <w:pPr>
        <w:spacing w:line="362" w:lineRule="auto" w:before="89"/>
        <w:ind w:left="77" w:right="122" w:firstLine="0"/>
        <w:jc w:val="center"/>
        <w:rPr>
          <w:sz w:val="20"/>
        </w:rPr>
      </w:pPr>
      <w:r>
        <w:rPr>
          <w:sz w:val="20"/>
        </w:rPr>
        <w:t>Fuente: Elaboración propia con base en los datos del Directorio Estadístico Nacional de Unidades Económicas, INEGI, 2014.</w:t>
      </w:r>
    </w:p>
    <w:p>
      <w:pPr>
        <w:pStyle w:val="BodyText"/>
        <w:rPr>
          <w:sz w:val="20"/>
        </w:rPr>
      </w:pPr>
    </w:p>
    <w:p>
      <w:pPr>
        <w:pStyle w:val="BodyText"/>
        <w:rPr>
          <w:sz w:val="20"/>
        </w:rPr>
      </w:pPr>
    </w:p>
    <w:p>
      <w:pPr>
        <w:pStyle w:val="BodyText"/>
        <w:rPr>
          <w:sz w:val="20"/>
        </w:rPr>
      </w:pPr>
    </w:p>
    <w:p>
      <w:pPr>
        <w:pStyle w:val="BodyText"/>
        <w:spacing w:line="360" w:lineRule="auto" w:before="124"/>
        <w:ind w:left="102" w:right="139"/>
        <w:jc w:val="both"/>
      </w:pPr>
      <w:r>
        <w:rPr/>
        <w:t>Los 13 municipios restantes de la zona de estudio cuentan con áreas verdes pero son muy pequeñas, por ende, no son representativos por tanto, en estos municipios las administraciones municipales deberán crear áreas verdes para que sus gobernados con una distribución y accesibilidad acorde a los lugares de residencia de la población, entonces se podrá de hablar de una mejora en la habitabilidad y calidad de vida de la población.</w:t>
      </w:r>
    </w:p>
    <w:p>
      <w:pPr>
        <w:spacing w:after="0" w:line="360" w:lineRule="auto"/>
        <w:jc w:val="both"/>
        <w:sectPr>
          <w:pgSz w:w="12240" w:h="15840"/>
          <w:pgMar w:header="0" w:footer="1003" w:top="1360" w:bottom="1200" w:left="1600" w:right="1560"/>
        </w:sectPr>
      </w:pPr>
    </w:p>
    <w:p>
      <w:pPr>
        <w:pStyle w:val="ListParagraph"/>
        <w:numPr>
          <w:ilvl w:val="2"/>
          <w:numId w:val="25"/>
        </w:numPr>
        <w:tabs>
          <w:tab w:pos="643" w:val="left" w:leader="none"/>
        </w:tabs>
        <w:spacing w:line="240" w:lineRule="auto" w:before="56" w:after="0"/>
        <w:ind w:left="642" w:right="0" w:hanging="540"/>
        <w:jc w:val="both"/>
        <w:rPr>
          <w:rFonts w:ascii="Cambria" w:hAnsi="Cambria"/>
          <w:b/>
          <w:sz w:val="22"/>
        </w:rPr>
      </w:pPr>
      <w:r>
        <w:rPr>
          <w:rFonts w:ascii="Cambria" w:hAnsi="Cambria"/>
          <w:b/>
          <w:color w:val="4F81BC"/>
          <w:sz w:val="22"/>
        </w:rPr>
        <w:t>Recreación</w:t>
      </w:r>
    </w:p>
    <w:p>
      <w:pPr>
        <w:pStyle w:val="BodyText"/>
        <w:rPr>
          <w:rFonts w:ascii="Cambria"/>
          <w:b/>
          <w:sz w:val="22"/>
        </w:rPr>
      </w:pPr>
    </w:p>
    <w:p>
      <w:pPr>
        <w:pStyle w:val="BodyText"/>
        <w:spacing w:before="1"/>
        <w:rPr>
          <w:rFonts w:ascii="Cambria"/>
          <w:b/>
          <w:sz w:val="27"/>
        </w:rPr>
      </w:pPr>
    </w:p>
    <w:p>
      <w:pPr>
        <w:pStyle w:val="BodyText"/>
        <w:spacing w:line="360" w:lineRule="auto"/>
        <w:ind w:left="102" w:right="124"/>
        <w:jc w:val="both"/>
      </w:pPr>
      <w:r>
        <w:rPr/>
        <w:t>Una forma de contar con habitabilidad en las viviendas en esta zona  metropolitana, es que los habitantes puedan divertirse, alegrarse o deleitarse con equipamiento urbano sociocultural como son los zoológicos, jardines botánicos museos, parques acuáticos o balnearios, como una búsqueda de distracción del trabajo y de las obligaciones</w:t>
      </w:r>
      <w:r>
        <w:rPr>
          <w:spacing w:val="-8"/>
        </w:rPr>
        <w:t> </w:t>
      </w:r>
      <w:r>
        <w:rPr/>
        <w:t>cotidianas.</w:t>
      </w:r>
    </w:p>
    <w:p>
      <w:pPr>
        <w:pStyle w:val="BodyText"/>
        <w:spacing w:line="360" w:lineRule="auto" w:before="202"/>
        <w:ind w:left="102" w:right="118"/>
        <w:jc w:val="both"/>
      </w:pPr>
      <w:r>
        <w:rPr/>
        <w:t>Dentro del análisis de la investigación se encontró que esta zona metropolitana del país cuenta con el zoológico de Zacango que es de carácter público, ubicado en la parte suroeste del municipio de Toluca, en el mismo municipio encontramos en el centro histórico el jardín botánico llamado Cosmovitral, además de museos y edificios históricos donde la población puede recrearse.</w:t>
      </w:r>
    </w:p>
    <w:p>
      <w:pPr>
        <w:pStyle w:val="BodyText"/>
        <w:spacing w:line="360" w:lineRule="auto" w:before="204"/>
        <w:ind w:left="102" w:right="116"/>
        <w:jc w:val="both"/>
      </w:pPr>
      <w:r>
        <w:rPr/>
        <w:t>Se puede decir entonces que la parte central de los municipios de Toluca y Metepec encontramos lugares para que la población se pueda recrear, encontrando museos, jardín botánico, zoológico, además de lugares donde se puede practicar la natación y actividades deportivas estos últimos la mayor parte de carácter privado.</w:t>
      </w:r>
    </w:p>
    <w:p>
      <w:pPr>
        <w:pStyle w:val="BodyText"/>
        <w:spacing w:line="360" w:lineRule="auto" w:before="204"/>
        <w:ind w:left="102" w:right="116"/>
        <w:jc w:val="both"/>
      </w:pPr>
      <w:r>
        <w:rPr/>
        <w:t>Los municipios de Zinacantepec, San Mateo Atenco, San Antonio la Isla, Ocoyoacac, Mexicaltzingo y Calimaya también cuentan con zonas donde la población puede acceder a espacios donde pueda recrearse. La parte norte de la zona metropolita no cuenta con lugares de recreación, por lo tanto se considera zona críticas de habitabilidad ya que no existen lugares cercanos a las viviendas de estas zonas donde puedan ir a distraerse (ver mapa 28).</w:t>
      </w:r>
    </w:p>
    <w:p>
      <w:pPr>
        <w:spacing w:after="0" w:line="360" w:lineRule="auto"/>
        <w:jc w:val="both"/>
        <w:sectPr>
          <w:pgSz w:w="12240" w:h="15840"/>
          <w:pgMar w:header="0" w:footer="1003" w:top="1360" w:bottom="1200" w:left="1600" w:right="1580"/>
        </w:sectPr>
      </w:pPr>
    </w:p>
    <w:p>
      <w:pPr>
        <w:spacing w:before="53" w:after="3"/>
        <w:ind w:left="82" w:right="122" w:firstLine="0"/>
        <w:jc w:val="center"/>
        <w:rPr>
          <w:sz w:val="20"/>
        </w:rPr>
      </w:pPr>
      <w:r>
        <w:rPr>
          <w:sz w:val="20"/>
        </w:rPr>
        <w:t>Mapa No. 28 Lugares de recreación a nivel ageb´s en la </w:t>
      </w:r>
      <w:r>
        <w:rPr>
          <w:sz w:val="16"/>
        </w:rPr>
        <w:t>ZMT</w:t>
      </w:r>
      <w:r>
        <w:rPr>
          <w:sz w:val="20"/>
        </w:rPr>
        <w:t>, 2014.</w:t>
      </w:r>
    </w:p>
    <w:p>
      <w:pPr>
        <w:pStyle w:val="BodyText"/>
        <w:ind w:left="130" w:right="-3"/>
        <w:rPr>
          <w:sz w:val="20"/>
        </w:rPr>
      </w:pPr>
      <w:r>
        <w:rPr>
          <w:sz w:val="20"/>
        </w:rPr>
        <w:drawing>
          <wp:inline distT="0" distB="0" distL="0" distR="0">
            <wp:extent cx="5659314" cy="4002404"/>
            <wp:effectExtent l="0" t="0" r="0" b="0"/>
            <wp:docPr id="177" name="image961.jpeg" descr=""/>
            <wp:cNvGraphicFramePr>
              <a:graphicFrameLocks noChangeAspect="1"/>
            </wp:cNvGraphicFramePr>
            <a:graphic>
              <a:graphicData uri="http://schemas.openxmlformats.org/drawingml/2006/picture">
                <pic:pic>
                  <pic:nvPicPr>
                    <pic:cNvPr id="178" name="image961.jpeg"/>
                    <pic:cNvPicPr/>
                  </pic:nvPicPr>
                  <pic:blipFill>
                    <a:blip r:embed="rId995" cstate="print"/>
                    <a:stretch>
                      <a:fillRect/>
                    </a:stretch>
                  </pic:blipFill>
                  <pic:spPr>
                    <a:xfrm>
                      <a:off x="0" y="0"/>
                      <a:ext cx="5659314" cy="4002404"/>
                    </a:xfrm>
                    <a:prstGeom prst="rect">
                      <a:avLst/>
                    </a:prstGeom>
                  </pic:spPr>
                </pic:pic>
              </a:graphicData>
            </a:graphic>
          </wp:inline>
        </w:drawing>
      </w:r>
      <w:r>
        <w:rPr>
          <w:sz w:val="20"/>
        </w:rPr>
      </w:r>
    </w:p>
    <w:p>
      <w:pPr>
        <w:spacing w:line="360" w:lineRule="auto" w:before="91"/>
        <w:ind w:left="3342" w:right="117" w:hanging="3164"/>
        <w:jc w:val="left"/>
        <w:rPr>
          <w:sz w:val="20"/>
        </w:rPr>
      </w:pPr>
      <w:r>
        <w:rPr>
          <w:sz w:val="20"/>
        </w:rPr>
        <w:t>Fuente: Elaboración propia con base en los datos del Directorio Estadístico Nacional de Unidades Económicas, INEGI, 2014.</w:t>
      </w:r>
    </w:p>
    <w:p>
      <w:pPr>
        <w:pStyle w:val="BodyText"/>
        <w:spacing w:before="6"/>
        <w:rPr>
          <w:sz w:val="17"/>
        </w:rPr>
      </w:pPr>
    </w:p>
    <w:p>
      <w:pPr>
        <w:pStyle w:val="BodyText"/>
        <w:spacing w:line="360" w:lineRule="auto"/>
        <w:ind w:left="102" w:right="137"/>
        <w:jc w:val="both"/>
      </w:pPr>
      <w:r>
        <w:rPr/>
        <w:t>Con las seis variables analizadas anteriormente se construyó un índice de accesibilidad llamado para esta investigación índice de habitabilidad del entorno  de las viviendas, el cual se analiza en la siguiente</w:t>
      </w:r>
      <w:r>
        <w:rPr>
          <w:spacing w:val="-12"/>
        </w:rPr>
        <w:t> </w:t>
      </w:r>
      <w:r>
        <w:rPr/>
        <w:t>sección.</w:t>
      </w:r>
    </w:p>
    <w:p>
      <w:pPr>
        <w:pStyle w:val="BodyText"/>
      </w:pPr>
    </w:p>
    <w:p>
      <w:pPr>
        <w:pStyle w:val="BodyText"/>
      </w:pPr>
    </w:p>
    <w:p>
      <w:pPr>
        <w:pStyle w:val="BodyText"/>
        <w:spacing w:before="4"/>
        <w:rPr>
          <w:sz w:val="23"/>
        </w:rPr>
      </w:pPr>
    </w:p>
    <w:p>
      <w:pPr>
        <w:pStyle w:val="ListParagraph"/>
        <w:numPr>
          <w:ilvl w:val="2"/>
          <w:numId w:val="25"/>
        </w:numPr>
        <w:tabs>
          <w:tab w:pos="643" w:val="left" w:leader="none"/>
        </w:tabs>
        <w:spacing w:line="240" w:lineRule="auto" w:before="0" w:after="0"/>
        <w:ind w:left="642" w:right="0" w:hanging="540"/>
        <w:jc w:val="both"/>
        <w:rPr>
          <w:rFonts w:ascii="Cambria" w:hAnsi="Cambria"/>
          <w:b/>
          <w:sz w:val="22"/>
        </w:rPr>
      </w:pPr>
      <w:r>
        <w:rPr>
          <w:rFonts w:ascii="Cambria" w:hAnsi="Cambria"/>
          <w:b/>
          <w:color w:val="4F81BC"/>
          <w:sz w:val="22"/>
        </w:rPr>
        <w:t>Índice de</w:t>
      </w:r>
      <w:r>
        <w:rPr>
          <w:rFonts w:ascii="Cambria" w:hAnsi="Cambria"/>
          <w:b/>
          <w:color w:val="4F81BC"/>
          <w:spacing w:val="-12"/>
          <w:sz w:val="22"/>
        </w:rPr>
        <w:t> </w:t>
      </w:r>
      <w:r>
        <w:rPr>
          <w:rFonts w:ascii="Cambria" w:hAnsi="Cambria"/>
          <w:b/>
          <w:color w:val="4F81BC"/>
          <w:sz w:val="22"/>
        </w:rPr>
        <w:t>Habitabilidad</w:t>
      </w:r>
    </w:p>
    <w:p>
      <w:pPr>
        <w:pStyle w:val="BodyText"/>
        <w:rPr>
          <w:rFonts w:ascii="Cambria"/>
          <w:b/>
          <w:sz w:val="22"/>
        </w:rPr>
      </w:pPr>
    </w:p>
    <w:p>
      <w:pPr>
        <w:pStyle w:val="BodyText"/>
        <w:spacing w:before="11"/>
        <w:rPr>
          <w:rFonts w:ascii="Cambria"/>
          <w:b/>
          <w:sz w:val="26"/>
        </w:rPr>
      </w:pPr>
    </w:p>
    <w:p>
      <w:pPr>
        <w:pStyle w:val="BodyText"/>
        <w:spacing w:line="360" w:lineRule="auto"/>
        <w:ind w:left="102" w:right="135"/>
        <w:jc w:val="both"/>
      </w:pPr>
      <w:r>
        <w:rPr/>
        <w:t>En este apartado se analiza el método para sintetizar la información de las variables espaciales, que de acuerdo al esquema metodológico son tratadas de manera independiente para concretarse en un solo índice de habitabilidad al final del proceso y por ende de la investigación. Con base en el método de accesibilidad.</w:t>
      </w:r>
    </w:p>
    <w:p>
      <w:pPr>
        <w:spacing w:after="0" w:line="360" w:lineRule="auto"/>
        <w:jc w:val="both"/>
        <w:sectPr>
          <w:pgSz w:w="12240" w:h="15840"/>
          <w:pgMar w:header="0" w:footer="1003" w:top="1360" w:bottom="1200" w:left="1600" w:right="1560"/>
        </w:sectPr>
      </w:pPr>
    </w:p>
    <w:p>
      <w:pPr>
        <w:pStyle w:val="BodyText"/>
        <w:spacing w:line="360" w:lineRule="auto" w:before="54"/>
        <w:ind w:left="102" w:right="116"/>
        <w:jc w:val="both"/>
      </w:pPr>
      <w:r>
        <w:rPr/>
        <w:t>El cual está construido por seis variables; empleo, educación básica, salud, abasto de alimentos, áreas verdes y recreación, con base en los datos del Directorio Estadístico Nacional de Unidades Económicas (</w:t>
      </w:r>
      <w:r>
        <w:rPr>
          <w:sz w:val="19"/>
        </w:rPr>
        <w:t>DENUE</w:t>
      </w:r>
      <w:r>
        <w:rPr/>
        <w:t>, 2014).De ello, el modelo para determinar la habitabilidad del entorno de las viviendas en la </w:t>
      </w:r>
      <w:r>
        <w:rPr>
          <w:sz w:val="19"/>
        </w:rPr>
        <w:t>ZMT</w:t>
      </w:r>
      <w:r>
        <w:rPr/>
        <w:t>, es la siguiente:</w:t>
      </w:r>
    </w:p>
    <w:p>
      <w:pPr>
        <w:spacing w:before="203"/>
        <w:ind w:left="188" w:right="0" w:firstLine="0"/>
        <w:jc w:val="both"/>
        <w:rPr>
          <w:i/>
          <w:sz w:val="18"/>
        </w:rPr>
      </w:pPr>
      <w:r>
        <w:rPr>
          <w:b/>
          <w:i/>
          <w:sz w:val="18"/>
        </w:rPr>
        <w:t>IH </w:t>
      </w:r>
      <w:r>
        <w:rPr>
          <w:i/>
          <w:sz w:val="18"/>
        </w:rPr>
        <w:t>= Fp (V</w:t>
      </w:r>
      <w:r>
        <w:rPr>
          <w:i/>
          <w:position w:val="-5"/>
          <w:sz w:val="18"/>
        </w:rPr>
        <w:t>Emp</w:t>
      </w:r>
      <w:r>
        <w:rPr>
          <w:i/>
          <w:sz w:val="18"/>
        </w:rPr>
        <w:t>+V</w:t>
      </w:r>
      <w:r>
        <w:rPr>
          <w:i/>
          <w:position w:val="-5"/>
          <w:sz w:val="18"/>
        </w:rPr>
        <w:t>Edu</w:t>
      </w:r>
      <w:r>
        <w:rPr>
          <w:i/>
          <w:sz w:val="18"/>
        </w:rPr>
        <w:t>+V</w:t>
      </w:r>
      <w:r>
        <w:rPr>
          <w:i/>
          <w:position w:val="-5"/>
          <w:sz w:val="18"/>
        </w:rPr>
        <w:t>Sal</w:t>
      </w:r>
      <w:r>
        <w:rPr>
          <w:i/>
          <w:sz w:val="18"/>
        </w:rPr>
        <w:t>+V</w:t>
      </w:r>
      <w:r>
        <w:rPr>
          <w:i/>
          <w:position w:val="-5"/>
          <w:sz w:val="18"/>
        </w:rPr>
        <w:t>Aba</w:t>
      </w:r>
      <w:r>
        <w:rPr>
          <w:i/>
          <w:sz w:val="18"/>
        </w:rPr>
        <w:t>+V</w:t>
      </w:r>
      <w:r>
        <w:rPr>
          <w:i/>
          <w:position w:val="-5"/>
          <w:sz w:val="18"/>
        </w:rPr>
        <w:t>Are</w:t>
      </w:r>
      <w:r>
        <w:rPr>
          <w:i/>
          <w:sz w:val="18"/>
        </w:rPr>
        <w:t>+V</w:t>
      </w:r>
      <w:r>
        <w:rPr>
          <w:i/>
          <w:position w:val="-5"/>
          <w:sz w:val="18"/>
        </w:rPr>
        <w:t>Rec</w:t>
      </w:r>
      <w:r>
        <w:rPr>
          <w:i/>
          <w:sz w:val="18"/>
        </w:rPr>
        <w:t>) + Fp (Acc</w:t>
      </w:r>
      <w:r>
        <w:rPr>
          <w:i/>
          <w:position w:val="-5"/>
          <w:sz w:val="18"/>
        </w:rPr>
        <w:t>Emp</w:t>
      </w:r>
      <w:r>
        <w:rPr>
          <w:i/>
          <w:sz w:val="18"/>
        </w:rPr>
        <w:t>+Acc</w:t>
      </w:r>
      <w:r>
        <w:rPr>
          <w:i/>
          <w:position w:val="-5"/>
          <w:sz w:val="18"/>
        </w:rPr>
        <w:t>Edu</w:t>
      </w:r>
      <w:r>
        <w:rPr>
          <w:i/>
          <w:sz w:val="18"/>
        </w:rPr>
        <w:t>+Acc</w:t>
      </w:r>
      <w:r>
        <w:rPr>
          <w:i/>
          <w:position w:val="-5"/>
          <w:sz w:val="18"/>
        </w:rPr>
        <w:t>Sal</w:t>
      </w:r>
      <w:r>
        <w:rPr>
          <w:i/>
          <w:sz w:val="18"/>
        </w:rPr>
        <w:t>+Acc</w:t>
      </w:r>
      <w:r>
        <w:rPr>
          <w:i/>
          <w:position w:val="-5"/>
          <w:sz w:val="18"/>
        </w:rPr>
        <w:t>Aba</w:t>
      </w:r>
      <w:r>
        <w:rPr>
          <w:i/>
          <w:sz w:val="18"/>
        </w:rPr>
        <w:t>+Acc</w:t>
      </w:r>
      <w:r>
        <w:rPr>
          <w:i/>
          <w:position w:val="-5"/>
          <w:sz w:val="18"/>
        </w:rPr>
        <w:t>Are</w:t>
      </w:r>
      <w:r>
        <w:rPr>
          <w:i/>
          <w:sz w:val="18"/>
        </w:rPr>
        <w:t>+Acc</w:t>
      </w:r>
      <w:r>
        <w:rPr>
          <w:i/>
          <w:position w:val="-5"/>
          <w:sz w:val="18"/>
        </w:rPr>
        <w:t>Rec</w:t>
      </w:r>
      <w:r>
        <w:rPr>
          <w:i/>
          <w:sz w:val="18"/>
        </w:rPr>
        <w:t>)</w:t>
      </w:r>
    </w:p>
    <w:p>
      <w:pPr>
        <w:pStyle w:val="BodyText"/>
        <w:spacing w:before="7"/>
        <w:rPr>
          <w:i/>
          <w:sz w:val="26"/>
        </w:rPr>
      </w:pPr>
    </w:p>
    <w:p>
      <w:pPr>
        <w:spacing w:line="205" w:lineRule="exact" w:before="0"/>
        <w:ind w:left="102" w:right="0" w:firstLine="0"/>
        <w:jc w:val="both"/>
        <w:rPr>
          <w:sz w:val="18"/>
        </w:rPr>
      </w:pPr>
      <w:r>
        <w:rPr>
          <w:sz w:val="18"/>
        </w:rPr>
        <w:t>Donde:</w:t>
      </w:r>
    </w:p>
    <w:p>
      <w:pPr>
        <w:spacing w:line="240" w:lineRule="auto" w:before="0"/>
        <w:ind w:left="102" w:right="6761" w:firstLine="0"/>
        <w:jc w:val="left"/>
        <w:rPr>
          <w:sz w:val="18"/>
        </w:rPr>
      </w:pPr>
      <w:r>
        <w:rPr>
          <w:i/>
          <w:sz w:val="18"/>
        </w:rPr>
        <w:t>IH </w:t>
      </w:r>
      <w:r>
        <w:rPr>
          <w:sz w:val="18"/>
        </w:rPr>
        <w:t>= Índice de habitabilidad </w:t>
      </w:r>
      <w:r>
        <w:rPr>
          <w:i/>
          <w:sz w:val="18"/>
        </w:rPr>
        <w:t>FP </w:t>
      </w:r>
      <w:r>
        <w:rPr>
          <w:sz w:val="18"/>
        </w:rPr>
        <w:t>= Función ponderada </w:t>
      </w:r>
      <w:r>
        <w:rPr>
          <w:position w:val="6"/>
          <w:sz w:val="18"/>
        </w:rPr>
        <w:t>V</w:t>
      </w:r>
      <w:r>
        <w:rPr>
          <w:sz w:val="18"/>
        </w:rPr>
        <w:t>Emp = Variable empleo </w:t>
      </w:r>
      <w:r>
        <w:rPr>
          <w:position w:val="6"/>
          <w:sz w:val="18"/>
        </w:rPr>
        <w:t>V</w:t>
      </w:r>
      <w:r>
        <w:rPr>
          <w:sz w:val="18"/>
        </w:rPr>
        <w:t>Edu = Variable educación </w:t>
      </w:r>
      <w:r>
        <w:rPr>
          <w:position w:val="6"/>
          <w:sz w:val="18"/>
        </w:rPr>
        <w:t>V</w:t>
      </w:r>
      <w:r>
        <w:rPr>
          <w:sz w:val="18"/>
        </w:rPr>
        <w:t>Sal = Variable salud</w:t>
      </w:r>
    </w:p>
    <w:p>
      <w:pPr>
        <w:spacing w:line="266" w:lineRule="exact" w:before="0"/>
        <w:ind w:left="102" w:right="0" w:firstLine="0"/>
        <w:jc w:val="both"/>
        <w:rPr>
          <w:sz w:val="18"/>
        </w:rPr>
      </w:pPr>
      <w:r>
        <w:rPr>
          <w:position w:val="6"/>
          <w:sz w:val="18"/>
        </w:rPr>
        <w:t>V</w:t>
      </w:r>
      <w:r>
        <w:rPr>
          <w:sz w:val="18"/>
        </w:rPr>
        <w:t>Aba = Variable Abasto de alimentos</w:t>
      </w:r>
    </w:p>
    <w:p>
      <w:pPr>
        <w:spacing w:before="0"/>
        <w:ind w:left="102" w:right="6311" w:firstLine="0"/>
        <w:jc w:val="left"/>
        <w:rPr>
          <w:sz w:val="18"/>
        </w:rPr>
      </w:pPr>
      <w:r>
        <w:rPr>
          <w:i/>
          <w:position w:val="6"/>
          <w:sz w:val="18"/>
        </w:rPr>
        <w:t>V</w:t>
      </w:r>
      <w:r>
        <w:rPr>
          <w:i/>
          <w:sz w:val="18"/>
        </w:rPr>
        <w:t>Are </w:t>
      </w:r>
      <w:r>
        <w:rPr>
          <w:sz w:val="18"/>
        </w:rPr>
        <w:t>= Variable Áreas Verdes </w:t>
      </w:r>
      <w:r>
        <w:rPr>
          <w:i/>
          <w:position w:val="6"/>
          <w:sz w:val="18"/>
        </w:rPr>
        <w:t>V</w:t>
      </w:r>
      <w:r>
        <w:rPr>
          <w:i/>
          <w:sz w:val="18"/>
        </w:rPr>
        <w:t>Rec </w:t>
      </w:r>
      <w:r>
        <w:rPr>
          <w:sz w:val="18"/>
        </w:rPr>
        <w:t>= Variable Recreación </w:t>
      </w:r>
      <w:r>
        <w:rPr>
          <w:i/>
          <w:position w:val="6"/>
          <w:sz w:val="18"/>
        </w:rPr>
        <w:t>Acc</w:t>
      </w:r>
      <w:r>
        <w:rPr>
          <w:i/>
          <w:sz w:val="18"/>
        </w:rPr>
        <w:t>Emp = </w:t>
      </w:r>
      <w:r>
        <w:rPr>
          <w:sz w:val="18"/>
        </w:rPr>
        <w:t>Acceso al empleo </w:t>
      </w:r>
      <w:r>
        <w:rPr>
          <w:i/>
          <w:position w:val="6"/>
          <w:sz w:val="18"/>
        </w:rPr>
        <w:t>Acc</w:t>
      </w:r>
      <w:r>
        <w:rPr>
          <w:i/>
          <w:sz w:val="18"/>
        </w:rPr>
        <w:t>Edu = </w:t>
      </w:r>
      <w:r>
        <w:rPr>
          <w:sz w:val="18"/>
        </w:rPr>
        <w:t>Acceso a la educación</w:t>
      </w:r>
    </w:p>
    <w:p>
      <w:pPr>
        <w:spacing w:before="2"/>
        <w:ind w:left="102" w:right="5160" w:firstLine="0"/>
        <w:jc w:val="left"/>
        <w:rPr>
          <w:sz w:val="18"/>
        </w:rPr>
      </w:pPr>
      <w:r>
        <w:rPr>
          <w:i/>
          <w:position w:val="6"/>
          <w:sz w:val="18"/>
        </w:rPr>
        <w:t>Acc</w:t>
      </w:r>
      <w:r>
        <w:rPr>
          <w:i/>
          <w:sz w:val="18"/>
        </w:rPr>
        <w:t>Sal = </w:t>
      </w:r>
      <w:r>
        <w:rPr>
          <w:sz w:val="18"/>
        </w:rPr>
        <w:t>Acceso a la Salud a población abierta </w:t>
      </w:r>
      <w:r>
        <w:rPr>
          <w:i/>
          <w:position w:val="6"/>
          <w:sz w:val="18"/>
        </w:rPr>
        <w:t>Acc</w:t>
      </w:r>
      <w:r>
        <w:rPr>
          <w:i/>
          <w:sz w:val="18"/>
        </w:rPr>
        <w:t>Aba = </w:t>
      </w:r>
      <w:r>
        <w:rPr>
          <w:sz w:val="18"/>
        </w:rPr>
        <w:t>Acceso al abasto de alimentos </w:t>
      </w:r>
      <w:r>
        <w:rPr>
          <w:i/>
          <w:position w:val="6"/>
          <w:sz w:val="18"/>
        </w:rPr>
        <w:t>Acc</w:t>
      </w:r>
      <w:r>
        <w:rPr>
          <w:i/>
          <w:sz w:val="18"/>
        </w:rPr>
        <w:t>Are = </w:t>
      </w:r>
      <w:r>
        <w:rPr>
          <w:sz w:val="18"/>
        </w:rPr>
        <w:t>Acceso a áreas verdes</w:t>
      </w:r>
    </w:p>
    <w:p>
      <w:pPr>
        <w:spacing w:line="266" w:lineRule="exact" w:before="0"/>
        <w:ind w:left="102" w:right="0" w:firstLine="0"/>
        <w:jc w:val="both"/>
        <w:rPr>
          <w:sz w:val="18"/>
        </w:rPr>
      </w:pPr>
      <w:r>
        <w:rPr>
          <w:i/>
          <w:position w:val="6"/>
          <w:sz w:val="18"/>
        </w:rPr>
        <w:t>Acc</w:t>
      </w:r>
      <w:r>
        <w:rPr>
          <w:i/>
          <w:sz w:val="18"/>
        </w:rPr>
        <w:t>Rec = </w:t>
      </w:r>
      <w:r>
        <w:rPr>
          <w:sz w:val="18"/>
        </w:rPr>
        <w:t>Acceso a la recreación</w:t>
      </w:r>
    </w:p>
    <w:p>
      <w:pPr>
        <w:pStyle w:val="BodyText"/>
      </w:pPr>
    </w:p>
    <w:p>
      <w:pPr>
        <w:pStyle w:val="BodyText"/>
        <w:spacing w:before="1"/>
        <w:rPr>
          <w:sz w:val="30"/>
        </w:rPr>
      </w:pPr>
    </w:p>
    <w:p>
      <w:pPr>
        <w:pStyle w:val="BodyText"/>
        <w:spacing w:line="360" w:lineRule="auto"/>
        <w:ind w:left="102" w:right="120"/>
        <w:jc w:val="both"/>
      </w:pPr>
      <w:r>
        <w:rPr/>
        <w:t>Los resultados de las variables y de los indicadores resaltan las diferencias existentes entre los porcentajes en la carencia de servicios y como medidas de accesibilidad, para poder compararlos se sometió a un proceso de  estandarización.</w:t>
      </w:r>
    </w:p>
    <w:p>
      <w:pPr>
        <w:pStyle w:val="BodyText"/>
      </w:pPr>
    </w:p>
    <w:p>
      <w:pPr>
        <w:pStyle w:val="BodyText"/>
        <w:spacing w:line="360" w:lineRule="auto" w:before="142"/>
        <w:ind w:left="102" w:right="117"/>
        <w:jc w:val="both"/>
      </w:pPr>
      <w:r>
        <w:rPr/>
        <w:t>Como se mencionó anteriormente el método a utilizarse para sintetizar la información en el índice de habitabilidad, fue el de componentes principales por su facilidad de cálculo, además que previamente se sometió la información a un proceso de estandarización, donde se pondera cada indicador utilizado, finalmente se sintetizó en una dimensión las variables utilizadas para su construcción.</w:t>
      </w:r>
    </w:p>
    <w:p>
      <w:pPr>
        <w:pStyle w:val="BodyText"/>
      </w:pPr>
    </w:p>
    <w:p>
      <w:pPr>
        <w:pStyle w:val="BodyText"/>
        <w:spacing w:line="360" w:lineRule="auto" w:before="142"/>
        <w:ind w:left="102" w:right="116"/>
        <w:jc w:val="both"/>
      </w:pPr>
      <w:r>
        <w:rPr/>
        <w:t>Se debe mencionar que no es de interés de la investigación profundizar en la descripción formal del método de componentes principales, solo se menciona la forma del cálculo a través del programa estadístico que permitió su estimación.</w:t>
      </w:r>
    </w:p>
    <w:p>
      <w:pPr>
        <w:spacing w:after="0" w:line="360" w:lineRule="auto"/>
        <w:jc w:val="both"/>
        <w:sectPr>
          <w:pgSz w:w="12240" w:h="15840"/>
          <w:pgMar w:header="0" w:footer="1003" w:top="1360" w:bottom="1200" w:left="1600" w:right="1580"/>
        </w:sectPr>
      </w:pPr>
    </w:p>
    <w:p>
      <w:pPr>
        <w:pStyle w:val="BodyText"/>
        <w:spacing w:line="360" w:lineRule="auto" w:before="54"/>
        <w:ind w:left="102" w:right="115"/>
        <w:jc w:val="both"/>
      </w:pPr>
      <w:r>
        <w:rPr/>
        <w:t>Para esta investigación se eligió el programa estadístico </w:t>
      </w:r>
      <w:r>
        <w:rPr>
          <w:sz w:val="19"/>
        </w:rPr>
        <w:t>SPSS </w:t>
      </w:r>
      <w:r>
        <w:rPr/>
        <w:t>(Programa Estadístico para las Ciencias Sociales por sus siglas en inglés) versión 21.1 así como el procedimiento retomado de Cadena (2005: 196-204), que sintetiza fácilmente los pasos a seguir para el uso de componentes principales.</w:t>
      </w:r>
    </w:p>
    <w:p>
      <w:pPr>
        <w:pStyle w:val="BodyText"/>
      </w:pPr>
    </w:p>
    <w:p>
      <w:pPr>
        <w:pStyle w:val="BodyText"/>
        <w:spacing w:line="360" w:lineRule="auto" w:before="142"/>
        <w:ind w:left="102" w:right="119"/>
        <w:jc w:val="both"/>
      </w:pPr>
      <w:r>
        <w:rPr/>
        <w:t>Una vez revisados las corridas se ejecutó el análisis de componentes principales. Para verificar que los indicadores elegidos para la prueba es necesario considerar algunas de las tablas de resultado. La primera de ellas en la tabla de </w:t>
      </w:r>
      <w:r>
        <w:rPr>
          <w:i/>
        </w:rPr>
        <w:t>Varianza </w:t>
      </w:r>
      <w:r>
        <w:rPr>
          <w:i/>
        </w:rPr>
        <w:t>Total Explicada</w:t>
      </w:r>
      <w:r>
        <w:rPr/>
        <w:t>, que indica la proporción de la variabilidad del grupo de indicadores seleccionados, enfocando la atención a la columna de porcentaje acumulado de la</w:t>
      </w:r>
      <w:r>
        <w:rPr>
          <w:spacing w:val="-13"/>
        </w:rPr>
        <w:t> </w:t>
      </w:r>
      <w:r>
        <w:rPr/>
        <w:t>varianza.</w:t>
      </w:r>
    </w:p>
    <w:p>
      <w:pPr>
        <w:pStyle w:val="BodyText"/>
      </w:pPr>
    </w:p>
    <w:p>
      <w:pPr>
        <w:pStyle w:val="BodyText"/>
        <w:spacing w:line="360" w:lineRule="auto" w:before="142"/>
        <w:ind w:left="102" w:right="116"/>
        <w:jc w:val="both"/>
      </w:pPr>
      <w:r>
        <w:rPr/>
        <w:t>Se considera que un grupo de variables es adecuado o viable para su resumen, cuando la suma acumulada en el segundo factor es superior al 50 por ciento, en esta investigación es factible ya que este cerca del 50 por ciento. En este trabajo donde se sometieron a análisis 6 variables espaciales, el valor de la varianza acumulada hasta el segundo factor fue de más del 49 por ciento, lo que afirma la buena elección de las variables e indicadores (ver cuadro No.21).</w:t>
      </w:r>
    </w:p>
    <w:p>
      <w:pPr>
        <w:spacing w:after="0" w:line="360" w:lineRule="auto"/>
        <w:jc w:val="both"/>
        <w:sectPr>
          <w:pgSz w:w="12240" w:h="15840"/>
          <w:pgMar w:header="0" w:footer="1003" w:top="1360" w:bottom="1200" w:left="1600" w:right="1580"/>
        </w:sectPr>
      </w:pPr>
    </w:p>
    <w:p>
      <w:pPr>
        <w:spacing w:before="53"/>
        <w:ind w:left="416" w:right="0" w:firstLine="0"/>
        <w:jc w:val="left"/>
        <w:rPr>
          <w:sz w:val="20"/>
        </w:rPr>
      </w:pPr>
      <w:r>
        <w:rPr>
          <w:sz w:val="20"/>
        </w:rPr>
        <w:t>Cuadro No. 21 Varianza total explicada por el grupo de indicadores espaciales en la </w:t>
      </w:r>
      <w:r>
        <w:rPr>
          <w:sz w:val="16"/>
        </w:rPr>
        <w:t>ZMT</w:t>
      </w:r>
      <w:r>
        <w:rPr>
          <w:sz w:val="20"/>
        </w:rPr>
        <w:t>, 2014.</w:t>
      </w:r>
    </w:p>
    <w:p>
      <w:pPr>
        <w:pStyle w:val="BodyText"/>
        <w:spacing w:before="3"/>
        <w:rPr>
          <w:sz w:val="10"/>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95"/>
        <w:gridCol w:w="1796"/>
        <w:gridCol w:w="1796"/>
        <w:gridCol w:w="1798"/>
        <w:gridCol w:w="1796"/>
      </w:tblGrid>
      <w:tr>
        <w:trPr>
          <w:trHeight w:val="415" w:hRule="exact"/>
        </w:trPr>
        <w:tc>
          <w:tcPr>
            <w:tcW w:w="3591" w:type="dxa"/>
            <w:gridSpan w:val="2"/>
            <w:vMerge w:val="restart"/>
          </w:tcPr>
          <w:p>
            <w:pPr>
              <w:pStyle w:val="TableParagraph"/>
              <w:spacing w:line="225" w:lineRule="exact"/>
              <w:ind w:left="1178"/>
              <w:rPr>
                <w:rFonts w:ascii="Arial"/>
                <w:b/>
                <w:sz w:val="20"/>
              </w:rPr>
            </w:pPr>
            <w:r>
              <w:rPr>
                <w:rFonts w:ascii="Arial"/>
                <w:b/>
                <w:sz w:val="20"/>
              </w:rPr>
              <w:t>Componente</w:t>
            </w:r>
          </w:p>
        </w:tc>
        <w:tc>
          <w:tcPr>
            <w:tcW w:w="5389" w:type="dxa"/>
            <w:gridSpan w:val="3"/>
          </w:tcPr>
          <w:p>
            <w:pPr>
              <w:pStyle w:val="TableParagraph"/>
              <w:spacing w:line="285" w:lineRule="exact"/>
              <w:ind w:left="1632"/>
              <w:rPr>
                <w:rFonts w:ascii="Arial"/>
                <w:b/>
                <w:sz w:val="20"/>
              </w:rPr>
            </w:pPr>
            <w:r>
              <w:rPr>
                <w:rFonts w:ascii="Arial"/>
                <w:b/>
                <w:sz w:val="20"/>
              </w:rPr>
              <w:t>Autovalores iniciales</w:t>
            </w:r>
            <w:r>
              <w:rPr>
                <w:rFonts w:ascii="Arial"/>
                <w:b/>
                <w:position w:val="6"/>
                <w:sz w:val="20"/>
              </w:rPr>
              <w:t>a</w:t>
            </w:r>
          </w:p>
        </w:tc>
      </w:tr>
      <w:tr>
        <w:trPr>
          <w:trHeight w:val="355" w:hRule="exact"/>
        </w:trPr>
        <w:tc>
          <w:tcPr>
            <w:tcW w:w="3591" w:type="dxa"/>
            <w:gridSpan w:val="2"/>
            <w:vMerge/>
          </w:tcPr>
          <w:p>
            <w:pPr/>
          </w:p>
        </w:tc>
        <w:tc>
          <w:tcPr>
            <w:tcW w:w="1796" w:type="dxa"/>
          </w:tcPr>
          <w:p>
            <w:pPr>
              <w:pStyle w:val="TableParagraph"/>
              <w:spacing w:line="225" w:lineRule="exact"/>
              <w:ind w:left="634" w:right="634"/>
              <w:jc w:val="center"/>
              <w:rPr>
                <w:rFonts w:ascii="Arial"/>
                <w:b/>
                <w:sz w:val="20"/>
              </w:rPr>
            </w:pPr>
            <w:r>
              <w:rPr>
                <w:rFonts w:ascii="Arial"/>
                <w:b/>
                <w:sz w:val="20"/>
              </w:rPr>
              <w:t>Total</w:t>
            </w:r>
          </w:p>
        </w:tc>
        <w:tc>
          <w:tcPr>
            <w:tcW w:w="1798" w:type="dxa"/>
          </w:tcPr>
          <w:p>
            <w:pPr>
              <w:pStyle w:val="TableParagraph"/>
              <w:spacing w:line="225" w:lineRule="exact"/>
              <w:ind w:right="123"/>
              <w:jc w:val="right"/>
              <w:rPr>
                <w:rFonts w:ascii="Arial"/>
                <w:b/>
                <w:sz w:val="20"/>
              </w:rPr>
            </w:pPr>
            <w:r>
              <w:rPr>
                <w:rFonts w:ascii="Arial"/>
                <w:b/>
                <w:sz w:val="20"/>
              </w:rPr>
              <w:t>% de la varianza</w:t>
            </w:r>
          </w:p>
        </w:tc>
        <w:tc>
          <w:tcPr>
            <w:tcW w:w="1796" w:type="dxa"/>
          </w:tcPr>
          <w:p>
            <w:pPr>
              <w:pStyle w:val="TableParagraph"/>
              <w:spacing w:line="225" w:lineRule="exact"/>
              <w:ind w:left="245"/>
              <w:rPr>
                <w:rFonts w:ascii="Arial"/>
                <w:b/>
                <w:sz w:val="20"/>
              </w:rPr>
            </w:pPr>
            <w:r>
              <w:rPr>
                <w:rFonts w:ascii="Arial"/>
                <w:b/>
                <w:sz w:val="20"/>
              </w:rPr>
              <w:t>% acumulado</w:t>
            </w:r>
          </w:p>
        </w:tc>
      </w:tr>
      <w:tr>
        <w:trPr>
          <w:trHeight w:val="301" w:hRule="exact"/>
        </w:trPr>
        <w:tc>
          <w:tcPr>
            <w:tcW w:w="1795" w:type="dxa"/>
            <w:tcBorders>
              <w:bottom w:val="nil"/>
            </w:tcBorders>
          </w:tcPr>
          <w:p>
            <w:pPr>
              <w:pStyle w:val="TableParagraph"/>
              <w:spacing w:line="225" w:lineRule="exact"/>
              <w:ind w:left="321" w:right="321"/>
              <w:jc w:val="center"/>
              <w:rPr>
                <w:rFonts w:ascii="Arial"/>
                <w:b/>
                <w:sz w:val="20"/>
              </w:rPr>
            </w:pPr>
            <w:r>
              <w:rPr>
                <w:rFonts w:ascii="Arial"/>
                <w:b/>
                <w:sz w:val="20"/>
              </w:rPr>
              <w:t>Bruta</w:t>
            </w:r>
          </w:p>
        </w:tc>
        <w:tc>
          <w:tcPr>
            <w:tcW w:w="1796" w:type="dxa"/>
            <w:tcBorders>
              <w:bottom w:val="nil"/>
            </w:tcBorders>
          </w:tcPr>
          <w:p>
            <w:pPr>
              <w:pStyle w:val="TableParagraph"/>
              <w:spacing w:line="227" w:lineRule="exact"/>
              <w:jc w:val="center"/>
              <w:rPr>
                <w:rFonts w:ascii="Arial"/>
                <w:sz w:val="20"/>
              </w:rPr>
            </w:pPr>
            <w:r>
              <w:rPr>
                <w:rFonts w:ascii="Arial"/>
                <w:w w:val="99"/>
                <w:sz w:val="20"/>
              </w:rPr>
              <w:t>1</w:t>
            </w:r>
          </w:p>
        </w:tc>
        <w:tc>
          <w:tcPr>
            <w:tcW w:w="1796" w:type="dxa"/>
            <w:tcBorders>
              <w:bottom w:val="nil"/>
            </w:tcBorders>
          </w:tcPr>
          <w:p>
            <w:pPr>
              <w:pStyle w:val="TableParagraph"/>
              <w:spacing w:line="227" w:lineRule="exact"/>
              <w:ind w:right="103"/>
              <w:jc w:val="right"/>
              <w:rPr>
                <w:rFonts w:ascii="Arial"/>
                <w:sz w:val="20"/>
              </w:rPr>
            </w:pPr>
            <w:r>
              <w:rPr>
                <w:rFonts w:ascii="Arial"/>
                <w:w w:val="95"/>
                <w:sz w:val="20"/>
              </w:rPr>
              <w:t>1.854</w:t>
            </w:r>
          </w:p>
        </w:tc>
        <w:tc>
          <w:tcPr>
            <w:tcW w:w="1798" w:type="dxa"/>
            <w:tcBorders>
              <w:bottom w:val="nil"/>
            </w:tcBorders>
          </w:tcPr>
          <w:p>
            <w:pPr>
              <w:pStyle w:val="TableParagraph"/>
              <w:spacing w:line="227" w:lineRule="exact"/>
              <w:ind w:right="105"/>
              <w:jc w:val="right"/>
              <w:rPr>
                <w:rFonts w:ascii="Arial"/>
                <w:sz w:val="20"/>
              </w:rPr>
            </w:pPr>
            <w:r>
              <w:rPr>
                <w:rFonts w:ascii="Arial"/>
                <w:w w:val="95"/>
                <w:sz w:val="20"/>
              </w:rPr>
              <w:t>30.904</w:t>
            </w:r>
          </w:p>
        </w:tc>
        <w:tc>
          <w:tcPr>
            <w:tcW w:w="1796" w:type="dxa"/>
            <w:tcBorders>
              <w:bottom w:val="nil"/>
            </w:tcBorders>
          </w:tcPr>
          <w:p>
            <w:pPr>
              <w:pStyle w:val="TableParagraph"/>
              <w:spacing w:line="227" w:lineRule="exact"/>
              <w:ind w:right="105"/>
              <w:jc w:val="right"/>
              <w:rPr>
                <w:rFonts w:ascii="Arial"/>
                <w:sz w:val="20"/>
              </w:rPr>
            </w:pPr>
            <w:r>
              <w:rPr>
                <w:rFonts w:ascii="Arial"/>
                <w:w w:val="95"/>
                <w:sz w:val="20"/>
              </w:rPr>
              <w:t>30.904</w:t>
            </w:r>
          </w:p>
        </w:tc>
      </w:tr>
      <w:tr>
        <w:trPr>
          <w:trHeight w:val="346" w:hRule="exact"/>
        </w:trPr>
        <w:tc>
          <w:tcPr>
            <w:tcW w:w="1795" w:type="dxa"/>
            <w:tcBorders>
              <w:top w:val="nil"/>
              <w:bottom w:val="nil"/>
            </w:tcBorders>
          </w:tcPr>
          <w:p>
            <w:pPr/>
          </w:p>
        </w:tc>
        <w:tc>
          <w:tcPr>
            <w:tcW w:w="1796" w:type="dxa"/>
            <w:tcBorders>
              <w:top w:val="nil"/>
              <w:bottom w:val="nil"/>
            </w:tcBorders>
          </w:tcPr>
          <w:p>
            <w:pPr>
              <w:pStyle w:val="TableParagraph"/>
              <w:spacing w:before="47"/>
              <w:jc w:val="center"/>
              <w:rPr>
                <w:rFonts w:ascii="Arial"/>
                <w:sz w:val="20"/>
              </w:rPr>
            </w:pPr>
            <w:r>
              <w:rPr>
                <w:rFonts w:ascii="Arial"/>
                <w:w w:val="99"/>
                <w:sz w:val="20"/>
              </w:rPr>
              <w:t>2</w:t>
            </w:r>
          </w:p>
        </w:tc>
        <w:tc>
          <w:tcPr>
            <w:tcW w:w="1796" w:type="dxa"/>
            <w:tcBorders>
              <w:top w:val="nil"/>
              <w:bottom w:val="nil"/>
            </w:tcBorders>
          </w:tcPr>
          <w:p>
            <w:pPr>
              <w:pStyle w:val="TableParagraph"/>
              <w:spacing w:before="47"/>
              <w:ind w:right="103"/>
              <w:jc w:val="right"/>
              <w:rPr>
                <w:rFonts w:ascii="Arial"/>
                <w:sz w:val="20"/>
              </w:rPr>
            </w:pPr>
            <w:r>
              <w:rPr>
                <w:rFonts w:ascii="Arial"/>
                <w:w w:val="95"/>
                <w:sz w:val="20"/>
              </w:rPr>
              <w:t>1.138</w:t>
            </w:r>
          </w:p>
        </w:tc>
        <w:tc>
          <w:tcPr>
            <w:tcW w:w="1798" w:type="dxa"/>
            <w:tcBorders>
              <w:top w:val="nil"/>
              <w:bottom w:val="nil"/>
            </w:tcBorders>
          </w:tcPr>
          <w:p>
            <w:pPr>
              <w:pStyle w:val="TableParagraph"/>
              <w:spacing w:before="47"/>
              <w:ind w:right="105"/>
              <w:jc w:val="right"/>
              <w:rPr>
                <w:rFonts w:ascii="Arial"/>
                <w:sz w:val="20"/>
              </w:rPr>
            </w:pPr>
            <w:r>
              <w:rPr>
                <w:rFonts w:ascii="Arial"/>
                <w:w w:val="95"/>
                <w:sz w:val="20"/>
              </w:rPr>
              <w:t>18.963</w:t>
            </w:r>
          </w:p>
        </w:tc>
        <w:tc>
          <w:tcPr>
            <w:tcW w:w="1796" w:type="dxa"/>
            <w:tcBorders>
              <w:top w:val="nil"/>
              <w:bottom w:val="nil"/>
            </w:tcBorders>
          </w:tcPr>
          <w:p>
            <w:pPr>
              <w:pStyle w:val="TableParagraph"/>
              <w:spacing w:before="47"/>
              <w:ind w:right="105"/>
              <w:jc w:val="right"/>
              <w:rPr>
                <w:rFonts w:ascii="Arial"/>
                <w:sz w:val="20"/>
              </w:rPr>
            </w:pPr>
            <w:r>
              <w:rPr>
                <w:rFonts w:ascii="Arial"/>
                <w:w w:val="95"/>
                <w:sz w:val="20"/>
              </w:rPr>
              <w:t>49.867</w:t>
            </w:r>
          </w:p>
        </w:tc>
      </w:tr>
      <w:tr>
        <w:trPr>
          <w:trHeight w:val="344" w:hRule="exact"/>
        </w:trPr>
        <w:tc>
          <w:tcPr>
            <w:tcW w:w="1795" w:type="dxa"/>
            <w:tcBorders>
              <w:top w:val="nil"/>
              <w:bottom w:val="nil"/>
            </w:tcBorders>
          </w:tcPr>
          <w:p>
            <w:pPr/>
          </w:p>
        </w:tc>
        <w:tc>
          <w:tcPr>
            <w:tcW w:w="1796" w:type="dxa"/>
            <w:tcBorders>
              <w:top w:val="nil"/>
              <w:bottom w:val="nil"/>
            </w:tcBorders>
          </w:tcPr>
          <w:p>
            <w:pPr>
              <w:pStyle w:val="TableParagraph"/>
              <w:spacing w:before="47"/>
              <w:jc w:val="center"/>
              <w:rPr>
                <w:rFonts w:ascii="Arial"/>
                <w:sz w:val="20"/>
              </w:rPr>
            </w:pPr>
            <w:r>
              <w:rPr>
                <w:rFonts w:ascii="Arial"/>
                <w:w w:val="99"/>
                <w:sz w:val="20"/>
              </w:rPr>
              <w:t>3</w:t>
            </w:r>
          </w:p>
        </w:tc>
        <w:tc>
          <w:tcPr>
            <w:tcW w:w="1796" w:type="dxa"/>
            <w:tcBorders>
              <w:top w:val="nil"/>
              <w:bottom w:val="nil"/>
            </w:tcBorders>
          </w:tcPr>
          <w:p>
            <w:pPr>
              <w:pStyle w:val="TableParagraph"/>
              <w:spacing w:before="47"/>
              <w:ind w:right="103"/>
              <w:jc w:val="right"/>
              <w:rPr>
                <w:rFonts w:ascii="Arial"/>
                <w:sz w:val="20"/>
              </w:rPr>
            </w:pPr>
            <w:r>
              <w:rPr>
                <w:rFonts w:ascii="Arial"/>
                <w:sz w:val="20"/>
              </w:rPr>
              <w:t>.942</w:t>
            </w:r>
          </w:p>
        </w:tc>
        <w:tc>
          <w:tcPr>
            <w:tcW w:w="1798" w:type="dxa"/>
            <w:tcBorders>
              <w:top w:val="nil"/>
              <w:bottom w:val="nil"/>
            </w:tcBorders>
          </w:tcPr>
          <w:p>
            <w:pPr>
              <w:pStyle w:val="TableParagraph"/>
              <w:spacing w:before="47"/>
              <w:ind w:right="105"/>
              <w:jc w:val="right"/>
              <w:rPr>
                <w:rFonts w:ascii="Arial"/>
                <w:sz w:val="20"/>
              </w:rPr>
            </w:pPr>
            <w:r>
              <w:rPr>
                <w:rFonts w:ascii="Arial"/>
                <w:w w:val="95"/>
                <w:sz w:val="20"/>
              </w:rPr>
              <w:t>15.693</w:t>
            </w:r>
          </w:p>
        </w:tc>
        <w:tc>
          <w:tcPr>
            <w:tcW w:w="1796" w:type="dxa"/>
            <w:tcBorders>
              <w:top w:val="nil"/>
              <w:bottom w:val="nil"/>
            </w:tcBorders>
          </w:tcPr>
          <w:p>
            <w:pPr>
              <w:pStyle w:val="TableParagraph"/>
              <w:spacing w:before="47"/>
              <w:ind w:right="105"/>
              <w:jc w:val="right"/>
              <w:rPr>
                <w:rFonts w:ascii="Arial"/>
                <w:sz w:val="20"/>
              </w:rPr>
            </w:pPr>
            <w:r>
              <w:rPr>
                <w:rFonts w:ascii="Arial"/>
                <w:w w:val="95"/>
                <w:sz w:val="20"/>
              </w:rPr>
              <w:t>65.560</w:t>
            </w:r>
          </w:p>
        </w:tc>
      </w:tr>
      <w:tr>
        <w:trPr>
          <w:trHeight w:val="344" w:hRule="exact"/>
        </w:trPr>
        <w:tc>
          <w:tcPr>
            <w:tcW w:w="1795" w:type="dxa"/>
            <w:tcBorders>
              <w:top w:val="nil"/>
              <w:bottom w:val="nil"/>
            </w:tcBorders>
          </w:tcPr>
          <w:p>
            <w:pPr/>
          </w:p>
        </w:tc>
        <w:tc>
          <w:tcPr>
            <w:tcW w:w="1796" w:type="dxa"/>
            <w:tcBorders>
              <w:top w:val="nil"/>
              <w:bottom w:val="nil"/>
            </w:tcBorders>
          </w:tcPr>
          <w:p>
            <w:pPr>
              <w:pStyle w:val="TableParagraph"/>
              <w:spacing w:before="46"/>
              <w:jc w:val="center"/>
              <w:rPr>
                <w:rFonts w:ascii="Arial"/>
                <w:sz w:val="20"/>
              </w:rPr>
            </w:pPr>
            <w:r>
              <w:rPr>
                <w:rFonts w:ascii="Arial"/>
                <w:w w:val="99"/>
                <w:sz w:val="20"/>
              </w:rPr>
              <w:t>4</w:t>
            </w:r>
          </w:p>
        </w:tc>
        <w:tc>
          <w:tcPr>
            <w:tcW w:w="1796" w:type="dxa"/>
            <w:tcBorders>
              <w:top w:val="nil"/>
              <w:bottom w:val="nil"/>
            </w:tcBorders>
          </w:tcPr>
          <w:p>
            <w:pPr>
              <w:pStyle w:val="TableParagraph"/>
              <w:spacing w:before="46"/>
              <w:ind w:right="103"/>
              <w:jc w:val="right"/>
              <w:rPr>
                <w:rFonts w:ascii="Arial"/>
                <w:sz w:val="20"/>
              </w:rPr>
            </w:pPr>
            <w:r>
              <w:rPr>
                <w:rFonts w:ascii="Arial"/>
                <w:sz w:val="20"/>
              </w:rPr>
              <w:t>.904</w:t>
            </w:r>
          </w:p>
        </w:tc>
        <w:tc>
          <w:tcPr>
            <w:tcW w:w="1798" w:type="dxa"/>
            <w:tcBorders>
              <w:top w:val="nil"/>
              <w:bottom w:val="nil"/>
            </w:tcBorders>
          </w:tcPr>
          <w:p>
            <w:pPr>
              <w:pStyle w:val="TableParagraph"/>
              <w:spacing w:before="46"/>
              <w:ind w:right="105"/>
              <w:jc w:val="right"/>
              <w:rPr>
                <w:rFonts w:ascii="Arial"/>
                <w:sz w:val="20"/>
              </w:rPr>
            </w:pPr>
            <w:r>
              <w:rPr>
                <w:rFonts w:ascii="Arial"/>
                <w:w w:val="95"/>
                <w:sz w:val="20"/>
              </w:rPr>
              <w:t>15.063</w:t>
            </w:r>
          </w:p>
        </w:tc>
        <w:tc>
          <w:tcPr>
            <w:tcW w:w="1796" w:type="dxa"/>
            <w:tcBorders>
              <w:top w:val="nil"/>
              <w:bottom w:val="nil"/>
            </w:tcBorders>
          </w:tcPr>
          <w:p>
            <w:pPr>
              <w:pStyle w:val="TableParagraph"/>
              <w:spacing w:before="46"/>
              <w:ind w:right="105"/>
              <w:jc w:val="right"/>
              <w:rPr>
                <w:rFonts w:ascii="Arial"/>
                <w:sz w:val="20"/>
              </w:rPr>
            </w:pPr>
            <w:r>
              <w:rPr>
                <w:rFonts w:ascii="Arial"/>
                <w:w w:val="95"/>
                <w:sz w:val="20"/>
              </w:rPr>
              <w:t>80.623</w:t>
            </w:r>
          </w:p>
        </w:tc>
      </w:tr>
      <w:tr>
        <w:trPr>
          <w:trHeight w:val="346" w:hRule="exact"/>
        </w:trPr>
        <w:tc>
          <w:tcPr>
            <w:tcW w:w="1795" w:type="dxa"/>
            <w:tcBorders>
              <w:top w:val="nil"/>
              <w:bottom w:val="nil"/>
            </w:tcBorders>
          </w:tcPr>
          <w:p>
            <w:pPr/>
          </w:p>
        </w:tc>
        <w:tc>
          <w:tcPr>
            <w:tcW w:w="1796" w:type="dxa"/>
            <w:tcBorders>
              <w:top w:val="nil"/>
              <w:bottom w:val="nil"/>
            </w:tcBorders>
          </w:tcPr>
          <w:p>
            <w:pPr>
              <w:pStyle w:val="TableParagraph"/>
              <w:spacing w:before="47"/>
              <w:jc w:val="center"/>
              <w:rPr>
                <w:rFonts w:ascii="Arial"/>
                <w:sz w:val="20"/>
              </w:rPr>
            </w:pPr>
            <w:r>
              <w:rPr>
                <w:rFonts w:ascii="Arial"/>
                <w:w w:val="99"/>
                <w:sz w:val="20"/>
              </w:rPr>
              <w:t>5</w:t>
            </w:r>
          </w:p>
        </w:tc>
        <w:tc>
          <w:tcPr>
            <w:tcW w:w="1796" w:type="dxa"/>
            <w:tcBorders>
              <w:top w:val="nil"/>
              <w:bottom w:val="nil"/>
            </w:tcBorders>
          </w:tcPr>
          <w:p>
            <w:pPr>
              <w:pStyle w:val="TableParagraph"/>
              <w:spacing w:before="47"/>
              <w:ind w:right="103"/>
              <w:jc w:val="right"/>
              <w:rPr>
                <w:rFonts w:ascii="Arial"/>
                <w:sz w:val="20"/>
              </w:rPr>
            </w:pPr>
            <w:r>
              <w:rPr>
                <w:rFonts w:ascii="Arial"/>
                <w:sz w:val="20"/>
              </w:rPr>
              <w:t>.738</w:t>
            </w:r>
          </w:p>
        </w:tc>
        <w:tc>
          <w:tcPr>
            <w:tcW w:w="1798" w:type="dxa"/>
            <w:tcBorders>
              <w:top w:val="nil"/>
              <w:bottom w:val="nil"/>
            </w:tcBorders>
          </w:tcPr>
          <w:p>
            <w:pPr>
              <w:pStyle w:val="TableParagraph"/>
              <w:spacing w:before="47"/>
              <w:ind w:right="105"/>
              <w:jc w:val="right"/>
              <w:rPr>
                <w:rFonts w:ascii="Arial"/>
                <w:sz w:val="20"/>
              </w:rPr>
            </w:pPr>
            <w:r>
              <w:rPr>
                <w:rFonts w:ascii="Arial"/>
                <w:w w:val="95"/>
                <w:sz w:val="20"/>
              </w:rPr>
              <w:t>12.294</w:t>
            </w:r>
          </w:p>
        </w:tc>
        <w:tc>
          <w:tcPr>
            <w:tcW w:w="1796" w:type="dxa"/>
            <w:tcBorders>
              <w:top w:val="nil"/>
              <w:bottom w:val="nil"/>
            </w:tcBorders>
          </w:tcPr>
          <w:p>
            <w:pPr>
              <w:pStyle w:val="TableParagraph"/>
              <w:spacing w:before="47"/>
              <w:ind w:right="105"/>
              <w:jc w:val="right"/>
              <w:rPr>
                <w:rFonts w:ascii="Arial"/>
                <w:sz w:val="20"/>
              </w:rPr>
            </w:pPr>
            <w:r>
              <w:rPr>
                <w:rFonts w:ascii="Arial"/>
                <w:w w:val="95"/>
                <w:sz w:val="20"/>
              </w:rPr>
              <w:t>92.917</w:t>
            </w:r>
          </w:p>
        </w:tc>
      </w:tr>
      <w:tr>
        <w:trPr>
          <w:trHeight w:val="400" w:hRule="exact"/>
        </w:trPr>
        <w:tc>
          <w:tcPr>
            <w:tcW w:w="1795" w:type="dxa"/>
            <w:tcBorders>
              <w:top w:val="nil"/>
            </w:tcBorders>
          </w:tcPr>
          <w:p>
            <w:pPr/>
          </w:p>
        </w:tc>
        <w:tc>
          <w:tcPr>
            <w:tcW w:w="1796" w:type="dxa"/>
            <w:tcBorders>
              <w:top w:val="nil"/>
            </w:tcBorders>
          </w:tcPr>
          <w:p>
            <w:pPr>
              <w:pStyle w:val="TableParagraph"/>
              <w:spacing w:before="47"/>
              <w:jc w:val="center"/>
              <w:rPr>
                <w:rFonts w:ascii="Arial"/>
                <w:sz w:val="20"/>
              </w:rPr>
            </w:pPr>
            <w:r>
              <w:rPr>
                <w:rFonts w:ascii="Arial"/>
                <w:w w:val="99"/>
                <w:sz w:val="20"/>
              </w:rPr>
              <w:t>6</w:t>
            </w:r>
          </w:p>
        </w:tc>
        <w:tc>
          <w:tcPr>
            <w:tcW w:w="1796" w:type="dxa"/>
            <w:tcBorders>
              <w:top w:val="nil"/>
            </w:tcBorders>
          </w:tcPr>
          <w:p>
            <w:pPr>
              <w:pStyle w:val="TableParagraph"/>
              <w:spacing w:before="47"/>
              <w:ind w:right="103"/>
              <w:jc w:val="right"/>
              <w:rPr>
                <w:rFonts w:ascii="Arial"/>
                <w:sz w:val="20"/>
              </w:rPr>
            </w:pPr>
            <w:r>
              <w:rPr>
                <w:rFonts w:ascii="Arial"/>
                <w:sz w:val="20"/>
              </w:rPr>
              <w:t>.425</w:t>
            </w:r>
          </w:p>
        </w:tc>
        <w:tc>
          <w:tcPr>
            <w:tcW w:w="1798" w:type="dxa"/>
            <w:tcBorders>
              <w:top w:val="nil"/>
            </w:tcBorders>
          </w:tcPr>
          <w:p>
            <w:pPr>
              <w:pStyle w:val="TableParagraph"/>
              <w:spacing w:before="47"/>
              <w:ind w:right="105"/>
              <w:jc w:val="right"/>
              <w:rPr>
                <w:rFonts w:ascii="Arial"/>
                <w:sz w:val="20"/>
              </w:rPr>
            </w:pPr>
            <w:r>
              <w:rPr>
                <w:rFonts w:ascii="Arial"/>
                <w:w w:val="95"/>
                <w:sz w:val="20"/>
              </w:rPr>
              <w:t>7.083</w:t>
            </w:r>
          </w:p>
        </w:tc>
        <w:tc>
          <w:tcPr>
            <w:tcW w:w="1796" w:type="dxa"/>
            <w:tcBorders>
              <w:top w:val="nil"/>
            </w:tcBorders>
          </w:tcPr>
          <w:p>
            <w:pPr>
              <w:pStyle w:val="TableParagraph"/>
              <w:spacing w:before="47"/>
              <w:ind w:right="106"/>
              <w:jc w:val="right"/>
              <w:rPr>
                <w:rFonts w:ascii="Arial"/>
                <w:sz w:val="20"/>
              </w:rPr>
            </w:pPr>
            <w:r>
              <w:rPr>
                <w:rFonts w:ascii="Arial"/>
                <w:sz w:val="20"/>
              </w:rPr>
              <w:t>100.000</w:t>
            </w:r>
          </w:p>
        </w:tc>
      </w:tr>
      <w:tr>
        <w:trPr>
          <w:trHeight w:val="300" w:hRule="exact"/>
        </w:trPr>
        <w:tc>
          <w:tcPr>
            <w:tcW w:w="1795" w:type="dxa"/>
            <w:tcBorders>
              <w:bottom w:val="nil"/>
            </w:tcBorders>
          </w:tcPr>
          <w:p>
            <w:pPr>
              <w:pStyle w:val="TableParagraph"/>
              <w:spacing w:line="225" w:lineRule="exact"/>
              <w:ind w:left="321" w:right="323"/>
              <w:jc w:val="center"/>
              <w:rPr>
                <w:rFonts w:ascii="Arial"/>
                <w:b/>
                <w:sz w:val="20"/>
              </w:rPr>
            </w:pPr>
            <w:r>
              <w:rPr>
                <w:rFonts w:ascii="Arial"/>
                <w:b/>
                <w:sz w:val="20"/>
              </w:rPr>
              <w:t>Reescalada</w:t>
            </w:r>
          </w:p>
        </w:tc>
        <w:tc>
          <w:tcPr>
            <w:tcW w:w="1796" w:type="dxa"/>
            <w:tcBorders>
              <w:bottom w:val="nil"/>
            </w:tcBorders>
          </w:tcPr>
          <w:p>
            <w:pPr>
              <w:pStyle w:val="TableParagraph"/>
              <w:spacing w:line="227" w:lineRule="exact"/>
              <w:jc w:val="center"/>
              <w:rPr>
                <w:rFonts w:ascii="Arial"/>
                <w:sz w:val="20"/>
              </w:rPr>
            </w:pPr>
            <w:r>
              <w:rPr>
                <w:rFonts w:ascii="Arial"/>
                <w:w w:val="99"/>
                <w:sz w:val="20"/>
              </w:rPr>
              <w:t>1</w:t>
            </w:r>
          </w:p>
        </w:tc>
        <w:tc>
          <w:tcPr>
            <w:tcW w:w="1796" w:type="dxa"/>
            <w:tcBorders>
              <w:bottom w:val="nil"/>
            </w:tcBorders>
          </w:tcPr>
          <w:p>
            <w:pPr>
              <w:pStyle w:val="TableParagraph"/>
              <w:spacing w:line="227" w:lineRule="exact"/>
              <w:ind w:right="103"/>
              <w:jc w:val="right"/>
              <w:rPr>
                <w:rFonts w:ascii="Arial"/>
                <w:sz w:val="20"/>
              </w:rPr>
            </w:pPr>
            <w:r>
              <w:rPr>
                <w:rFonts w:ascii="Arial"/>
                <w:w w:val="95"/>
                <w:sz w:val="20"/>
              </w:rPr>
              <w:t>1.854</w:t>
            </w:r>
          </w:p>
        </w:tc>
        <w:tc>
          <w:tcPr>
            <w:tcW w:w="1798" w:type="dxa"/>
            <w:tcBorders>
              <w:bottom w:val="nil"/>
            </w:tcBorders>
          </w:tcPr>
          <w:p>
            <w:pPr>
              <w:pStyle w:val="TableParagraph"/>
              <w:spacing w:line="227" w:lineRule="exact"/>
              <w:ind w:right="105"/>
              <w:jc w:val="right"/>
              <w:rPr>
                <w:rFonts w:ascii="Arial"/>
                <w:sz w:val="20"/>
              </w:rPr>
            </w:pPr>
            <w:r>
              <w:rPr>
                <w:rFonts w:ascii="Arial"/>
                <w:w w:val="95"/>
                <w:sz w:val="20"/>
              </w:rPr>
              <w:t>30.904</w:t>
            </w:r>
          </w:p>
        </w:tc>
        <w:tc>
          <w:tcPr>
            <w:tcW w:w="1796" w:type="dxa"/>
            <w:tcBorders>
              <w:bottom w:val="nil"/>
            </w:tcBorders>
          </w:tcPr>
          <w:p>
            <w:pPr>
              <w:pStyle w:val="TableParagraph"/>
              <w:spacing w:line="227" w:lineRule="exact"/>
              <w:ind w:right="105"/>
              <w:jc w:val="right"/>
              <w:rPr>
                <w:rFonts w:ascii="Arial"/>
                <w:sz w:val="20"/>
              </w:rPr>
            </w:pPr>
            <w:r>
              <w:rPr>
                <w:rFonts w:ascii="Arial"/>
                <w:w w:val="95"/>
                <w:sz w:val="20"/>
              </w:rPr>
              <w:t>30.904</w:t>
            </w:r>
          </w:p>
        </w:tc>
      </w:tr>
      <w:tr>
        <w:trPr>
          <w:trHeight w:val="345" w:hRule="exact"/>
        </w:trPr>
        <w:tc>
          <w:tcPr>
            <w:tcW w:w="1795" w:type="dxa"/>
            <w:tcBorders>
              <w:top w:val="nil"/>
              <w:bottom w:val="nil"/>
            </w:tcBorders>
          </w:tcPr>
          <w:p>
            <w:pPr/>
          </w:p>
        </w:tc>
        <w:tc>
          <w:tcPr>
            <w:tcW w:w="1796" w:type="dxa"/>
            <w:tcBorders>
              <w:top w:val="nil"/>
              <w:bottom w:val="nil"/>
            </w:tcBorders>
          </w:tcPr>
          <w:p>
            <w:pPr>
              <w:pStyle w:val="TableParagraph"/>
              <w:spacing w:before="46"/>
              <w:jc w:val="center"/>
              <w:rPr>
                <w:rFonts w:ascii="Arial"/>
                <w:sz w:val="20"/>
              </w:rPr>
            </w:pPr>
            <w:r>
              <w:rPr>
                <w:rFonts w:ascii="Arial"/>
                <w:w w:val="99"/>
                <w:sz w:val="20"/>
              </w:rPr>
              <w:t>2</w:t>
            </w:r>
          </w:p>
        </w:tc>
        <w:tc>
          <w:tcPr>
            <w:tcW w:w="1796" w:type="dxa"/>
            <w:tcBorders>
              <w:top w:val="nil"/>
              <w:bottom w:val="nil"/>
            </w:tcBorders>
          </w:tcPr>
          <w:p>
            <w:pPr>
              <w:pStyle w:val="TableParagraph"/>
              <w:spacing w:before="46"/>
              <w:ind w:right="103"/>
              <w:jc w:val="right"/>
              <w:rPr>
                <w:rFonts w:ascii="Arial"/>
                <w:sz w:val="20"/>
              </w:rPr>
            </w:pPr>
            <w:r>
              <w:rPr>
                <w:rFonts w:ascii="Arial"/>
                <w:w w:val="95"/>
                <w:sz w:val="20"/>
              </w:rPr>
              <w:t>1.138</w:t>
            </w:r>
          </w:p>
        </w:tc>
        <w:tc>
          <w:tcPr>
            <w:tcW w:w="1798" w:type="dxa"/>
            <w:tcBorders>
              <w:top w:val="nil"/>
              <w:bottom w:val="nil"/>
            </w:tcBorders>
          </w:tcPr>
          <w:p>
            <w:pPr>
              <w:pStyle w:val="TableParagraph"/>
              <w:spacing w:before="46"/>
              <w:ind w:right="105"/>
              <w:jc w:val="right"/>
              <w:rPr>
                <w:rFonts w:ascii="Arial"/>
                <w:sz w:val="20"/>
              </w:rPr>
            </w:pPr>
            <w:r>
              <w:rPr>
                <w:rFonts w:ascii="Arial"/>
                <w:w w:val="95"/>
                <w:sz w:val="20"/>
              </w:rPr>
              <w:t>18.963</w:t>
            </w:r>
          </w:p>
        </w:tc>
        <w:tc>
          <w:tcPr>
            <w:tcW w:w="1796" w:type="dxa"/>
            <w:tcBorders>
              <w:top w:val="nil"/>
              <w:bottom w:val="nil"/>
            </w:tcBorders>
          </w:tcPr>
          <w:p>
            <w:pPr>
              <w:pStyle w:val="TableParagraph"/>
              <w:spacing w:before="46"/>
              <w:ind w:right="105"/>
              <w:jc w:val="right"/>
              <w:rPr>
                <w:rFonts w:ascii="Arial"/>
                <w:sz w:val="20"/>
              </w:rPr>
            </w:pPr>
            <w:r>
              <w:rPr>
                <w:rFonts w:ascii="Arial"/>
                <w:w w:val="95"/>
                <w:sz w:val="20"/>
              </w:rPr>
              <w:t>49.867</w:t>
            </w:r>
          </w:p>
        </w:tc>
      </w:tr>
      <w:tr>
        <w:trPr>
          <w:trHeight w:val="346" w:hRule="exact"/>
        </w:trPr>
        <w:tc>
          <w:tcPr>
            <w:tcW w:w="1795" w:type="dxa"/>
            <w:tcBorders>
              <w:top w:val="nil"/>
              <w:bottom w:val="nil"/>
            </w:tcBorders>
          </w:tcPr>
          <w:p>
            <w:pPr/>
          </w:p>
        </w:tc>
        <w:tc>
          <w:tcPr>
            <w:tcW w:w="1796" w:type="dxa"/>
            <w:tcBorders>
              <w:top w:val="nil"/>
              <w:bottom w:val="nil"/>
            </w:tcBorders>
          </w:tcPr>
          <w:p>
            <w:pPr>
              <w:pStyle w:val="TableParagraph"/>
              <w:spacing w:before="47"/>
              <w:jc w:val="center"/>
              <w:rPr>
                <w:rFonts w:ascii="Arial"/>
                <w:sz w:val="20"/>
              </w:rPr>
            </w:pPr>
            <w:r>
              <w:rPr>
                <w:rFonts w:ascii="Arial"/>
                <w:w w:val="99"/>
                <w:sz w:val="20"/>
              </w:rPr>
              <w:t>3</w:t>
            </w:r>
          </w:p>
        </w:tc>
        <w:tc>
          <w:tcPr>
            <w:tcW w:w="1796" w:type="dxa"/>
            <w:tcBorders>
              <w:top w:val="nil"/>
              <w:bottom w:val="nil"/>
            </w:tcBorders>
          </w:tcPr>
          <w:p>
            <w:pPr>
              <w:pStyle w:val="TableParagraph"/>
              <w:spacing w:before="47"/>
              <w:ind w:right="103"/>
              <w:jc w:val="right"/>
              <w:rPr>
                <w:rFonts w:ascii="Arial"/>
                <w:sz w:val="20"/>
              </w:rPr>
            </w:pPr>
            <w:r>
              <w:rPr>
                <w:rFonts w:ascii="Arial"/>
                <w:sz w:val="20"/>
              </w:rPr>
              <w:t>.942</w:t>
            </w:r>
          </w:p>
        </w:tc>
        <w:tc>
          <w:tcPr>
            <w:tcW w:w="1798" w:type="dxa"/>
            <w:tcBorders>
              <w:top w:val="nil"/>
              <w:bottom w:val="nil"/>
            </w:tcBorders>
          </w:tcPr>
          <w:p>
            <w:pPr>
              <w:pStyle w:val="TableParagraph"/>
              <w:spacing w:before="47"/>
              <w:ind w:right="105"/>
              <w:jc w:val="right"/>
              <w:rPr>
                <w:rFonts w:ascii="Arial"/>
                <w:sz w:val="20"/>
              </w:rPr>
            </w:pPr>
            <w:r>
              <w:rPr>
                <w:rFonts w:ascii="Arial"/>
                <w:w w:val="95"/>
                <w:sz w:val="20"/>
              </w:rPr>
              <w:t>15.693</w:t>
            </w:r>
          </w:p>
        </w:tc>
        <w:tc>
          <w:tcPr>
            <w:tcW w:w="1796" w:type="dxa"/>
            <w:tcBorders>
              <w:top w:val="nil"/>
              <w:bottom w:val="nil"/>
            </w:tcBorders>
          </w:tcPr>
          <w:p>
            <w:pPr>
              <w:pStyle w:val="TableParagraph"/>
              <w:spacing w:before="47"/>
              <w:ind w:right="105"/>
              <w:jc w:val="right"/>
              <w:rPr>
                <w:rFonts w:ascii="Arial"/>
                <w:sz w:val="20"/>
              </w:rPr>
            </w:pPr>
            <w:r>
              <w:rPr>
                <w:rFonts w:ascii="Arial"/>
                <w:w w:val="95"/>
                <w:sz w:val="20"/>
              </w:rPr>
              <w:t>65.560</w:t>
            </w:r>
          </w:p>
        </w:tc>
      </w:tr>
      <w:tr>
        <w:trPr>
          <w:trHeight w:val="346" w:hRule="exact"/>
        </w:trPr>
        <w:tc>
          <w:tcPr>
            <w:tcW w:w="1795" w:type="dxa"/>
            <w:tcBorders>
              <w:top w:val="nil"/>
              <w:bottom w:val="nil"/>
            </w:tcBorders>
          </w:tcPr>
          <w:p>
            <w:pPr/>
          </w:p>
        </w:tc>
        <w:tc>
          <w:tcPr>
            <w:tcW w:w="1796" w:type="dxa"/>
            <w:tcBorders>
              <w:top w:val="nil"/>
              <w:bottom w:val="nil"/>
            </w:tcBorders>
          </w:tcPr>
          <w:p>
            <w:pPr>
              <w:pStyle w:val="TableParagraph"/>
              <w:spacing w:before="47"/>
              <w:jc w:val="center"/>
              <w:rPr>
                <w:rFonts w:ascii="Arial"/>
                <w:sz w:val="20"/>
              </w:rPr>
            </w:pPr>
            <w:r>
              <w:rPr>
                <w:rFonts w:ascii="Arial"/>
                <w:w w:val="99"/>
                <w:sz w:val="20"/>
              </w:rPr>
              <w:t>4</w:t>
            </w:r>
          </w:p>
        </w:tc>
        <w:tc>
          <w:tcPr>
            <w:tcW w:w="1796" w:type="dxa"/>
            <w:tcBorders>
              <w:top w:val="nil"/>
              <w:bottom w:val="nil"/>
            </w:tcBorders>
          </w:tcPr>
          <w:p>
            <w:pPr>
              <w:pStyle w:val="TableParagraph"/>
              <w:spacing w:before="47"/>
              <w:ind w:right="103"/>
              <w:jc w:val="right"/>
              <w:rPr>
                <w:rFonts w:ascii="Arial"/>
                <w:sz w:val="20"/>
              </w:rPr>
            </w:pPr>
            <w:r>
              <w:rPr>
                <w:rFonts w:ascii="Arial"/>
                <w:sz w:val="20"/>
              </w:rPr>
              <w:t>.904</w:t>
            </w:r>
          </w:p>
        </w:tc>
        <w:tc>
          <w:tcPr>
            <w:tcW w:w="1798" w:type="dxa"/>
            <w:tcBorders>
              <w:top w:val="nil"/>
              <w:bottom w:val="nil"/>
            </w:tcBorders>
          </w:tcPr>
          <w:p>
            <w:pPr>
              <w:pStyle w:val="TableParagraph"/>
              <w:spacing w:before="47"/>
              <w:ind w:right="105"/>
              <w:jc w:val="right"/>
              <w:rPr>
                <w:rFonts w:ascii="Arial"/>
                <w:sz w:val="20"/>
              </w:rPr>
            </w:pPr>
            <w:r>
              <w:rPr>
                <w:rFonts w:ascii="Arial"/>
                <w:w w:val="95"/>
                <w:sz w:val="20"/>
              </w:rPr>
              <w:t>15.063</w:t>
            </w:r>
          </w:p>
        </w:tc>
        <w:tc>
          <w:tcPr>
            <w:tcW w:w="1796" w:type="dxa"/>
            <w:tcBorders>
              <w:top w:val="nil"/>
              <w:bottom w:val="nil"/>
            </w:tcBorders>
          </w:tcPr>
          <w:p>
            <w:pPr>
              <w:pStyle w:val="TableParagraph"/>
              <w:spacing w:before="47"/>
              <w:ind w:right="105"/>
              <w:jc w:val="right"/>
              <w:rPr>
                <w:rFonts w:ascii="Arial"/>
                <w:sz w:val="20"/>
              </w:rPr>
            </w:pPr>
            <w:r>
              <w:rPr>
                <w:rFonts w:ascii="Arial"/>
                <w:w w:val="95"/>
                <w:sz w:val="20"/>
              </w:rPr>
              <w:t>80.623</w:t>
            </w:r>
          </w:p>
        </w:tc>
      </w:tr>
      <w:tr>
        <w:trPr>
          <w:trHeight w:val="344" w:hRule="exact"/>
        </w:trPr>
        <w:tc>
          <w:tcPr>
            <w:tcW w:w="1795" w:type="dxa"/>
            <w:tcBorders>
              <w:top w:val="nil"/>
              <w:bottom w:val="nil"/>
            </w:tcBorders>
          </w:tcPr>
          <w:p>
            <w:pPr/>
          </w:p>
        </w:tc>
        <w:tc>
          <w:tcPr>
            <w:tcW w:w="1796" w:type="dxa"/>
            <w:tcBorders>
              <w:top w:val="nil"/>
              <w:bottom w:val="nil"/>
            </w:tcBorders>
          </w:tcPr>
          <w:p>
            <w:pPr>
              <w:pStyle w:val="TableParagraph"/>
              <w:spacing w:before="47"/>
              <w:jc w:val="center"/>
              <w:rPr>
                <w:rFonts w:ascii="Arial"/>
                <w:sz w:val="20"/>
              </w:rPr>
            </w:pPr>
            <w:r>
              <w:rPr>
                <w:rFonts w:ascii="Arial"/>
                <w:w w:val="99"/>
                <w:sz w:val="20"/>
              </w:rPr>
              <w:t>5</w:t>
            </w:r>
          </w:p>
        </w:tc>
        <w:tc>
          <w:tcPr>
            <w:tcW w:w="1796" w:type="dxa"/>
            <w:tcBorders>
              <w:top w:val="nil"/>
              <w:bottom w:val="nil"/>
            </w:tcBorders>
          </w:tcPr>
          <w:p>
            <w:pPr>
              <w:pStyle w:val="TableParagraph"/>
              <w:spacing w:before="47"/>
              <w:ind w:right="103"/>
              <w:jc w:val="right"/>
              <w:rPr>
                <w:rFonts w:ascii="Arial"/>
                <w:sz w:val="20"/>
              </w:rPr>
            </w:pPr>
            <w:r>
              <w:rPr>
                <w:rFonts w:ascii="Arial"/>
                <w:sz w:val="20"/>
              </w:rPr>
              <w:t>.738</w:t>
            </w:r>
          </w:p>
        </w:tc>
        <w:tc>
          <w:tcPr>
            <w:tcW w:w="1798" w:type="dxa"/>
            <w:tcBorders>
              <w:top w:val="nil"/>
              <w:bottom w:val="nil"/>
            </w:tcBorders>
          </w:tcPr>
          <w:p>
            <w:pPr>
              <w:pStyle w:val="TableParagraph"/>
              <w:spacing w:before="47"/>
              <w:ind w:right="105"/>
              <w:jc w:val="right"/>
              <w:rPr>
                <w:rFonts w:ascii="Arial"/>
                <w:sz w:val="20"/>
              </w:rPr>
            </w:pPr>
            <w:r>
              <w:rPr>
                <w:rFonts w:ascii="Arial"/>
                <w:w w:val="95"/>
                <w:sz w:val="20"/>
              </w:rPr>
              <w:t>12.294</w:t>
            </w:r>
          </w:p>
        </w:tc>
        <w:tc>
          <w:tcPr>
            <w:tcW w:w="1796" w:type="dxa"/>
            <w:tcBorders>
              <w:top w:val="nil"/>
              <w:bottom w:val="nil"/>
            </w:tcBorders>
          </w:tcPr>
          <w:p>
            <w:pPr>
              <w:pStyle w:val="TableParagraph"/>
              <w:spacing w:before="47"/>
              <w:ind w:right="105"/>
              <w:jc w:val="right"/>
              <w:rPr>
                <w:rFonts w:ascii="Arial"/>
                <w:sz w:val="20"/>
              </w:rPr>
            </w:pPr>
            <w:r>
              <w:rPr>
                <w:rFonts w:ascii="Arial"/>
                <w:w w:val="95"/>
                <w:sz w:val="20"/>
              </w:rPr>
              <w:t>92.917</w:t>
            </w:r>
          </w:p>
        </w:tc>
      </w:tr>
      <w:tr>
        <w:trPr>
          <w:trHeight w:val="399" w:hRule="exact"/>
        </w:trPr>
        <w:tc>
          <w:tcPr>
            <w:tcW w:w="1795" w:type="dxa"/>
            <w:tcBorders>
              <w:top w:val="nil"/>
            </w:tcBorders>
          </w:tcPr>
          <w:p>
            <w:pPr/>
          </w:p>
        </w:tc>
        <w:tc>
          <w:tcPr>
            <w:tcW w:w="1796" w:type="dxa"/>
            <w:tcBorders>
              <w:top w:val="nil"/>
            </w:tcBorders>
          </w:tcPr>
          <w:p>
            <w:pPr>
              <w:pStyle w:val="TableParagraph"/>
              <w:spacing w:before="46"/>
              <w:jc w:val="center"/>
              <w:rPr>
                <w:rFonts w:ascii="Arial"/>
                <w:sz w:val="20"/>
              </w:rPr>
            </w:pPr>
            <w:r>
              <w:rPr>
                <w:rFonts w:ascii="Arial"/>
                <w:w w:val="99"/>
                <w:sz w:val="20"/>
              </w:rPr>
              <w:t>6</w:t>
            </w:r>
          </w:p>
        </w:tc>
        <w:tc>
          <w:tcPr>
            <w:tcW w:w="1796" w:type="dxa"/>
            <w:tcBorders>
              <w:top w:val="nil"/>
            </w:tcBorders>
          </w:tcPr>
          <w:p>
            <w:pPr>
              <w:pStyle w:val="TableParagraph"/>
              <w:spacing w:before="46"/>
              <w:ind w:right="103"/>
              <w:jc w:val="right"/>
              <w:rPr>
                <w:rFonts w:ascii="Arial"/>
                <w:sz w:val="20"/>
              </w:rPr>
            </w:pPr>
            <w:r>
              <w:rPr>
                <w:rFonts w:ascii="Arial"/>
                <w:sz w:val="20"/>
              </w:rPr>
              <w:t>.425</w:t>
            </w:r>
          </w:p>
        </w:tc>
        <w:tc>
          <w:tcPr>
            <w:tcW w:w="1798" w:type="dxa"/>
            <w:tcBorders>
              <w:top w:val="nil"/>
            </w:tcBorders>
          </w:tcPr>
          <w:p>
            <w:pPr>
              <w:pStyle w:val="TableParagraph"/>
              <w:spacing w:before="46"/>
              <w:ind w:right="105"/>
              <w:jc w:val="right"/>
              <w:rPr>
                <w:rFonts w:ascii="Arial"/>
                <w:sz w:val="20"/>
              </w:rPr>
            </w:pPr>
            <w:r>
              <w:rPr>
                <w:rFonts w:ascii="Arial"/>
                <w:w w:val="95"/>
                <w:sz w:val="20"/>
              </w:rPr>
              <w:t>7.083</w:t>
            </w:r>
          </w:p>
        </w:tc>
        <w:tc>
          <w:tcPr>
            <w:tcW w:w="1796" w:type="dxa"/>
            <w:tcBorders>
              <w:top w:val="nil"/>
            </w:tcBorders>
          </w:tcPr>
          <w:p>
            <w:pPr>
              <w:pStyle w:val="TableParagraph"/>
              <w:spacing w:before="46"/>
              <w:ind w:right="106"/>
              <w:jc w:val="right"/>
              <w:rPr>
                <w:rFonts w:ascii="Arial"/>
                <w:sz w:val="20"/>
              </w:rPr>
            </w:pPr>
            <w:r>
              <w:rPr>
                <w:rFonts w:ascii="Arial"/>
                <w:sz w:val="20"/>
              </w:rPr>
              <w:t>100.000</w:t>
            </w:r>
          </w:p>
        </w:tc>
      </w:tr>
    </w:tbl>
    <w:p>
      <w:pPr>
        <w:spacing w:line="227" w:lineRule="exact" w:before="0"/>
        <w:ind w:left="222" w:right="0" w:firstLine="0"/>
        <w:jc w:val="both"/>
        <w:rPr>
          <w:sz w:val="20"/>
        </w:rPr>
      </w:pPr>
      <w:r>
        <w:rPr>
          <w:sz w:val="20"/>
        </w:rPr>
        <w:t>Fuente: Elaboración propia</w:t>
      </w:r>
    </w:p>
    <w:p>
      <w:pPr>
        <w:pStyle w:val="BodyText"/>
        <w:rPr>
          <w:sz w:val="20"/>
        </w:rPr>
      </w:pPr>
    </w:p>
    <w:p>
      <w:pPr>
        <w:pStyle w:val="BodyText"/>
        <w:rPr>
          <w:sz w:val="26"/>
        </w:rPr>
      </w:pPr>
    </w:p>
    <w:p>
      <w:pPr>
        <w:pStyle w:val="BodyText"/>
        <w:spacing w:line="360" w:lineRule="auto"/>
        <w:ind w:left="222" w:right="156"/>
        <w:jc w:val="both"/>
      </w:pPr>
      <w:r>
        <w:rPr/>
        <w:t>Adicionalmente existe otro cuadro de resultados denominado </w:t>
      </w:r>
      <w:r>
        <w:rPr>
          <w:i/>
        </w:rPr>
        <w:t>Comunalidades </w:t>
      </w:r>
      <w:r>
        <w:rPr>
          <w:spacing w:val="-2"/>
        </w:rPr>
        <w:t>que </w:t>
      </w:r>
      <w:r>
        <w:rPr/>
        <w:t>indica el peso que tiene cada uno de los indicadores en la solución buscada. En este caso los indicadores de accesibilidad a recreación, accesibilidad a abasto de alimentos y accesibilidad a áreas verdes, se consideran las tres variables más importantes para explicar la baja habitabilidad para la población por la ubicación  de las viviendas (ver cuadro No.</w:t>
      </w:r>
      <w:r>
        <w:rPr>
          <w:spacing w:val="-12"/>
        </w:rPr>
        <w:t> </w:t>
      </w:r>
      <w:r>
        <w:rPr/>
        <w:t>22).</w:t>
      </w:r>
    </w:p>
    <w:p>
      <w:pPr>
        <w:spacing w:after="0" w:line="360" w:lineRule="auto"/>
        <w:jc w:val="both"/>
        <w:sectPr>
          <w:pgSz w:w="12240" w:h="15840"/>
          <w:pgMar w:header="0" w:footer="1003" w:top="1360" w:bottom="1200" w:left="1480" w:right="1540"/>
        </w:sectPr>
      </w:pPr>
    </w:p>
    <w:p>
      <w:pPr>
        <w:spacing w:before="53"/>
        <w:ind w:left="440" w:right="0" w:firstLine="0"/>
        <w:jc w:val="left"/>
        <w:rPr>
          <w:sz w:val="20"/>
        </w:rPr>
      </w:pPr>
      <w:r>
        <w:rPr>
          <w:sz w:val="20"/>
        </w:rPr>
        <w:t>Cuadro No. 22 Comunalidades obtenidas del grupo de indicadores espaciales en la </w:t>
      </w:r>
      <w:r>
        <w:rPr>
          <w:sz w:val="16"/>
        </w:rPr>
        <w:t>ZMT</w:t>
      </w:r>
      <w:r>
        <w:rPr>
          <w:sz w:val="20"/>
        </w:rPr>
        <w:t>, 2014.</w:t>
      </w:r>
    </w:p>
    <w:p>
      <w:pPr>
        <w:pStyle w:val="BodyText"/>
        <w:spacing w:before="3"/>
        <w:rPr>
          <w:sz w:val="10"/>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41"/>
        <w:gridCol w:w="1538"/>
        <w:gridCol w:w="1652"/>
        <w:gridCol w:w="1573"/>
        <w:gridCol w:w="1654"/>
      </w:tblGrid>
      <w:tr>
        <w:trPr>
          <w:trHeight w:val="355" w:hRule="exact"/>
        </w:trPr>
        <w:tc>
          <w:tcPr>
            <w:tcW w:w="2641" w:type="dxa"/>
            <w:vMerge w:val="restart"/>
          </w:tcPr>
          <w:p>
            <w:pPr>
              <w:pStyle w:val="TableParagraph"/>
              <w:spacing w:line="225" w:lineRule="exact"/>
              <w:ind w:left="863"/>
              <w:rPr>
                <w:rFonts w:ascii="Arial"/>
                <w:b/>
                <w:sz w:val="20"/>
              </w:rPr>
            </w:pPr>
            <w:r>
              <w:rPr>
                <w:rFonts w:ascii="Arial"/>
                <w:b/>
                <w:sz w:val="20"/>
              </w:rPr>
              <w:t>Indicador</w:t>
            </w:r>
          </w:p>
        </w:tc>
        <w:tc>
          <w:tcPr>
            <w:tcW w:w="3190" w:type="dxa"/>
            <w:gridSpan w:val="2"/>
          </w:tcPr>
          <w:p>
            <w:pPr>
              <w:pStyle w:val="TableParagraph"/>
              <w:spacing w:line="225" w:lineRule="exact"/>
              <w:ind w:left="1307" w:right="1310"/>
              <w:jc w:val="center"/>
              <w:rPr>
                <w:rFonts w:ascii="Arial"/>
                <w:b/>
                <w:sz w:val="20"/>
              </w:rPr>
            </w:pPr>
            <w:r>
              <w:rPr>
                <w:rFonts w:ascii="Arial"/>
                <w:b/>
                <w:sz w:val="20"/>
              </w:rPr>
              <w:t>Bruta</w:t>
            </w:r>
          </w:p>
        </w:tc>
        <w:tc>
          <w:tcPr>
            <w:tcW w:w="3226" w:type="dxa"/>
            <w:gridSpan w:val="2"/>
          </w:tcPr>
          <w:p>
            <w:pPr>
              <w:pStyle w:val="TableParagraph"/>
              <w:spacing w:line="225" w:lineRule="exact"/>
              <w:ind w:left="1055"/>
              <w:rPr>
                <w:rFonts w:ascii="Arial"/>
                <w:b/>
                <w:sz w:val="20"/>
              </w:rPr>
            </w:pPr>
            <w:r>
              <w:rPr>
                <w:rFonts w:ascii="Arial"/>
                <w:b/>
                <w:sz w:val="20"/>
              </w:rPr>
              <w:t>Reescalada</w:t>
            </w:r>
          </w:p>
        </w:tc>
      </w:tr>
      <w:tr>
        <w:trPr>
          <w:trHeight w:val="355" w:hRule="exact"/>
        </w:trPr>
        <w:tc>
          <w:tcPr>
            <w:tcW w:w="2641" w:type="dxa"/>
            <w:vMerge/>
          </w:tcPr>
          <w:p>
            <w:pPr/>
          </w:p>
        </w:tc>
        <w:tc>
          <w:tcPr>
            <w:tcW w:w="1538" w:type="dxa"/>
          </w:tcPr>
          <w:p>
            <w:pPr>
              <w:pStyle w:val="TableParagraph"/>
              <w:spacing w:line="225" w:lineRule="exact"/>
              <w:ind w:left="459" w:right="461"/>
              <w:jc w:val="center"/>
              <w:rPr>
                <w:rFonts w:ascii="Arial"/>
                <w:b/>
                <w:sz w:val="20"/>
              </w:rPr>
            </w:pPr>
            <w:r>
              <w:rPr>
                <w:rFonts w:ascii="Arial"/>
                <w:b/>
                <w:sz w:val="20"/>
              </w:rPr>
              <w:t>Inicial</w:t>
            </w:r>
          </w:p>
        </w:tc>
        <w:tc>
          <w:tcPr>
            <w:tcW w:w="1652" w:type="dxa"/>
          </w:tcPr>
          <w:p>
            <w:pPr>
              <w:pStyle w:val="TableParagraph"/>
              <w:spacing w:line="225" w:lineRule="exact"/>
              <w:ind w:left="288" w:right="290"/>
              <w:jc w:val="center"/>
              <w:rPr>
                <w:rFonts w:ascii="Arial" w:hAnsi="Arial"/>
                <w:b/>
                <w:sz w:val="20"/>
              </w:rPr>
            </w:pPr>
            <w:r>
              <w:rPr>
                <w:rFonts w:ascii="Arial" w:hAnsi="Arial"/>
                <w:b/>
                <w:sz w:val="20"/>
              </w:rPr>
              <w:t>Extracción</w:t>
            </w:r>
          </w:p>
        </w:tc>
        <w:tc>
          <w:tcPr>
            <w:tcW w:w="1573" w:type="dxa"/>
          </w:tcPr>
          <w:p>
            <w:pPr>
              <w:pStyle w:val="TableParagraph"/>
              <w:spacing w:line="225" w:lineRule="exact"/>
              <w:ind w:left="477" w:right="479"/>
              <w:jc w:val="center"/>
              <w:rPr>
                <w:rFonts w:ascii="Arial"/>
                <w:b/>
                <w:sz w:val="20"/>
              </w:rPr>
            </w:pPr>
            <w:r>
              <w:rPr>
                <w:rFonts w:ascii="Arial"/>
                <w:b/>
                <w:sz w:val="20"/>
              </w:rPr>
              <w:t>Inicial</w:t>
            </w:r>
          </w:p>
        </w:tc>
        <w:tc>
          <w:tcPr>
            <w:tcW w:w="1654" w:type="dxa"/>
          </w:tcPr>
          <w:p>
            <w:pPr>
              <w:pStyle w:val="TableParagraph"/>
              <w:spacing w:line="225" w:lineRule="exact"/>
              <w:ind w:left="288" w:right="292"/>
              <w:jc w:val="center"/>
              <w:rPr>
                <w:rFonts w:ascii="Arial" w:hAnsi="Arial"/>
                <w:b/>
                <w:sz w:val="20"/>
              </w:rPr>
            </w:pPr>
            <w:r>
              <w:rPr>
                <w:rFonts w:ascii="Arial" w:hAnsi="Arial"/>
                <w:b/>
                <w:sz w:val="20"/>
              </w:rPr>
              <w:t>Extracción</w:t>
            </w:r>
          </w:p>
        </w:tc>
      </w:tr>
      <w:tr>
        <w:trPr>
          <w:trHeight w:val="299" w:hRule="exact"/>
        </w:trPr>
        <w:tc>
          <w:tcPr>
            <w:tcW w:w="2641" w:type="dxa"/>
            <w:tcBorders>
              <w:bottom w:val="nil"/>
            </w:tcBorders>
          </w:tcPr>
          <w:p>
            <w:pPr>
              <w:pStyle w:val="TableParagraph"/>
              <w:spacing w:line="225" w:lineRule="exact"/>
              <w:ind w:left="80" w:right="85"/>
              <w:jc w:val="center"/>
              <w:rPr>
                <w:rFonts w:ascii="Arial"/>
                <w:b/>
                <w:sz w:val="20"/>
              </w:rPr>
            </w:pPr>
            <w:r>
              <w:rPr>
                <w:rFonts w:ascii="Arial"/>
                <w:b/>
                <w:sz w:val="20"/>
              </w:rPr>
              <w:t>Puntua(acc_empleo)</w:t>
            </w:r>
          </w:p>
        </w:tc>
        <w:tc>
          <w:tcPr>
            <w:tcW w:w="1538" w:type="dxa"/>
            <w:tcBorders>
              <w:bottom w:val="nil"/>
            </w:tcBorders>
          </w:tcPr>
          <w:p>
            <w:pPr>
              <w:pStyle w:val="TableParagraph"/>
              <w:spacing w:line="227" w:lineRule="exact"/>
              <w:ind w:left="459" w:right="459"/>
              <w:jc w:val="center"/>
              <w:rPr>
                <w:rFonts w:ascii="Arial"/>
                <w:sz w:val="20"/>
              </w:rPr>
            </w:pPr>
            <w:r>
              <w:rPr>
                <w:rFonts w:ascii="Arial"/>
                <w:sz w:val="20"/>
              </w:rPr>
              <w:t>1.000</w:t>
            </w:r>
          </w:p>
        </w:tc>
        <w:tc>
          <w:tcPr>
            <w:tcW w:w="1652" w:type="dxa"/>
            <w:tcBorders>
              <w:bottom w:val="nil"/>
            </w:tcBorders>
          </w:tcPr>
          <w:p>
            <w:pPr>
              <w:pStyle w:val="TableParagraph"/>
              <w:spacing w:line="227" w:lineRule="exact"/>
              <w:ind w:left="288" w:right="289"/>
              <w:jc w:val="center"/>
              <w:rPr>
                <w:rFonts w:ascii="Arial"/>
                <w:sz w:val="20"/>
              </w:rPr>
            </w:pPr>
            <w:r>
              <w:rPr>
                <w:rFonts w:ascii="Arial"/>
                <w:sz w:val="20"/>
              </w:rPr>
              <w:t>.003</w:t>
            </w:r>
          </w:p>
        </w:tc>
        <w:tc>
          <w:tcPr>
            <w:tcW w:w="1573" w:type="dxa"/>
            <w:tcBorders>
              <w:bottom w:val="nil"/>
            </w:tcBorders>
          </w:tcPr>
          <w:p>
            <w:pPr>
              <w:pStyle w:val="TableParagraph"/>
              <w:spacing w:line="227" w:lineRule="exact"/>
              <w:ind w:left="477" w:right="477"/>
              <w:jc w:val="center"/>
              <w:rPr>
                <w:rFonts w:ascii="Arial"/>
                <w:sz w:val="20"/>
              </w:rPr>
            </w:pPr>
            <w:r>
              <w:rPr>
                <w:rFonts w:ascii="Arial"/>
                <w:sz w:val="20"/>
              </w:rPr>
              <w:t>1.000</w:t>
            </w:r>
          </w:p>
        </w:tc>
        <w:tc>
          <w:tcPr>
            <w:tcW w:w="1654" w:type="dxa"/>
            <w:tcBorders>
              <w:bottom w:val="nil"/>
            </w:tcBorders>
          </w:tcPr>
          <w:p>
            <w:pPr>
              <w:pStyle w:val="TableParagraph"/>
              <w:spacing w:line="227" w:lineRule="exact"/>
              <w:ind w:left="288" w:right="290"/>
              <w:jc w:val="center"/>
              <w:rPr>
                <w:rFonts w:ascii="Arial"/>
                <w:sz w:val="20"/>
              </w:rPr>
            </w:pPr>
            <w:r>
              <w:rPr>
                <w:rFonts w:ascii="Arial"/>
                <w:sz w:val="20"/>
              </w:rPr>
              <w:t>.003</w:t>
            </w:r>
          </w:p>
        </w:tc>
      </w:tr>
      <w:tr>
        <w:trPr>
          <w:trHeight w:val="346" w:hRule="exact"/>
        </w:trPr>
        <w:tc>
          <w:tcPr>
            <w:tcW w:w="2641" w:type="dxa"/>
            <w:tcBorders>
              <w:top w:val="nil"/>
              <w:bottom w:val="nil"/>
            </w:tcBorders>
          </w:tcPr>
          <w:p>
            <w:pPr>
              <w:pStyle w:val="TableParagraph"/>
              <w:spacing w:before="46"/>
              <w:ind w:left="80" w:right="85"/>
              <w:jc w:val="center"/>
              <w:rPr>
                <w:rFonts w:ascii="Arial"/>
                <w:b/>
                <w:sz w:val="20"/>
              </w:rPr>
            </w:pPr>
            <w:r>
              <w:rPr>
                <w:rFonts w:ascii="Arial"/>
                <w:b/>
                <w:sz w:val="20"/>
              </w:rPr>
              <w:t>Puntua(acc_salud)</w:t>
            </w:r>
          </w:p>
        </w:tc>
        <w:tc>
          <w:tcPr>
            <w:tcW w:w="1538" w:type="dxa"/>
            <w:tcBorders>
              <w:top w:val="nil"/>
              <w:bottom w:val="nil"/>
            </w:tcBorders>
          </w:tcPr>
          <w:p>
            <w:pPr>
              <w:pStyle w:val="TableParagraph"/>
              <w:spacing w:before="48"/>
              <w:ind w:left="459" w:right="459"/>
              <w:jc w:val="center"/>
              <w:rPr>
                <w:rFonts w:ascii="Arial"/>
                <w:sz w:val="20"/>
              </w:rPr>
            </w:pPr>
            <w:r>
              <w:rPr>
                <w:rFonts w:ascii="Arial"/>
                <w:sz w:val="20"/>
              </w:rPr>
              <w:t>1.000</w:t>
            </w:r>
          </w:p>
        </w:tc>
        <w:tc>
          <w:tcPr>
            <w:tcW w:w="1652" w:type="dxa"/>
            <w:tcBorders>
              <w:top w:val="nil"/>
              <w:bottom w:val="nil"/>
            </w:tcBorders>
          </w:tcPr>
          <w:p>
            <w:pPr>
              <w:pStyle w:val="TableParagraph"/>
              <w:spacing w:before="48"/>
              <w:ind w:left="288" w:right="289"/>
              <w:jc w:val="center"/>
              <w:rPr>
                <w:rFonts w:ascii="Arial"/>
                <w:sz w:val="20"/>
              </w:rPr>
            </w:pPr>
            <w:r>
              <w:rPr>
                <w:rFonts w:ascii="Arial"/>
                <w:sz w:val="20"/>
              </w:rPr>
              <w:t>.021</w:t>
            </w:r>
          </w:p>
        </w:tc>
        <w:tc>
          <w:tcPr>
            <w:tcW w:w="1573" w:type="dxa"/>
            <w:tcBorders>
              <w:top w:val="nil"/>
              <w:bottom w:val="nil"/>
            </w:tcBorders>
          </w:tcPr>
          <w:p>
            <w:pPr>
              <w:pStyle w:val="TableParagraph"/>
              <w:spacing w:before="48"/>
              <w:ind w:left="477" w:right="477"/>
              <w:jc w:val="center"/>
              <w:rPr>
                <w:rFonts w:ascii="Arial"/>
                <w:sz w:val="20"/>
              </w:rPr>
            </w:pPr>
            <w:r>
              <w:rPr>
                <w:rFonts w:ascii="Arial"/>
                <w:sz w:val="20"/>
              </w:rPr>
              <w:t>1.000</w:t>
            </w:r>
          </w:p>
        </w:tc>
        <w:tc>
          <w:tcPr>
            <w:tcW w:w="1654" w:type="dxa"/>
            <w:tcBorders>
              <w:top w:val="nil"/>
              <w:bottom w:val="nil"/>
            </w:tcBorders>
          </w:tcPr>
          <w:p>
            <w:pPr>
              <w:pStyle w:val="TableParagraph"/>
              <w:spacing w:before="48"/>
              <w:ind w:left="288" w:right="290"/>
              <w:jc w:val="center"/>
              <w:rPr>
                <w:rFonts w:ascii="Arial"/>
                <w:sz w:val="20"/>
              </w:rPr>
            </w:pPr>
            <w:r>
              <w:rPr>
                <w:rFonts w:ascii="Arial"/>
                <w:sz w:val="20"/>
              </w:rPr>
              <w:t>.021</w:t>
            </w:r>
          </w:p>
        </w:tc>
      </w:tr>
      <w:tr>
        <w:trPr>
          <w:trHeight w:val="344" w:hRule="exact"/>
        </w:trPr>
        <w:tc>
          <w:tcPr>
            <w:tcW w:w="2641" w:type="dxa"/>
            <w:tcBorders>
              <w:top w:val="nil"/>
              <w:bottom w:val="nil"/>
            </w:tcBorders>
          </w:tcPr>
          <w:p>
            <w:pPr>
              <w:pStyle w:val="TableParagraph"/>
              <w:spacing w:before="46"/>
              <w:ind w:left="81" w:right="85"/>
              <w:jc w:val="center"/>
              <w:rPr>
                <w:rFonts w:ascii="Arial" w:hAnsi="Arial"/>
                <w:b/>
                <w:sz w:val="20"/>
              </w:rPr>
            </w:pPr>
            <w:r>
              <w:rPr>
                <w:rFonts w:ascii="Arial" w:hAnsi="Arial"/>
                <w:b/>
                <w:sz w:val="20"/>
              </w:rPr>
              <w:t>Puntua(acc_educación)</w:t>
            </w:r>
          </w:p>
        </w:tc>
        <w:tc>
          <w:tcPr>
            <w:tcW w:w="1538" w:type="dxa"/>
            <w:tcBorders>
              <w:top w:val="nil"/>
              <w:bottom w:val="nil"/>
            </w:tcBorders>
          </w:tcPr>
          <w:p>
            <w:pPr>
              <w:pStyle w:val="TableParagraph"/>
              <w:spacing w:before="48"/>
              <w:ind w:left="459" w:right="459"/>
              <w:jc w:val="center"/>
              <w:rPr>
                <w:rFonts w:ascii="Arial"/>
                <w:sz w:val="20"/>
              </w:rPr>
            </w:pPr>
            <w:r>
              <w:rPr>
                <w:rFonts w:ascii="Arial"/>
                <w:sz w:val="20"/>
              </w:rPr>
              <w:t>1.000</w:t>
            </w:r>
          </w:p>
        </w:tc>
        <w:tc>
          <w:tcPr>
            <w:tcW w:w="1652" w:type="dxa"/>
            <w:tcBorders>
              <w:top w:val="nil"/>
              <w:bottom w:val="nil"/>
            </w:tcBorders>
          </w:tcPr>
          <w:p>
            <w:pPr>
              <w:pStyle w:val="TableParagraph"/>
              <w:spacing w:before="48"/>
              <w:ind w:left="288" w:right="289"/>
              <w:jc w:val="center"/>
              <w:rPr>
                <w:rFonts w:ascii="Arial"/>
                <w:sz w:val="20"/>
              </w:rPr>
            </w:pPr>
            <w:r>
              <w:rPr>
                <w:rFonts w:ascii="Arial"/>
                <w:sz w:val="20"/>
              </w:rPr>
              <w:t>.048</w:t>
            </w:r>
          </w:p>
        </w:tc>
        <w:tc>
          <w:tcPr>
            <w:tcW w:w="1573" w:type="dxa"/>
            <w:tcBorders>
              <w:top w:val="nil"/>
              <w:bottom w:val="nil"/>
            </w:tcBorders>
          </w:tcPr>
          <w:p>
            <w:pPr>
              <w:pStyle w:val="TableParagraph"/>
              <w:spacing w:before="48"/>
              <w:ind w:left="477" w:right="477"/>
              <w:jc w:val="center"/>
              <w:rPr>
                <w:rFonts w:ascii="Arial"/>
                <w:sz w:val="20"/>
              </w:rPr>
            </w:pPr>
            <w:r>
              <w:rPr>
                <w:rFonts w:ascii="Arial"/>
                <w:sz w:val="20"/>
              </w:rPr>
              <w:t>1.000</w:t>
            </w:r>
          </w:p>
        </w:tc>
        <w:tc>
          <w:tcPr>
            <w:tcW w:w="1654" w:type="dxa"/>
            <w:tcBorders>
              <w:top w:val="nil"/>
              <w:bottom w:val="nil"/>
            </w:tcBorders>
          </w:tcPr>
          <w:p>
            <w:pPr>
              <w:pStyle w:val="TableParagraph"/>
              <w:spacing w:before="48"/>
              <w:ind w:left="288" w:right="290"/>
              <w:jc w:val="center"/>
              <w:rPr>
                <w:rFonts w:ascii="Arial"/>
                <w:sz w:val="20"/>
              </w:rPr>
            </w:pPr>
            <w:r>
              <w:rPr>
                <w:rFonts w:ascii="Arial"/>
                <w:sz w:val="20"/>
              </w:rPr>
              <w:t>.048</w:t>
            </w:r>
          </w:p>
        </w:tc>
      </w:tr>
      <w:tr>
        <w:trPr>
          <w:trHeight w:val="344" w:hRule="exact"/>
        </w:trPr>
        <w:tc>
          <w:tcPr>
            <w:tcW w:w="2641" w:type="dxa"/>
            <w:tcBorders>
              <w:top w:val="nil"/>
              <w:bottom w:val="nil"/>
            </w:tcBorders>
          </w:tcPr>
          <w:p>
            <w:pPr>
              <w:pStyle w:val="TableParagraph"/>
              <w:spacing w:before="44"/>
              <w:ind w:left="82" w:right="82"/>
              <w:jc w:val="center"/>
              <w:rPr>
                <w:rFonts w:ascii="Arial"/>
                <w:b/>
                <w:sz w:val="20"/>
              </w:rPr>
            </w:pPr>
            <w:r>
              <w:rPr>
                <w:rFonts w:ascii="Arial"/>
                <w:b/>
                <w:sz w:val="20"/>
              </w:rPr>
              <w:t>Puntua(acc_abasto)</w:t>
            </w:r>
          </w:p>
        </w:tc>
        <w:tc>
          <w:tcPr>
            <w:tcW w:w="1538" w:type="dxa"/>
            <w:tcBorders>
              <w:top w:val="nil"/>
              <w:bottom w:val="nil"/>
            </w:tcBorders>
          </w:tcPr>
          <w:p>
            <w:pPr>
              <w:pStyle w:val="TableParagraph"/>
              <w:spacing w:before="47"/>
              <w:ind w:left="459" w:right="459"/>
              <w:jc w:val="center"/>
              <w:rPr>
                <w:rFonts w:ascii="Arial"/>
                <w:sz w:val="20"/>
              </w:rPr>
            </w:pPr>
            <w:r>
              <w:rPr>
                <w:rFonts w:ascii="Arial"/>
                <w:sz w:val="20"/>
              </w:rPr>
              <w:t>1.000</w:t>
            </w:r>
          </w:p>
        </w:tc>
        <w:tc>
          <w:tcPr>
            <w:tcW w:w="1652" w:type="dxa"/>
            <w:tcBorders>
              <w:top w:val="nil"/>
              <w:bottom w:val="nil"/>
            </w:tcBorders>
          </w:tcPr>
          <w:p>
            <w:pPr>
              <w:pStyle w:val="TableParagraph"/>
              <w:spacing w:before="47"/>
              <w:ind w:left="288" w:right="289"/>
              <w:jc w:val="center"/>
              <w:rPr>
                <w:rFonts w:ascii="Arial"/>
                <w:sz w:val="20"/>
              </w:rPr>
            </w:pPr>
            <w:r>
              <w:rPr>
                <w:rFonts w:ascii="Arial"/>
                <w:sz w:val="20"/>
              </w:rPr>
              <w:t>.558</w:t>
            </w:r>
          </w:p>
        </w:tc>
        <w:tc>
          <w:tcPr>
            <w:tcW w:w="1573" w:type="dxa"/>
            <w:tcBorders>
              <w:top w:val="nil"/>
              <w:bottom w:val="nil"/>
            </w:tcBorders>
          </w:tcPr>
          <w:p>
            <w:pPr>
              <w:pStyle w:val="TableParagraph"/>
              <w:spacing w:before="47"/>
              <w:ind w:left="477" w:right="477"/>
              <w:jc w:val="center"/>
              <w:rPr>
                <w:rFonts w:ascii="Arial"/>
                <w:sz w:val="20"/>
              </w:rPr>
            </w:pPr>
            <w:r>
              <w:rPr>
                <w:rFonts w:ascii="Arial"/>
                <w:sz w:val="20"/>
              </w:rPr>
              <w:t>1.000</w:t>
            </w:r>
          </w:p>
        </w:tc>
        <w:tc>
          <w:tcPr>
            <w:tcW w:w="1654" w:type="dxa"/>
            <w:tcBorders>
              <w:top w:val="nil"/>
              <w:bottom w:val="nil"/>
            </w:tcBorders>
          </w:tcPr>
          <w:p>
            <w:pPr>
              <w:pStyle w:val="TableParagraph"/>
              <w:spacing w:before="47"/>
              <w:ind w:left="288" w:right="290"/>
              <w:jc w:val="center"/>
              <w:rPr>
                <w:rFonts w:ascii="Arial"/>
                <w:sz w:val="20"/>
              </w:rPr>
            </w:pPr>
            <w:r>
              <w:rPr>
                <w:rFonts w:ascii="Arial"/>
                <w:sz w:val="20"/>
              </w:rPr>
              <w:t>.558</w:t>
            </w:r>
          </w:p>
        </w:tc>
      </w:tr>
      <w:tr>
        <w:trPr>
          <w:trHeight w:val="346" w:hRule="exact"/>
        </w:trPr>
        <w:tc>
          <w:tcPr>
            <w:tcW w:w="2641" w:type="dxa"/>
            <w:tcBorders>
              <w:top w:val="nil"/>
              <w:bottom w:val="nil"/>
            </w:tcBorders>
          </w:tcPr>
          <w:p>
            <w:pPr>
              <w:pStyle w:val="TableParagraph"/>
              <w:spacing w:before="46"/>
              <w:ind w:left="80" w:right="85"/>
              <w:jc w:val="center"/>
              <w:rPr>
                <w:rFonts w:ascii="Arial" w:hAnsi="Arial"/>
                <w:b/>
                <w:sz w:val="20"/>
              </w:rPr>
            </w:pPr>
            <w:r>
              <w:rPr>
                <w:rFonts w:ascii="Arial" w:hAnsi="Arial"/>
                <w:b/>
                <w:sz w:val="20"/>
              </w:rPr>
              <w:t>Puntua(acc_recreación)</w:t>
            </w:r>
          </w:p>
        </w:tc>
        <w:tc>
          <w:tcPr>
            <w:tcW w:w="1538" w:type="dxa"/>
            <w:tcBorders>
              <w:top w:val="nil"/>
              <w:bottom w:val="nil"/>
            </w:tcBorders>
          </w:tcPr>
          <w:p>
            <w:pPr>
              <w:pStyle w:val="TableParagraph"/>
              <w:spacing w:before="48"/>
              <w:ind w:left="459" w:right="459"/>
              <w:jc w:val="center"/>
              <w:rPr>
                <w:rFonts w:ascii="Arial"/>
                <w:sz w:val="20"/>
              </w:rPr>
            </w:pPr>
            <w:r>
              <w:rPr>
                <w:rFonts w:ascii="Arial"/>
                <w:sz w:val="20"/>
              </w:rPr>
              <w:t>1.000</w:t>
            </w:r>
          </w:p>
        </w:tc>
        <w:tc>
          <w:tcPr>
            <w:tcW w:w="1652" w:type="dxa"/>
            <w:tcBorders>
              <w:top w:val="nil"/>
              <w:bottom w:val="nil"/>
            </w:tcBorders>
          </w:tcPr>
          <w:p>
            <w:pPr>
              <w:pStyle w:val="TableParagraph"/>
              <w:spacing w:before="48"/>
              <w:ind w:left="288" w:right="289"/>
              <w:jc w:val="center"/>
              <w:rPr>
                <w:rFonts w:ascii="Arial"/>
                <w:sz w:val="20"/>
              </w:rPr>
            </w:pPr>
            <w:r>
              <w:rPr>
                <w:rFonts w:ascii="Arial"/>
                <w:sz w:val="20"/>
              </w:rPr>
              <w:t>.725</w:t>
            </w:r>
          </w:p>
        </w:tc>
        <w:tc>
          <w:tcPr>
            <w:tcW w:w="1573" w:type="dxa"/>
            <w:tcBorders>
              <w:top w:val="nil"/>
              <w:bottom w:val="nil"/>
            </w:tcBorders>
          </w:tcPr>
          <w:p>
            <w:pPr>
              <w:pStyle w:val="TableParagraph"/>
              <w:spacing w:before="48"/>
              <w:ind w:left="477" w:right="477"/>
              <w:jc w:val="center"/>
              <w:rPr>
                <w:rFonts w:ascii="Arial"/>
                <w:sz w:val="20"/>
              </w:rPr>
            </w:pPr>
            <w:r>
              <w:rPr>
                <w:rFonts w:ascii="Arial"/>
                <w:sz w:val="20"/>
              </w:rPr>
              <w:t>1.000</w:t>
            </w:r>
          </w:p>
        </w:tc>
        <w:tc>
          <w:tcPr>
            <w:tcW w:w="1654" w:type="dxa"/>
            <w:tcBorders>
              <w:top w:val="nil"/>
              <w:bottom w:val="nil"/>
            </w:tcBorders>
          </w:tcPr>
          <w:p>
            <w:pPr>
              <w:pStyle w:val="TableParagraph"/>
              <w:spacing w:before="48"/>
              <w:ind w:left="288" w:right="290"/>
              <w:jc w:val="center"/>
              <w:rPr>
                <w:rFonts w:ascii="Arial"/>
                <w:sz w:val="20"/>
              </w:rPr>
            </w:pPr>
            <w:r>
              <w:rPr>
                <w:rFonts w:ascii="Arial"/>
                <w:sz w:val="20"/>
              </w:rPr>
              <w:t>.725</w:t>
            </w:r>
          </w:p>
        </w:tc>
      </w:tr>
      <w:tr>
        <w:trPr>
          <w:trHeight w:val="401" w:hRule="exact"/>
        </w:trPr>
        <w:tc>
          <w:tcPr>
            <w:tcW w:w="2641" w:type="dxa"/>
            <w:tcBorders>
              <w:top w:val="nil"/>
            </w:tcBorders>
          </w:tcPr>
          <w:p>
            <w:pPr>
              <w:pStyle w:val="TableParagraph"/>
              <w:spacing w:before="46"/>
              <w:ind w:left="82" w:right="85"/>
              <w:jc w:val="center"/>
              <w:rPr>
                <w:rFonts w:ascii="Arial" w:hAnsi="Arial"/>
                <w:b/>
                <w:sz w:val="20"/>
              </w:rPr>
            </w:pPr>
            <w:r>
              <w:rPr>
                <w:rFonts w:ascii="Arial" w:hAnsi="Arial"/>
                <w:b/>
                <w:sz w:val="20"/>
              </w:rPr>
              <w:t>Puntua(acc_áreasverdes)</w:t>
            </w:r>
          </w:p>
        </w:tc>
        <w:tc>
          <w:tcPr>
            <w:tcW w:w="1538" w:type="dxa"/>
            <w:tcBorders>
              <w:top w:val="nil"/>
            </w:tcBorders>
          </w:tcPr>
          <w:p>
            <w:pPr>
              <w:pStyle w:val="TableParagraph"/>
              <w:spacing w:before="48"/>
              <w:ind w:left="459" w:right="459"/>
              <w:jc w:val="center"/>
              <w:rPr>
                <w:rFonts w:ascii="Arial"/>
                <w:sz w:val="20"/>
              </w:rPr>
            </w:pPr>
            <w:r>
              <w:rPr>
                <w:rFonts w:ascii="Arial"/>
                <w:sz w:val="20"/>
              </w:rPr>
              <w:t>1.000</w:t>
            </w:r>
          </w:p>
        </w:tc>
        <w:tc>
          <w:tcPr>
            <w:tcW w:w="1652" w:type="dxa"/>
            <w:tcBorders>
              <w:top w:val="nil"/>
            </w:tcBorders>
          </w:tcPr>
          <w:p>
            <w:pPr>
              <w:pStyle w:val="TableParagraph"/>
              <w:spacing w:before="48"/>
              <w:ind w:left="288" w:right="289"/>
              <w:jc w:val="center"/>
              <w:rPr>
                <w:rFonts w:ascii="Arial"/>
                <w:sz w:val="20"/>
              </w:rPr>
            </w:pPr>
            <w:r>
              <w:rPr>
                <w:rFonts w:ascii="Arial"/>
                <w:sz w:val="20"/>
              </w:rPr>
              <w:t>.500</w:t>
            </w:r>
          </w:p>
        </w:tc>
        <w:tc>
          <w:tcPr>
            <w:tcW w:w="1573" w:type="dxa"/>
            <w:tcBorders>
              <w:top w:val="nil"/>
            </w:tcBorders>
          </w:tcPr>
          <w:p>
            <w:pPr>
              <w:pStyle w:val="TableParagraph"/>
              <w:spacing w:before="48"/>
              <w:ind w:left="477" w:right="477"/>
              <w:jc w:val="center"/>
              <w:rPr>
                <w:rFonts w:ascii="Arial"/>
                <w:sz w:val="20"/>
              </w:rPr>
            </w:pPr>
            <w:r>
              <w:rPr>
                <w:rFonts w:ascii="Arial"/>
                <w:sz w:val="20"/>
              </w:rPr>
              <w:t>1.000</w:t>
            </w:r>
          </w:p>
        </w:tc>
        <w:tc>
          <w:tcPr>
            <w:tcW w:w="1654" w:type="dxa"/>
            <w:tcBorders>
              <w:top w:val="nil"/>
            </w:tcBorders>
          </w:tcPr>
          <w:p>
            <w:pPr>
              <w:pStyle w:val="TableParagraph"/>
              <w:spacing w:before="48"/>
              <w:ind w:left="288" w:right="290"/>
              <w:jc w:val="center"/>
              <w:rPr>
                <w:rFonts w:ascii="Arial"/>
                <w:sz w:val="20"/>
              </w:rPr>
            </w:pPr>
            <w:r>
              <w:rPr>
                <w:rFonts w:ascii="Arial"/>
                <w:sz w:val="20"/>
              </w:rPr>
              <w:t>.500</w:t>
            </w:r>
          </w:p>
        </w:tc>
      </w:tr>
    </w:tbl>
    <w:p>
      <w:pPr>
        <w:spacing w:line="227" w:lineRule="exact" w:before="0"/>
        <w:ind w:left="222" w:right="0" w:firstLine="0"/>
        <w:jc w:val="both"/>
        <w:rPr>
          <w:sz w:val="20"/>
        </w:rPr>
      </w:pPr>
      <w:r>
        <w:rPr>
          <w:sz w:val="20"/>
        </w:rPr>
        <w:t>Fuente: Elaboración propia</w:t>
      </w:r>
    </w:p>
    <w:p>
      <w:pPr>
        <w:pStyle w:val="BodyText"/>
        <w:rPr>
          <w:sz w:val="20"/>
        </w:rPr>
      </w:pPr>
    </w:p>
    <w:p>
      <w:pPr>
        <w:pStyle w:val="BodyText"/>
        <w:rPr>
          <w:sz w:val="20"/>
        </w:rPr>
      </w:pPr>
    </w:p>
    <w:p>
      <w:pPr>
        <w:pStyle w:val="BodyText"/>
        <w:spacing w:line="360" w:lineRule="auto"/>
        <w:ind w:left="222" w:right="235"/>
        <w:jc w:val="both"/>
      </w:pPr>
      <w:r>
        <w:rPr/>
        <w:t>Al multiplicar el valor del indicador estandarizado por su respectivo ponderador del índice de habitabilidad, para posteriormente realizar la sumatoria. Con los valores de los ponderadores, se calcula el índice resumen de habitabilidad. Para esta investigación, fue necesario evaluar este índice resumen de habitabilidad como componente del análisis espacial.</w:t>
      </w:r>
    </w:p>
    <w:p>
      <w:pPr>
        <w:pStyle w:val="BodyText"/>
      </w:pPr>
    </w:p>
    <w:p>
      <w:pPr>
        <w:pStyle w:val="BodyText"/>
        <w:spacing w:line="360" w:lineRule="auto" w:before="142"/>
        <w:ind w:left="222" w:right="236"/>
        <w:jc w:val="both"/>
      </w:pPr>
      <w:r>
        <w:rPr/>
        <w:t>Al presentar los resultados del índice de habitabilidad del entorno de las viviendas de la zona metropolitana en estudio, es necesario mencionar que se eligió el método Dalenius y Hodges como método de estratificación de las variables ya que el mismo grupo de valores puede dar resultados diversos de acuerdo al criterio que se</w:t>
      </w:r>
      <w:r>
        <w:rPr>
          <w:spacing w:val="-5"/>
        </w:rPr>
        <w:t> </w:t>
      </w:r>
      <w:r>
        <w:rPr/>
        <w:t>tome.</w:t>
      </w:r>
    </w:p>
    <w:p>
      <w:pPr>
        <w:pStyle w:val="BodyText"/>
        <w:spacing w:before="10"/>
        <w:rPr>
          <w:sz w:val="35"/>
        </w:rPr>
      </w:pPr>
    </w:p>
    <w:p>
      <w:pPr>
        <w:spacing w:line="240" w:lineRule="auto" w:before="0"/>
        <w:ind w:left="505" w:right="567" w:firstLine="0"/>
        <w:jc w:val="both"/>
        <w:rPr>
          <w:sz w:val="24"/>
        </w:rPr>
      </w:pPr>
      <w:r>
        <w:rPr>
          <w:i/>
          <w:sz w:val="24"/>
        </w:rPr>
        <w:t>“El método de Dalenius y Hodges se considera como una técnica estadística </w:t>
      </w:r>
      <w:r>
        <w:rPr>
          <w:i/>
          <w:sz w:val="24"/>
        </w:rPr>
        <w:t>de estratificación univariada que va a permitir ordenar, clasificar y agrupar un conjunto de datos en rangos, a partir de su estandarización, además se ha utilizado para obtener desviaciones de tendencias y factores de proyección y con ello poder determinar tamaños de muestra, realizar proyecciones estadísticas y tendencias en el comportamiento de los datos” </w:t>
      </w:r>
      <w:r>
        <w:rPr>
          <w:sz w:val="24"/>
        </w:rPr>
        <w:t>(Campos, 2009).</w:t>
      </w:r>
    </w:p>
    <w:p>
      <w:pPr>
        <w:pStyle w:val="BodyText"/>
        <w:spacing w:before="10"/>
        <w:rPr>
          <w:sz w:val="35"/>
        </w:rPr>
      </w:pPr>
    </w:p>
    <w:p>
      <w:pPr>
        <w:spacing w:line="360" w:lineRule="auto" w:before="0"/>
        <w:ind w:left="222" w:right="236" w:firstLine="0"/>
        <w:jc w:val="both"/>
        <w:rPr>
          <w:sz w:val="24"/>
        </w:rPr>
      </w:pPr>
      <w:r>
        <w:rPr>
          <w:sz w:val="24"/>
        </w:rPr>
        <w:t>Este método de estratificación es el más utilizado en “</w:t>
      </w:r>
      <w:r>
        <w:rPr>
          <w:i/>
          <w:sz w:val="24"/>
        </w:rPr>
        <w:t>el análisis de información de </w:t>
      </w:r>
      <w:r>
        <w:rPr>
          <w:i/>
          <w:sz w:val="24"/>
        </w:rPr>
        <w:t>las condiciones relativas de vida (índice de marginación, vulnerabilidad social, niveles de bienestar, índice de habitabilidad que incluyen valores positivos y negativos)”   </w:t>
      </w:r>
      <w:r>
        <w:rPr>
          <w:sz w:val="24"/>
        </w:rPr>
        <w:t>(Campos,   2009),   permitiendo   obtener   una   agrupación   lo   más</w:t>
      </w:r>
    </w:p>
    <w:p>
      <w:pPr>
        <w:spacing w:after="0" w:line="360" w:lineRule="auto"/>
        <w:jc w:val="both"/>
        <w:rPr>
          <w:sz w:val="24"/>
        </w:rPr>
        <w:sectPr>
          <w:pgSz w:w="12240" w:h="15840"/>
          <w:pgMar w:header="0" w:footer="1003" w:top="1360" w:bottom="1200" w:left="1480" w:right="1460"/>
        </w:sectPr>
      </w:pPr>
    </w:p>
    <w:p>
      <w:pPr>
        <w:pStyle w:val="BodyText"/>
        <w:spacing w:line="360" w:lineRule="auto" w:before="54"/>
        <w:ind w:left="102" w:right="124"/>
        <w:jc w:val="both"/>
      </w:pPr>
      <w:r>
        <w:rPr/>
        <w:t>homogénea posible entre las observaciones de una base de datos y permite construir tantos estratos como uno lo desee, tomando en cuenta la propia distribución de los datos, minimizando la varianza, de ahí la elección como método de estratificación para esta investigación.</w:t>
      </w:r>
    </w:p>
    <w:p>
      <w:pPr>
        <w:pStyle w:val="BodyText"/>
      </w:pPr>
    </w:p>
    <w:p>
      <w:pPr>
        <w:pStyle w:val="BodyText"/>
        <w:spacing w:line="360" w:lineRule="auto" w:before="142"/>
        <w:ind w:left="102" w:right="117"/>
        <w:jc w:val="both"/>
      </w:pPr>
      <w:r>
        <w:rPr/>
        <w:t>Los resultados del índice de habitabilidad del entorno de las viviendas en la </w:t>
      </w:r>
      <w:r>
        <w:rPr>
          <w:sz w:val="19"/>
        </w:rPr>
        <w:t>ZMT</w:t>
      </w:r>
      <w:r>
        <w:rPr/>
        <w:t>, nos indican que la zona norte, oriente y parte de la zona sur del municipio de Toluca son las zonas críticas de habitabilidad respecto a las variables analizadas como el empleo, educación, salud, abasto, áreas verdes y recreación, zonas con las mayores desventajas y donde el Estado debe ocuparse para que cuenten con accesibilidad a los servicios analizados, y a otros no analizados en este trabajo.</w:t>
      </w:r>
    </w:p>
    <w:p>
      <w:pPr>
        <w:pStyle w:val="BodyText"/>
      </w:pPr>
    </w:p>
    <w:p>
      <w:pPr>
        <w:pStyle w:val="BodyText"/>
        <w:spacing w:line="360" w:lineRule="auto" w:before="142"/>
        <w:ind w:left="102" w:right="122"/>
        <w:jc w:val="both"/>
      </w:pPr>
      <w:r>
        <w:rPr/>
        <w:t>Los municipios con ageb´s de zonas críticas de habitabilidad son Temoaya, Otzolotepec, Xonacatlán, Calimaya, Chapultepec y Rayón, zonas de mayores carencias. En contraste, existe un corredor formado del centro de Toluca hacia Metepec, son las zonas con mejores condiciones de habitabilidad del entorno de las viviendas.</w:t>
      </w:r>
    </w:p>
    <w:p>
      <w:pPr>
        <w:pStyle w:val="BodyText"/>
      </w:pPr>
    </w:p>
    <w:p>
      <w:pPr>
        <w:pStyle w:val="BodyText"/>
        <w:spacing w:line="360" w:lineRule="auto" w:before="142"/>
        <w:ind w:left="102" w:right="122"/>
        <w:jc w:val="both"/>
      </w:pPr>
      <w:r>
        <w:rPr/>
        <w:t>Las cabeceras de Almoloya de Juárez, Zinacantepec, Mexicaltzingo, San Antonio la Isla, San Mateo Atenco, Lerma y Ocoyoacac, resalta una abrumadora diferencia de habitabilidad del entorno de las viviendas, respecto al resto de las ageb´s que integran sus respectivos municipios y por ende, la zona metropolitana analizada.</w:t>
      </w:r>
    </w:p>
    <w:p>
      <w:pPr>
        <w:pStyle w:val="BodyText"/>
      </w:pPr>
    </w:p>
    <w:p>
      <w:pPr>
        <w:pStyle w:val="BodyText"/>
        <w:spacing w:line="360" w:lineRule="auto" w:before="142"/>
        <w:ind w:left="102" w:right="115"/>
        <w:jc w:val="both"/>
      </w:pPr>
      <w:r>
        <w:rPr/>
        <w:t>De manera general para el caso del índice de habitabilidad, las mayores desventajas se encuentran claramente localizadas en la parte norte, sur, este y oeste de la zona metropolitana, es decir en las zonas periferias de la ciudad. Los resultados de la evaluación de la habitabilidad de las viviendas por medio de los servicios públicos, materiales de construcción y los bienes de la vivienda, y del índice de habitabilidad del entorno de las viviendas (empleo, educación, salud, abasto, áreas verdes, recreación) se convierten en la referencia para el análisis de la propuesta de esta investigación (ver mapa 29).</w:t>
      </w:r>
    </w:p>
    <w:p>
      <w:pPr>
        <w:spacing w:after="0" w:line="360" w:lineRule="auto"/>
        <w:jc w:val="both"/>
        <w:sectPr>
          <w:pgSz w:w="12240" w:h="15840"/>
          <w:pgMar w:header="0" w:footer="1003" w:top="1360" w:bottom="1200" w:left="1600" w:right="1580"/>
        </w:sectPr>
      </w:pPr>
    </w:p>
    <w:p>
      <w:pPr>
        <w:spacing w:before="53" w:after="2"/>
        <w:ind w:left="157" w:right="157" w:firstLine="0"/>
        <w:jc w:val="center"/>
        <w:rPr>
          <w:sz w:val="20"/>
        </w:rPr>
      </w:pPr>
      <w:r>
        <w:rPr>
          <w:sz w:val="20"/>
        </w:rPr>
        <w:t>Mapa No. 29 Índice de habitabilidad a nivel ageb´s en la </w:t>
      </w:r>
      <w:r>
        <w:rPr>
          <w:sz w:val="16"/>
        </w:rPr>
        <w:t>ZMT</w:t>
      </w:r>
      <w:r>
        <w:rPr>
          <w:sz w:val="20"/>
        </w:rPr>
        <w:t>, 2014.</w:t>
      </w:r>
    </w:p>
    <w:p>
      <w:pPr>
        <w:pStyle w:val="BodyText"/>
        <w:ind w:left="102"/>
        <w:rPr>
          <w:sz w:val="20"/>
        </w:rPr>
      </w:pPr>
      <w:r>
        <w:rPr>
          <w:sz w:val="20"/>
        </w:rPr>
        <w:drawing>
          <wp:inline distT="0" distB="0" distL="0" distR="0">
            <wp:extent cx="5598929" cy="3959352"/>
            <wp:effectExtent l="0" t="0" r="0" b="0"/>
            <wp:docPr id="179" name="image962.jpeg" descr=""/>
            <wp:cNvGraphicFramePr>
              <a:graphicFrameLocks noChangeAspect="1"/>
            </wp:cNvGraphicFramePr>
            <a:graphic>
              <a:graphicData uri="http://schemas.openxmlformats.org/drawingml/2006/picture">
                <pic:pic>
                  <pic:nvPicPr>
                    <pic:cNvPr id="180" name="image962.jpeg"/>
                    <pic:cNvPicPr/>
                  </pic:nvPicPr>
                  <pic:blipFill>
                    <a:blip r:embed="rId997" cstate="print"/>
                    <a:stretch>
                      <a:fillRect/>
                    </a:stretch>
                  </pic:blipFill>
                  <pic:spPr>
                    <a:xfrm>
                      <a:off x="0" y="0"/>
                      <a:ext cx="5598929" cy="3959352"/>
                    </a:xfrm>
                    <a:prstGeom prst="rect">
                      <a:avLst/>
                    </a:prstGeom>
                  </pic:spPr>
                </pic:pic>
              </a:graphicData>
            </a:graphic>
          </wp:inline>
        </w:drawing>
      </w:r>
      <w:r>
        <w:rPr>
          <w:sz w:val="20"/>
        </w:rPr>
      </w:r>
    </w:p>
    <w:p>
      <w:pPr>
        <w:spacing w:line="362" w:lineRule="auto" w:before="149"/>
        <w:ind w:left="157" w:right="162" w:firstLine="0"/>
        <w:jc w:val="center"/>
        <w:rPr>
          <w:sz w:val="20"/>
        </w:rPr>
      </w:pPr>
      <w:r>
        <w:rPr>
          <w:sz w:val="20"/>
        </w:rPr>
        <w:t>Fuente: Elaboración propia con base en los datos del Directorio Estadístico Nacional de Unidades Económicas, INEGI, 2014.</w:t>
      </w:r>
    </w:p>
    <w:p>
      <w:pPr>
        <w:pStyle w:val="BodyText"/>
        <w:spacing w:before="3"/>
        <w:rPr>
          <w:sz w:val="17"/>
        </w:rPr>
      </w:pPr>
    </w:p>
    <w:p>
      <w:pPr>
        <w:pStyle w:val="BodyText"/>
        <w:spacing w:line="360" w:lineRule="auto" w:before="1"/>
        <w:ind w:left="102" w:right="103"/>
        <w:jc w:val="both"/>
      </w:pPr>
      <w:r>
        <w:rPr/>
        <w:t>Las zonas con mejor habitabilidad en las viviendas, es decir, con las mejores condiciones relativas de acceso a servicios seleccionados pertenecen a las ageb´s de Toluca y Metepec, coincidiendo con aquellas situadas dentro de los límites de las cabeceras municipales, son las que presentan mayores ventajas de localización de equipamientos, servicios y dotación de</w:t>
      </w:r>
      <w:r>
        <w:rPr>
          <w:spacing w:val="-26"/>
        </w:rPr>
        <w:t> </w:t>
      </w:r>
      <w:r>
        <w:rPr/>
        <w:t>infraestructura.</w:t>
      </w:r>
    </w:p>
    <w:p>
      <w:pPr>
        <w:pStyle w:val="BodyText"/>
      </w:pPr>
    </w:p>
    <w:p>
      <w:pPr>
        <w:pStyle w:val="BodyText"/>
        <w:spacing w:line="360" w:lineRule="auto" w:before="142"/>
        <w:ind w:left="102" w:right="99"/>
        <w:jc w:val="both"/>
      </w:pPr>
      <w:r>
        <w:rPr/>
        <w:t>Partiendo de ahí y conforme se va alejando del centro, el índice de habitabilidad tiende a manifestar desventajas hacia la población, en particular, a la que reside  en las localidades más periferias de la zona metropolitana de Toluca, configurándose así la trampa de la localización periférica (Garrocho,</w:t>
      </w:r>
      <w:r>
        <w:rPr>
          <w:spacing w:val="-27"/>
        </w:rPr>
        <w:t> </w:t>
      </w:r>
      <w:r>
        <w:rPr/>
        <w:t>2008).</w:t>
      </w:r>
    </w:p>
    <w:p>
      <w:pPr>
        <w:pStyle w:val="BodyText"/>
      </w:pPr>
    </w:p>
    <w:p>
      <w:pPr>
        <w:pStyle w:val="BodyText"/>
        <w:spacing w:line="360" w:lineRule="auto" w:before="142"/>
        <w:ind w:left="102" w:right="108"/>
        <w:jc w:val="both"/>
      </w:pPr>
      <w:r>
        <w:rPr/>
        <w:t>Los resultados tanto de la evaluación de la habitabilidad así como el índice de habitabilidad destaca la zona norte de la zona metropolitana, la zona poniente y</w:t>
      </w:r>
      <w:r>
        <w:rPr>
          <w:spacing w:val="59"/>
        </w:rPr>
        <w:t> </w:t>
      </w:r>
      <w:r>
        <w:rPr/>
        <w:t>la</w:t>
      </w:r>
    </w:p>
    <w:p>
      <w:pPr>
        <w:spacing w:after="0" w:line="360" w:lineRule="auto"/>
        <w:jc w:val="both"/>
        <w:sectPr>
          <w:footerReference w:type="default" r:id="rId996"/>
          <w:pgSz w:w="12240" w:h="15840"/>
          <w:pgMar w:footer="1003" w:header="0" w:top="1360" w:bottom="1200" w:left="1600" w:right="1600"/>
          <w:pgNumType w:start="210"/>
        </w:sectPr>
      </w:pPr>
    </w:p>
    <w:p>
      <w:pPr>
        <w:pStyle w:val="BodyText"/>
        <w:spacing w:line="360" w:lineRule="auto" w:before="54"/>
        <w:ind w:left="102" w:right="125"/>
        <w:jc w:val="both"/>
      </w:pPr>
      <w:r>
        <w:rPr/>
        <w:t>parte sur oriente, son las de menor cobertura de servicios, además las más alejadas a los mismos, al empleo, educación, salud, pilares de contar con buena habitabilidad en las viviendas.</w:t>
      </w:r>
    </w:p>
    <w:p>
      <w:pPr>
        <w:pStyle w:val="BodyText"/>
      </w:pPr>
    </w:p>
    <w:p>
      <w:pPr>
        <w:pStyle w:val="BodyText"/>
        <w:spacing w:line="360" w:lineRule="auto" w:before="142"/>
        <w:ind w:left="102" w:right="120"/>
        <w:jc w:val="both"/>
      </w:pPr>
      <w:r>
        <w:rPr/>
        <w:t>Es importante señalar la conformación de una estructura concéntrica de zonas críticas de habitabilidad de las viviendas, pues conforme se va alejando de las ageb´s centrales de los municipios de Toluca y Metepec, las condiciones de habitabilidad crítica se va haciendo más evidente. Este patrón sin duda refleja la fuerte influencia que tiene la distribución y localización de los servicios analizados.</w:t>
      </w:r>
    </w:p>
    <w:p>
      <w:pPr>
        <w:pStyle w:val="BodyText"/>
      </w:pPr>
    </w:p>
    <w:p>
      <w:pPr>
        <w:pStyle w:val="BodyText"/>
        <w:spacing w:line="360" w:lineRule="auto" w:before="142"/>
        <w:ind w:left="102" w:right="116"/>
        <w:jc w:val="both"/>
      </w:pPr>
      <w:r>
        <w:rPr/>
        <w:t>Los índices más altos de habitabilidad crítica corresponden en su gran mayoría a las localidades que han sido incorporadas recientemente a la </w:t>
      </w:r>
      <w:r>
        <w:rPr>
          <w:sz w:val="19"/>
        </w:rPr>
        <w:t>ZMT</w:t>
      </w:r>
      <w:r>
        <w:rPr/>
        <w:t>. Es decir, las partes más alejadas donde la ubicación de las viviendas explica la condición de habitabilidad crítica, tales como la zona norte, poniente y oriente de la zona metropolitana y algunas ageb´s de la parte sur.</w:t>
      </w:r>
    </w:p>
    <w:p>
      <w:pPr>
        <w:pStyle w:val="BodyText"/>
      </w:pPr>
    </w:p>
    <w:p>
      <w:pPr>
        <w:pStyle w:val="BodyText"/>
        <w:spacing w:line="360" w:lineRule="auto" w:before="142"/>
        <w:ind w:left="102" w:right="116"/>
        <w:jc w:val="both"/>
      </w:pPr>
      <w:r>
        <w:rPr/>
        <w:t>El comportamiento de las ageb´s con buena habitabilidad y que corresponden a las zonas más centrales de las cabeceras municipales de Metepec y Toluca. En estas ageb´s el factor explicativo es la localización, dotación de servicios e infraestructura les otorgan ventajas, mejores condiciones de vida, confirmando argumentos de la economía urbana, donde se dice que los centros de las  ciudades son las zonas de mayor accesibilidad y cobertura de servicios (Campos, 2009).</w:t>
      </w:r>
    </w:p>
    <w:p>
      <w:pPr>
        <w:pStyle w:val="BodyText"/>
      </w:pPr>
    </w:p>
    <w:p>
      <w:pPr>
        <w:pStyle w:val="BodyText"/>
        <w:spacing w:line="360" w:lineRule="auto" w:before="142"/>
        <w:ind w:left="102" w:right="117"/>
        <w:jc w:val="both"/>
      </w:pPr>
      <w:r>
        <w:rPr/>
        <w:t>La dimensión espacial de las viviendas es un determinante en las condiciones de vida de la población, sin duda debe considerarse en posteriores estudios relacionados con esta temática, pues esta dimensión espacial poco se ha  utilizado, se puede considerar como una herramienta de apoyo para la dotación de equipamiento e infraestructura urbana, además para realizar los planes de desarrollo municipales y</w:t>
      </w:r>
      <w:r>
        <w:rPr>
          <w:spacing w:val="-8"/>
        </w:rPr>
        <w:t> </w:t>
      </w:r>
      <w:r>
        <w:rPr/>
        <w:t>estatales.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7"/>
        <w:jc w:val="both"/>
      </w:pPr>
      <w:r>
        <w:rPr/>
        <w:t>Los resultados obtenidos de la evaluación de la habitabilidad por medio del  método jerárquico de Saaty por localidad de la </w:t>
      </w:r>
      <w:r>
        <w:rPr>
          <w:sz w:val="19"/>
        </w:rPr>
        <w:t>ZMT </w:t>
      </w:r>
      <w:r>
        <w:rPr/>
        <w:t>en el año 1990, nos indican  que existe una tendencia de alta habitabilidad concéntrica en las viviendas en los municipios de Metepec, Toluca, Lerma y Ocoyoacac, mientras que las localidades más alejadas o periféricas en los municipios de Temoaya, Almoloya de Juárez y Zinacantepec se encontraban las localidades con muy baja habitabilidad de las viviendas.</w:t>
      </w:r>
    </w:p>
    <w:p>
      <w:pPr>
        <w:pStyle w:val="BodyText"/>
      </w:pPr>
    </w:p>
    <w:p>
      <w:pPr>
        <w:pStyle w:val="BodyText"/>
        <w:spacing w:line="360" w:lineRule="auto" w:before="142"/>
        <w:ind w:left="102" w:right="115"/>
        <w:jc w:val="both"/>
      </w:pPr>
      <w:r>
        <w:rPr/>
        <w:t>Los resultados de la evaluación por localidad en el año 2000, muestran que las localidades centrales de Metepec, Toluca y Lerma, son las localidades con alta habitabilidad en sus viviendas, aunque las localidades periféricas  al norte y sur  del municipio de Toluca cuentan con una evaluación de muy baja habitabilidad, acentuando este nivel de muy baja habitabilidad en los municipios de Xonacatlán, Temoaya, Zinacantepec, Almoloya de Juárez, Calimaya y San Antonio la</w:t>
      </w:r>
      <w:r>
        <w:rPr>
          <w:spacing w:val="-22"/>
        </w:rPr>
        <w:t> </w:t>
      </w:r>
      <w:r>
        <w:rPr/>
        <w:t>Isla.</w:t>
      </w:r>
    </w:p>
    <w:p>
      <w:pPr>
        <w:pStyle w:val="BodyText"/>
      </w:pPr>
    </w:p>
    <w:p>
      <w:pPr>
        <w:pStyle w:val="BodyText"/>
        <w:spacing w:line="360" w:lineRule="auto" w:before="142"/>
        <w:ind w:left="102" w:right="116"/>
        <w:jc w:val="both"/>
      </w:pPr>
      <w:r>
        <w:rPr/>
        <w:t>Para el año 2010 los resultados de la evaluación de la habitabilidad por localidad, nos muestran que las localidades centrales en los municipios de Metepec, Toluca, San Mateo Atenco y Lerma son los que cuentan con la más alta habitabilidad de las viviendas, en caso contrario encontramos las localidades con muy baja habitabilidad en los municipios de Temoaya, Otzolotepec, Xonacatlán, en la parte norte y sur del municipio de Toluca, Almoloya de Juárez, Zinacantepec y Calimaya al sur del municipio.</w:t>
      </w:r>
    </w:p>
    <w:p>
      <w:pPr>
        <w:pStyle w:val="BodyText"/>
      </w:pPr>
    </w:p>
    <w:p>
      <w:pPr>
        <w:pStyle w:val="BodyText"/>
        <w:spacing w:line="360" w:lineRule="auto" w:before="142"/>
        <w:ind w:left="102" w:right="116"/>
        <w:jc w:val="both"/>
      </w:pPr>
      <w:r>
        <w:rPr/>
        <w:t>La evaluación de la habitabilidad por ageb´s en el año 2010, los resultados muestran que los ageb´s centrales de los municipios de Toluca, Metepec, Ocoyoacac y Lerma son los que cuentan con alta habitabilidad en sus viviendas, los ageb´s de muy baja habitabilidad los encontramos en el norte y sur del municipio de Toluca, Otzolotepec, Temoaya, Almoloya de Juárez, Zinacantepec y Calimaya.</w:t>
      </w:r>
    </w:p>
    <w:p>
      <w:pPr>
        <w:spacing w:after="0" w:line="360" w:lineRule="auto"/>
        <w:jc w:val="both"/>
        <w:sectPr>
          <w:pgSz w:w="12240" w:h="15840"/>
          <w:pgMar w:header="0" w:footer="1003" w:top="1360" w:bottom="1200" w:left="1600" w:right="1580"/>
        </w:sectPr>
      </w:pPr>
    </w:p>
    <w:p>
      <w:pPr>
        <w:pStyle w:val="BodyText"/>
        <w:spacing w:line="360" w:lineRule="auto" w:before="54"/>
        <w:ind w:left="102" w:right="121"/>
        <w:jc w:val="both"/>
      </w:pPr>
      <w:r>
        <w:rPr/>
        <w:t>En contraste con los resultados evaluados y obtenidos con el índice de habitabilidad realizado con los servicios complementarios, los ageb´s de alta habitabilidad están ubicados en los centros de las ciudades de Toluca y Metepec, encontrando ageb´s con buena habitabilidad las cabeceras municipales que integran la zona metropolitana de Toluca, mientras que los ageb´s con muy baja habitabilidad los encontramos en la parte norte del municipio de Toluca, así como los municipios de Ocoyoacac, Lerma, Xonacatlán, Otzolotepec, Temoaya, Almoloya de Juárez, Zinacantepec, Calimaya, Rayón, Chapultepec y un ageb al oriente del municipio de Metepec.</w:t>
      </w:r>
    </w:p>
    <w:p>
      <w:pPr>
        <w:pStyle w:val="BodyText"/>
      </w:pPr>
    </w:p>
    <w:p>
      <w:pPr>
        <w:pStyle w:val="BodyText"/>
        <w:spacing w:line="360" w:lineRule="auto" w:before="142"/>
        <w:ind w:left="102" w:right="115"/>
        <w:jc w:val="both"/>
      </w:pPr>
      <w:r>
        <w:rPr/>
        <w:t>Como conclusión de los resultados de la evaluación de la habitabilidad de las viviendas en la zona metropolitana de Toluca, por los dos métodos utilizados en la investigación nos muestran que existe un patrón concéntrico de alta habitabilidad en los centros de las ciudades de Toluca y Metepec, así como las cabeceras municipales de los municipios estudiados, encontramos muy baja habitabilidad de las viviendas en las zonas periféricas de los municipios de la zona metropolitana, con los resultados obtenidos se requiere que las administraciones municipales, estatales y federales a través de las secretarías o direcciones de desarrollo urbano atiendan y solucionen la infraestructura, equipamiento urbano y servicios complementarios como empleo, educación, salud, abasto de alimentos, áreas verdes y recreación, como el derecho de la familia de contar con una vivienda digna y decorosa como lo marca el artículo 4° constitucional de  los  Estados Unidos Mexicanos.</w:t>
      </w:r>
    </w:p>
    <w:p>
      <w:pPr>
        <w:pStyle w:val="BodyText"/>
      </w:pPr>
    </w:p>
    <w:p>
      <w:pPr>
        <w:pStyle w:val="BodyText"/>
        <w:spacing w:line="360" w:lineRule="auto" w:before="142"/>
        <w:ind w:left="102" w:right="125"/>
        <w:jc w:val="both"/>
      </w:pPr>
      <w:r>
        <w:rPr/>
        <w:t>En el siguiente capítulo de la investigación se expresan las conclusiones, algunas propuestas y recomendaciones a las que se llega por medio de la habitabilidad de las viviendas en la zona metropolitana de Toluca, a nivel municipal para los periodos 1990, 2000, 2010, y por ageb´s para el año 2010.</w:t>
      </w:r>
    </w:p>
    <w:p>
      <w:pPr>
        <w:spacing w:after="0" w:line="360" w:lineRule="auto"/>
        <w:jc w:val="both"/>
        <w:sectPr>
          <w:pgSz w:w="12240" w:h="15840"/>
          <w:pgMar w:header="0" w:footer="1003"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p>
      <w:pPr>
        <w:pStyle w:val="Heading2"/>
      </w:pPr>
      <w:bookmarkStart w:name="_TOC_250007" w:id="27"/>
      <w:bookmarkEnd w:id="27"/>
      <w:r>
        <w:rPr>
          <w:color w:val="365F91"/>
        </w:rPr>
        <w:t>Capítulo 4</w:t>
      </w:r>
    </w:p>
    <w:p>
      <w:pPr>
        <w:pStyle w:val="BodyText"/>
        <w:rPr>
          <w:rFonts w:ascii="Cambria"/>
          <w:b/>
          <w:sz w:val="28"/>
        </w:rPr>
      </w:pPr>
    </w:p>
    <w:p>
      <w:pPr>
        <w:pStyle w:val="Heading2"/>
        <w:spacing w:line="278" w:lineRule="auto" w:before="203"/>
      </w:pPr>
      <w:bookmarkStart w:name="_TOC_250006" w:id="28"/>
      <w:bookmarkEnd w:id="28"/>
      <w:r>
        <w:rPr>
          <w:color w:val="365F91"/>
        </w:rPr>
        <w:t>Conclusiones, propuestas y recomendaciones de habitabilidad de las viviendas, en la zona metropolitana de Toluca</w:t>
      </w:r>
    </w:p>
    <w:p>
      <w:pPr>
        <w:spacing w:after="0" w:line="278" w:lineRule="auto"/>
        <w:sectPr>
          <w:pgSz w:w="12240" w:h="15840"/>
          <w:pgMar w:header="0" w:footer="1003" w:top="1500" w:bottom="1200" w:left="1600" w:right="1600"/>
        </w:sectPr>
      </w:pPr>
    </w:p>
    <w:p>
      <w:pPr>
        <w:pStyle w:val="Heading3"/>
        <w:ind w:left="102" w:firstLine="0"/>
      </w:pPr>
      <w:bookmarkStart w:name="_TOC_250005" w:id="29"/>
      <w:bookmarkEnd w:id="29"/>
      <w:r>
        <w:rPr>
          <w:color w:val="4F81BC"/>
        </w:rPr>
        <w:t>Introducción</w:t>
      </w:r>
    </w:p>
    <w:p>
      <w:pPr>
        <w:pStyle w:val="BodyText"/>
        <w:rPr>
          <w:rFonts w:ascii="Cambria"/>
          <w:b/>
          <w:sz w:val="26"/>
        </w:rPr>
      </w:pPr>
    </w:p>
    <w:p>
      <w:pPr>
        <w:pStyle w:val="BodyText"/>
        <w:spacing w:before="6"/>
        <w:rPr>
          <w:rFonts w:ascii="Cambria"/>
          <w:b/>
          <w:sz w:val="23"/>
        </w:rPr>
      </w:pPr>
    </w:p>
    <w:p>
      <w:pPr>
        <w:pStyle w:val="BodyText"/>
        <w:spacing w:line="360" w:lineRule="auto"/>
        <w:ind w:left="102" w:right="115"/>
        <w:jc w:val="both"/>
      </w:pPr>
      <w:r>
        <w:rPr/>
        <w:t>En este último capítulo de la investigación tiene como objetivo expresar las conclusiones, algunas propuestas y recomendaciones a las que se llega la evaluación de la habitabilidad de las viviendas en la zona metropolitana de Toluca, por medio de las cuatro dimensiones evaluadas, analizadas e interpretadas (servicios públicos, materiales de construcción, bienes de las viviendas, y el entorno de las viviendas).</w:t>
      </w:r>
    </w:p>
    <w:p>
      <w:pPr>
        <w:pStyle w:val="BodyText"/>
      </w:pPr>
    </w:p>
    <w:p>
      <w:pPr>
        <w:pStyle w:val="BodyText"/>
        <w:spacing w:line="360" w:lineRule="auto" w:before="142"/>
        <w:ind w:left="102" w:right="115"/>
        <w:jc w:val="both"/>
      </w:pPr>
      <w:r>
        <w:rPr/>
        <w:t>Entender la importancia de la habitabilidad de las viviendas en la </w:t>
      </w:r>
      <w:r>
        <w:rPr>
          <w:sz w:val="19"/>
        </w:rPr>
        <w:t>ZMT</w:t>
      </w:r>
      <w:r>
        <w:rPr/>
        <w:t>, es fundamental para contar con una base en la planeación del desarrollo de las  zonas metropolitanas, regiones y ciudades de México, es crucial contar con una definición conceptual completa de la habitabilidad para avanzar en su estudio y evaluación, finalmente, se propone una definición útil de habitabilidad para nuestro país, que aspira a tener una representación de aplicación</w:t>
      </w:r>
      <w:r>
        <w:rPr>
          <w:spacing w:val="-26"/>
        </w:rPr>
        <w:t> </w:t>
      </w:r>
      <w:r>
        <w:rPr/>
        <w:t>general.</w:t>
      </w:r>
    </w:p>
    <w:p>
      <w:pPr>
        <w:pStyle w:val="BodyText"/>
      </w:pPr>
    </w:p>
    <w:p>
      <w:pPr>
        <w:pStyle w:val="BodyText"/>
        <w:spacing w:line="360" w:lineRule="auto" w:before="142"/>
        <w:ind w:left="102" w:right="116"/>
        <w:jc w:val="both"/>
      </w:pPr>
      <w:r>
        <w:rPr/>
        <w:t>La definición conceptual de la habitabilidad que se propuso intenta detonar una discusión más concreta de esta problemática, para contribuir en las soluciones al problema de la habitabilidad de las viviendas en términos útiles para la planeación del desarrollo metropolitano, regional y urbano de México.</w:t>
      </w:r>
    </w:p>
    <w:p>
      <w:pPr>
        <w:pStyle w:val="BodyText"/>
      </w:pPr>
    </w:p>
    <w:p>
      <w:pPr>
        <w:pStyle w:val="BodyText"/>
        <w:spacing w:line="360" w:lineRule="auto" w:before="142"/>
        <w:ind w:left="102" w:right="116"/>
        <w:jc w:val="both"/>
      </w:pPr>
      <w:r>
        <w:rPr/>
        <w:t>El capítulo se divide en cuatro secciones. En la primera se explican las conclusiones a las que se llega en términos de la habitabilidad de las viviendas en la zona metropolitana de Toluca. La segunda se realiza propuestas en términos  del fenómeno de la habitabilidad de las viviendas, con el fin de establecer políticas públicas para el desarrollo urbano de esta zona metropolitana. En la tercera sección se realiza una agenda de investigación de la tesis. Finalmente en la cuarta sección derivado de la agenda de investigación se explican las fortalezas y debilidades con las que cuentan la</w:t>
      </w:r>
      <w:r>
        <w:rPr>
          <w:spacing w:val="-12"/>
        </w:rPr>
        <w:t> </w:t>
      </w:r>
      <w:r>
        <w:rPr/>
        <w:t>tesis.</w:t>
      </w:r>
    </w:p>
    <w:p>
      <w:pPr>
        <w:spacing w:after="0" w:line="360" w:lineRule="auto"/>
        <w:jc w:val="both"/>
        <w:sectPr>
          <w:pgSz w:w="12240" w:h="15840"/>
          <w:pgMar w:header="0" w:footer="1003" w:top="1380" w:bottom="1200" w:left="1600" w:right="1580"/>
        </w:sectPr>
      </w:pPr>
    </w:p>
    <w:p>
      <w:pPr>
        <w:pStyle w:val="Heading3"/>
        <w:numPr>
          <w:ilvl w:val="1"/>
          <w:numId w:val="26"/>
        </w:numPr>
        <w:tabs>
          <w:tab w:pos="527" w:val="left" w:leader="none"/>
        </w:tabs>
        <w:spacing w:line="240" w:lineRule="auto" w:before="36" w:after="0"/>
        <w:ind w:left="526" w:right="0" w:hanging="424"/>
        <w:jc w:val="both"/>
      </w:pPr>
      <w:bookmarkStart w:name="_TOC_250004" w:id="30"/>
      <w:r>
        <w:rPr>
          <w:color w:val="4F81BC"/>
        </w:rPr>
        <w:t>Conclusiones de la habitabilidad de las</w:t>
      </w:r>
      <w:r>
        <w:rPr>
          <w:color w:val="4F81BC"/>
          <w:spacing w:val="-30"/>
        </w:rPr>
        <w:t> </w:t>
      </w:r>
      <w:bookmarkEnd w:id="30"/>
      <w:r>
        <w:rPr>
          <w:color w:val="4F81BC"/>
        </w:rPr>
        <w:t>viviendas</w:t>
      </w:r>
    </w:p>
    <w:p>
      <w:pPr>
        <w:pStyle w:val="BodyText"/>
        <w:rPr>
          <w:rFonts w:ascii="Cambria"/>
          <w:b/>
          <w:sz w:val="26"/>
        </w:rPr>
      </w:pPr>
    </w:p>
    <w:p>
      <w:pPr>
        <w:pStyle w:val="BodyText"/>
        <w:spacing w:line="360" w:lineRule="auto" w:before="154"/>
        <w:ind w:left="102" w:right="114"/>
        <w:jc w:val="both"/>
      </w:pPr>
      <w:r>
        <w:rPr/>
        <w:t>Por medio de esta investigación se construyó un marco teórico que permitió el estudio sistemático y cuantificable preciso de la habitabilidad de las viviendas a nivel de zona metropolitana. Además de los métodos utilizados en el trabajo y </w:t>
      </w:r>
      <w:r>
        <w:rPr>
          <w:spacing w:val="-2"/>
        </w:rPr>
        <w:t>que </w:t>
      </w:r>
      <w:r>
        <w:rPr/>
        <w:t>pueden adaptarse al contexto de cada zona metropolitana, cada región o cada ciudad del país. No obstante, es posible identificar algunas premisas generales que ordenan el trabajo de edificación teórica y conceptual para la zona metropolitana de</w:t>
      </w:r>
      <w:r>
        <w:rPr>
          <w:spacing w:val="-7"/>
        </w:rPr>
        <w:t> </w:t>
      </w:r>
      <w:r>
        <w:rPr/>
        <w:t>Toluca.</w:t>
      </w:r>
    </w:p>
    <w:p>
      <w:pPr>
        <w:pStyle w:val="BodyText"/>
      </w:pPr>
    </w:p>
    <w:p>
      <w:pPr>
        <w:pStyle w:val="BodyText"/>
        <w:spacing w:line="360" w:lineRule="auto" w:before="142"/>
        <w:ind w:left="102" w:right="115" w:firstLine="707"/>
        <w:jc w:val="both"/>
      </w:pPr>
      <w:r>
        <w:rPr/>
        <w:t>Las zonas críticas de habitabilidad en las viviendas son las consecuencias del crecimiento de población, desarrollo económico y crecimiento urbano de la zona metropolitana de Toluca. Por lo tanto, el marco teórico permite ordenar el análisis de la habitabilidad de las viviendas en esta zona metropolitana fundamentándose en los siguientes temas, cuando menos: servicios públicos, materiales de construcción, bienes de la vivienda y el entorno de las mismas.</w:t>
      </w:r>
    </w:p>
    <w:p>
      <w:pPr>
        <w:pStyle w:val="BodyText"/>
      </w:pPr>
    </w:p>
    <w:p>
      <w:pPr>
        <w:pStyle w:val="BodyText"/>
        <w:spacing w:line="360" w:lineRule="auto" w:before="142"/>
        <w:ind w:left="102" w:right="117"/>
        <w:jc w:val="both"/>
      </w:pPr>
      <w:r>
        <w:rPr/>
        <w:t>La investigación de la habitabilidad de las viviendas en esta zona metropolitana  del país, generó un concepto de habitabilidad y razonamientos teóricos que explican una realidad urbana concéntrica de buena habitabilidad en los centros de las ciudades de Toluca y Metepec, mientras se va alejando a la periferia las condiciones de habitabilidad son de una mala habitabilidad en la </w:t>
      </w:r>
      <w:r>
        <w:rPr>
          <w:spacing w:val="-3"/>
        </w:rPr>
        <w:t>zona </w:t>
      </w:r>
      <w:r>
        <w:rPr/>
        <w:t>metropolitana y de las ciudades que integran la zona en estudio. Así que en esta materia, como en otras resultan clave para la planeación socioespacial del desarrollo de nuestro</w:t>
      </w:r>
      <w:r>
        <w:rPr>
          <w:spacing w:val="-11"/>
        </w:rPr>
        <w:t> </w:t>
      </w:r>
      <w:r>
        <w:rPr/>
        <w:t>país.</w:t>
      </w:r>
    </w:p>
    <w:p>
      <w:pPr>
        <w:pStyle w:val="BodyText"/>
      </w:pPr>
    </w:p>
    <w:p>
      <w:pPr>
        <w:pStyle w:val="BodyText"/>
        <w:spacing w:line="360" w:lineRule="auto" w:before="142"/>
        <w:ind w:left="102" w:right="115" w:firstLine="707"/>
        <w:jc w:val="both"/>
      </w:pPr>
      <w:r>
        <w:rPr/>
        <w:t>Los resultados obtenidos de la evaluación de la habitabilidad de las viviendas en la zona metropolitana de Toluca en el año 2010, nos indican específicamente que respecto a los servicios públicos en las viviendas el problema más grave es no contar con agua, más de45 mil viviendas, es decir más del 10 por ciento, no contar con el servicio de drenaje representa el 8 por ciento, es decir,</w:t>
      </w:r>
    </w:p>
    <w:p>
      <w:pPr>
        <w:spacing w:after="0" w:line="360" w:lineRule="auto"/>
        <w:jc w:val="both"/>
        <w:sectPr>
          <w:pgSz w:w="12240" w:h="15840"/>
          <w:pgMar w:header="0" w:footer="1003" w:top="1380" w:bottom="1200" w:left="1600" w:right="1580"/>
        </w:sectPr>
      </w:pPr>
    </w:p>
    <w:p>
      <w:pPr>
        <w:pStyle w:val="BodyText"/>
        <w:spacing w:line="360" w:lineRule="auto" w:before="54"/>
        <w:ind w:left="102" w:right="116"/>
        <w:jc w:val="both"/>
      </w:pPr>
      <w:r>
        <w:rPr/>
        <w:t>más de 37 mil viviendas, dejando a las administraciones gubernamentales la tarea de cubrir estos importantes servicios públicos para que la población tenga una mejor calidad de vida.</w:t>
      </w:r>
    </w:p>
    <w:p>
      <w:pPr>
        <w:pStyle w:val="BodyText"/>
        <w:spacing w:line="360" w:lineRule="auto" w:before="204"/>
        <w:ind w:left="102" w:right="126"/>
        <w:jc w:val="both"/>
      </w:pPr>
      <w:r>
        <w:rPr/>
        <w:t>Resultados de viviendas que no cuentan con sanitario o excusado representan el  7 por ciento, es decir, más de 33 mil viviendas, el servicio de energía eléctrica es el mejor posicionado en la evaluación ya que solo 2.5 por ciento de las viviendas no cuentan con este servicio, más de 12 mil viviendas no cuentan con el</w:t>
      </w:r>
      <w:r>
        <w:rPr>
          <w:spacing w:val="-34"/>
        </w:rPr>
        <w:t> </w:t>
      </w:r>
      <w:r>
        <w:rPr/>
        <w:t>servicio.</w:t>
      </w:r>
    </w:p>
    <w:p>
      <w:pPr>
        <w:pStyle w:val="BodyText"/>
        <w:spacing w:line="360" w:lineRule="auto" w:before="202"/>
        <w:ind w:left="102" w:right="116"/>
        <w:jc w:val="both"/>
      </w:pPr>
      <w:r>
        <w:rPr/>
        <w:t>Los efectos seguramente serán muy costosos en fallas de planeación de corto, mediano y largo plazo, lo que afecta seriamente la eficacia y eficiencia de sus acciones, en detrimento del desarrollo económico y social de la zona  metropolitana de Toluca, y de la competitividad en la región y por lo tanto de la ciudad.</w:t>
      </w:r>
    </w:p>
    <w:p>
      <w:pPr>
        <w:pStyle w:val="BodyText"/>
      </w:pPr>
    </w:p>
    <w:p>
      <w:pPr>
        <w:pStyle w:val="BodyText"/>
        <w:spacing w:line="360" w:lineRule="auto" w:before="142"/>
        <w:ind w:left="102" w:right="115" w:firstLine="707"/>
        <w:jc w:val="both"/>
      </w:pPr>
      <w:r>
        <w:rPr/>
        <w:t>A lo que se refiere a la habitabilidad por medio de los materiales de construcción de las viviendas en la zona de estudio </w:t>
      </w:r>
      <w:r>
        <w:rPr>
          <w:spacing w:val="2"/>
        </w:rPr>
        <w:t>hay </w:t>
      </w:r>
      <w:r>
        <w:rPr/>
        <w:t>rezagos en la información ya que los datos oficiales recopilados, analizados e interpretados unos son de 1990, 2000 y 2010, no haciendo comparables entre ellos mismos. Las zonas críticas de habitabilidad respecto a su techo que está construido con lámina,  cartón o desechos, las encontramos en los municipios de Otzolotepec, Temoaya y Xonacatlán, mientras las zonas críticas de habitabilidad respecto a las paredes de lámina, cartón o desechos, están principalmente en los municipios de Temoaya, Rayón y San Antonio la Isla, haciendo vulnerables estas viviendas para sus moradores. Contar con piso en tierra en las viviendas está considerado como condiciones de pobreza, estas viviendas están ubicadas en zonas marginadas, de los datos obtenidos de la evaluación de la habitabilidad de las viviendas nos muestran que las zonas críticas de habitabilidad las encontramos en el municipio de Temoaya con el 15 por ciento y Otzolotepec con el 13 por ciento con sus viviendas en estas</w:t>
      </w:r>
      <w:r>
        <w:rPr>
          <w:spacing w:val="-10"/>
        </w:rPr>
        <w:t> </w:t>
      </w:r>
      <w:r>
        <w:rPr/>
        <w:t>condiciones.</w:t>
      </w:r>
    </w:p>
    <w:p>
      <w:pPr>
        <w:pStyle w:val="BodyText"/>
        <w:spacing w:line="360" w:lineRule="auto" w:before="204"/>
        <w:ind w:left="102" w:right="121" w:firstLine="707"/>
        <w:jc w:val="both"/>
      </w:pPr>
      <w:r>
        <w:rPr/>
        <w:t>Los bienes con los que cuentan las viviendas también se evaluaron como parte  de  la  habitabilidad,  encontrando  que  la  zona  crítica  de  habitabilidad  la</w:t>
      </w:r>
    </w:p>
    <w:p>
      <w:pPr>
        <w:spacing w:after="0" w:line="360" w:lineRule="auto"/>
        <w:jc w:val="both"/>
        <w:sectPr>
          <w:pgSz w:w="12240" w:h="15840"/>
          <w:pgMar w:header="0" w:footer="1003" w:top="1360" w:bottom="1200" w:left="1600" w:right="1580"/>
        </w:sectPr>
      </w:pPr>
    </w:p>
    <w:p>
      <w:pPr>
        <w:pStyle w:val="BodyText"/>
        <w:spacing w:line="360" w:lineRule="auto" w:before="54"/>
        <w:ind w:left="102" w:right="115"/>
        <w:jc w:val="both"/>
      </w:pPr>
      <w:r>
        <w:rPr/>
        <w:t>encontramos en todo el municipio de Temoaya, ya que de los 11 bienes evaluados en todos representa los peores porcentajes en contar con estos bienes, mientras que el municipio de Metepec es el que cuenta con los mayores porcentajes de bienes, por su parte el mejor bien posicionado es la televisión con más del 87 por ciento, por el contrario el internet solo el 3.9 por ciento de las viviendas cuentan con este servicio en este municipio.</w:t>
      </w:r>
    </w:p>
    <w:p>
      <w:pPr>
        <w:pStyle w:val="BodyText"/>
        <w:spacing w:line="360" w:lineRule="auto" w:before="204"/>
        <w:ind w:left="102" w:right="119"/>
        <w:jc w:val="both"/>
      </w:pPr>
      <w:r>
        <w:rPr/>
        <w:t>Se puede decir que evaluar los bienes con los que cuentan las viviendas en la zona metropolitana, los resultados se pueden interpretar de una manera subjetiva, ya que para algunas personas contar o no contar con bienes no significa que mejora su habitabilidad (calidad de vida) dentro de sus viviendas, aunque el objetivo primordial de la investigación fue evaluarlos con la mayor objetividad posible por eso se recurrió a los datos censales que son los oficiales para el país. Las mejores zonas de habitabilidad evaluada por los bienes los encontramos principalmente en el municipio de Metepec, seguido del municipio de Toluca.</w:t>
      </w:r>
    </w:p>
    <w:p>
      <w:pPr>
        <w:pStyle w:val="BodyText"/>
        <w:spacing w:line="360" w:lineRule="auto" w:before="204"/>
        <w:ind w:left="102" w:right="118"/>
        <w:jc w:val="both"/>
      </w:pPr>
      <w:r>
        <w:rPr/>
        <w:t>Los diferentes estratos de población en esta zona metropolitana de México hacen “habitable” sus viviendas en formas no sólo diferentes sino profundamente desiguales. La tarea para el Estado y los gobiernos municipales es planear y reordenar el crecimiento urbano mediante esta evaluación de las condiciones de la habitabilidad para la población en sus viviendas, dotar de servicios públicos, materiales de construcción acordes al lugar geográfico, brindar mayores oportunidades de trabajo, educación y de salud a la población en  general, para que cuenten con viviendas propias, mejores bienes a las viviendas que se encuentran en situación crítica.</w:t>
      </w:r>
    </w:p>
    <w:p>
      <w:pPr>
        <w:pStyle w:val="BodyText"/>
        <w:spacing w:line="360" w:lineRule="auto" w:before="205"/>
        <w:ind w:left="102" w:right="116"/>
        <w:jc w:val="both"/>
      </w:pPr>
      <w:r>
        <w:rPr/>
        <w:t>Las diferencias entre el índice de marginación del </w:t>
      </w:r>
      <w:r>
        <w:rPr>
          <w:sz w:val="19"/>
        </w:rPr>
        <w:t>CONAPO</w:t>
      </w:r>
      <w:r>
        <w:rPr/>
        <w:t>, 2016, y el índice de habitabilidad aplicado en esta investigación, es que el primero es una medida resumen que permite diferenciar entidades federativas y municipios de acuerdo a las carencias que padece la población, falta de acceso a la educación, residencia en viviendas inadecuadas, percepción de ingresos monetarios insuficientes y la residencia en localidades pequeñas.</w:t>
      </w:r>
    </w:p>
    <w:p>
      <w:pPr>
        <w:spacing w:after="0" w:line="360" w:lineRule="auto"/>
        <w:jc w:val="both"/>
        <w:sectPr>
          <w:pgSz w:w="12240" w:h="15840"/>
          <w:pgMar w:header="0" w:footer="1003" w:top="1360" w:bottom="1200" w:left="1600" w:right="1580"/>
        </w:sectPr>
      </w:pPr>
    </w:p>
    <w:p>
      <w:pPr>
        <w:pStyle w:val="BodyText"/>
        <w:spacing w:line="360" w:lineRule="auto" w:before="54"/>
        <w:ind w:left="102" w:right="98"/>
        <w:jc w:val="both"/>
      </w:pPr>
      <w:r>
        <w:rPr/>
        <w:t>Mientras que el segundo, el índice de habitabilidad evaluado en la investigación: es una medida resumen que permite evaluar la habitabilidad de las viviendas a diferentes escalas geográficas municipal, localidad, ageb´s, por medio de dimensiones como son los servicios públicos (agua potable, energía eléctrica, drenaje y sanitario), materiales de construcción (techo, paredes, piso), bienes en las viviendas (televisor, radio, refrigerador, lavadora, automóvil, computadora, teléfono, celular, boiler, internet), y el entorno de las viviendas (empleo, educación, salud, abasto de alimentos, áreas verdes, recreación). En resumen el índice de habitabilidad empleado en el trabajo es más específico y completo en cuanto a las variables analizadas, llegando a la escala</w:t>
      </w:r>
      <w:r>
        <w:rPr>
          <w:spacing w:val="-20"/>
        </w:rPr>
        <w:t> </w:t>
      </w:r>
      <w:r>
        <w:rPr/>
        <w:t>ageb.</w:t>
      </w:r>
    </w:p>
    <w:p>
      <w:pPr>
        <w:pStyle w:val="BodyText"/>
        <w:spacing w:line="360" w:lineRule="auto" w:before="204"/>
        <w:ind w:left="102" w:right="100" w:firstLine="707"/>
        <w:jc w:val="both"/>
      </w:pPr>
      <w:r>
        <w:rPr/>
        <w:t>Encontramos que la evaluación de la habitabilidad de las viviendas en 1990, el 15 por ciento de las viviendas se encuentran zonas críticas de habitabilidad (baja y muy baja habitabilidad) de las localidades analizadas, ubicadas en las partes más alejadas de las cabeceras municipales. Es decir, son las  viviendas  que cuentan con los menores o peores servicios públicos, los materiales de construcción no son los adecuados y cuentan con pocos bienes dentro de sus viviendas.</w:t>
      </w:r>
    </w:p>
    <w:p>
      <w:pPr>
        <w:pStyle w:val="BodyText"/>
        <w:spacing w:line="360" w:lineRule="auto" w:before="202"/>
        <w:ind w:left="102" w:right="99"/>
        <w:jc w:val="both"/>
      </w:pPr>
      <w:r>
        <w:rPr/>
        <w:t>Las localidades de muy baja habitabilidad en 1990 son seis encontrando tres en Ocoyoacac, una en Calimaya, Xonacatlán y Temoaya respectivamente.</w:t>
      </w:r>
    </w:p>
    <w:p>
      <w:pPr>
        <w:pStyle w:val="BodyText"/>
        <w:spacing w:line="360" w:lineRule="auto" w:before="204"/>
        <w:ind w:left="102" w:right="100" w:firstLine="707"/>
        <w:jc w:val="both"/>
      </w:pPr>
      <w:r>
        <w:rPr/>
        <w:t>En el año 2000 se puede decir que el porcentaje de las zonas críticas de habitabilidad se mantiene en un 16 por ciento, ubicadas en las partes más  alejadas de la ciudad de Toluca, es decir las encontramos en la periferia de los municipios que integran la zona metropolitana, alejadas de las cabeceras municipales, es por eso que no cuentan con servicios públicos, los materiales de construcción son precarios y cuentan con pocos bienes dentro de sus viviendas, convirtiéndolas en zonas críticas de</w:t>
      </w:r>
      <w:r>
        <w:rPr>
          <w:spacing w:val="-18"/>
        </w:rPr>
        <w:t> </w:t>
      </w:r>
      <w:r>
        <w:rPr/>
        <w:t>habitabilidad.</w:t>
      </w:r>
    </w:p>
    <w:p>
      <w:pPr>
        <w:pStyle w:val="BodyText"/>
        <w:spacing w:line="360" w:lineRule="auto" w:before="202"/>
        <w:ind w:left="102" w:right="106"/>
        <w:jc w:val="both"/>
      </w:pPr>
      <w:r>
        <w:rPr/>
        <w:t>Para este periodo en estudio se encontraron 10 localidades en situación crítica de habitabilidad, en Calimaya se encontraron 3 localidades con estas  características,</w:t>
      </w:r>
    </w:p>
    <w:p>
      <w:pPr>
        <w:spacing w:after="0" w:line="360" w:lineRule="auto"/>
        <w:jc w:val="both"/>
        <w:sectPr>
          <w:pgSz w:w="12240" w:h="15840"/>
          <w:pgMar w:header="0" w:footer="1003" w:top="1360" w:bottom="1200" w:left="1600" w:right="1600"/>
        </w:sectPr>
      </w:pPr>
    </w:p>
    <w:p>
      <w:pPr>
        <w:pStyle w:val="BodyText"/>
        <w:spacing w:line="360" w:lineRule="auto" w:before="54"/>
        <w:ind w:left="102" w:right="125"/>
        <w:jc w:val="both"/>
      </w:pPr>
      <w:r>
        <w:rPr/>
        <w:t>Rayón 2 localidades, mientras que municipios como Lerma, Metepec, Otzolotepec, Toluca y Xonacatlán registraron 1 localidad en este estrato evaluado.</w:t>
      </w:r>
    </w:p>
    <w:p>
      <w:pPr>
        <w:pStyle w:val="BodyText"/>
        <w:spacing w:line="360" w:lineRule="auto" w:before="204"/>
        <w:ind w:left="102" w:right="118" w:firstLine="707"/>
        <w:jc w:val="both"/>
      </w:pPr>
      <w:r>
        <w:rPr/>
        <w:t>La evaluación de la habitabilidad de las viviendas en el año 2010, nos proyecta que más del 28 por ciento de las viviendas en la zona metropolitana se encuentran en zonas críticas de habitabilidad, existe un aumento de estas zonas comparadas una década anterior, principalmente por el crecimiento urbano y poblacional, además de la migración interestatal que se presentó en este periodo en el lugar de estudio.</w:t>
      </w:r>
    </w:p>
    <w:p>
      <w:pPr>
        <w:pStyle w:val="BodyText"/>
        <w:spacing w:line="360" w:lineRule="auto" w:before="205"/>
        <w:ind w:left="102" w:right="115"/>
        <w:jc w:val="both"/>
      </w:pPr>
      <w:r>
        <w:rPr/>
        <w:t>En este sentido, las viviendas que están evaluadas en el estrato de baja y muy baja habitabilidad son más de 139 localidades, se puede hablar que son localidades pobres y marginadas, ya que el Estado no les ha dotado de servicios públicos principalmente.</w:t>
      </w:r>
    </w:p>
    <w:p>
      <w:pPr>
        <w:pStyle w:val="BodyText"/>
        <w:spacing w:line="360" w:lineRule="auto" w:before="204"/>
        <w:ind w:left="102" w:right="122"/>
        <w:jc w:val="both"/>
      </w:pPr>
      <w:r>
        <w:rPr/>
        <w:t>A la par de la evaluación de la habitabilidad de las viviendas a nivel localidad, se llevo a cabo una evaluación de habitabilidad más específica a nivel ageb´s en el 2010, es decir, los ageb´s con muy baja habitabilidad en las viviendas de la zona metropolitana representan más del 35 por ciento, un 7 por ciento más que a nivel localidad.</w:t>
      </w:r>
    </w:p>
    <w:p>
      <w:pPr>
        <w:pStyle w:val="BodyText"/>
        <w:spacing w:line="360" w:lineRule="auto" w:before="204"/>
        <w:ind w:left="102" w:right="122"/>
        <w:jc w:val="both"/>
      </w:pPr>
      <w:r>
        <w:rPr/>
        <w:t>Estos ageb´s los ubicamos en el noreste del municipio de Toluca, en Zinacantepec al poniente y sur, en Temoaya en el noreste, San Mateo Atenco al norte y oriente, Almoloya de Juárez al norte, sur y poniente, Otzolotepec al norte, Metepec al sur, en resumen son las zonas que están creciendo urbana y poblacionalmente hoy en día.</w:t>
      </w:r>
    </w:p>
    <w:p>
      <w:pPr>
        <w:pStyle w:val="BodyText"/>
        <w:spacing w:line="360" w:lineRule="auto" w:before="205"/>
        <w:ind w:left="102" w:right="120" w:firstLine="707"/>
        <w:jc w:val="both"/>
      </w:pPr>
      <w:r>
        <w:rPr/>
        <w:t>Además de la evaluación de la habitabilidad de las viviendas por el método de Saaty, se construyo un índice de habitabilidad del entorno de las viviendas en esta zona metropolitana, por medio de seis variables (empleo, educación, salud, abasto de alimentos, áreas verdes y recreación).</w:t>
      </w:r>
    </w:p>
    <w:p>
      <w:pPr>
        <w:pStyle w:val="BodyText"/>
        <w:spacing w:line="360" w:lineRule="auto" w:before="204"/>
        <w:ind w:left="102" w:right="114"/>
        <w:jc w:val="both"/>
      </w:pPr>
      <w:r>
        <w:rPr/>
        <w:t>Con estos antecedentes se llega a la conclusión que existe un claro patrón centro- periferia  donde  las  zonas  con  mayores  ventajas  corresponden  a  las     partes</w:t>
      </w:r>
    </w:p>
    <w:p>
      <w:pPr>
        <w:spacing w:after="0" w:line="360" w:lineRule="auto"/>
        <w:jc w:val="both"/>
        <w:sectPr>
          <w:footerReference w:type="default" r:id="rId998"/>
          <w:pgSz w:w="12240" w:h="15840"/>
          <w:pgMar w:footer="1003" w:header="0" w:top="1360" w:bottom="1200" w:left="1600" w:right="1580"/>
          <w:pgNumType w:start="220"/>
        </w:sectPr>
      </w:pPr>
    </w:p>
    <w:p>
      <w:pPr>
        <w:pStyle w:val="BodyText"/>
        <w:spacing w:line="360" w:lineRule="auto" w:before="54"/>
        <w:ind w:left="102" w:right="116"/>
        <w:jc w:val="both"/>
      </w:pPr>
      <w:r>
        <w:rPr/>
        <w:t>centrales de los municipios de Toluca y Metepec y las partes cercanas a estos centros, mientras que conforme se aleja del centro de la ciudad, el valor del índice de habitabilidad del entorno de las viviendas empieza a representar mayores desventajas con respecto a las condiciones de habitabilidad para la población. No obstante las condiciones materiales de las viviendas no siempre son las adecuadas para que se llegue a tener una vivienda</w:t>
      </w:r>
      <w:r>
        <w:rPr>
          <w:spacing w:val="-24"/>
        </w:rPr>
        <w:t> </w:t>
      </w:r>
      <w:r>
        <w:rPr/>
        <w:t>habitable.</w:t>
      </w:r>
    </w:p>
    <w:p>
      <w:pPr>
        <w:pStyle w:val="BodyText"/>
        <w:spacing w:line="360" w:lineRule="auto" w:before="204"/>
        <w:ind w:left="102" w:right="123" w:firstLine="707"/>
        <w:jc w:val="both"/>
      </w:pPr>
      <w:r>
        <w:rPr/>
        <w:t>Los resultados tanto de la evaluación de la habitabilidad así como del índice de habitabilidad del entorno, destacan que la zona norte, poniente y sur oriente de la zona metropolitana de Toluca son las de menor cobertura de servicios públicos y privados además de las más alejadas de los mismos, pilares básicos para contar una buena habitabilidad en las viviendas de esta población en</w:t>
      </w:r>
      <w:r>
        <w:rPr>
          <w:spacing w:val="-29"/>
        </w:rPr>
        <w:t> </w:t>
      </w:r>
      <w:r>
        <w:rPr/>
        <w:t>estudio.</w:t>
      </w:r>
    </w:p>
    <w:p>
      <w:pPr>
        <w:pStyle w:val="BodyText"/>
        <w:spacing w:line="360" w:lineRule="auto" w:before="202"/>
        <w:ind w:left="102" w:right="119"/>
        <w:jc w:val="both"/>
      </w:pPr>
      <w:r>
        <w:rPr/>
        <w:t>Existe la conformación de una estructura concéntrica de zonas críticas de habitabilidad de las viviendas, pues conforme se va alejando de las ageb´s centrales de los municipios de Toluca y Metepec, las condiciones de habitabilidad crítica se van haciendo más evidentes. Este patrón sin duda refleja la fuerte influencia que tiene la distribución y localización de los servicios analizados.</w:t>
      </w:r>
    </w:p>
    <w:p>
      <w:pPr>
        <w:pStyle w:val="BodyText"/>
        <w:spacing w:line="360" w:lineRule="auto" w:before="204"/>
        <w:ind w:left="102" w:right="116"/>
        <w:jc w:val="both"/>
      </w:pPr>
      <w:r>
        <w:rPr/>
        <w:t>Los índices más altos de muy baja habitabilidad corresponden en su gran mayoría a las localidades que han sido incorporadas recientemente a la </w:t>
      </w:r>
      <w:r>
        <w:rPr>
          <w:sz w:val="19"/>
        </w:rPr>
        <w:t>ZMT</w:t>
      </w:r>
      <w:r>
        <w:rPr/>
        <w:t>. Es decir, las partes más alejadas donde la ubicación de las viviendas explica la condición de habitabilidad crítica, tales como la zona norte, poniente y oriente de la zona metropolitana y algunas ageb´s de la parte sur.</w:t>
      </w:r>
    </w:p>
    <w:p>
      <w:pPr>
        <w:pStyle w:val="BodyText"/>
      </w:pPr>
    </w:p>
    <w:p>
      <w:pPr>
        <w:pStyle w:val="BodyText"/>
        <w:spacing w:before="11"/>
        <w:rPr>
          <w:sz w:val="31"/>
        </w:rPr>
      </w:pPr>
    </w:p>
    <w:p>
      <w:pPr>
        <w:pStyle w:val="BodyText"/>
        <w:spacing w:line="360" w:lineRule="auto"/>
        <w:ind w:left="102" w:right="117" w:firstLine="707"/>
        <w:jc w:val="both"/>
      </w:pPr>
      <w:r>
        <w:rPr/>
        <w:t>La dimensión espacial de las viviendas es un determinante en las condiciones de vida de la población, sin duda debe considerarse en posteriores estudios relacionados con esta temática, pues esta dimensión espacial poco se ha utilizado, se puede considerar como una herramienta de apoyo para la dotación de equipamiento e infraestructura urbana, además para realizar los planes de desarrollo municipales y estatales.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7" w:firstLine="707"/>
        <w:jc w:val="both"/>
      </w:pPr>
      <w:r>
        <w:rPr/>
        <w:t>El propósito fundamental de esta investigación fue contribuir al debate de políticas habitacionales del Estado, con el fin de que se logre hacer efectivo el derecho constitucional de todos los mexicanos a acceder a una vivienda digna y decorosa.</w:t>
      </w:r>
    </w:p>
    <w:p>
      <w:pPr>
        <w:pStyle w:val="BodyText"/>
      </w:pPr>
    </w:p>
    <w:p>
      <w:pPr>
        <w:pStyle w:val="BodyText"/>
        <w:spacing w:line="360" w:lineRule="auto" w:before="142"/>
        <w:ind w:left="102" w:right="121"/>
        <w:jc w:val="both"/>
      </w:pPr>
      <w:r>
        <w:rPr/>
        <w:t>Ya que en el artículo 4° de la Constitución Política de los Estados Unidos se menciona el derecho a todas las personas de contar con una vivienda digna y decorosa, aunque este derecho de los mexicanos no se cumple por parte del Estado, con esta investigación se pretende que sea cumplido, además que el Estado tome una postura conceptual a la llamada vivienda digna y decorosa, enfocando a la vivienda como habitable para sus moradores.</w:t>
      </w:r>
    </w:p>
    <w:p>
      <w:pPr>
        <w:pStyle w:val="BodyText"/>
      </w:pPr>
    </w:p>
    <w:p>
      <w:pPr>
        <w:pStyle w:val="BodyText"/>
        <w:spacing w:line="360" w:lineRule="auto" w:before="142"/>
        <w:ind w:left="102" w:right="116"/>
        <w:jc w:val="both"/>
      </w:pPr>
      <w:r>
        <w:rPr/>
        <w:t>Como conclusión de los resultados de la evaluación de la habitabilidad de las viviendas en la zona metropolitana de Toluca, por los dos métodos utilizados en la investigación nos muestran que existe un patrón concéntrico de alta habitabilidad en los centros de las ciudades de Toluca y Metepec, así como las cabeceras municipales de los municipios estudiados, encontramos muy baja habitabilidad de las viviendas en las zonas periféricas de los municipios de la zona metropolitana, con los resultados obtenidos se requiere que las administraciones municipales, estatales y federales a través de las secretarías o direcciones de desarrollo urbano atiendan y solucionen la infraestructura, equipamiento urbano y servicios complementarios como empleo, educación, salud, abasto de alimentos, áreas verdes y recreación, como el derecho de la familia de contar con una vivienda digna y decorosa como lo marca el artículo 4° constitucional de  los  Estados Unidos Mexicanos.</w:t>
      </w:r>
    </w:p>
    <w:p>
      <w:pPr>
        <w:spacing w:after="0" w:line="360" w:lineRule="auto"/>
        <w:jc w:val="both"/>
        <w:sectPr>
          <w:pgSz w:w="12240" w:h="15840"/>
          <w:pgMar w:header="0" w:footer="1003" w:top="1360" w:bottom="1200" w:left="1600" w:right="1580"/>
        </w:sectPr>
      </w:pPr>
    </w:p>
    <w:p>
      <w:pPr>
        <w:pStyle w:val="Heading3"/>
        <w:numPr>
          <w:ilvl w:val="1"/>
          <w:numId w:val="26"/>
        </w:numPr>
        <w:tabs>
          <w:tab w:pos="527" w:val="left" w:leader="none"/>
        </w:tabs>
        <w:spacing w:line="240" w:lineRule="auto" w:before="36" w:after="0"/>
        <w:ind w:left="526" w:right="0" w:hanging="424"/>
        <w:jc w:val="both"/>
      </w:pPr>
      <w:bookmarkStart w:name="_TOC_250003" w:id="31"/>
      <w:r>
        <w:rPr>
          <w:color w:val="4F81BC"/>
        </w:rPr>
        <w:t>Propuestas y recomendaciones de la habitabilidad de las</w:t>
      </w:r>
      <w:r>
        <w:rPr>
          <w:color w:val="4F81BC"/>
          <w:spacing w:val="-39"/>
        </w:rPr>
        <w:t> </w:t>
      </w:r>
      <w:bookmarkEnd w:id="31"/>
      <w:r>
        <w:rPr>
          <w:color w:val="4F81BC"/>
        </w:rPr>
        <w:t>viviendas</w:t>
      </w:r>
    </w:p>
    <w:p>
      <w:pPr>
        <w:pStyle w:val="BodyText"/>
        <w:rPr>
          <w:rFonts w:ascii="Cambria"/>
          <w:b/>
          <w:sz w:val="26"/>
        </w:rPr>
      </w:pPr>
    </w:p>
    <w:p>
      <w:pPr>
        <w:pStyle w:val="BodyText"/>
        <w:spacing w:before="9"/>
        <w:rPr>
          <w:rFonts w:ascii="Cambria"/>
          <w:b/>
        </w:rPr>
      </w:pPr>
    </w:p>
    <w:p>
      <w:pPr>
        <w:pStyle w:val="BodyText"/>
        <w:spacing w:line="360" w:lineRule="auto"/>
        <w:ind w:left="102" w:right="116"/>
        <w:jc w:val="both"/>
      </w:pPr>
      <w:r>
        <w:rPr/>
        <w:t>Apoyado en las conclusiones generales de esta investigación, es posible hacer las siguientes propuestas, con el fin de avanzar en el estudio y evaluación de la habitabilidad de las viviendas en la zona metropolitana de Toluca y en cualquier zona metropolitana del país.</w:t>
      </w:r>
    </w:p>
    <w:p>
      <w:pPr>
        <w:pStyle w:val="BodyText"/>
        <w:spacing w:before="204"/>
        <w:ind w:left="102"/>
        <w:jc w:val="both"/>
      </w:pPr>
      <w:r>
        <w:rPr>
          <w:b/>
        </w:rPr>
        <w:t>Propuesta 1: </w:t>
      </w:r>
      <w:r>
        <w:rPr/>
        <w:t>Hacia el futuro se proponen las siguientes etapas de trabajo:</w:t>
      </w:r>
    </w:p>
    <w:p>
      <w:pPr>
        <w:pStyle w:val="BodyText"/>
        <w:spacing w:before="5"/>
        <w:rPr>
          <w:sz w:val="29"/>
        </w:rPr>
      </w:pPr>
    </w:p>
    <w:p>
      <w:pPr>
        <w:pStyle w:val="ListParagraph"/>
        <w:numPr>
          <w:ilvl w:val="2"/>
          <w:numId w:val="26"/>
        </w:numPr>
        <w:tabs>
          <w:tab w:pos="822" w:val="left" w:leader="none"/>
        </w:tabs>
        <w:spacing w:line="360" w:lineRule="auto" w:before="0" w:after="0"/>
        <w:ind w:left="822" w:right="115" w:hanging="360"/>
        <w:jc w:val="both"/>
        <w:rPr>
          <w:sz w:val="24"/>
        </w:rPr>
      </w:pPr>
      <w:r>
        <w:rPr>
          <w:sz w:val="24"/>
        </w:rPr>
        <w:t>A lo que concierne a las políticas públicas, a los gobiernos federales, estatales y municipales les corresponde atender los siguientes puntos; las viviendas de interés social no deben ser tan pequeñas y caras deben de ser de calidad, mientras que las viviendas de autoconstrucción o social progresivas están mal ubicadas y muy retiradas de los servicios públicos y de la infraestructura y equipamiento urbano de las ciudades que conforman la zona metropolitana de Toluca. La propuesta radica de tener un mejor control en los permisos de construcción y verificación, por parte de las administraciones municipales, a través de los departamentos de desarrollo urbano y protección</w:t>
      </w:r>
      <w:r>
        <w:rPr>
          <w:spacing w:val="-12"/>
          <w:sz w:val="24"/>
        </w:rPr>
        <w:t> </w:t>
      </w:r>
      <w:r>
        <w:rPr>
          <w:sz w:val="24"/>
        </w:rPr>
        <w:t>civil.</w:t>
      </w:r>
    </w:p>
    <w:p>
      <w:pPr>
        <w:pStyle w:val="ListParagraph"/>
        <w:numPr>
          <w:ilvl w:val="2"/>
          <w:numId w:val="26"/>
        </w:numPr>
        <w:tabs>
          <w:tab w:pos="822" w:val="left" w:leader="none"/>
        </w:tabs>
        <w:spacing w:line="360" w:lineRule="auto" w:before="5" w:after="0"/>
        <w:ind w:left="822" w:right="117" w:hanging="360"/>
        <w:jc w:val="both"/>
        <w:rPr>
          <w:sz w:val="24"/>
        </w:rPr>
      </w:pPr>
      <w:r>
        <w:rPr>
          <w:sz w:val="24"/>
        </w:rPr>
        <w:t>Para que exista habitabilidad en la vivienda, las constructoras e  instituciones de desarrollo urbano deben tomar en cuenta el tamaño de estas ya que deben de ser acordes con el número de integrantes, ya que de no existir espacios habitables habrá problemas entre sus moradores. También la vivienda debe tener un proceso de amplificación ya que de no existir no se satisfacen los requerimientos de</w:t>
      </w:r>
      <w:r>
        <w:rPr>
          <w:spacing w:val="-18"/>
          <w:sz w:val="24"/>
        </w:rPr>
        <w:t> </w:t>
      </w:r>
      <w:r>
        <w:rPr>
          <w:sz w:val="24"/>
        </w:rPr>
        <w:t>habitabilidad.</w:t>
      </w:r>
    </w:p>
    <w:p>
      <w:pPr>
        <w:pStyle w:val="ListParagraph"/>
        <w:numPr>
          <w:ilvl w:val="2"/>
          <w:numId w:val="26"/>
        </w:numPr>
        <w:tabs>
          <w:tab w:pos="822" w:val="left" w:leader="none"/>
        </w:tabs>
        <w:spacing w:line="360" w:lineRule="auto" w:before="5" w:after="0"/>
        <w:ind w:left="822" w:right="115" w:hanging="360"/>
        <w:jc w:val="both"/>
        <w:rPr>
          <w:sz w:val="24"/>
        </w:rPr>
      </w:pPr>
      <w:r>
        <w:rPr>
          <w:sz w:val="24"/>
        </w:rPr>
        <w:t>Los productores de vivienda deben considerar el entorno de las viviendas por medio de mejores ubicaciones de los servicios evaluados en la investigación como son mejores oportunidades de empleo, educación, salud, abasto de alimentos, áreas verdes y recreación ya que solo los municipios de Toluca y Metepec cuentan con una mejor habitabilidad para la  población.  De  no  ser  así  la  economía,  la  convivencia  familiar       </w:t>
      </w:r>
      <w:r>
        <w:rPr>
          <w:spacing w:val="65"/>
          <w:sz w:val="24"/>
        </w:rPr>
        <w:t> </w:t>
      </w:r>
      <w:r>
        <w:rPr>
          <w:sz w:val="24"/>
        </w:rPr>
        <w:t>e</w:t>
      </w:r>
    </w:p>
    <w:p>
      <w:pPr>
        <w:spacing w:after="0" w:line="360" w:lineRule="auto"/>
        <w:jc w:val="both"/>
        <w:rPr>
          <w:sz w:val="24"/>
        </w:rPr>
        <w:sectPr>
          <w:pgSz w:w="12240" w:h="15840"/>
          <w:pgMar w:header="0" w:footer="1003" w:top="1380" w:bottom="1200" w:left="1600" w:right="1580"/>
        </w:sectPr>
      </w:pPr>
    </w:p>
    <w:p>
      <w:pPr>
        <w:pStyle w:val="BodyText"/>
        <w:spacing w:line="360" w:lineRule="auto" w:before="54"/>
        <w:ind w:left="701" w:right="117"/>
      </w:pPr>
      <w:r>
        <w:rPr/>
        <w:t>integración social de las personas se verá afectada por la lejana y periférica ubicación de sus viviendas.</w:t>
      </w:r>
    </w:p>
    <w:p>
      <w:pPr>
        <w:pStyle w:val="ListParagraph"/>
        <w:numPr>
          <w:ilvl w:val="0"/>
          <w:numId w:val="27"/>
        </w:numPr>
        <w:tabs>
          <w:tab w:pos="702" w:val="left" w:leader="none"/>
        </w:tabs>
        <w:spacing w:line="360" w:lineRule="auto" w:before="2" w:after="0"/>
        <w:ind w:left="702" w:right="119" w:hanging="360"/>
        <w:jc w:val="both"/>
        <w:rPr>
          <w:sz w:val="24"/>
        </w:rPr>
      </w:pPr>
      <w:r>
        <w:rPr>
          <w:sz w:val="24"/>
        </w:rPr>
        <w:t>La habitabilidad debe involucrar cualidades en el interior y el exterior de las viviendas, no sólo referida a los servicios públicos, a la calidad de los materiales de construcción, sino también al entorno de estas, para que exista una construcción de identidad vinculada al desarrollo humano de las personas. La propuesta radica que las personas estén conscientes que si sus viviendas están localizadas en las periferias de las ciudades los costos de trasportación y tiempos serán mayores, comparadas con vivir en los centros de las</w:t>
      </w:r>
      <w:r>
        <w:rPr>
          <w:spacing w:val="-10"/>
          <w:sz w:val="24"/>
        </w:rPr>
        <w:t> </w:t>
      </w:r>
      <w:r>
        <w:rPr>
          <w:sz w:val="24"/>
        </w:rPr>
        <w:t>ciudades.</w:t>
      </w:r>
    </w:p>
    <w:p>
      <w:pPr>
        <w:pStyle w:val="ListParagraph"/>
        <w:numPr>
          <w:ilvl w:val="0"/>
          <w:numId w:val="27"/>
        </w:numPr>
        <w:tabs>
          <w:tab w:pos="702" w:val="left" w:leader="none"/>
        </w:tabs>
        <w:spacing w:line="360" w:lineRule="auto" w:before="2" w:after="0"/>
        <w:ind w:left="702" w:right="118" w:hanging="360"/>
        <w:jc w:val="both"/>
        <w:rPr>
          <w:sz w:val="24"/>
        </w:rPr>
      </w:pPr>
      <w:r>
        <w:rPr>
          <w:sz w:val="24"/>
        </w:rPr>
        <w:t>Se deben fortalecer los procesos de la planeación urbana, regional y territorial que deben normar los procesos de ocupación y uso del territorio que son competencia de los gobiernos municipales. Por mencionar un ejemplo, elevar los costos en los permisos de construcción en las periferias de las ciudades. De no ser así existirá una ciudad dispersa, altamente costosa para los ciudadanos y el</w:t>
      </w:r>
      <w:r>
        <w:rPr>
          <w:spacing w:val="-13"/>
          <w:sz w:val="24"/>
        </w:rPr>
        <w:t> </w:t>
      </w:r>
      <w:r>
        <w:rPr>
          <w:sz w:val="24"/>
        </w:rPr>
        <w:t>gobierno.</w:t>
      </w:r>
    </w:p>
    <w:p>
      <w:pPr>
        <w:pStyle w:val="ListParagraph"/>
        <w:numPr>
          <w:ilvl w:val="0"/>
          <w:numId w:val="27"/>
        </w:numPr>
        <w:tabs>
          <w:tab w:pos="702" w:val="left" w:leader="none"/>
        </w:tabs>
        <w:spacing w:line="360" w:lineRule="auto" w:before="2" w:after="0"/>
        <w:ind w:left="702" w:right="114" w:hanging="360"/>
        <w:jc w:val="both"/>
        <w:rPr>
          <w:sz w:val="24"/>
        </w:rPr>
      </w:pPr>
      <w:r>
        <w:rPr>
          <w:sz w:val="24"/>
        </w:rPr>
        <w:t>Seguir evaluando la habitabilidad de las viviendas con los resultados del censo de población y vivienda del </w:t>
      </w:r>
      <w:r>
        <w:rPr>
          <w:sz w:val="19"/>
        </w:rPr>
        <w:t>INEGI</w:t>
      </w:r>
      <w:r>
        <w:rPr>
          <w:sz w:val="24"/>
        </w:rPr>
        <w:t>, 2020, con la metodología  empleada en la investigación y la aplicación de los métodos de Saaty y el índice de habitabilidad en la zona metropolitana de Toluca. En el entendido de que una combinación de metodologías puede generar mejores resultados.</w:t>
      </w:r>
    </w:p>
    <w:p>
      <w:pPr>
        <w:pStyle w:val="ListParagraph"/>
        <w:numPr>
          <w:ilvl w:val="0"/>
          <w:numId w:val="27"/>
        </w:numPr>
        <w:tabs>
          <w:tab w:pos="702" w:val="left" w:leader="none"/>
        </w:tabs>
        <w:spacing w:line="360" w:lineRule="auto" w:before="2" w:after="0"/>
        <w:ind w:left="702" w:right="118" w:hanging="360"/>
        <w:jc w:val="both"/>
        <w:rPr>
          <w:sz w:val="24"/>
        </w:rPr>
      </w:pPr>
      <w:r>
        <w:rPr>
          <w:sz w:val="24"/>
        </w:rPr>
        <w:t>Los resultados obtenidos de la investigación, deben ser retomados por las administraciones municipales y la administración estatal como base en la planificación territorial y el crecimiento urbano a corto, mediano y largo plazo.</w:t>
      </w:r>
    </w:p>
    <w:p>
      <w:pPr>
        <w:pStyle w:val="ListParagraph"/>
        <w:numPr>
          <w:ilvl w:val="0"/>
          <w:numId w:val="27"/>
        </w:numPr>
        <w:tabs>
          <w:tab w:pos="702" w:val="left" w:leader="none"/>
        </w:tabs>
        <w:spacing w:line="360" w:lineRule="auto" w:before="2" w:after="0"/>
        <w:ind w:left="702" w:right="116" w:hanging="360"/>
        <w:jc w:val="both"/>
        <w:rPr>
          <w:sz w:val="24"/>
        </w:rPr>
      </w:pPr>
      <w:r>
        <w:rPr>
          <w:sz w:val="24"/>
        </w:rPr>
        <w:t>Se debe focalizar los resultados de la evaluación de la habitabilidad de las viviendas, para dotar de infraestructura y equipamiento urbano a las localidades y ageb´s que se localizan en situación crítica de</w:t>
      </w:r>
      <w:r>
        <w:rPr>
          <w:spacing w:val="-19"/>
          <w:sz w:val="24"/>
        </w:rPr>
        <w:t> </w:t>
      </w:r>
      <w:r>
        <w:rPr>
          <w:sz w:val="24"/>
        </w:rPr>
        <w:t>habitabilidad.</w:t>
      </w:r>
    </w:p>
    <w:p>
      <w:pPr>
        <w:pStyle w:val="ListParagraph"/>
        <w:numPr>
          <w:ilvl w:val="0"/>
          <w:numId w:val="27"/>
        </w:numPr>
        <w:tabs>
          <w:tab w:pos="702" w:val="left" w:leader="none"/>
        </w:tabs>
        <w:spacing w:line="360" w:lineRule="auto" w:before="2" w:after="0"/>
        <w:ind w:left="702" w:right="124" w:hanging="360"/>
        <w:jc w:val="both"/>
        <w:rPr>
          <w:sz w:val="24"/>
        </w:rPr>
      </w:pPr>
      <w:r>
        <w:rPr>
          <w:sz w:val="24"/>
        </w:rPr>
        <w:t>Utilizar las fuentes de información existente como son los censos de población  y vivienda  realizados cada  década,  a  la  par de  los  datos </w:t>
      </w:r>
      <w:r>
        <w:rPr>
          <w:spacing w:val="42"/>
          <w:sz w:val="24"/>
        </w:rPr>
        <w:t> </w:t>
      </w:r>
      <w:r>
        <w:rPr>
          <w:sz w:val="24"/>
        </w:rPr>
        <w:t>del</w:t>
      </w:r>
    </w:p>
    <w:p>
      <w:pPr>
        <w:spacing w:after="0" w:line="360" w:lineRule="auto"/>
        <w:jc w:val="both"/>
        <w:rPr>
          <w:sz w:val="24"/>
        </w:rPr>
        <w:sectPr>
          <w:pgSz w:w="12240" w:h="15840"/>
          <w:pgMar w:header="0" w:footer="1003" w:top="1360" w:bottom="1200" w:left="1720" w:right="1580"/>
        </w:sectPr>
      </w:pPr>
    </w:p>
    <w:p>
      <w:pPr>
        <w:pStyle w:val="BodyText"/>
        <w:spacing w:line="360" w:lineRule="auto" w:before="54"/>
        <w:ind w:left="821"/>
      </w:pPr>
      <w:r>
        <w:rPr/>
        <w:t>directorio estadístico nacional de unidades económicas que está disponible cada dos años. Existiendo mejoras en la información y en la actualización.</w:t>
      </w:r>
    </w:p>
    <w:p>
      <w:pPr>
        <w:pStyle w:val="ListParagraph"/>
        <w:numPr>
          <w:ilvl w:val="1"/>
          <w:numId w:val="27"/>
        </w:numPr>
        <w:tabs>
          <w:tab w:pos="822" w:val="left" w:leader="none"/>
        </w:tabs>
        <w:spacing w:line="360" w:lineRule="auto" w:before="2" w:after="0"/>
        <w:ind w:left="822" w:right="116" w:hanging="360"/>
        <w:jc w:val="both"/>
        <w:rPr>
          <w:sz w:val="24"/>
        </w:rPr>
      </w:pPr>
      <w:r>
        <w:rPr>
          <w:sz w:val="24"/>
        </w:rPr>
        <w:t>Manejar la metodología utilizada en la investigación en otras zonas metropolitanas del país, anticipando que se requieren algunos ajustes metodológicos en cada espacio</w:t>
      </w:r>
      <w:r>
        <w:rPr>
          <w:spacing w:val="-14"/>
          <w:sz w:val="24"/>
        </w:rPr>
        <w:t> </w:t>
      </w:r>
      <w:r>
        <w:rPr>
          <w:sz w:val="24"/>
        </w:rPr>
        <w:t>geográfico.</w:t>
      </w:r>
    </w:p>
    <w:p>
      <w:pPr>
        <w:pStyle w:val="ListParagraph"/>
        <w:numPr>
          <w:ilvl w:val="1"/>
          <w:numId w:val="27"/>
        </w:numPr>
        <w:tabs>
          <w:tab w:pos="822" w:val="left" w:leader="none"/>
        </w:tabs>
        <w:spacing w:line="360" w:lineRule="auto" w:before="5" w:after="0"/>
        <w:ind w:left="822" w:right="117" w:hanging="360"/>
        <w:jc w:val="both"/>
        <w:rPr>
          <w:sz w:val="24"/>
        </w:rPr>
      </w:pPr>
      <w:r>
        <w:rPr>
          <w:sz w:val="24"/>
        </w:rPr>
        <w:t>Acumular y consolidar el capital intelectual (recursos humanos), conceptual y metodológico necesario para seguir evaluando la habitabilidad de las viviendas de</w:t>
      </w:r>
      <w:r>
        <w:rPr>
          <w:spacing w:val="-7"/>
          <w:sz w:val="24"/>
        </w:rPr>
        <w:t> </w:t>
      </w:r>
      <w:r>
        <w:rPr>
          <w:sz w:val="24"/>
        </w:rPr>
        <w:t>México.</w:t>
      </w:r>
    </w:p>
    <w:p>
      <w:pPr>
        <w:pStyle w:val="BodyText"/>
        <w:spacing w:line="360" w:lineRule="auto" w:before="205"/>
        <w:ind w:left="102" w:right="115"/>
        <w:jc w:val="both"/>
      </w:pPr>
      <w:r>
        <w:rPr>
          <w:b/>
        </w:rPr>
        <w:t>Propuesta 2: </w:t>
      </w:r>
      <w:r>
        <w:rPr/>
        <w:t>Utilizar la metodología empleada en esta investigación en trabajos en las diferentes latitudes del país con esta perspectiva, ya que se utilizan dos métodos (método jerárquico de Saaty, y el índice de habitabilidad) así como una propuesta conceptual de la habitabilidad de las viviendas en zonas metropolitanas de México. Tanto las líneas metodológicas utilizadas como la propuesta propia registran ventajas y limitaciones.</w:t>
      </w:r>
    </w:p>
    <w:p>
      <w:pPr>
        <w:pStyle w:val="ListParagraph"/>
        <w:numPr>
          <w:ilvl w:val="1"/>
          <w:numId w:val="27"/>
        </w:numPr>
        <w:tabs>
          <w:tab w:pos="822" w:val="left" w:leader="none"/>
        </w:tabs>
        <w:spacing w:line="360" w:lineRule="auto" w:before="204" w:after="0"/>
        <w:ind w:left="822" w:right="116" w:hanging="360"/>
        <w:jc w:val="both"/>
        <w:rPr>
          <w:sz w:val="24"/>
        </w:rPr>
      </w:pPr>
      <w:r>
        <w:rPr>
          <w:sz w:val="24"/>
        </w:rPr>
        <w:t>Realizar una encuesta a nivel de ageb´s o localidad  en las zonas críticas  de habitabilidad de las viviendas en la zona metropolitana de Toluca, para conocer la situación económica, social y cultural de la población que radica en estas</w:t>
      </w:r>
      <w:r>
        <w:rPr>
          <w:spacing w:val="-7"/>
          <w:sz w:val="24"/>
        </w:rPr>
        <w:t> </w:t>
      </w:r>
      <w:r>
        <w:rPr>
          <w:sz w:val="24"/>
        </w:rPr>
        <w:t>zonas.</w:t>
      </w:r>
    </w:p>
    <w:p>
      <w:pPr>
        <w:pStyle w:val="BodyText"/>
      </w:pPr>
    </w:p>
    <w:p>
      <w:pPr>
        <w:pStyle w:val="BodyText"/>
        <w:spacing w:before="1"/>
        <w:rPr>
          <w:sz w:val="32"/>
        </w:rPr>
      </w:pPr>
    </w:p>
    <w:p>
      <w:pPr>
        <w:pStyle w:val="Heading3"/>
        <w:numPr>
          <w:ilvl w:val="1"/>
          <w:numId w:val="26"/>
        </w:numPr>
        <w:tabs>
          <w:tab w:pos="527" w:val="left" w:leader="none"/>
        </w:tabs>
        <w:spacing w:line="240" w:lineRule="auto" w:before="0" w:after="0"/>
        <w:ind w:left="526" w:right="0" w:hanging="424"/>
        <w:jc w:val="both"/>
      </w:pPr>
      <w:bookmarkStart w:name="_TOC_250002" w:id="32"/>
      <w:r>
        <w:rPr>
          <w:color w:val="4F81BC"/>
        </w:rPr>
        <w:t>Agenda de</w:t>
      </w:r>
      <w:r>
        <w:rPr>
          <w:color w:val="4F81BC"/>
          <w:spacing w:val="-12"/>
        </w:rPr>
        <w:t> </w:t>
      </w:r>
      <w:bookmarkEnd w:id="32"/>
      <w:r>
        <w:rPr>
          <w:color w:val="4F81BC"/>
        </w:rPr>
        <w:t>investigación</w:t>
      </w:r>
    </w:p>
    <w:p>
      <w:pPr>
        <w:pStyle w:val="BodyText"/>
        <w:rPr>
          <w:rFonts w:ascii="Cambria"/>
          <w:b/>
          <w:sz w:val="26"/>
        </w:rPr>
      </w:pPr>
    </w:p>
    <w:p>
      <w:pPr>
        <w:pStyle w:val="BodyText"/>
        <w:spacing w:before="6"/>
        <w:rPr>
          <w:rFonts w:ascii="Cambria"/>
          <w:b/>
          <w:sz w:val="23"/>
        </w:rPr>
      </w:pPr>
    </w:p>
    <w:p>
      <w:pPr>
        <w:pStyle w:val="BodyText"/>
        <w:spacing w:line="360" w:lineRule="auto"/>
        <w:ind w:left="102" w:right="117"/>
        <w:jc w:val="both"/>
      </w:pPr>
      <w:r>
        <w:rPr/>
        <w:t>La agenda de investigación a la que se refiere la investigación es que los datos censales y oficiales del </w:t>
      </w:r>
      <w:r>
        <w:rPr>
          <w:sz w:val="19"/>
        </w:rPr>
        <w:t>INEGI</w:t>
      </w:r>
      <w:r>
        <w:rPr/>
        <w:t>, son una herramienta eficaz que nos ayudó a realizar la evaluación de la habitabilidad de las viviendas en la zona metropolitana de Toluca.</w:t>
      </w:r>
    </w:p>
    <w:p>
      <w:pPr>
        <w:pStyle w:val="BodyText"/>
        <w:spacing w:line="360" w:lineRule="auto" w:before="204"/>
        <w:ind w:left="102" w:right="118"/>
        <w:jc w:val="both"/>
      </w:pPr>
      <w:r>
        <w:rPr/>
        <w:t>Además para hacer el análisis espacial los datos recopilados del Directorio Estadístico Nacional de Unidades Económicas del </w:t>
      </w:r>
      <w:r>
        <w:rPr>
          <w:sz w:val="19"/>
        </w:rPr>
        <w:t>INEGI</w:t>
      </w:r>
      <w:r>
        <w:rPr/>
        <w:t>, 2014 utilizados en esta investigación. Ya que por el factor económico y de tiempo no fue posible   levantar</w:t>
      </w:r>
    </w:p>
    <w:p>
      <w:pPr>
        <w:spacing w:after="0" w:line="360" w:lineRule="auto"/>
        <w:jc w:val="both"/>
        <w:sectPr>
          <w:pgSz w:w="12240" w:h="15840"/>
          <w:pgMar w:header="0" w:footer="1003" w:top="1360" w:bottom="1200" w:left="1600" w:right="1580"/>
        </w:sectPr>
      </w:pPr>
    </w:p>
    <w:p>
      <w:pPr>
        <w:pStyle w:val="BodyText"/>
        <w:spacing w:line="360" w:lineRule="auto" w:before="54"/>
        <w:ind w:left="102" w:right="125"/>
        <w:jc w:val="both"/>
      </w:pPr>
      <w:r>
        <w:rPr/>
        <w:t>entrevistas a personas que viven en zonas críticas de habitabilidad de las viviendas en esta zona</w:t>
      </w:r>
      <w:r>
        <w:rPr>
          <w:spacing w:val="-14"/>
        </w:rPr>
        <w:t> </w:t>
      </w:r>
      <w:r>
        <w:rPr/>
        <w:t>metropolitana.</w:t>
      </w:r>
    </w:p>
    <w:p>
      <w:pPr>
        <w:pStyle w:val="BodyText"/>
        <w:spacing w:line="360" w:lineRule="auto" w:before="204"/>
        <w:ind w:left="102" w:right="116"/>
        <w:jc w:val="both"/>
      </w:pPr>
      <w:r>
        <w:rPr/>
        <w:t>Se recomienda que en otros proyectos e investigaciones futuras sobre la temática se realicen entrevistas focalizadas en las zonas críticas de habitabilidad ya sea en esta zona metropolitana o en otra región o ciudad del país para contar con la perspectiva de la población que radica en estas viviendas.</w:t>
      </w:r>
    </w:p>
    <w:p>
      <w:pPr>
        <w:pStyle w:val="BodyText"/>
        <w:spacing w:line="360" w:lineRule="auto" w:before="204"/>
        <w:ind w:left="102" w:right="119"/>
        <w:jc w:val="both"/>
      </w:pPr>
      <w:r>
        <w:rPr/>
        <w:t>En México, la habitabilidad de las viviendas constituyen un área de investigación inexplorada, que urge conocer, para lograr una mejor planeación del desarrollo de las zonas metropolitanas, regiones y ciudades de México. Ya que el país ha dejado de lado la planeación de sus ciudades durante las últimas décadas. Es claro que el futuro social, político y económico de México se decidirá en las áreas urbanas y metropolitanas, el fundamento primordial de la investigación fue contribuir al desarrollo</w:t>
      </w:r>
      <w:r>
        <w:rPr>
          <w:spacing w:val="-10"/>
        </w:rPr>
        <w:t> </w:t>
      </w:r>
      <w:r>
        <w:rPr/>
        <w:t>nacional.</w:t>
      </w:r>
    </w:p>
    <w:p>
      <w:pPr>
        <w:pStyle w:val="BodyText"/>
      </w:pPr>
    </w:p>
    <w:p>
      <w:pPr>
        <w:pStyle w:val="BodyText"/>
      </w:pPr>
    </w:p>
    <w:p>
      <w:pPr>
        <w:pStyle w:val="Heading3"/>
        <w:numPr>
          <w:ilvl w:val="1"/>
          <w:numId w:val="26"/>
        </w:numPr>
        <w:tabs>
          <w:tab w:pos="527" w:val="left" w:leader="none"/>
        </w:tabs>
        <w:spacing w:line="240" w:lineRule="auto" w:before="189" w:after="0"/>
        <w:ind w:left="526" w:right="0" w:hanging="424"/>
        <w:jc w:val="both"/>
      </w:pPr>
      <w:bookmarkStart w:name="_TOC_250001" w:id="33"/>
      <w:r>
        <w:rPr>
          <w:color w:val="4F81BC"/>
        </w:rPr>
        <w:t>Fortalezas y debilidades de la</w:t>
      </w:r>
      <w:r>
        <w:rPr>
          <w:color w:val="4F81BC"/>
          <w:spacing w:val="-24"/>
        </w:rPr>
        <w:t> </w:t>
      </w:r>
      <w:bookmarkEnd w:id="33"/>
      <w:r>
        <w:rPr>
          <w:color w:val="4F81BC"/>
        </w:rPr>
        <w:t>tesis</w:t>
      </w:r>
    </w:p>
    <w:p>
      <w:pPr>
        <w:pStyle w:val="BodyText"/>
        <w:rPr>
          <w:rFonts w:ascii="Cambria"/>
          <w:b/>
          <w:sz w:val="26"/>
        </w:rPr>
      </w:pPr>
    </w:p>
    <w:p>
      <w:pPr>
        <w:pStyle w:val="BodyText"/>
        <w:spacing w:before="1"/>
        <w:rPr>
          <w:rFonts w:ascii="Cambria"/>
          <w:b/>
          <w:sz w:val="30"/>
        </w:rPr>
      </w:pPr>
    </w:p>
    <w:p>
      <w:pPr>
        <w:pStyle w:val="BodyText"/>
        <w:spacing w:line="360" w:lineRule="auto"/>
        <w:ind w:left="102" w:right="122"/>
        <w:jc w:val="both"/>
      </w:pPr>
      <w:r>
        <w:rPr/>
        <w:t>En esta sección de la tesis se mencionan las fortalezas y debilidades de esta investigación. Como primera fortaleza ya que no existe una definición del concepto de habitabilidad de las viviendas por parte de las instituciones gubernamentales e instituciones involucrados en la construcción o edificación de las mismas, en este trabajo se propone un concepto de habitabilidad, lo cual es una fortaleza para futuras investigaciones en la materia, aclarando que puede ser utilizada para las heterogéneas zonas metropolitanas del país.</w:t>
      </w:r>
    </w:p>
    <w:p>
      <w:pPr>
        <w:pStyle w:val="BodyText"/>
        <w:spacing w:line="360" w:lineRule="auto" w:before="205"/>
        <w:ind w:left="102" w:right="125"/>
        <w:jc w:val="both"/>
      </w:pPr>
      <w:r>
        <w:rPr/>
        <w:t>Se puede considerar como fortaleza de la investigación la sencillez de la metodología empleada en el trabajo.</w:t>
      </w:r>
    </w:p>
    <w:p>
      <w:pPr>
        <w:pStyle w:val="BodyText"/>
        <w:spacing w:line="360" w:lineRule="auto" w:before="202"/>
        <w:ind w:left="102" w:right="119"/>
        <w:jc w:val="both"/>
      </w:pPr>
      <w:r>
        <w:rPr/>
        <w:t>Otra fortaleza de la tesis es que se concentró en los esfuerzos de las dimensiones estratégicas de las viviendas: los servicios públicos con los que cuentan, los materiales  de  construcción,  los  bienes  con  los  que  cuentan  y  el  entorno que</w:t>
      </w:r>
    </w:p>
    <w:p>
      <w:pPr>
        <w:spacing w:after="0" w:line="360" w:lineRule="auto"/>
        <w:jc w:val="both"/>
        <w:sectPr>
          <w:pgSz w:w="12240" w:h="15840"/>
          <w:pgMar w:header="0" w:footer="1003" w:top="1360" w:bottom="1200" w:left="1600" w:right="1580"/>
        </w:sectPr>
      </w:pPr>
    </w:p>
    <w:p>
      <w:pPr>
        <w:pStyle w:val="BodyText"/>
        <w:spacing w:line="360" w:lineRule="auto" w:before="54"/>
        <w:ind w:left="102" w:right="117"/>
        <w:jc w:val="both"/>
      </w:pPr>
      <w:r>
        <w:rPr/>
        <w:t>engloba, por una parte el empleo o la atractividad con la que cuenta ciertas áreas de la zona metropolitana de Toluca, asimismo la salud, educación, las áreas verdes, el abastecimiento de alimento y la recreación, donde ciertas áreas obtienen mejor habitabilidad que</w:t>
      </w:r>
      <w:r>
        <w:rPr>
          <w:spacing w:val="-14"/>
        </w:rPr>
        <w:t> </w:t>
      </w:r>
      <w:r>
        <w:rPr/>
        <w:t>otras.</w:t>
      </w:r>
    </w:p>
    <w:p>
      <w:pPr>
        <w:pStyle w:val="BodyText"/>
        <w:spacing w:line="360" w:lineRule="auto" w:before="204"/>
        <w:ind w:left="102" w:right="119"/>
        <w:jc w:val="both"/>
      </w:pPr>
      <w:r>
        <w:rPr/>
        <w:t>Asumiendo como fortaleza la incorporación de la variable espacial en la determinación de la habitabilidad de las viviendas, incorporando servicios públicos y privados, respecto a la oportunidad de acceso a los mismos. Esto se puede considerar como una de las principales aportaciones de esta investigación.</w:t>
      </w:r>
    </w:p>
    <w:p>
      <w:pPr>
        <w:pStyle w:val="BodyText"/>
        <w:spacing w:line="360" w:lineRule="auto" w:before="205"/>
        <w:ind w:left="102" w:right="116"/>
        <w:jc w:val="both"/>
      </w:pPr>
      <w:r>
        <w:rPr/>
        <w:t>Por dimensiones estratégicas se entiende a enfocar la atención a lo más importante de la habitabilidad de las viviendas. En este trabajo se orientan los esfuerzos analíticos hacia la quinta zona metropolitana más importante del país. Aunque también hay que apuntar hacia las zonas metropolitanas más importantes de México.</w:t>
      </w:r>
    </w:p>
    <w:p>
      <w:pPr>
        <w:pStyle w:val="BodyText"/>
        <w:spacing w:line="360" w:lineRule="auto" w:before="204"/>
        <w:ind w:left="102" w:right="115"/>
        <w:jc w:val="both"/>
      </w:pPr>
      <w:r>
        <w:rPr/>
        <w:t>Una potencial fortaleza se encuentra que solucionando los problemas de habitabilidad en las viviendas, se generarán efectos multiplicadores que llegarán a los pequeños asentamientos conurbados a esta zona metropolitana. Es decir, evaluar la habitabilidad de las viviendas en zonas urbanas o de importancia estratégica, posteriormente se verificará si realmente se transmiten beneficios indirectos a los asentamientos conurbados pequeños de este lugar geográfico, y por ende en un mejor desarrollo urbano.</w:t>
      </w:r>
    </w:p>
    <w:p>
      <w:pPr>
        <w:pStyle w:val="BodyText"/>
        <w:spacing w:line="360" w:lineRule="auto" w:before="202"/>
        <w:ind w:left="102" w:right="119"/>
        <w:jc w:val="both"/>
      </w:pPr>
      <w:r>
        <w:rPr/>
        <w:t>La siguiente fortaleza es contar con beneficios analíticos con enfoque estratégico, es decir, concentrar la atención en esta zona metropolitana de Toluca, genera una enorme ventaja analítica, evitando comparaciones con otras zonas metropolitanas del país, que en ocasiones generan conclusiones poco productivas. En el trabajo se cuido que las comparaciones entre los municipios evaluados tuvieran significado conceptual, la principal fortaleza es que una vez evaluada la habitabilidad en esta zona el municipio que requiere mayor atención es el municipio de Temoaya que fue el peor</w:t>
      </w:r>
      <w:r>
        <w:rPr>
          <w:spacing w:val="-15"/>
        </w:rPr>
        <w:t> </w:t>
      </w:r>
      <w:r>
        <w:rPr/>
        <w:t>evaluado.</w:t>
      </w:r>
    </w:p>
    <w:p>
      <w:pPr>
        <w:spacing w:after="0" w:line="360" w:lineRule="auto"/>
        <w:jc w:val="both"/>
        <w:sectPr>
          <w:pgSz w:w="12240" w:h="15840"/>
          <w:pgMar w:header="0" w:footer="1003" w:top="1360" w:bottom="1200" w:left="1600" w:right="1580"/>
        </w:sectPr>
      </w:pPr>
    </w:p>
    <w:p>
      <w:pPr>
        <w:pStyle w:val="BodyText"/>
        <w:spacing w:line="360" w:lineRule="auto" w:before="54"/>
        <w:ind w:left="102" w:right="122"/>
        <w:jc w:val="both"/>
      </w:pPr>
      <w:r>
        <w:rPr/>
        <w:t>Como fortaleza de la investigación es que cuenta con beneficios temáticos respecto al enfoque de habitabilidad de las viviendas. Permite centrar la atención en cuatro dimensiones claves para que exista una buena habitabilidad explorando su dimensión metropolitana con profundidad, se puede estimar la magnitud de los esfuerzos que deberían realizar para abatir, por ejemplo, los déficits de servicios públicos y del entorno de las viviendas.</w:t>
      </w:r>
    </w:p>
    <w:p>
      <w:pPr>
        <w:pStyle w:val="BodyText"/>
        <w:spacing w:line="360" w:lineRule="auto" w:before="204"/>
        <w:ind w:left="102" w:right="117"/>
        <w:jc w:val="both"/>
      </w:pPr>
      <w:r>
        <w:rPr/>
        <w:t>En consecuencia otra fortaleza es la que existe entre la vinculación, el análisis de la investigación y el diseño de políticas públicas. Enfocando el análisis de habitabilidad se logro establecer una fuerte conexión entre los resultados de la investigación y las recomendaciones de política. Esta conexión se hace evidente entorno a los diversos temas; disponibilidad de servicios públicos (agua potable, energía eléctrica, drenaje), servicios básicos modernos (computadora, internet, telefonía celular) en las viviendas.</w:t>
      </w:r>
    </w:p>
    <w:p>
      <w:pPr>
        <w:pStyle w:val="BodyText"/>
        <w:spacing w:line="360" w:lineRule="auto" w:before="202"/>
        <w:ind w:left="102" w:right="116"/>
        <w:jc w:val="both"/>
      </w:pPr>
      <w:r>
        <w:rPr/>
        <w:t>Como penúltima fortaleza encontramos la importancia de las fuentes de información, la calidad y cantidad de información ha avanzado en México, las fuentes de información están disponibles en internet, haciéndolas altamente accesibles. Constitucionalmente México cuenta con un marco geoestadístico liderado por el Instituto Nacional de Estadística y Geografía (</w:t>
      </w:r>
      <w:r>
        <w:rPr>
          <w:sz w:val="19"/>
        </w:rPr>
        <w:t>INEGI</w:t>
      </w:r>
      <w:r>
        <w:rPr/>
        <w:t>), además del Consejo Nacional de Población (</w:t>
      </w:r>
      <w:r>
        <w:rPr>
          <w:sz w:val="19"/>
        </w:rPr>
        <w:t>CONAPO</w:t>
      </w:r>
      <w:r>
        <w:rPr/>
        <w:t>). Sin estas fuentes de información de calidad y accesibilidad, la investigación urbana en México sería muy lenta.</w:t>
      </w:r>
    </w:p>
    <w:p>
      <w:pPr>
        <w:pStyle w:val="BodyText"/>
        <w:spacing w:line="360" w:lineRule="auto" w:before="204"/>
        <w:ind w:left="102" w:right="116"/>
        <w:jc w:val="both"/>
      </w:pPr>
      <w:r>
        <w:rPr/>
        <w:t>Por primera vez en mucho tiempo, disponemos de información e instrumentos requeridos para generar conocimiento competitivo a nivel internacional sobre temas urbanos. La investigación destaca el Directorio Estadístico Nacional de Unidades Económicas (</w:t>
      </w:r>
      <w:r>
        <w:rPr>
          <w:sz w:val="19"/>
        </w:rPr>
        <w:t>DENUE</w:t>
      </w:r>
      <w:r>
        <w:rPr/>
        <w:t>, 2014), permitiendo explorar la geografía económica en el espacio urbano. Esta fuente de información permite de contar con un apoyo en la detección de regularidades empíricas, generación de conceptos, además de explicar mejor la realidad de esta zona metropolitana del país.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9"/>
        <w:jc w:val="both"/>
      </w:pPr>
      <w:r>
        <w:rPr/>
        <w:t>Finalmente se puede considerar como fortaleza el índice de habitabilidad ya que retoma elementos conceptuales y teóricos como son la pobreza y la exclusión social.</w:t>
      </w:r>
    </w:p>
    <w:p>
      <w:pPr>
        <w:pStyle w:val="BodyText"/>
        <w:spacing w:line="360" w:lineRule="auto" w:before="204"/>
        <w:ind w:left="102" w:right="115"/>
        <w:jc w:val="both"/>
      </w:pPr>
      <w:r>
        <w:rPr/>
        <w:t>Como primera debilidad del trabajo encontramos es que el tema de habitabilidad de las viviendas se considera de manera aislada. En materia de desarrollo urbano, es equivocado porque no se considera como una demanda real de bienes y servicios para el desarrollo de la zona metropolitana de Toluca. Además queda claro que no existe un concepto de habitabilidad de las viviendas a nivel nacional por ninguna institución gubernamental, además que este concepto debe ser entendido en el tiempo y espacio.</w:t>
      </w:r>
    </w:p>
    <w:p>
      <w:pPr>
        <w:pStyle w:val="BodyText"/>
        <w:spacing w:line="360" w:lineRule="auto" w:before="204"/>
        <w:ind w:left="102" w:right="124"/>
        <w:jc w:val="both"/>
      </w:pPr>
      <w:r>
        <w:rPr/>
        <w:t>Como otra debilidad es que existen varias zonas con habitabilidad critica dentro de esta zona metropolitana, se tienen que hacer investigaciones más específicas sobre estas zonas para poder focalizarlas y proponer algunas políticas públicas para el desarrollo urbano, aunque el trabajo da la pauta, de darse una idea de la realidad de cómo está estructurada la habitabilidad en este espacio geográfico.</w:t>
      </w:r>
    </w:p>
    <w:p>
      <w:pPr>
        <w:pStyle w:val="BodyText"/>
        <w:spacing w:line="360" w:lineRule="auto" w:before="204"/>
        <w:ind w:left="102" w:right="117"/>
        <w:jc w:val="both"/>
      </w:pPr>
      <w:r>
        <w:rPr/>
        <w:t>También como debilidad en el trabajo es que existe una dificultad en la ausencia de información sobre la habitabilidad de las viviendas en el país, también existen escasos trabajos en el tema a nivel internacional. Una dificultad adicional es que se trabajó con los datos censales que son de seis años atrás, aunque estos datos censales, se pueden actualizar este año ya que salieron los resultados de la encuesta intercensal de población y vivienda del </w:t>
      </w:r>
      <w:r>
        <w:rPr>
          <w:sz w:val="19"/>
        </w:rPr>
        <w:t>INEGI</w:t>
      </w:r>
      <w:r>
        <w:rPr/>
        <w:t>, 2015, sin perder de vista que solo es una encuesta y que algunas variables no podrían estar</w:t>
      </w:r>
      <w:r>
        <w:rPr>
          <w:spacing w:val="-23"/>
        </w:rPr>
        <w:t> </w:t>
      </w:r>
      <w:r>
        <w:rPr/>
        <w:t>disponibles.</w:t>
      </w:r>
    </w:p>
    <w:p>
      <w:pPr>
        <w:pStyle w:val="BodyText"/>
        <w:spacing w:line="360" w:lineRule="auto" w:before="202"/>
        <w:ind w:left="102" w:right="115"/>
        <w:jc w:val="both"/>
      </w:pPr>
      <w:r>
        <w:rPr/>
        <w:t>Algunos investigadores consideraran como debilidad los métodos (método jerárquico de Saaty, índice de habitabilidad) como consecuencia las bases de datos (datos censales del </w:t>
      </w:r>
      <w:r>
        <w:rPr>
          <w:sz w:val="19"/>
        </w:rPr>
        <w:t>INEGI</w:t>
      </w:r>
      <w:r>
        <w:rPr/>
        <w:t>, 2010 y datos del Directorio Estadístico Nacional  de Unidades Económicas, </w:t>
      </w:r>
      <w:r>
        <w:rPr>
          <w:sz w:val="19"/>
        </w:rPr>
        <w:t>INEGI</w:t>
      </w:r>
      <w:r>
        <w:rPr/>
        <w:t>, 2014) utilizadas para evaluar la habitabilidad de las viviendas, ya que son más robustos en términos conceptuales y operativos, para otros investigadores serán áreas de</w:t>
      </w:r>
      <w:r>
        <w:rPr>
          <w:spacing w:val="-14"/>
        </w:rPr>
        <w:t> </w:t>
      </w:r>
      <w:r>
        <w:rPr/>
        <w:t>oportunidad.</w:t>
      </w:r>
    </w:p>
    <w:p>
      <w:pPr>
        <w:spacing w:after="0" w:line="360" w:lineRule="auto"/>
        <w:jc w:val="both"/>
        <w:sectPr>
          <w:pgSz w:w="12240" w:h="15840"/>
          <w:pgMar w:header="0" w:footer="1003" w:top="1360" w:bottom="1200" w:left="1600" w:right="1580"/>
        </w:sectPr>
      </w:pPr>
    </w:p>
    <w:p>
      <w:pPr>
        <w:pStyle w:val="BodyText"/>
        <w:spacing w:line="360" w:lineRule="auto" w:before="54"/>
        <w:ind w:left="102" w:right="125"/>
        <w:jc w:val="both"/>
      </w:pPr>
      <w:r>
        <w:rPr/>
        <w:t>Pero los resultados de la investigación permitieron cumplir con el objetivo general de la investigación: evaluar la habitabilidad de las viviendas en la zona metropolitana de Toluca, ampliando las oportunidades de desarrollo urbano, social y económico de la población de esta zona metropolitana.</w:t>
      </w:r>
    </w:p>
    <w:p>
      <w:pPr>
        <w:pStyle w:val="BodyText"/>
        <w:spacing w:line="360" w:lineRule="auto" w:before="204"/>
        <w:ind w:left="102" w:right="116"/>
        <w:jc w:val="both"/>
      </w:pPr>
      <w:r>
        <w:rPr/>
        <w:t>Como última debilidad de la investigación es que ésta no consideró encuestar a  los habitantes que viven en zonas de habitabilidad crítica en la zona metropolitana de Toluca, por los costos y tiempo que se necesita invertir, pero se da la pauta para que futuras investigaciones retomen el enfoque cualitativo y tener otra perspectiva sobre el tema. Ya que actualmente la precisión cuantitativa ya no ésta considerada como el máximo estándar de calidad metodológica, reconociendo la importancia de información cualitativa local. Dejando en claro que los resultados  de la investigación son objetivos y consistentes con lo que ocurre en la realidad urbana.</w:t>
      </w:r>
    </w:p>
    <w:p>
      <w:pPr>
        <w:spacing w:after="0" w:line="360" w:lineRule="auto"/>
        <w:jc w:val="both"/>
        <w:sectPr>
          <w:footerReference w:type="default" r:id="rId999"/>
          <w:pgSz w:w="12240" w:h="15840"/>
          <w:pgMar w:footer="1003" w:header="0" w:top="1360" w:bottom="1200" w:left="1600" w:right="1580"/>
          <w:pgNumType w:start="230"/>
        </w:sectPr>
      </w:pPr>
    </w:p>
    <w:p>
      <w:pPr>
        <w:pStyle w:val="Heading3"/>
        <w:spacing w:before="55"/>
        <w:ind w:left="122" w:right="214" w:firstLine="0"/>
        <w:jc w:val="left"/>
        <w:rPr>
          <w:rFonts w:ascii="Times New Roman" w:hAnsi="Times New Roman"/>
          <w:sz w:val="17"/>
        </w:rPr>
      </w:pPr>
      <w:r>
        <w:rPr>
          <w:color w:val="4F81BC"/>
        </w:rPr>
        <w:t>Bibliografía</w:t>
      </w:r>
      <w:r>
        <w:rPr>
          <w:rFonts w:ascii="Times New Roman" w:hAnsi="Times New Roman"/>
          <w:color w:val="4F81BC"/>
          <w:position w:val="9"/>
          <w:sz w:val="17"/>
        </w:rPr>
        <w:t>18</w:t>
      </w:r>
    </w:p>
    <w:p>
      <w:pPr>
        <w:pStyle w:val="BodyText"/>
        <w:rPr>
          <w:rFonts w:ascii="Times New Roman"/>
          <w:b/>
          <w:sz w:val="28"/>
        </w:rPr>
      </w:pPr>
    </w:p>
    <w:p>
      <w:pPr>
        <w:pStyle w:val="BodyText"/>
        <w:spacing w:before="10"/>
        <w:rPr>
          <w:rFonts w:ascii="Times New Roman"/>
          <w:b/>
          <w:sz w:val="25"/>
        </w:rPr>
      </w:pPr>
    </w:p>
    <w:p>
      <w:pPr>
        <w:pStyle w:val="BodyText"/>
        <w:spacing w:line="276" w:lineRule="auto"/>
        <w:ind w:left="481" w:right="116"/>
        <w:jc w:val="both"/>
      </w:pPr>
      <w:r>
        <w:rPr/>
        <w:t>Aguilar, A. y Graizbord, B. (2014), “La Distribución Espacial de la Población, 1990-2010: Cambios Recientes y Perspectivas Diferentes”, en C. Rabell (Coord.), </w:t>
      </w:r>
      <w:r>
        <w:rPr>
          <w:i/>
        </w:rPr>
        <w:t>Los Mexicanos. Un balance del Cambio Demográfico, </w:t>
      </w:r>
      <w:r>
        <w:rPr/>
        <w:t>Fondo de Cultura Económica, México, pp. 783-823.</w:t>
      </w:r>
    </w:p>
    <w:p>
      <w:pPr>
        <w:pStyle w:val="BodyText"/>
      </w:pPr>
    </w:p>
    <w:p>
      <w:pPr>
        <w:pStyle w:val="BodyText"/>
        <w:spacing w:line="276" w:lineRule="auto"/>
        <w:ind w:left="481" w:right="114"/>
        <w:jc w:val="both"/>
      </w:pPr>
      <w:r>
        <w:rPr/>
        <w:t>Alcalá, L. (2007), Dimensiones urbanas del problema habitacional. El caso de la ciudad de Resistencia, Argentina. </w:t>
      </w:r>
      <w:r>
        <w:rPr>
          <w:i/>
        </w:rPr>
        <w:t>Instituto de Vivienda, </w:t>
      </w:r>
      <w:r>
        <w:rPr/>
        <w:t>Vol. 22 No. 59, 35- 68.</w:t>
      </w:r>
    </w:p>
    <w:p>
      <w:pPr>
        <w:pStyle w:val="BodyText"/>
        <w:spacing w:before="11"/>
        <w:rPr>
          <w:sz w:val="20"/>
        </w:rPr>
      </w:pPr>
    </w:p>
    <w:p>
      <w:pPr>
        <w:spacing w:line="276" w:lineRule="auto" w:before="0"/>
        <w:ind w:left="481" w:right="118" w:firstLine="0"/>
        <w:jc w:val="both"/>
        <w:rPr>
          <w:sz w:val="24"/>
        </w:rPr>
      </w:pPr>
      <w:r>
        <w:rPr>
          <w:sz w:val="24"/>
        </w:rPr>
        <w:t>Alguacil, J. (1998), “Las necesidades humanas: descender un escalón en la complejidad”. </w:t>
      </w:r>
      <w:r>
        <w:rPr>
          <w:i/>
          <w:sz w:val="24"/>
        </w:rPr>
        <w:t>Calidad de vida y Praxis Urbana. Nuevas iniciativas de gestión </w:t>
      </w:r>
      <w:r>
        <w:rPr>
          <w:i/>
          <w:sz w:val="24"/>
        </w:rPr>
        <w:t>ciudadana en la periferia social de Madrid. </w:t>
      </w:r>
      <w:r>
        <w:rPr>
          <w:sz w:val="24"/>
        </w:rPr>
        <w:t>Centro de Investigaciones Sociológicas.</w:t>
      </w:r>
    </w:p>
    <w:p>
      <w:pPr>
        <w:pStyle w:val="BodyText"/>
        <w:spacing w:before="10"/>
        <w:rPr>
          <w:sz w:val="20"/>
        </w:rPr>
      </w:pPr>
    </w:p>
    <w:p>
      <w:pPr>
        <w:pStyle w:val="BodyText"/>
        <w:spacing w:line="276" w:lineRule="auto"/>
        <w:ind w:left="481" w:right="123"/>
        <w:jc w:val="both"/>
      </w:pPr>
      <w:r>
        <w:rPr/>
        <w:t>Arcas, Joaquim et al. (2011), “El futuro del hábitat: repensando la habitabilidad desde la sostenibilidad. El caso español”. </w:t>
      </w:r>
      <w:r>
        <w:rPr>
          <w:i/>
        </w:rPr>
        <w:t>Revista </w:t>
      </w:r>
      <w:r>
        <w:rPr>
          <w:i/>
          <w:sz w:val="19"/>
        </w:rPr>
        <w:t>INVI</w:t>
      </w:r>
      <w:r>
        <w:rPr>
          <w:i/>
        </w:rPr>
        <w:t>, </w:t>
      </w:r>
      <w:r>
        <w:rPr/>
        <w:t>vol. 26, pp. 65-93.</w:t>
      </w:r>
    </w:p>
    <w:p>
      <w:pPr>
        <w:pStyle w:val="BodyText"/>
        <w:spacing w:before="3"/>
      </w:pPr>
    </w:p>
    <w:p>
      <w:pPr>
        <w:pStyle w:val="BodyText"/>
        <w:spacing w:line="276" w:lineRule="auto"/>
        <w:ind w:left="481" w:right="117"/>
        <w:jc w:val="both"/>
      </w:pPr>
      <w:r>
        <w:rPr/>
        <w:t>Avila, Omar (2011), “Envejecimiento demográfico en el Estado de México”, Tesis de Maestría en Estudios de Población, Instituto de Ciencias Sociales y Humanidades, Universidad Autónoma del Estado de Hidalgo.</w:t>
      </w:r>
    </w:p>
    <w:p>
      <w:pPr>
        <w:pStyle w:val="BodyText"/>
        <w:spacing w:before="1"/>
        <w:rPr>
          <w:sz w:val="21"/>
        </w:rPr>
      </w:pPr>
    </w:p>
    <w:p>
      <w:pPr>
        <w:pStyle w:val="BodyText"/>
        <w:spacing w:line="360" w:lineRule="auto"/>
        <w:ind w:left="481" w:right="126"/>
        <w:jc w:val="both"/>
      </w:pPr>
      <w:r>
        <w:rPr/>
        <w:t>Banco Interamericano de Desarrollo (2013), Políticas alternativas de vivienda en América Latina y el Caribe. Buenos Aires, Argentina.</w:t>
      </w:r>
    </w:p>
    <w:p>
      <w:pPr>
        <w:pStyle w:val="BodyText"/>
        <w:spacing w:before="1"/>
        <w:rPr>
          <w:sz w:val="21"/>
        </w:rPr>
      </w:pPr>
    </w:p>
    <w:p>
      <w:pPr>
        <w:spacing w:line="276" w:lineRule="auto" w:before="0"/>
        <w:ind w:left="481" w:right="115" w:firstLine="0"/>
        <w:jc w:val="both"/>
        <w:rPr>
          <w:sz w:val="24"/>
        </w:rPr>
      </w:pPr>
      <w:r>
        <w:rPr>
          <w:sz w:val="24"/>
        </w:rPr>
        <w:t>Barba-Romero, Sergio y Pomerol, Jean-Charles (1997), </w:t>
      </w:r>
      <w:r>
        <w:rPr>
          <w:i/>
          <w:sz w:val="24"/>
        </w:rPr>
        <w:t>Decisiones </w:t>
      </w:r>
      <w:r>
        <w:rPr>
          <w:i/>
          <w:sz w:val="24"/>
        </w:rPr>
        <w:t>Multicriterio. Fundamentos Teóricos y Utilización Práctica. </w:t>
      </w:r>
      <w:r>
        <w:rPr>
          <w:sz w:val="24"/>
        </w:rPr>
        <w:t>Colección de Economía. Servicio de Publicaciones. Universidad de Alcalá. Alcalá de Henares, España. 420</w:t>
      </w:r>
      <w:r>
        <w:rPr>
          <w:spacing w:val="-10"/>
          <w:sz w:val="24"/>
        </w:rPr>
        <w:t> </w:t>
      </w:r>
      <w:r>
        <w:rPr>
          <w:sz w:val="24"/>
        </w:rPr>
        <w:t>paginas.</w:t>
      </w:r>
    </w:p>
    <w:p>
      <w:pPr>
        <w:pStyle w:val="BodyText"/>
        <w:spacing w:before="6"/>
        <w:rPr>
          <w:sz w:val="27"/>
        </w:rPr>
      </w:pPr>
    </w:p>
    <w:p>
      <w:pPr>
        <w:spacing w:line="362" w:lineRule="auto" w:before="1"/>
        <w:ind w:left="481" w:right="116" w:firstLine="0"/>
        <w:jc w:val="both"/>
        <w:rPr>
          <w:sz w:val="24"/>
        </w:rPr>
      </w:pPr>
      <w:r>
        <w:rPr>
          <w:sz w:val="24"/>
        </w:rPr>
        <w:t>Bairoch, P. (1990), </w:t>
      </w:r>
      <w:r>
        <w:rPr>
          <w:i/>
          <w:sz w:val="24"/>
        </w:rPr>
        <w:t>De Jericó a México. Historia de Urbanización</w:t>
      </w:r>
      <w:r>
        <w:rPr>
          <w:sz w:val="24"/>
        </w:rPr>
        <w:t>. Distrito Federal: Editorial Trillas.</w:t>
      </w:r>
    </w:p>
    <w:p>
      <w:pPr>
        <w:pStyle w:val="BodyText"/>
        <w:spacing w:before="10"/>
        <w:rPr>
          <w:sz w:val="35"/>
        </w:rPr>
      </w:pPr>
    </w:p>
    <w:p>
      <w:pPr>
        <w:spacing w:line="360" w:lineRule="auto" w:before="0"/>
        <w:ind w:left="481" w:right="121" w:firstLine="0"/>
        <w:jc w:val="both"/>
        <w:rPr>
          <w:sz w:val="24"/>
        </w:rPr>
      </w:pPr>
      <w:r>
        <w:rPr>
          <w:sz w:val="24"/>
        </w:rPr>
        <w:t>Barredo Cano, José (1996), </w:t>
      </w:r>
      <w:r>
        <w:rPr>
          <w:i/>
          <w:sz w:val="24"/>
        </w:rPr>
        <w:t>Sistemas de Información Geográfica y evaluación </w:t>
      </w:r>
      <w:r>
        <w:rPr>
          <w:i/>
          <w:sz w:val="24"/>
        </w:rPr>
        <w:t>multicriterio. </w:t>
      </w:r>
      <w:r>
        <w:rPr>
          <w:sz w:val="24"/>
        </w:rPr>
        <w:t>Editorial RA-MA. Madrid, España. 264 páginas.</w:t>
      </w:r>
    </w:p>
    <w:p>
      <w:pPr>
        <w:pStyle w:val="BodyText"/>
        <w:spacing w:before="10"/>
        <w:rPr>
          <w:sz w:val="23"/>
        </w:rPr>
      </w:pPr>
      <w:r>
        <w:rPr/>
        <w:pict>
          <v:line style="position:absolute;mso-position-horizontal-relative:page;mso-position-vertical-relative:paragraph;z-index:7216;mso-wrap-distance-left:0;mso-wrap-distance-right:0" from="85.103996pt,16.133894pt" to="229.123996pt,16.133894pt" stroked="true" strokeweight=".84003pt" strokecolor="#000000">
            <w10:wrap type="topAndBottom"/>
          </v:line>
        </w:pict>
      </w:r>
    </w:p>
    <w:p>
      <w:pPr>
        <w:spacing w:before="74"/>
        <w:ind w:left="122" w:right="214" w:firstLine="0"/>
        <w:jc w:val="left"/>
        <w:rPr>
          <w:rFonts w:ascii="Times New Roman" w:hAnsi="Times New Roman"/>
          <w:sz w:val="20"/>
        </w:rPr>
      </w:pPr>
      <w:r>
        <w:rPr>
          <w:rFonts w:ascii="Calibri" w:hAnsi="Calibri"/>
          <w:position w:val="8"/>
          <w:sz w:val="16"/>
        </w:rPr>
        <w:t>18</w:t>
      </w:r>
      <w:r>
        <w:rPr>
          <w:rFonts w:ascii="Times New Roman" w:hAnsi="Times New Roman"/>
          <w:sz w:val="20"/>
        </w:rPr>
        <w:t>En el aparato crítico o marco de referencia, se usa el estilo Harvard.</w:t>
      </w:r>
    </w:p>
    <w:p>
      <w:pPr>
        <w:spacing w:after="0"/>
        <w:jc w:val="left"/>
        <w:rPr>
          <w:rFonts w:ascii="Times New Roman" w:hAnsi="Times New Roman"/>
          <w:sz w:val="20"/>
        </w:rPr>
        <w:sectPr>
          <w:pgSz w:w="12240" w:h="15840"/>
          <w:pgMar w:header="0" w:footer="1003" w:top="1360" w:bottom="1200" w:left="1580" w:right="1580"/>
        </w:sectPr>
      </w:pPr>
    </w:p>
    <w:p>
      <w:pPr>
        <w:pStyle w:val="BodyText"/>
        <w:spacing w:line="276" w:lineRule="auto" w:before="54"/>
        <w:ind w:left="341" w:right="114"/>
        <w:jc w:val="both"/>
      </w:pPr>
      <w:r>
        <w:rPr/>
        <w:t>Becerril, Teresa et al. (2012), “Referentes teóricos y metodológicos para el análisis de la ocupación del espacio urbano”. </w:t>
      </w:r>
      <w:r>
        <w:rPr>
          <w:i/>
        </w:rPr>
        <w:t>Revista </w:t>
      </w:r>
      <w:r>
        <w:rPr>
          <w:i/>
          <w:sz w:val="19"/>
        </w:rPr>
        <w:t>QUIVERA</w:t>
      </w:r>
      <w:r>
        <w:rPr>
          <w:i/>
        </w:rPr>
        <w:t>, </w:t>
      </w:r>
      <w:r>
        <w:rPr/>
        <w:t>año14, pp. 137- 158.</w:t>
      </w:r>
    </w:p>
    <w:p>
      <w:pPr>
        <w:pStyle w:val="BodyText"/>
        <w:spacing w:before="10"/>
        <w:rPr>
          <w:sz w:val="35"/>
        </w:rPr>
      </w:pPr>
    </w:p>
    <w:p>
      <w:pPr>
        <w:spacing w:before="1"/>
        <w:ind w:left="341" w:right="0" w:firstLine="0"/>
        <w:jc w:val="both"/>
        <w:rPr>
          <w:sz w:val="24"/>
        </w:rPr>
      </w:pPr>
      <w:r>
        <w:rPr>
          <w:sz w:val="24"/>
        </w:rPr>
        <w:t>Borja, Jordi (2000), </w:t>
      </w:r>
      <w:r>
        <w:rPr>
          <w:i/>
          <w:sz w:val="24"/>
        </w:rPr>
        <w:t>El espacio público, ciudad y ciudadanía. </w:t>
      </w:r>
      <w:r>
        <w:rPr>
          <w:sz w:val="24"/>
        </w:rPr>
        <w:t>Barcelona España.</w:t>
      </w:r>
    </w:p>
    <w:p>
      <w:pPr>
        <w:pStyle w:val="BodyText"/>
        <w:spacing w:before="10"/>
        <w:rPr>
          <w:sz w:val="35"/>
        </w:rPr>
      </w:pPr>
    </w:p>
    <w:p>
      <w:pPr>
        <w:spacing w:line="360" w:lineRule="auto" w:before="0"/>
        <w:ind w:left="341" w:right="112" w:firstLine="0"/>
        <w:jc w:val="both"/>
        <w:rPr>
          <w:sz w:val="24"/>
        </w:rPr>
      </w:pPr>
      <w:r>
        <w:rPr>
          <w:sz w:val="24"/>
        </w:rPr>
        <w:t>Brand, A., (2007), </w:t>
      </w:r>
      <w:r>
        <w:rPr>
          <w:i/>
          <w:sz w:val="24"/>
        </w:rPr>
        <w:t>Restructuring social and spacial justicie in dialectical time. </w:t>
      </w:r>
      <w:r>
        <w:rPr>
          <w:i/>
          <w:sz w:val="24"/>
        </w:rPr>
        <w:t>Past, present, future. </w:t>
      </w:r>
      <w:r>
        <w:rPr>
          <w:sz w:val="24"/>
        </w:rPr>
        <w:t>En </w:t>
      </w:r>
      <w:hyperlink r:id="rId1000">
        <w:r>
          <w:rPr>
            <w:sz w:val="24"/>
          </w:rPr>
          <w:t>http://ocw.mit.edu/</w:t>
        </w:r>
        <w:r>
          <w:rPr>
            <w:sz w:val="19"/>
          </w:rPr>
          <w:t>NR</w:t>
        </w:r>
        <w:r>
          <w:rPr>
            <w:sz w:val="24"/>
          </w:rPr>
          <w:t>/rdonlyres/Urban-Studies-and-</w:t>
        </w:r>
      </w:hyperlink>
      <w:r>
        <w:rPr>
          <w:sz w:val="24"/>
        </w:rPr>
        <w:t> </w:t>
      </w:r>
      <w:hyperlink r:id="rId1000">
        <w:r>
          <w:rPr>
            <w:sz w:val="24"/>
          </w:rPr>
          <w:t>Planing/11-469Spring-2007/Assignments/brand.pdf</w:t>
        </w:r>
      </w:hyperlink>
      <w:r>
        <w:rPr>
          <w:sz w:val="24"/>
        </w:rPr>
        <w:t>, consultado en 2015.</w:t>
      </w:r>
    </w:p>
    <w:p>
      <w:pPr>
        <w:pStyle w:val="BodyText"/>
      </w:pPr>
    </w:p>
    <w:p>
      <w:pPr>
        <w:pStyle w:val="BodyText"/>
        <w:spacing w:line="362" w:lineRule="auto" w:before="140"/>
        <w:ind w:left="341" w:right="118"/>
        <w:jc w:val="both"/>
      </w:pPr>
      <w:r>
        <w:rPr/>
        <w:t>Bromberg, A., Morrow, G., y Pfeirffer, D., (2007), </w:t>
      </w:r>
      <w:r>
        <w:rPr>
          <w:i/>
        </w:rPr>
        <w:t>“Why spatial justice”. </w:t>
      </w:r>
      <w:r>
        <w:rPr/>
        <w:t>En Critical Planing, </w:t>
      </w:r>
      <w:r>
        <w:rPr>
          <w:sz w:val="19"/>
        </w:rPr>
        <w:t>UCLA</w:t>
      </w:r>
      <w:r>
        <w:rPr/>
        <w:t>, deparment or urban planning, consultado en 2015.</w:t>
      </w:r>
    </w:p>
    <w:p>
      <w:pPr>
        <w:pStyle w:val="BodyText"/>
        <w:spacing w:before="4"/>
        <w:rPr>
          <w:sz w:val="27"/>
        </w:rPr>
      </w:pPr>
    </w:p>
    <w:p>
      <w:pPr>
        <w:spacing w:line="278" w:lineRule="auto" w:before="0"/>
        <w:ind w:left="341" w:right="122" w:firstLine="0"/>
        <w:jc w:val="both"/>
        <w:rPr>
          <w:sz w:val="24"/>
        </w:rPr>
      </w:pPr>
      <w:r>
        <w:rPr>
          <w:sz w:val="24"/>
        </w:rPr>
        <w:t>Cadena, Edel (2005), “</w:t>
      </w:r>
      <w:r>
        <w:rPr>
          <w:i/>
          <w:sz w:val="24"/>
        </w:rPr>
        <w:t>Neoliberalismo y Desigualdad Social: modelo de análisis </w:t>
      </w:r>
      <w:r>
        <w:rPr>
          <w:i/>
          <w:sz w:val="24"/>
        </w:rPr>
        <w:t>regional y cartográfico”</w:t>
      </w:r>
      <w:r>
        <w:rPr>
          <w:sz w:val="24"/>
        </w:rPr>
        <w:t>, Proyecto de investigación 1858/2004, No publicado, Universidad Autónoma del Estado de México.</w:t>
      </w:r>
    </w:p>
    <w:p>
      <w:pPr>
        <w:pStyle w:val="BodyText"/>
        <w:spacing w:line="276" w:lineRule="auto" w:before="197"/>
        <w:ind w:left="341" w:right="117"/>
        <w:jc w:val="both"/>
      </w:pPr>
      <w:r>
        <w:rPr/>
        <w:t>Campos, Juan (2009), “La geografía de la marginación: enfoque conceptual y metodológico alternativo para el caso de México”, Tesis de Doctorado en Geografía, Facultad de Filosofía y Letras, Universidad Nacional Autónoma de México.</w:t>
      </w:r>
    </w:p>
    <w:p>
      <w:pPr>
        <w:pStyle w:val="BodyText"/>
        <w:spacing w:line="273" w:lineRule="auto" w:before="202"/>
        <w:ind w:left="341" w:right="116"/>
        <w:jc w:val="both"/>
      </w:pPr>
      <w:r>
        <w:rPr/>
        <w:t>Campos, Juan (2010), “Justicia espacial, una propuesta metodológica alternativa para la medición de la exclusión social”. </w:t>
      </w:r>
      <w:r>
        <w:rPr>
          <w:i/>
        </w:rPr>
        <w:t>Revista </w:t>
      </w:r>
      <w:r>
        <w:rPr>
          <w:i/>
          <w:sz w:val="19"/>
        </w:rPr>
        <w:t>HORIZONTES</w:t>
      </w:r>
      <w:r>
        <w:rPr>
          <w:i/>
        </w:rPr>
        <w:t>, año </w:t>
      </w:r>
      <w:r>
        <w:rPr>
          <w:i/>
        </w:rPr>
        <w:t>18</w:t>
      </w:r>
      <w:r>
        <w:rPr/>
        <w:t>, número 17,</w:t>
      </w:r>
      <w:r>
        <w:rPr>
          <w:spacing w:val="-8"/>
        </w:rPr>
        <w:t> </w:t>
      </w:r>
      <w:r>
        <w:rPr/>
        <w:t>55-70.</w:t>
      </w:r>
    </w:p>
    <w:p>
      <w:pPr>
        <w:pStyle w:val="BodyText"/>
        <w:spacing w:before="2"/>
        <w:rPr>
          <w:sz w:val="28"/>
        </w:rPr>
      </w:pPr>
    </w:p>
    <w:p>
      <w:pPr>
        <w:pStyle w:val="BodyText"/>
        <w:spacing w:line="276" w:lineRule="auto" w:before="1"/>
        <w:ind w:left="341" w:right="115"/>
        <w:jc w:val="both"/>
      </w:pPr>
      <w:r>
        <w:rPr/>
        <w:t>Casals, M. et al. (2013), Aproximación a una habitabilidad articulada desde la sostenibilidad. Raíces teóricas y caminos por andar. </w:t>
      </w:r>
      <w:r>
        <w:rPr>
          <w:i/>
        </w:rPr>
        <w:t>Instituto de Vivienda, </w:t>
      </w:r>
      <w:r>
        <w:rPr/>
        <w:t>Vol. 28, No. 77, 193-226.</w:t>
      </w:r>
    </w:p>
    <w:p>
      <w:pPr>
        <w:pStyle w:val="BodyText"/>
        <w:spacing w:line="273" w:lineRule="auto" w:before="202"/>
        <w:ind w:left="341" w:right="122"/>
        <w:jc w:val="both"/>
      </w:pPr>
      <w:r>
        <w:rPr/>
        <w:t>Ceballos, Olga Lucía (2006), “Política habitacional y calidad de la vivienda. Reflexiones sobre la habitabilidad de la vivienda de bajo costo en Bogotá”. </w:t>
      </w:r>
      <w:r>
        <w:rPr>
          <w:i/>
        </w:rPr>
        <w:t>Revista </w:t>
      </w:r>
      <w:r>
        <w:rPr>
          <w:sz w:val="19"/>
        </w:rPr>
        <w:t>BITÁCORA URBANO TERRITORIAL</w:t>
      </w:r>
      <w:r>
        <w:rPr/>
        <w:t>, vol. 1 núm. 10, pp. 148-157.</w:t>
      </w:r>
    </w:p>
    <w:p>
      <w:pPr>
        <w:spacing w:line="276" w:lineRule="auto" w:before="205"/>
        <w:ind w:left="341" w:right="118" w:firstLine="0"/>
        <w:jc w:val="both"/>
        <w:rPr>
          <w:sz w:val="24"/>
        </w:rPr>
      </w:pPr>
      <w:r>
        <w:rPr>
          <w:sz w:val="24"/>
        </w:rPr>
        <w:t>Centro de Estudios Sociales y de Opinión Pública. (2006), </w:t>
      </w:r>
      <w:r>
        <w:rPr>
          <w:i/>
          <w:sz w:val="24"/>
        </w:rPr>
        <w:t>La vivienda en </w:t>
      </w:r>
      <w:r>
        <w:rPr>
          <w:i/>
          <w:sz w:val="24"/>
        </w:rPr>
        <w:t>México. Construyendo análisis y propuestas</w:t>
      </w:r>
      <w:r>
        <w:rPr>
          <w:sz w:val="24"/>
        </w:rPr>
        <w:t>. Cámara de Diputados/ LIX Legislatura. México D. F.</w:t>
      </w:r>
    </w:p>
    <w:p>
      <w:pPr>
        <w:spacing w:after="0" w:line="276" w:lineRule="auto"/>
        <w:jc w:val="both"/>
        <w:rPr>
          <w:sz w:val="24"/>
        </w:rPr>
        <w:sectPr>
          <w:pgSz w:w="12240" w:h="15840"/>
          <w:pgMar w:header="0" w:footer="1003" w:top="1360" w:bottom="1200" w:left="1720" w:right="1580"/>
        </w:sectPr>
      </w:pPr>
    </w:p>
    <w:p>
      <w:pPr>
        <w:spacing w:line="278" w:lineRule="auto" w:before="52"/>
        <w:ind w:left="341" w:right="117" w:firstLine="0"/>
        <w:jc w:val="both"/>
        <w:rPr>
          <w:sz w:val="24"/>
        </w:rPr>
      </w:pPr>
      <w:r>
        <w:rPr>
          <w:sz w:val="24"/>
        </w:rPr>
        <w:t>Cervantes, David (2006), </w:t>
      </w:r>
      <w:r>
        <w:rPr>
          <w:i/>
          <w:sz w:val="24"/>
        </w:rPr>
        <w:t>Política habitacional y vivienda social en el Distrito </w:t>
      </w:r>
      <w:r>
        <w:rPr>
          <w:i/>
          <w:sz w:val="24"/>
        </w:rPr>
        <w:t>Federal</w:t>
      </w:r>
      <w:r>
        <w:rPr>
          <w:sz w:val="24"/>
        </w:rPr>
        <w:t>. En Centro de Estudios Sociales y de Opinión Pública. Cámara de Diputados / LIX Legislatura. México D. F. pp. 51-56.</w:t>
      </w:r>
    </w:p>
    <w:p>
      <w:pPr>
        <w:pStyle w:val="BodyText"/>
        <w:spacing w:line="360" w:lineRule="auto" w:before="197"/>
        <w:ind w:left="341" w:right="116"/>
        <w:jc w:val="both"/>
      </w:pPr>
      <w:r>
        <w:rPr/>
        <w:t>Colavidas, Felipe y Salas, Julián (2005), Por un Plan Cosmopolita de Habitabilidad Básica </w:t>
      </w:r>
      <w:r>
        <w:rPr>
          <w:i/>
        </w:rPr>
        <w:t>Instituto de Vivienda,  </w:t>
      </w:r>
      <w:r>
        <w:rPr/>
        <w:t>vol. 20, No. 53, 226-229.</w:t>
      </w:r>
    </w:p>
    <w:p>
      <w:pPr>
        <w:pStyle w:val="BodyText"/>
        <w:spacing w:before="206"/>
        <w:ind w:left="341"/>
        <w:jc w:val="both"/>
      </w:pPr>
      <w:r>
        <w:rPr/>
        <w:t>Comisión Mundial sobre el Medio Ambiente y el Desarrollo, (1998) p. 67-70.</w:t>
      </w:r>
    </w:p>
    <w:p>
      <w:pPr>
        <w:pStyle w:val="BodyText"/>
        <w:spacing w:before="10"/>
        <w:rPr>
          <w:sz w:val="20"/>
        </w:rPr>
      </w:pPr>
    </w:p>
    <w:p>
      <w:pPr>
        <w:pStyle w:val="BodyText"/>
        <w:spacing w:line="276" w:lineRule="auto"/>
        <w:ind w:left="341" w:right="125"/>
        <w:jc w:val="both"/>
      </w:pPr>
      <w:r>
        <w:rPr/>
        <w:t>Cordero, Ernesto (2009), “Mejoramiento de la vivienda rural: impacto de la instalación de piso firme y estufas ecológicas en las condiciones de vida de los hogares” </w:t>
      </w:r>
      <w:r>
        <w:rPr>
          <w:i/>
        </w:rPr>
        <w:t>Revista Estudios Agrarios, </w:t>
      </w:r>
      <w:r>
        <w:rPr/>
        <w:t>vol. 40.</w:t>
      </w:r>
    </w:p>
    <w:p>
      <w:pPr>
        <w:pStyle w:val="BodyText"/>
        <w:spacing w:before="8"/>
        <w:rPr>
          <w:sz w:val="20"/>
        </w:rPr>
      </w:pPr>
    </w:p>
    <w:p>
      <w:pPr>
        <w:spacing w:line="280" w:lineRule="auto" w:before="0"/>
        <w:ind w:left="341" w:right="118" w:firstLine="0"/>
        <w:jc w:val="both"/>
        <w:rPr>
          <w:sz w:val="24"/>
        </w:rPr>
      </w:pPr>
      <w:r>
        <w:rPr>
          <w:sz w:val="19"/>
        </w:rPr>
        <w:t>CONAPO </w:t>
      </w:r>
      <w:r>
        <w:rPr>
          <w:sz w:val="24"/>
        </w:rPr>
        <w:t>(2002), </w:t>
      </w:r>
      <w:r>
        <w:rPr>
          <w:i/>
          <w:sz w:val="24"/>
        </w:rPr>
        <w:t>Proyecciones de Población 2000-2030. </w:t>
      </w:r>
      <w:r>
        <w:rPr>
          <w:sz w:val="24"/>
        </w:rPr>
        <w:t>Consejo Nacional de Población. México. D.F.</w:t>
      </w:r>
    </w:p>
    <w:p>
      <w:pPr>
        <w:pStyle w:val="BodyText"/>
        <w:spacing w:before="1"/>
        <w:rPr>
          <w:sz w:val="27"/>
        </w:rPr>
      </w:pPr>
    </w:p>
    <w:p>
      <w:pPr>
        <w:spacing w:line="278" w:lineRule="auto" w:before="0"/>
        <w:ind w:left="341" w:right="116" w:firstLine="0"/>
        <w:jc w:val="both"/>
        <w:rPr>
          <w:sz w:val="24"/>
        </w:rPr>
      </w:pPr>
      <w:r>
        <w:rPr>
          <w:sz w:val="19"/>
        </w:rPr>
        <w:t>CONAPO </w:t>
      </w:r>
      <w:r>
        <w:rPr>
          <w:sz w:val="24"/>
        </w:rPr>
        <w:t>(2005), </w:t>
      </w:r>
      <w:r>
        <w:rPr>
          <w:i/>
          <w:sz w:val="24"/>
        </w:rPr>
        <w:t>Delimitación de las Zonas Metropolitanas de México</w:t>
      </w:r>
      <w:r>
        <w:rPr>
          <w:sz w:val="24"/>
        </w:rPr>
        <w:t>. Consejo Nacional de Población. México D. F.</w:t>
      </w:r>
    </w:p>
    <w:p>
      <w:pPr>
        <w:pStyle w:val="BodyText"/>
        <w:spacing w:before="1"/>
        <w:rPr>
          <w:sz w:val="27"/>
        </w:rPr>
      </w:pPr>
    </w:p>
    <w:p>
      <w:pPr>
        <w:spacing w:line="278" w:lineRule="auto" w:before="1"/>
        <w:ind w:left="341" w:right="116" w:firstLine="0"/>
        <w:jc w:val="both"/>
        <w:rPr>
          <w:sz w:val="24"/>
        </w:rPr>
      </w:pPr>
      <w:r>
        <w:rPr>
          <w:sz w:val="19"/>
        </w:rPr>
        <w:t>CONAPO </w:t>
      </w:r>
      <w:r>
        <w:rPr>
          <w:sz w:val="24"/>
        </w:rPr>
        <w:t>(2016), </w:t>
      </w:r>
      <w:r>
        <w:rPr>
          <w:i/>
          <w:sz w:val="24"/>
        </w:rPr>
        <w:t>Ciudades sostenibles en México: una propuesta conceptual y </w:t>
      </w:r>
      <w:r>
        <w:rPr>
          <w:i/>
          <w:sz w:val="24"/>
        </w:rPr>
        <w:t>operativa</w:t>
      </w:r>
      <w:r>
        <w:rPr>
          <w:sz w:val="24"/>
        </w:rPr>
        <w:t>. Consejo Nacional de Población. México D. F.</w:t>
      </w:r>
    </w:p>
    <w:p>
      <w:pPr>
        <w:pStyle w:val="BodyText"/>
        <w:spacing w:before="4"/>
        <w:rPr>
          <w:sz w:val="27"/>
        </w:rPr>
      </w:pPr>
    </w:p>
    <w:p>
      <w:pPr>
        <w:spacing w:line="360" w:lineRule="auto" w:before="0"/>
        <w:ind w:left="341" w:right="120" w:firstLine="0"/>
        <w:jc w:val="both"/>
        <w:rPr>
          <w:sz w:val="24"/>
        </w:rPr>
      </w:pPr>
      <w:r>
        <w:rPr>
          <w:sz w:val="19"/>
        </w:rPr>
        <w:t>CONAPO</w:t>
      </w:r>
      <w:r>
        <w:rPr>
          <w:sz w:val="24"/>
        </w:rPr>
        <w:t>/</w:t>
      </w:r>
      <w:r>
        <w:rPr>
          <w:sz w:val="19"/>
        </w:rPr>
        <w:t>SEDESOL</w:t>
      </w:r>
      <w:r>
        <w:rPr>
          <w:sz w:val="24"/>
        </w:rPr>
        <w:t>/</w:t>
      </w:r>
      <w:r>
        <w:rPr>
          <w:sz w:val="19"/>
        </w:rPr>
        <w:t>INEGI </w:t>
      </w:r>
      <w:r>
        <w:rPr>
          <w:sz w:val="24"/>
        </w:rPr>
        <w:t>(2008), </w:t>
      </w:r>
      <w:r>
        <w:rPr>
          <w:i/>
          <w:sz w:val="24"/>
        </w:rPr>
        <w:t>Delimitación de las zonas metropolitanas de </w:t>
      </w:r>
      <w:r>
        <w:rPr>
          <w:i/>
          <w:sz w:val="24"/>
        </w:rPr>
        <w:t>México, versión actualizada para el conteo de población y vivienda, 2005 y publicada en 2008. </w:t>
      </w:r>
      <w:r>
        <w:rPr>
          <w:sz w:val="24"/>
        </w:rPr>
        <w:t>Distrito Federal: Consejo Nacional de Población, Secretaria de Desarrollo Social e Instituto Nacional de Estadística y Geografía.</w:t>
      </w:r>
    </w:p>
    <w:p>
      <w:pPr>
        <w:pStyle w:val="BodyText"/>
      </w:pPr>
    </w:p>
    <w:p>
      <w:pPr>
        <w:spacing w:line="360" w:lineRule="auto" w:before="0"/>
        <w:ind w:left="341" w:right="115" w:firstLine="0"/>
        <w:jc w:val="both"/>
        <w:rPr>
          <w:sz w:val="24"/>
        </w:rPr>
      </w:pPr>
      <w:r>
        <w:rPr>
          <w:sz w:val="19"/>
        </w:rPr>
        <w:t>CONAPO</w:t>
      </w:r>
      <w:r>
        <w:rPr>
          <w:sz w:val="24"/>
        </w:rPr>
        <w:t>/</w:t>
      </w:r>
      <w:r>
        <w:rPr>
          <w:sz w:val="19"/>
        </w:rPr>
        <w:t>SEDESOL</w:t>
      </w:r>
      <w:r>
        <w:rPr>
          <w:sz w:val="24"/>
        </w:rPr>
        <w:t>/</w:t>
      </w:r>
      <w:r>
        <w:rPr>
          <w:sz w:val="19"/>
        </w:rPr>
        <w:t>INEGI </w:t>
      </w:r>
      <w:r>
        <w:rPr>
          <w:sz w:val="24"/>
        </w:rPr>
        <w:t>(2012), </w:t>
      </w:r>
      <w:r>
        <w:rPr>
          <w:i/>
          <w:sz w:val="24"/>
        </w:rPr>
        <w:t>Delimitación de las zonas metropolitanas de </w:t>
      </w:r>
      <w:r>
        <w:rPr>
          <w:i/>
          <w:sz w:val="24"/>
        </w:rPr>
        <w:t>México, versión actualizada para el censo de población y vivienda, 2010 y publicada en 2012. </w:t>
      </w:r>
      <w:r>
        <w:rPr>
          <w:sz w:val="24"/>
        </w:rPr>
        <w:t>Distrito Federal: Consejo Nacional de Población, Secretaria de Desarrollo Social e Instituto Nacional de Estadística y Geografía.</w:t>
      </w:r>
    </w:p>
    <w:p>
      <w:pPr>
        <w:pStyle w:val="BodyText"/>
        <w:spacing w:before="9"/>
        <w:rPr>
          <w:sz w:val="27"/>
        </w:rPr>
      </w:pPr>
    </w:p>
    <w:p>
      <w:pPr>
        <w:pStyle w:val="BodyText"/>
        <w:spacing w:line="360" w:lineRule="auto"/>
        <w:ind w:left="341" w:right="116"/>
        <w:jc w:val="both"/>
      </w:pPr>
      <w:r>
        <w:rPr/>
        <w:t>Coulomb, R. (2006), La articulación entre política habitacional y desarrollo urbano nacional: una necesidad no atendida. En Centro de Estudios Sociales y de Opinión Pública. Cámara de Diputados / LIX Legislatura (Ed.). La vivienda en México: construyendo análisis y propuestas (1era. Ed. pp. 23-38) Distrito Federal: México.</w:t>
      </w:r>
    </w:p>
    <w:p>
      <w:pPr>
        <w:spacing w:after="0" w:line="360" w:lineRule="auto"/>
        <w:jc w:val="both"/>
        <w:sectPr>
          <w:pgSz w:w="12240" w:h="15840"/>
          <w:pgMar w:header="0" w:footer="1003" w:top="1360" w:bottom="1200" w:left="1720" w:right="1580"/>
        </w:sectPr>
      </w:pPr>
    </w:p>
    <w:p>
      <w:pPr>
        <w:spacing w:line="362" w:lineRule="auto" w:before="52"/>
        <w:ind w:left="341" w:right="115" w:firstLine="0"/>
        <w:jc w:val="both"/>
        <w:rPr>
          <w:sz w:val="24"/>
        </w:rPr>
      </w:pPr>
      <w:r>
        <w:rPr>
          <w:sz w:val="24"/>
        </w:rPr>
        <w:t>Chávez, Ana María y Rodolfo Corona (2006), </w:t>
      </w:r>
      <w:r>
        <w:rPr>
          <w:i/>
          <w:sz w:val="24"/>
        </w:rPr>
        <w:t>La Población Flotante en México</w:t>
      </w:r>
      <w:r>
        <w:rPr>
          <w:sz w:val="24"/>
        </w:rPr>
        <w:t>, Documento de Trabajo, Consejo Nacional de Población, México.</w:t>
      </w:r>
    </w:p>
    <w:p>
      <w:pPr>
        <w:pStyle w:val="BodyText"/>
        <w:spacing w:line="360" w:lineRule="auto" w:before="201"/>
        <w:ind w:left="341" w:right="115"/>
        <w:jc w:val="both"/>
      </w:pPr>
      <w:r>
        <w:rPr/>
        <w:t>Chías, L., Iturbide, A. y Reyna, F. (2001), “Accesibilidad de las localidades del estado de México a la red carretera pavimentada: un enfoque metodológico”. Investigaciones Geográficas. Núm 46</w:t>
      </w:r>
    </w:p>
    <w:p>
      <w:pPr>
        <w:pStyle w:val="BodyText"/>
        <w:spacing w:line="357" w:lineRule="auto" w:before="204"/>
        <w:ind w:left="341" w:right="121"/>
        <w:jc w:val="both"/>
      </w:pPr>
      <w:r>
        <w:rPr/>
        <w:t>Egea, Carmen et al. (2009), “Viejas y nuevas realidades urbanas. Identificación de zonas de habitabilidad desfavorecida en la ciudad de Granada”. </w:t>
      </w:r>
      <w:r>
        <w:rPr>
          <w:i/>
          <w:sz w:val="19"/>
        </w:rPr>
        <w:t>CUADERNOS </w:t>
      </w:r>
      <w:r>
        <w:rPr>
          <w:i/>
          <w:sz w:val="19"/>
        </w:rPr>
        <w:t>GEOGRÁFICOS</w:t>
      </w:r>
      <w:r>
        <w:rPr/>
        <w:t>, núm.45 pp. 83-105.</w:t>
      </w:r>
    </w:p>
    <w:p>
      <w:pPr>
        <w:pStyle w:val="BodyText"/>
        <w:spacing w:line="360" w:lineRule="auto" w:before="209"/>
        <w:ind w:left="341" w:right="114"/>
        <w:jc w:val="both"/>
      </w:pPr>
      <w:r>
        <w:rPr/>
        <w:t>Espinoza, Ana Elena y Gómez, Azpeitia (2010), Hacia una concepción socio- física de la habitabilidad: espacialidad, sustentabilidad y sociedad. </w:t>
      </w:r>
      <w:r>
        <w:rPr>
          <w:i/>
          <w:sz w:val="19"/>
        </w:rPr>
        <w:t>PALAPA </w:t>
      </w:r>
      <w:r>
        <w:rPr/>
        <w:t>Vol.  5 No.10,</w:t>
      </w:r>
      <w:r>
        <w:rPr>
          <w:spacing w:val="-5"/>
        </w:rPr>
        <w:t> </w:t>
      </w:r>
      <w:r>
        <w:rPr/>
        <w:t>59-69.</w:t>
      </w:r>
    </w:p>
    <w:p>
      <w:pPr>
        <w:pStyle w:val="BodyText"/>
        <w:spacing w:line="276" w:lineRule="auto" w:before="204"/>
        <w:ind w:left="341" w:right="114"/>
        <w:jc w:val="both"/>
      </w:pPr>
      <w:r>
        <w:rPr/>
        <w:t>Esquivel, María Teresa (2006), “Política habitacional y calidad de vida: impacto de los nuevos desarrollos habitacionales” en Centro de Estudios Sociales y de Opinión Pública. Cámara de Diputados / LIX Legislatura. México D. F. pp. 83- 104.</w:t>
      </w:r>
    </w:p>
    <w:p>
      <w:pPr>
        <w:spacing w:line="276" w:lineRule="auto" w:before="198"/>
        <w:ind w:left="341" w:right="114" w:firstLine="0"/>
        <w:jc w:val="both"/>
        <w:rPr>
          <w:sz w:val="24"/>
        </w:rPr>
      </w:pPr>
      <w:r>
        <w:rPr>
          <w:sz w:val="24"/>
        </w:rPr>
        <w:t>De Anda, Enrique X. (2008), </w:t>
      </w:r>
      <w:r>
        <w:rPr>
          <w:i/>
          <w:sz w:val="24"/>
        </w:rPr>
        <w:t>Vivienda colectiva de la modernidad en México. </w:t>
      </w:r>
      <w:r>
        <w:rPr>
          <w:i/>
          <w:sz w:val="24"/>
        </w:rPr>
        <w:t>Los multifamiliares durante el periodo presidencial de Miguel Alemán (1946- 1952). </w:t>
      </w:r>
      <w:r>
        <w:rPr>
          <w:sz w:val="24"/>
        </w:rPr>
        <w:t>México: </w:t>
      </w:r>
      <w:r>
        <w:rPr>
          <w:i/>
          <w:sz w:val="19"/>
        </w:rPr>
        <w:t>UNAM  </w:t>
      </w:r>
      <w:r>
        <w:rPr>
          <w:sz w:val="24"/>
        </w:rPr>
        <w:t>Instituto de Investigaciones Estéticas.</w:t>
      </w:r>
    </w:p>
    <w:p>
      <w:pPr>
        <w:pStyle w:val="BodyText"/>
        <w:spacing w:line="360" w:lineRule="auto" w:before="202"/>
        <w:ind w:left="341" w:right="116"/>
        <w:jc w:val="both"/>
      </w:pPr>
      <w:r>
        <w:rPr/>
        <w:t>DENUE (2014), Directorio Estadístico Nacional de Unidades Económicas. Aguascalientes. INEGI.</w:t>
      </w:r>
    </w:p>
    <w:p>
      <w:pPr>
        <w:pStyle w:val="BodyText"/>
        <w:spacing w:before="2"/>
      </w:pPr>
    </w:p>
    <w:p>
      <w:pPr>
        <w:pStyle w:val="BodyText"/>
        <w:spacing w:line="360" w:lineRule="auto"/>
        <w:ind w:left="341" w:right="116"/>
        <w:jc w:val="both"/>
      </w:pPr>
      <w:r>
        <w:rPr/>
        <w:t>Domínguez, J. (2010), El acceso al agua y saneamiento: Un problema de capacidad institucional local. Análisis en el estado de Veracruz. </w:t>
      </w:r>
      <w:r>
        <w:rPr>
          <w:i/>
        </w:rPr>
        <w:t>Gestión y </w:t>
      </w:r>
      <w:r>
        <w:rPr>
          <w:i/>
        </w:rPr>
        <w:t>Política Pública</w:t>
      </w:r>
      <w:r>
        <w:rPr/>
        <w:t>, Vol. XIX, No. 2, 311-350.</w:t>
      </w:r>
    </w:p>
    <w:p>
      <w:pPr>
        <w:pStyle w:val="BodyText"/>
        <w:spacing w:before="5"/>
      </w:pPr>
    </w:p>
    <w:p>
      <w:pPr>
        <w:spacing w:line="278" w:lineRule="auto" w:before="0"/>
        <w:ind w:left="341" w:right="120" w:firstLine="0"/>
        <w:jc w:val="both"/>
        <w:rPr>
          <w:sz w:val="24"/>
        </w:rPr>
      </w:pPr>
      <w:r>
        <w:rPr>
          <w:sz w:val="24"/>
        </w:rPr>
        <w:t>Ducci, María Elena (1989), </w:t>
      </w:r>
      <w:r>
        <w:rPr>
          <w:i/>
          <w:sz w:val="24"/>
        </w:rPr>
        <w:t>Conceptos básicos de urbanismo</w:t>
      </w:r>
      <w:r>
        <w:rPr>
          <w:sz w:val="24"/>
        </w:rPr>
        <w:t>. México Distrito Federal. Trillas.</w:t>
      </w:r>
    </w:p>
    <w:p>
      <w:pPr>
        <w:pStyle w:val="BodyText"/>
        <w:spacing w:before="4"/>
        <w:rPr>
          <w:sz w:val="27"/>
        </w:rPr>
      </w:pPr>
    </w:p>
    <w:p>
      <w:pPr>
        <w:spacing w:line="276" w:lineRule="auto" w:before="0"/>
        <w:ind w:left="341" w:right="120" w:firstLine="0"/>
        <w:jc w:val="both"/>
        <w:rPr>
          <w:sz w:val="24"/>
        </w:rPr>
      </w:pPr>
      <w:r>
        <w:rPr>
          <w:sz w:val="24"/>
        </w:rPr>
        <w:t>Duhau Emilio y Giglia Angela (2008), </w:t>
      </w:r>
      <w:r>
        <w:rPr>
          <w:i/>
          <w:sz w:val="24"/>
        </w:rPr>
        <w:t>Las reglas del desorden: Habitar la </w:t>
      </w:r>
      <w:r>
        <w:rPr>
          <w:i/>
          <w:sz w:val="24"/>
        </w:rPr>
        <w:t>metrópoli. </w:t>
      </w:r>
      <w:r>
        <w:rPr>
          <w:sz w:val="24"/>
        </w:rPr>
        <w:t>México, Distrito Federal. Universidad Autónoma Metropolitana Unidad Azcapotzalco. Siglo XXI Editores.</w:t>
      </w:r>
    </w:p>
    <w:p>
      <w:pPr>
        <w:spacing w:after="0" w:line="276" w:lineRule="auto"/>
        <w:jc w:val="both"/>
        <w:rPr>
          <w:sz w:val="24"/>
        </w:rPr>
        <w:sectPr>
          <w:pgSz w:w="12240" w:h="15840"/>
          <w:pgMar w:header="0" w:footer="1003" w:top="1360" w:bottom="1200" w:left="1720" w:right="1580"/>
        </w:sectPr>
      </w:pPr>
    </w:p>
    <w:p>
      <w:pPr>
        <w:pStyle w:val="BodyText"/>
        <w:spacing w:line="360" w:lineRule="auto" w:before="54"/>
        <w:ind w:left="341" w:right="122"/>
        <w:jc w:val="both"/>
      </w:pPr>
      <w:r>
        <w:rPr/>
        <w:t>Fernández, J. (2002), Servicios públicos municipales. Instituto Nacional de Administración Pública. Universidad Nacional Autónoma de México. México D. F.</w:t>
      </w:r>
    </w:p>
    <w:p>
      <w:pPr>
        <w:pStyle w:val="BodyText"/>
        <w:spacing w:line="360" w:lineRule="auto" w:before="204"/>
        <w:ind w:left="341" w:right="121"/>
        <w:jc w:val="both"/>
      </w:pPr>
      <w:r>
        <w:rPr/>
        <w:t>Fernández, J. M. (2006), La vivienda: como componente principal de las metrópolis. En Centro de Estudios Sociales y de Opinión Pública. Cámara de Diputados / LIX Legislatura (Ed.). La vivienda en México: construyendo análisis y propuestas (1era. Ed. pp. 57-68). Distrito Federal: México.</w:t>
      </w:r>
    </w:p>
    <w:p>
      <w:pPr>
        <w:pStyle w:val="BodyText"/>
        <w:spacing w:line="276" w:lineRule="auto" w:before="202"/>
        <w:ind w:left="341" w:right="114"/>
        <w:jc w:val="both"/>
      </w:pPr>
      <w:r>
        <w:rPr/>
        <w:t>Fique, Luis Fernando (2005), “La habitabilidad de la vivienda de interés social en Colombia. Un enfoque en los procesos y las decisiones”, </w:t>
      </w:r>
      <w:r>
        <w:rPr>
          <w:i/>
        </w:rPr>
        <w:t>Revista </w:t>
      </w:r>
      <w:r>
        <w:rPr>
          <w:i/>
          <w:sz w:val="19"/>
        </w:rPr>
        <w:t>INVI</w:t>
      </w:r>
      <w:r>
        <w:rPr/>
        <w:t>, núm. 55 pp.12-19.</w:t>
      </w:r>
    </w:p>
    <w:p>
      <w:pPr>
        <w:pStyle w:val="BodyText"/>
        <w:spacing w:line="276" w:lineRule="auto" w:before="202"/>
        <w:ind w:left="341" w:right="119"/>
        <w:jc w:val="both"/>
      </w:pPr>
      <w:r>
        <w:rPr/>
        <w:t>Frías et al (2008), Herramientas de apoyo a la solución de problemas no estructurados en empresas turísticas (HASPET). Universidad de Matanzas, Cuba.</w:t>
      </w:r>
    </w:p>
    <w:p>
      <w:pPr>
        <w:spacing w:line="278" w:lineRule="auto" w:before="200"/>
        <w:ind w:left="341" w:right="117" w:firstLine="0"/>
        <w:jc w:val="both"/>
        <w:rPr>
          <w:sz w:val="24"/>
        </w:rPr>
      </w:pPr>
      <w:r>
        <w:rPr>
          <w:sz w:val="24"/>
        </w:rPr>
        <w:t>Foster, HD. (1992), </w:t>
      </w:r>
      <w:r>
        <w:rPr>
          <w:i/>
          <w:sz w:val="24"/>
        </w:rPr>
        <w:t>Health, Disease and the Environment</w:t>
      </w:r>
      <w:r>
        <w:rPr>
          <w:sz w:val="24"/>
        </w:rPr>
        <w:t>. London, England: Belhaven Press.</w:t>
      </w:r>
    </w:p>
    <w:p>
      <w:pPr>
        <w:pStyle w:val="BodyText"/>
        <w:spacing w:before="1"/>
        <w:rPr>
          <w:sz w:val="27"/>
        </w:rPr>
      </w:pPr>
    </w:p>
    <w:p>
      <w:pPr>
        <w:spacing w:line="278" w:lineRule="auto" w:before="1"/>
        <w:ind w:left="341" w:right="120" w:firstLine="0"/>
        <w:jc w:val="both"/>
        <w:rPr>
          <w:sz w:val="24"/>
        </w:rPr>
      </w:pPr>
      <w:r>
        <w:rPr>
          <w:sz w:val="24"/>
        </w:rPr>
        <w:t>García de León, Armando (1988), </w:t>
      </w:r>
      <w:r>
        <w:rPr>
          <w:i/>
          <w:sz w:val="24"/>
        </w:rPr>
        <w:t>Generalidades del análisis de cúmulos y del </w:t>
      </w:r>
      <w:r>
        <w:rPr>
          <w:i/>
          <w:sz w:val="24"/>
        </w:rPr>
        <w:t>análisis de componentes principales. </w:t>
      </w:r>
      <w:r>
        <w:rPr>
          <w:sz w:val="24"/>
        </w:rPr>
        <w:t>Instituto de Geografía, Universidad Nacional Autónoma de México, México, D. F.</w:t>
      </w:r>
    </w:p>
    <w:p>
      <w:pPr>
        <w:spacing w:line="278" w:lineRule="auto" w:before="194"/>
        <w:ind w:left="341" w:right="116" w:firstLine="0"/>
        <w:jc w:val="both"/>
        <w:rPr>
          <w:sz w:val="24"/>
        </w:rPr>
      </w:pPr>
      <w:r>
        <w:rPr>
          <w:sz w:val="24"/>
        </w:rPr>
        <w:t>Garrocho, Carlos (1995), </w:t>
      </w:r>
      <w:r>
        <w:rPr>
          <w:i/>
          <w:sz w:val="24"/>
        </w:rPr>
        <w:t>Análisis socioespacial de los servicios de salud: </w:t>
      </w:r>
      <w:r>
        <w:rPr>
          <w:i/>
          <w:sz w:val="24"/>
        </w:rPr>
        <w:t>accesibilidad, utilización y calidad</w:t>
      </w:r>
      <w:r>
        <w:rPr>
          <w:sz w:val="24"/>
        </w:rPr>
        <w:t>. México, El Colegio Mexiquense-DIF Estado de México.</w:t>
      </w:r>
    </w:p>
    <w:p>
      <w:pPr>
        <w:pStyle w:val="BodyText"/>
        <w:spacing w:line="276" w:lineRule="auto" w:before="197"/>
        <w:ind w:left="341" w:right="115"/>
        <w:jc w:val="both"/>
      </w:pPr>
      <w:r>
        <w:rPr/>
        <w:t>Garrocho, C. y Campos, J. (2006), Un indicador de accesibilidad a servicios clave para ciudades mexicanas: fundamentos, diseño y aplicación. E</w:t>
      </w:r>
      <w:r>
        <w:rPr>
          <w:sz w:val="19"/>
        </w:rPr>
        <w:t>CONOMÍA</w:t>
      </w:r>
      <w:r>
        <w:rPr/>
        <w:t>, S</w:t>
      </w:r>
      <w:r>
        <w:rPr>
          <w:sz w:val="19"/>
        </w:rPr>
        <w:t>OCIEDAD Y </w:t>
      </w:r>
      <w:r>
        <w:rPr/>
        <w:t>T</w:t>
      </w:r>
      <w:r>
        <w:rPr>
          <w:sz w:val="19"/>
        </w:rPr>
        <w:t>ERRITORIO</w:t>
      </w:r>
      <w:r>
        <w:rPr/>
        <w:t>, Vol. VI, Núm. 22, 1-60.</w:t>
      </w:r>
    </w:p>
    <w:p>
      <w:pPr>
        <w:spacing w:line="278" w:lineRule="auto" w:before="198"/>
        <w:ind w:left="341" w:right="116" w:firstLine="0"/>
        <w:jc w:val="both"/>
        <w:rPr>
          <w:sz w:val="24"/>
        </w:rPr>
      </w:pPr>
      <w:r>
        <w:rPr>
          <w:sz w:val="24"/>
        </w:rPr>
        <w:t>Garrocho, Carlos (2008), “</w:t>
      </w:r>
      <w:r>
        <w:rPr>
          <w:i/>
          <w:sz w:val="24"/>
        </w:rPr>
        <w:t>Pobreza urbana en asentamientos irregulares de </w:t>
      </w:r>
      <w:r>
        <w:rPr>
          <w:i/>
          <w:sz w:val="24"/>
        </w:rPr>
        <w:t>grandes ciudades mexicanas: la trampa de la localización periférica</w:t>
      </w:r>
      <w:r>
        <w:rPr>
          <w:sz w:val="24"/>
        </w:rPr>
        <w:t>”</w:t>
      </w:r>
      <w:r>
        <w:rPr>
          <w:i/>
          <w:sz w:val="24"/>
        </w:rPr>
        <w:t>. </w:t>
      </w:r>
      <w:r>
        <w:rPr>
          <w:sz w:val="24"/>
        </w:rPr>
        <w:t>En dictaminación.</w:t>
      </w:r>
    </w:p>
    <w:p>
      <w:pPr>
        <w:spacing w:line="276" w:lineRule="auto" w:before="197"/>
        <w:ind w:left="341" w:right="120" w:firstLine="0"/>
        <w:jc w:val="both"/>
        <w:rPr>
          <w:sz w:val="24"/>
        </w:rPr>
      </w:pPr>
      <w:r>
        <w:rPr>
          <w:sz w:val="24"/>
        </w:rPr>
        <w:t>Garrocho, Carlos (2010), “Pobreza urbana en asentamientos irregulares de ciudades mexicanas: la trampa de la localización periférica”, en Enrique Cabrero (Coord.) </w:t>
      </w:r>
      <w:r>
        <w:rPr>
          <w:i/>
          <w:sz w:val="24"/>
        </w:rPr>
        <w:t>Ciudades mexicanas: desafíos en concierto</w:t>
      </w:r>
      <w:r>
        <w:rPr>
          <w:sz w:val="24"/>
        </w:rPr>
        <w:t>, </w:t>
      </w:r>
      <w:r>
        <w:rPr>
          <w:sz w:val="19"/>
        </w:rPr>
        <w:t>CONACULTA</w:t>
      </w:r>
      <w:r>
        <w:rPr>
          <w:sz w:val="24"/>
        </w:rPr>
        <w:t>, México.</w:t>
      </w:r>
    </w:p>
    <w:p>
      <w:pPr>
        <w:spacing w:after="0" w:line="276" w:lineRule="auto"/>
        <w:jc w:val="both"/>
        <w:rPr>
          <w:sz w:val="24"/>
        </w:rPr>
        <w:sectPr>
          <w:pgSz w:w="12240" w:h="15840"/>
          <w:pgMar w:header="0" w:footer="1003" w:top="1360" w:bottom="1200" w:left="1720" w:right="1580"/>
        </w:sectPr>
      </w:pPr>
    </w:p>
    <w:p>
      <w:pPr>
        <w:spacing w:line="278" w:lineRule="auto" w:before="52"/>
        <w:ind w:left="341" w:right="118" w:firstLine="0"/>
        <w:jc w:val="both"/>
        <w:rPr>
          <w:sz w:val="24"/>
        </w:rPr>
      </w:pPr>
      <w:r>
        <w:rPr>
          <w:sz w:val="24"/>
        </w:rPr>
        <w:t>Garrocho, Carlos (2012), </w:t>
      </w:r>
      <w:r>
        <w:rPr>
          <w:i/>
          <w:sz w:val="24"/>
        </w:rPr>
        <w:t>Población Flotante, Población en movimiento: </w:t>
      </w:r>
      <w:r>
        <w:rPr>
          <w:i/>
          <w:sz w:val="24"/>
        </w:rPr>
        <w:t>Conceptos Clave y Métodos de Análisis Exitosos. </w:t>
      </w:r>
      <w:r>
        <w:rPr>
          <w:sz w:val="24"/>
        </w:rPr>
        <w:t>México, Consejo Nacional de Población: El Colegio Mexiquense A. C.</w:t>
      </w:r>
    </w:p>
    <w:p>
      <w:pPr>
        <w:spacing w:line="276" w:lineRule="auto" w:before="194"/>
        <w:ind w:left="341" w:right="118" w:firstLine="0"/>
        <w:jc w:val="both"/>
        <w:rPr>
          <w:sz w:val="24"/>
        </w:rPr>
      </w:pPr>
      <w:r>
        <w:rPr>
          <w:sz w:val="24"/>
        </w:rPr>
        <w:t>Garza Hernández, Diana (2005), “</w:t>
      </w:r>
      <w:r>
        <w:rPr>
          <w:i/>
          <w:sz w:val="24"/>
        </w:rPr>
        <w:t>Valoración de la habitabilidad en la vivienda  </w:t>
      </w:r>
      <w:r>
        <w:rPr>
          <w:i/>
          <w:sz w:val="24"/>
        </w:rPr>
        <w:t>y los espacios que la circundan, en fraccionamientos de la </w:t>
      </w:r>
      <w:r>
        <w:rPr>
          <w:i/>
          <w:sz w:val="19"/>
        </w:rPr>
        <w:t>ZMCM</w:t>
      </w:r>
      <w:r>
        <w:rPr>
          <w:i/>
          <w:sz w:val="24"/>
        </w:rPr>
        <w:t>, seis casos de estudio</w:t>
      </w:r>
      <w:r>
        <w:rPr>
          <w:sz w:val="24"/>
        </w:rPr>
        <w:t>”, tesis de licenciatura en arquitectura, Facultad de Arquitectura, Universidad Nacional Autónoma de</w:t>
      </w:r>
      <w:r>
        <w:rPr>
          <w:spacing w:val="-11"/>
          <w:sz w:val="24"/>
        </w:rPr>
        <w:t> </w:t>
      </w:r>
      <w:r>
        <w:rPr>
          <w:sz w:val="24"/>
        </w:rPr>
        <w:t>México.</w:t>
      </w:r>
    </w:p>
    <w:p>
      <w:pPr>
        <w:pStyle w:val="BodyText"/>
        <w:spacing w:line="278" w:lineRule="auto" w:before="200"/>
        <w:ind w:left="341" w:right="116"/>
        <w:jc w:val="both"/>
      </w:pPr>
      <w:r>
        <w:rPr/>
        <w:t>Gervais-Lambony, P. (2007), </w:t>
      </w:r>
      <w:r>
        <w:rPr>
          <w:i/>
        </w:rPr>
        <w:t>“Spatial justice”. </w:t>
      </w:r>
      <w:r>
        <w:rPr/>
        <w:t>En </w:t>
      </w:r>
      <w:hyperlink r:id="rId1001">
        <w:r>
          <w:rPr/>
          <w:t>http://www.h-</w:t>
        </w:r>
      </w:hyperlink>
      <w:r>
        <w:rPr/>
        <w:t> </w:t>
      </w:r>
      <w:hyperlink r:id="rId1001">
        <w:r>
          <w:rPr/>
          <w:t>net.org/announce/show.cgi?ID=155684</w:t>
        </w:r>
      </w:hyperlink>
      <w:r>
        <w:rPr/>
        <w:t>, consultado en 2015</w:t>
      </w:r>
    </w:p>
    <w:p>
      <w:pPr>
        <w:spacing w:line="360" w:lineRule="auto" w:before="197"/>
        <w:ind w:left="341" w:right="115" w:firstLine="0"/>
        <w:jc w:val="both"/>
        <w:rPr>
          <w:sz w:val="24"/>
        </w:rPr>
      </w:pPr>
      <w:r>
        <w:rPr>
          <w:sz w:val="24"/>
        </w:rPr>
        <w:t>Gledhill, J. (2010), El derecho a una vivienda. </w:t>
      </w:r>
      <w:r>
        <w:rPr>
          <w:i/>
          <w:sz w:val="19"/>
        </w:rPr>
        <w:t>ANTROPOLOGÍA SOCIAL</w:t>
      </w:r>
      <w:r>
        <w:rPr>
          <w:sz w:val="24"/>
        </w:rPr>
        <w:t>, Vol. 19, 103-129.</w:t>
      </w:r>
    </w:p>
    <w:p>
      <w:pPr>
        <w:pStyle w:val="BodyText"/>
        <w:spacing w:before="5"/>
      </w:pPr>
    </w:p>
    <w:p>
      <w:pPr>
        <w:spacing w:line="273" w:lineRule="auto" w:before="0"/>
        <w:ind w:left="341" w:right="121" w:firstLine="0"/>
        <w:jc w:val="both"/>
        <w:rPr>
          <w:i/>
          <w:sz w:val="24"/>
        </w:rPr>
      </w:pPr>
      <w:r>
        <w:rPr>
          <w:sz w:val="24"/>
        </w:rPr>
        <w:t>Gutiérrez, Felipe de Jesús (2007), Planeación estratégica y nuevo orden  urbano Dirección General de Desarrollo Urbano en </w:t>
      </w:r>
      <w:hyperlink r:id="rId1002">
        <w:r>
          <w:rPr>
            <w:i/>
            <w:sz w:val="24"/>
          </w:rPr>
          <w:t>http://www.adoc.org.mx/2007congreso/figg01.pdf</w:t>
        </w:r>
      </w:hyperlink>
    </w:p>
    <w:p>
      <w:pPr>
        <w:spacing w:line="276" w:lineRule="auto" w:before="205"/>
        <w:ind w:left="341" w:right="115" w:firstLine="0"/>
        <w:jc w:val="both"/>
        <w:rPr>
          <w:sz w:val="24"/>
        </w:rPr>
      </w:pPr>
      <w:r>
        <w:rPr>
          <w:sz w:val="24"/>
        </w:rPr>
        <w:t>González, José (1987), </w:t>
      </w:r>
      <w:r>
        <w:rPr>
          <w:i/>
          <w:sz w:val="24"/>
        </w:rPr>
        <w:t>Normas de diseño para vivienda de interés social</w:t>
      </w:r>
      <w:r>
        <w:rPr>
          <w:sz w:val="24"/>
        </w:rPr>
        <w:t>. Morelia, Michoacán. Instituto Regional de Investigaciones de la Construcción del Estado de Michoacán.</w:t>
      </w:r>
    </w:p>
    <w:p>
      <w:pPr>
        <w:pStyle w:val="BodyText"/>
        <w:spacing w:line="276" w:lineRule="auto" w:before="202"/>
        <w:ind w:left="341" w:right="116"/>
        <w:jc w:val="both"/>
      </w:pPr>
      <w:r>
        <w:rPr/>
        <w:t>Goodall, B. (1987), The Penguin dictionary of human geography. Inglaterra, Penguin Books.</w:t>
      </w:r>
    </w:p>
    <w:p>
      <w:pPr>
        <w:pStyle w:val="BodyText"/>
        <w:spacing w:line="278" w:lineRule="auto" w:before="200"/>
        <w:ind w:left="341" w:right="118"/>
        <w:jc w:val="both"/>
      </w:pPr>
      <w:r>
        <w:rPr/>
        <w:t>Haber, Audrey; Runyon R. P. (1973), Estadística general. Fondo Educativo Interamericano E.U. A</w:t>
      </w:r>
    </w:p>
    <w:p>
      <w:pPr>
        <w:spacing w:line="276" w:lineRule="auto" w:before="194"/>
        <w:ind w:left="341" w:right="123" w:firstLine="0"/>
        <w:jc w:val="both"/>
        <w:rPr>
          <w:i/>
          <w:sz w:val="24"/>
        </w:rPr>
      </w:pPr>
      <w:r>
        <w:rPr>
          <w:sz w:val="24"/>
        </w:rPr>
        <w:t>Haining, R. (2003), </w:t>
      </w:r>
      <w:r>
        <w:rPr>
          <w:i/>
          <w:sz w:val="24"/>
        </w:rPr>
        <w:t>Spatial data analysis: theory and practice, Cambridge </w:t>
      </w:r>
      <w:r>
        <w:rPr>
          <w:i/>
          <w:sz w:val="24"/>
        </w:rPr>
        <w:t>University Press, Londres.</w:t>
      </w:r>
    </w:p>
    <w:p>
      <w:pPr>
        <w:spacing w:before="202"/>
        <w:ind w:left="341" w:right="0" w:firstLine="0"/>
        <w:jc w:val="both"/>
        <w:rPr>
          <w:sz w:val="24"/>
        </w:rPr>
      </w:pPr>
      <w:r>
        <w:rPr>
          <w:sz w:val="24"/>
        </w:rPr>
        <w:t>Harvey, David (1979),  </w:t>
      </w:r>
      <w:r>
        <w:rPr>
          <w:i/>
          <w:sz w:val="24"/>
        </w:rPr>
        <w:t>Urbanismo y desigualdad social, México</w:t>
      </w:r>
      <w:r>
        <w:rPr>
          <w:sz w:val="24"/>
        </w:rPr>
        <w:t>. México    Siglo</w:t>
      </w:r>
    </w:p>
    <w:p>
      <w:pPr>
        <w:spacing w:before="41"/>
        <w:ind w:left="341" w:right="0" w:firstLine="0"/>
        <w:jc w:val="both"/>
        <w:rPr>
          <w:sz w:val="24"/>
        </w:rPr>
      </w:pPr>
      <w:r>
        <w:rPr>
          <w:i/>
          <w:sz w:val="19"/>
        </w:rPr>
        <w:t>XXI </w:t>
      </w:r>
      <w:r>
        <w:rPr>
          <w:sz w:val="24"/>
        </w:rPr>
        <w:t>Editores.</w:t>
      </w:r>
    </w:p>
    <w:p>
      <w:pPr>
        <w:pStyle w:val="BodyText"/>
        <w:spacing w:before="1"/>
        <w:rPr>
          <w:sz w:val="21"/>
        </w:rPr>
      </w:pPr>
    </w:p>
    <w:p>
      <w:pPr>
        <w:spacing w:before="0"/>
        <w:ind w:left="341" w:right="0" w:firstLine="0"/>
        <w:jc w:val="both"/>
        <w:rPr>
          <w:i/>
          <w:sz w:val="24"/>
        </w:rPr>
      </w:pPr>
      <w:r>
        <w:rPr>
          <w:sz w:val="24"/>
        </w:rPr>
        <w:t>Housing (2006), </w:t>
      </w:r>
      <w:r>
        <w:rPr>
          <w:i/>
          <w:sz w:val="24"/>
        </w:rPr>
        <w:t>A Decent Home: Definition and guidance for    implementation.</w:t>
      </w:r>
    </w:p>
    <w:p>
      <w:pPr>
        <w:pStyle w:val="BodyText"/>
        <w:spacing w:before="43"/>
        <w:ind w:left="341"/>
        <w:jc w:val="both"/>
      </w:pPr>
      <w:r>
        <w:rPr/>
        <w:t>Departament for Communities and Local Government. London.</w:t>
      </w:r>
    </w:p>
    <w:p>
      <w:pPr>
        <w:pStyle w:val="BodyText"/>
        <w:spacing w:before="10"/>
        <w:rPr>
          <w:sz w:val="20"/>
        </w:rPr>
      </w:pPr>
    </w:p>
    <w:p>
      <w:pPr>
        <w:spacing w:before="0"/>
        <w:ind w:left="341" w:right="0" w:firstLine="0"/>
        <w:jc w:val="both"/>
        <w:rPr>
          <w:sz w:val="24"/>
        </w:rPr>
      </w:pPr>
      <w:r>
        <w:rPr>
          <w:sz w:val="19"/>
        </w:rPr>
        <w:t>INEGI </w:t>
      </w:r>
      <w:r>
        <w:rPr>
          <w:sz w:val="24"/>
        </w:rPr>
        <w:t>(1990), </w:t>
      </w:r>
      <w:r>
        <w:rPr>
          <w:i/>
          <w:sz w:val="24"/>
        </w:rPr>
        <w:t>XI Censo de Población y Vivienda. </w:t>
      </w:r>
      <w:r>
        <w:rPr>
          <w:sz w:val="24"/>
        </w:rPr>
        <w:t>Aguascalientes. INEGI.</w:t>
      </w:r>
    </w:p>
    <w:p>
      <w:pPr>
        <w:pStyle w:val="BodyText"/>
        <w:spacing w:before="2"/>
        <w:rPr>
          <w:sz w:val="29"/>
        </w:rPr>
      </w:pPr>
    </w:p>
    <w:p>
      <w:pPr>
        <w:spacing w:before="0"/>
        <w:ind w:left="341" w:right="0" w:firstLine="0"/>
        <w:jc w:val="both"/>
        <w:rPr>
          <w:sz w:val="24"/>
        </w:rPr>
      </w:pPr>
      <w:r>
        <w:rPr>
          <w:sz w:val="19"/>
        </w:rPr>
        <w:t>INEGI </w:t>
      </w:r>
      <w:r>
        <w:rPr>
          <w:sz w:val="24"/>
        </w:rPr>
        <w:t>(2000), </w:t>
      </w:r>
      <w:r>
        <w:rPr>
          <w:i/>
          <w:sz w:val="24"/>
        </w:rPr>
        <w:t>XII Censo de Población y Vivienda. </w:t>
      </w:r>
      <w:r>
        <w:rPr>
          <w:sz w:val="24"/>
        </w:rPr>
        <w:t>Aguascalientes. INEGI.</w:t>
      </w:r>
    </w:p>
    <w:p>
      <w:pPr>
        <w:pStyle w:val="BodyText"/>
        <w:spacing w:before="4"/>
        <w:rPr>
          <w:sz w:val="29"/>
        </w:rPr>
      </w:pPr>
    </w:p>
    <w:p>
      <w:pPr>
        <w:spacing w:before="1"/>
        <w:ind w:left="341" w:right="0" w:firstLine="0"/>
        <w:jc w:val="both"/>
        <w:rPr>
          <w:i/>
          <w:sz w:val="24"/>
        </w:rPr>
      </w:pPr>
      <w:r>
        <w:rPr>
          <w:sz w:val="19"/>
        </w:rPr>
        <w:t>INEGI  </w:t>
      </w:r>
      <w:r>
        <w:rPr>
          <w:sz w:val="24"/>
        </w:rPr>
        <w:t>(2000),  </w:t>
      </w:r>
      <w:r>
        <w:rPr>
          <w:i/>
          <w:sz w:val="24"/>
        </w:rPr>
        <w:t>Glosario  de  términos  del  XII  Censo  de  Población  y Vivienda.</w:t>
      </w:r>
    </w:p>
    <w:p>
      <w:pPr>
        <w:pStyle w:val="BodyText"/>
        <w:spacing w:before="141"/>
        <w:ind w:left="341"/>
        <w:jc w:val="both"/>
      </w:pPr>
      <w:r>
        <w:rPr/>
        <w:t>Aguascalientes: Editorial INEGI.</w:t>
      </w:r>
    </w:p>
    <w:p>
      <w:pPr>
        <w:spacing w:after="0"/>
        <w:jc w:val="both"/>
        <w:sectPr>
          <w:pgSz w:w="12240" w:h="15840"/>
          <w:pgMar w:header="0" w:footer="1003" w:top="1360" w:bottom="1200" w:left="1720" w:right="1580"/>
        </w:sectPr>
      </w:pPr>
    </w:p>
    <w:p>
      <w:pPr>
        <w:spacing w:before="52"/>
        <w:ind w:left="341" w:right="0" w:firstLine="0"/>
        <w:jc w:val="both"/>
        <w:rPr>
          <w:sz w:val="24"/>
        </w:rPr>
      </w:pPr>
      <w:r>
        <w:rPr>
          <w:sz w:val="19"/>
        </w:rPr>
        <w:t>INEGI </w:t>
      </w:r>
      <w:r>
        <w:rPr>
          <w:sz w:val="24"/>
        </w:rPr>
        <w:t>(2010), </w:t>
      </w:r>
      <w:r>
        <w:rPr>
          <w:i/>
          <w:sz w:val="24"/>
        </w:rPr>
        <w:t>XIII Censo de Población y Vivienda. </w:t>
      </w:r>
      <w:r>
        <w:rPr>
          <w:sz w:val="24"/>
        </w:rPr>
        <w:t>Aguascalientes. INEGI.</w:t>
      </w:r>
    </w:p>
    <w:p>
      <w:pPr>
        <w:pStyle w:val="BodyText"/>
        <w:spacing w:before="4"/>
        <w:rPr>
          <w:sz w:val="29"/>
        </w:rPr>
      </w:pPr>
    </w:p>
    <w:p>
      <w:pPr>
        <w:pStyle w:val="BodyText"/>
        <w:spacing w:before="1"/>
        <w:ind w:left="341"/>
        <w:jc w:val="both"/>
      </w:pPr>
      <w:r>
        <w:rPr>
          <w:sz w:val="19"/>
        </w:rPr>
        <w:t>INEGI </w:t>
      </w:r>
      <w:r>
        <w:rPr/>
        <w:t>(2015), Encuesta Intercensal 2015</w:t>
      </w:r>
      <w:r>
        <w:rPr>
          <w:i/>
        </w:rPr>
        <w:t>. </w:t>
      </w:r>
      <w:r>
        <w:rPr/>
        <w:t>Aguascalientes. INEGI.</w:t>
      </w:r>
    </w:p>
    <w:p>
      <w:pPr>
        <w:pStyle w:val="BodyText"/>
        <w:spacing w:before="4"/>
        <w:rPr>
          <w:sz w:val="29"/>
        </w:rPr>
      </w:pPr>
    </w:p>
    <w:p>
      <w:pPr>
        <w:spacing w:line="362" w:lineRule="auto" w:before="1"/>
        <w:ind w:left="341" w:right="115" w:firstLine="0"/>
        <w:jc w:val="both"/>
        <w:rPr>
          <w:sz w:val="24"/>
        </w:rPr>
      </w:pPr>
      <w:r>
        <w:rPr>
          <w:sz w:val="19"/>
        </w:rPr>
        <w:t>INEGI </w:t>
      </w:r>
      <w:r>
        <w:rPr>
          <w:sz w:val="24"/>
        </w:rPr>
        <w:t>(2010), </w:t>
      </w:r>
      <w:r>
        <w:rPr>
          <w:i/>
          <w:sz w:val="24"/>
        </w:rPr>
        <w:t>Glosario de términos del XIII Censo de Población y Vivienda</w:t>
      </w:r>
      <w:r>
        <w:rPr>
          <w:sz w:val="24"/>
        </w:rPr>
        <w:t>. Aguascalientes: Editorial INEGI.</w:t>
      </w:r>
    </w:p>
    <w:p>
      <w:pPr>
        <w:spacing w:line="278" w:lineRule="auto" w:before="197"/>
        <w:ind w:left="341" w:right="122" w:firstLine="0"/>
        <w:jc w:val="both"/>
        <w:rPr>
          <w:sz w:val="24"/>
        </w:rPr>
      </w:pPr>
      <w:r>
        <w:rPr>
          <w:sz w:val="19"/>
        </w:rPr>
        <w:t>INFONAVIT </w:t>
      </w:r>
      <w:r>
        <w:rPr>
          <w:sz w:val="24"/>
        </w:rPr>
        <w:t>(1981), </w:t>
      </w:r>
      <w:r>
        <w:rPr>
          <w:i/>
          <w:sz w:val="24"/>
        </w:rPr>
        <w:t>Normas técnicas para la construcción de vivienda en </w:t>
      </w:r>
      <w:r>
        <w:rPr>
          <w:i/>
          <w:sz w:val="24"/>
        </w:rPr>
        <w:t>fraccionamientos del Construcción</w:t>
      </w:r>
      <w:r>
        <w:rPr>
          <w:sz w:val="24"/>
        </w:rPr>
        <w:t>. México.</w:t>
      </w:r>
    </w:p>
    <w:p>
      <w:pPr>
        <w:spacing w:line="278" w:lineRule="auto" w:before="197"/>
        <w:ind w:left="341" w:right="115" w:firstLine="0"/>
        <w:jc w:val="both"/>
        <w:rPr>
          <w:sz w:val="24"/>
        </w:rPr>
      </w:pPr>
      <w:r>
        <w:rPr>
          <w:sz w:val="24"/>
        </w:rPr>
        <w:t>Ineichen B. (1993), </w:t>
      </w:r>
      <w:r>
        <w:rPr>
          <w:i/>
          <w:sz w:val="24"/>
        </w:rPr>
        <w:t>Homes and Health: How Housing and Health Interact</w:t>
      </w:r>
      <w:r>
        <w:rPr>
          <w:sz w:val="24"/>
        </w:rPr>
        <w:t>. London, England: E&amp;FN Spon.</w:t>
      </w:r>
    </w:p>
    <w:p>
      <w:pPr>
        <w:pStyle w:val="BodyText"/>
        <w:spacing w:before="4"/>
        <w:rPr>
          <w:sz w:val="27"/>
        </w:rPr>
      </w:pPr>
    </w:p>
    <w:p>
      <w:pPr>
        <w:spacing w:line="276" w:lineRule="auto" w:before="0"/>
        <w:ind w:left="341" w:right="120" w:firstLine="0"/>
        <w:jc w:val="both"/>
        <w:rPr>
          <w:sz w:val="24"/>
        </w:rPr>
      </w:pPr>
      <w:r>
        <w:rPr>
          <w:sz w:val="24"/>
        </w:rPr>
        <w:t>Joseph, A. y Phillips, D. (1984), </w:t>
      </w:r>
      <w:r>
        <w:rPr>
          <w:i/>
          <w:sz w:val="24"/>
        </w:rPr>
        <w:t>Accessibility and utilization: geographical </w:t>
      </w:r>
      <w:r>
        <w:rPr>
          <w:i/>
          <w:sz w:val="24"/>
        </w:rPr>
        <w:t>perspectives on health care delivery, </w:t>
      </w:r>
      <w:r>
        <w:rPr>
          <w:sz w:val="24"/>
        </w:rPr>
        <w:t>Londres, Inglaterra, Harper and Row.</w:t>
      </w:r>
    </w:p>
    <w:p>
      <w:pPr>
        <w:pStyle w:val="BodyText"/>
        <w:rPr>
          <w:sz w:val="28"/>
        </w:rPr>
      </w:pPr>
    </w:p>
    <w:p>
      <w:pPr>
        <w:pStyle w:val="BodyText"/>
        <w:spacing w:line="276" w:lineRule="auto"/>
        <w:ind w:left="341" w:right="119"/>
        <w:jc w:val="both"/>
      </w:pPr>
      <w:r>
        <w:rPr/>
        <w:t>Jiménez Sánchez, Pedro Leobardo (2007), “Producción social del espacio urbano y la vivienda informal en el municipio de Toluca, caso del barrio bordo de las canastas, 1990-2006”, tesis de doctorado en Ciencias Sociales. Facultad de Ciencias Sociales, Universidad Autónoma del Estado de México.</w:t>
      </w:r>
    </w:p>
    <w:p>
      <w:pPr>
        <w:spacing w:line="276" w:lineRule="auto" w:before="200"/>
        <w:ind w:left="341" w:right="116" w:firstLine="0"/>
        <w:jc w:val="both"/>
        <w:rPr>
          <w:sz w:val="24"/>
        </w:rPr>
      </w:pPr>
      <w:r>
        <w:rPr>
          <w:sz w:val="24"/>
        </w:rPr>
        <w:t>Kreiger, J. Higgins, DL. (2002), </w:t>
      </w:r>
      <w:r>
        <w:rPr>
          <w:i/>
          <w:sz w:val="24"/>
        </w:rPr>
        <w:t>Housing and health: Time again for public </w:t>
      </w:r>
      <w:r>
        <w:rPr>
          <w:i/>
          <w:sz w:val="24"/>
        </w:rPr>
        <w:t>health action</w:t>
      </w:r>
      <w:r>
        <w:rPr>
          <w:sz w:val="24"/>
        </w:rPr>
        <w:t>. American Journal of Public Health. May 2002, Vol. 92, No 5, 758- 768.</w:t>
      </w:r>
    </w:p>
    <w:p>
      <w:pPr>
        <w:pStyle w:val="BodyText"/>
      </w:pPr>
    </w:p>
    <w:p>
      <w:pPr>
        <w:pStyle w:val="BodyText"/>
        <w:spacing w:line="278" w:lineRule="auto"/>
        <w:ind w:left="341" w:right="117"/>
        <w:jc w:val="both"/>
      </w:pPr>
      <w:r>
        <w:rPr/>
        <w:t>López, Juan Carlos (2012), “El derecho al espacio público”, </w:t>
      </w:r>
      <w:r>
        <w:rPr>
          <w:i/>
          <w:sz w:val="19"/>
        </w:rPr>
        <w:t>PROVINCIA</w:t>
      </w:r>
      <w:r>
        <w:rPr/>
        <w:t>, núm. 27 pp. 105-136.</w:t>
      </w:r>
    </w:p>
    <w:p>
      <w:pPr>
        <w:pStyle w:val="BodyText"/>
        <w:spacing w:line="276" w:lineRule="auto" w:before="197"/>
        <w:ind w:left="341" w:right="118"/>
        <w:jc w:val="both"/>
      </w:pPr>
      <w:r>
        <w:rPr/>
        <w:t>Mariani, Graciela (2013), “Las dimensiones del urbanismo: espacio, densidad, tiempo y distancia”</w:t>
      </w:r>
      <w:r>
        <w:rPr>
          <w:i/>
        </w:rPr>
        <w:t>. Revista la Ciudad Viva</w:t>
      </w:r>
      <w:r>
        <w:rPr/>
        <w:t>. Argentina. Marzo 2013.</w:t>
      </w:r>
    </w:p>
    <w:p>
      <w:pPr>
        <w:spacing w:line="278" w:lineRule="auto" w:before="200"/>
        <w:ind w:left="341" w:right="116" w:firstLine="0"/>
        <w:jc w:val="both"/>
        <w:rPr>
          <w:sz w:val="24"/>
        </w:rPr>
      </w:pPr>
      <w:r>
        <w:rPr>
          <w:sz w:val="24"/>
        </w:rPr>
        <w:t>Marshall, T. H. y Bottonmore, T. (1998), </w:t>
      </w:r>
      <w:r>
        <w:rPr>
          <w:i/>
          <w:sz w:val="24"/>
        </w:rPr>
        <w:t>Ciudadanía y Clase Social. </w:t>
      </w:r>
      <w:r>
        <w:rPr>
          <w:sz w:val="24"/>
        </w:rPr>
        <w:t>España, Alianza Editorial.</w:t>
      </w:r>
    </w:p>
    <w:p>
      <w:pPr>
        <w:pStyle w:val="BodyText"/>
        <w:spacing w:line="276" w:lineRule="auto" w:before="200"/>
        <w:ind w:left="341" w:right="117"/>
        <w:jc w:val="both"/>
      </w:pPr>
      <w:r>
        <w:rPr/>
        <w:t>Meave, Alejandro (2006), “El derecho a la ciudad” en Centro de Estudios Sociales y de Opinión Pública. Cámara de Diputados / LIX Legislatura. México D. F. pp. 259-266.</w:t>
      </w:r>
    </w:p>
    <w:p>
      <w:pPr>
        <w:pStyle w:val="BodyText"/>
        <w:spacing w:line="276" w:lineRule="auto" w:before="200"/>
        <w:ind w:left="341" w:right="118"/>
        <w:jc w:val="both"/>
      </w:pPr>
      <w:r>
        <w:rPr/>
        <w:t>Mejía, Mónica (2012), “Habitabilidad en la vivienda social en edificios para la población reasentada. El caso de Medellín, Colombia”, </w:t>
      </w:r>
      <w:r>
        <w:rPr>
          <w:sz w:val="19"/>
        </w:rPr>
        <w:t>EURE</w:t>
      </w:r>
      <w:r>
        <w:rPr/>
        <w:t>, vol. 39, núm. 114, pp. 203-227.</w:t>
      </w:r>
    </w:p>
    <w:p>
      <w:pPr>
        <w:spacing w:after="0" w:line="276" w:lineRule="auto"/>
        <w:jc w:val="both"/>
        <w:sectPr>
          <w:pgSz w:w="12240" w:h="15840"/>
          <w:pgMar w:header="0" w:footer="1003" w:top="1360" w:bottom="1200" w:left="1720" w:right="1580"/>
        </w:sectPr>
      </w:pPr>
    </w:p>
    <w:p>
      <w:pPr>
        <w:spacing w:before="52"/>
        <w:ind w:left="341" w:right="0" w:firstLine="0"/>
        <w:jc w:val="both"/>
        <w:rPr>
          <w:i/>
          <w:sz w:val="24"/>
        </w:rPr>
      </w:pPr>
      <w:r>
        <w:rPr>
          <w:sz w:val="24"/>
        </w:rPr>
        <w:t>Mercado, S. J. y González, J. (1991), </w:t>
      </w:r>
      <w:r>
        <w:rPr>
          <w:i/>
          <w:sz w:val="24"/>
        </w:rPr>
        <w:t>Evaluación psico-social de la vivienda.</w:t>
      </w:r>
    </w:p>
    <w:p>
      <w:pPr>
        <w:pStyle w:val="BodyText"/>
        <w:spacing w:before="45"/>
        <w:ind w:left="341"/>
        <w:jc w:val="both"/>
      </w:pPr>
      <w:r>
        <w:rPr/>
        <w:t>México: Infonavit.</w:t>
      </w:r>
    </w:p>
    <w:p>
      <w:pPr>
        <w:pStyle w:val="BodyText"/>
        <w:spacing w:before="7"/>
        <w:rPr>
          <w:sz w:val="20"/>
        </w:rPr>
      </w:pPr>
    </w:p>
    <w:p>
      <w:pPr>
        <w:spacing w:line="278" w:lineRule="auto" w:before="0"/>
        <w:ind w:left="341" w:right="120" w:firstLine="0"/>
        <w:jc w:val="both"/>
        <w:rPr>
          <w:sz w:val="24"/>
        </w:rPr>
      </w:pPr>
      <w:r>
        <w:rPr>
          <w:sz w:val="24"/>
        </w:rPr>
        <w:t>Mercado, Serafín (1995), </w:t>
      </w:r>
      <w:r>
        <w:rPr>
          <w:i/>
          <w:sz w:val="24"/>
        </w:rPr>
        <w:t>Habitabilidad en la vivienda</w:t>
      </w:r>
      <w:r>
        <w:rPr>
          <w:sz w:val="24"/>
        </w:rPr>
        <w:t>. México. Universidad Nacional Autónoma de México.</w:t>
      </w:r>
    </w:p>
    <w:p>
      <w:pPr>
        <w:pStyle w:val="BodyText"/>
        <w:spacing w:line="273" w:lineRule="auto" w:before="199"/>
        <w:ind w:left="341" w:right="126"/>
        <w:jc w:val="both"/>
      </w:pPr>
      <w:r>
        <w:rPr/>
        <w:t>Moreno, Silvia (2008), “La habitabilidad urbana como condición de calidad de vida”, </w:t>
      </w:r>
      <w:r>
        <w:rPr>
          <w:i/>
          <w:sz w:val="19"/>
        </w:rPr>
        <w:t>PALAPA</w:t>
      </w:r>
      <w:r>
        <w:rPr/>
        <w:t>, vol. III, núm. II pp.47-54.</w:t>
      </w:r>
    </w:p>
    <w:p>
      <w:pPr>
        <w:spacing w:line="278" w:lineRule="auto" w:before="205"/>
        <w:ind w:left="341" w:right="116" w:firstLine="0"/>
        <w:jc w:val="both"/>
        <w:rPr>
          <w:sz w:val="24"/>
        </w:rPr>
      </w:pPr>
      <w:r>
        <w:rPr>
          <w:sz w:val="24"/>
        </w:rPr>
        <w:t>Naciones Unidas (2005ª), </w:t>
      </w:r>
      <w:r>
        <w:rPr>
          <w:i/>
          <w:sz w:val="24"/>
        </w:rPr>
        <w:t>Objetivos de Desarrollo del Milenio</w:t>
      </w:r>
      <w:r>
        <w:rPr>
          <w:sz w:val="24"/>
        </w:rPr>
        <w:t>: Una Mirada desde América Latina y el Caribe.</w:t>
      </w:r>
    </w:p>
    <w:p>
      <w:pPr>
        <w:pStyle w:val="BodyText"/>
        <w:spacing w:before="4"/>
        <w:rPr>
          <w:sz w:val="27"/>
        </w:rPr>
      </w:pPr>
    </w:p>
    <w:p>
      <w:pPr>
        <w:spacing w:line="276" w:lineRule="auto" w:before="1"/>
        <w:ind w:left="341" w:right="116" w:firstLine="0"/>
        <w:jc w:val="both"/>
        <w:rPr>
          <w:sz w:val="24"/>
        </w:rPr>
      </w:pPr>
      <w:r>
        <w:rPr>
          <w:sz w:val="24"/>
        </w:rPr>
        <w:t>Naciones Unidas (2010), </w:t>
      </w:r>
      <w:r>
        <w:rPr>
          <w:i/>
          <w:sz w:val="24"/>
        </w:rPr>
        <w:t>El derecho a una vivienda adecuada </w:t>
      </w:r>
      <w:r>
        <w:rPr>
          <w:sz w:val="24"/>
        </w:rPr>
        <w:t>[en línea] </w:t>
      </w:r>
      <w:r>
        <w:rPr>
          <w:i/>
          <w:sz w:val="24"/>
        </w:rPr>
        <w:t>Oficina </w:t>
      </w:r>
      <w:r>
        <w:rPr>
          <w:i/>
          <w:sz w:val="24"/>
        </w:rPr>
        <w:t>del Alto Comisionado de las Naciones Unidas para los Derechos Humanos. </w:t>
      </w:r>
      <w:r>
        <w:rPr>
          <w:sz w:val="24"/>
        </w:rPr>
        <w:t>Serie folletos informativos sobre los derechos humanos. Disponible en </w:t>
      </w:r>
      <w:hyperlink r:id="rId1003">
        <w:r>
          <w:rPr>
            <w:sz w:val="24"/>
          </w:rPr>
          <w:t>http://www.ohchr.org/Documents/Publications/FS21_rev_1_Housing_sp.pdf.</w:t>
        </w:r>
      </w:hyperlink>
    </w:p>
    <w:p>
      <w:pPr>
        <w:spacing w:line="360" w:lineRule="auto" w:before="200"/>
        <w:ind w:left="341" w:right="115" w:firstLine="0"/>
        <w:jc w:val="both"/>
        <w:rPr>
          <w:sz w:val="24"/>
        </w:rPr>
      </w:pPr>
      <w:r>
        <w:rPr>
          <w:sz w:val="24"/>
        </w:rPr>
        <w:t>Naciones Unidas (2013), </w:t>
      </w:r>
      <w:r>
        <w:rPr>
          <w:i/>
          <w:sz w:val="24"/>
        </w:rPr>
        <w:t>Objetivos de Desarrollo del Milenio</w:t>
      </w:r>
      <w:r>
        <w:rPr>
          <w:sz w:val="24"/>
        </w:rPr>
        <w:t>. Informe 2013. Nueva York: Editorial Organización de las Naciones Unidas.</w:t>
      </w:r>
    </w:p>
    <w:p>
      <w:pPr>
        <w:spacing w:line="362" w:lineRule="auto" w:before="202"/>
        <w:ind w:left="341" w:right="116" w:firstLine="0"/>
        <w:jc w:val="both"/>
        <w:rPr>
          <w:sz w:val="24"/>
        </w:rPr>
      </w:pPr>
      <w:r>
        <w:rPr>
          <w:sz w:val="24"/>
        </w:rPr>
        <w:t>Norton, S. (1968), </w:t>
      </w:r>
      <w:r>
        <w:rPr>
          <w:i/>
          <w:sz w:val="24"/>
        </w:rPr>
        <w:t>Las regiones de planificación y el concepto regional. </w:t>
      </w:r>
      <w:r>
        <w:rPr>
          <w:sz w:val="24"/>
        </w:rPr>
        <w:t>Bogotá, Centro Interamericano de Desarrollo Rural y Reforma Agraria.</w:t>
      </w:r>
    </w:p>
    <w:p>
      <w:pPr>
        <w:spacing w:line="360" w:lineRule="auto" w:before="197"/>
        <w:ind w:left="341" w:right="117" w:firstLine="0"/>
        <w:jc w:val="both"/>
        <w:rPr>
          <w:sz w:val="24"/>
        </w:rPr>
      </w:pPr>
      <w:r>
        <w:rPr>
          <w:sz w:val="24"/>
        </w:rPr>
        <w:t>Oliva, M. (2014), </w:t>
      </w:r>
      <w:r>
        <w:rPr>
          <w:i/>
          <w:sz w:val="24"/>
        </w:rPr>
        <w:t>Habitar la tierra</w:t>
      </w:r>
      <w:r>
        <w:rPr>
          <w:sz w:val="24"/>
        </w:rPr>
        <w:t>: </w:t>
      </w:r>
      <w:r>
        <w:rPr>
          <w:i/>
          <w:sz w:val="24"/>
        </w:rPr>
        <w:t>Construcción con tierra como vía hacia la </w:t>
      </w:r>
      <w:r>
        <w:rPr>
          <w:i/>
          <w:sz w:val="24"/>
        </w:rPr>
        <w:t>habitabilidad en las viviendas de Mexicali. B. C</w:t>
      </w:r>
      <w:r>
        <w:rPr>
          <w:sz w:val="24"/>
        </w:rPr>
        <w:t>. (Tesis de maestría). Universidad Nacional Autónoma de México, Distrito Federal, México.</w:t>
      </w:r>
    </w:p>
    <w:p>
      <w:pPr>
        <w:spacing w:before="202"/>
        <w:ind w:left="341" w:right="0" w:firstLine="0"/>
        <w:jc w:val="both"/>
        <w:rPr>
          <w:i/>
          <w:sz w:val="24"/>
        </w:rPr>
      </w:pPr>
      <w:r>
        <w:rPr>
          <w:sz w:val="24"/>
        </w:rPr>
        <w:t>Organización Mundial de la Salud (1990), </w:t>
      </w:r>
      <w:r>
        <w:rPr>
          <w:i/>
          <w:sz w:val="24"/>
        </w:rPr>
        <w:t>Principios de higiene de la   vivienda.</w:t>
      </w:r>
    </w:p>
    <w:p>
      <w:pPr>
        <w:pStyle w:val="BodyText"/>
        <w:spacing w:before="141"/>
        <w:ind w:left="341"/>
        <w:jc w:val="both"/>
      </w:pPr>
      <w:r>
        <w:rPr/>
        <w:t>Ginebra, Suiza, Organización Mundial de la Salud</w:t>
      </w:r>
    </w:p>
    <w:p>
      <w:pPr>
        <w:pStyle w:val="BodyText"/>
        <w:spacing w:before="2"/>
        <w:rPr>
          <w:sz w:val="29"/>
        </w:rPr>
      </w:pPr>
    </w:p>
    <w:p>
      <w:pPr>
        <w:pStyle w:val="BodyText"/>
        <w:spacing w:line="276" w:lineRule="auto"/>
        <w:ind w:left="341" w:right="118"/>
        <w:jc w:val="both"/>
      </w:pPr>
      <w:r>
        <w:rPr/>
        <w:t>Organización Mundial de la Salud (2006), </w:t>
      </w:r>
      <w:r>
        <w:rPr>
          <w:i/>
        </w:rPr>
        <w:t>Vivienda Saludable</w:t>
      </w:r>
      <w:r>
        <w:rPr/>
        <w:t>: Reto del Milenio en los Asentamientos Precarios de América Latina y el Caribe. Caracas, Venezuela.</w:t>
      </w:r>
    </w:p>
    <w:p>
      <w:pPr>
        <w:pStyle w:val="BodyText"/>
        <w:spacing w:before="6"/>
        <w:rPr>
          <w:sz w:val="27"/>
        </w:rPr>
      </w:pPr>
    </w:p>
    <w:p>
      <w:pPr>
        <w:spacing w:line="360" w:lineRule="auto" w:before="1"/>
        <w:ind w:left="341" w:right="119" w:firstLine="0"/>
        <w:jc w:val="both"/>
        <w:rPr>
          <w:sz w:val="24"/>
        </w:rPr>
      </w:pPr>
      <w:r>
        <w:rPr>
          <w:sz w:val="24"/>
        </w:rPr>
        <w:t>Organización Mundial de la Salud (2007), </w:t>
      </w:r>
      <w:r>
        <w:rPr>
          <w:i/>
          <w:sz w:val="24"/>
        </w:rPr>
        <w:t>Ciudades globales amigables con los </w:t>
      </w:r>
      <w:r>
        <w:rPr>
          <w:i/>
          <w:sz w:val="24"/>
        </w:rPr>
        <w:t>mayores: una guía.</w:t>
      </w:r>
      <w:r>
        <w:rPr>
          <w:sz w:val="24"/>
        </w:rPr>
        <w:t>Ginebra: Organización Mundial de la Salud.</w:t>
      </w:r>
    </w:p>
    <w:p>
      <w:pPr>
        <w:pStyle w:val="BodyText"/>
        <w:spacing w:before="2"/>
      </w:pPr>
    </w:p>
    <w:p>
      <w:pPr>
        <w:spacing w:line="360" w:lineRule="auto" w:before="0"/>
        <w:ind w:left="341" w:right="119" w:firstLine="0"/>
        <w:jc w:val="both"/>
        <w:rPr>
          <w:sz w:val="24"/>
        </w:rPr>
      </w:pPr>
      <w:r>
        <w:rPr>
          <w:sz w:val="24"/>
        </w:rPr>
        <w:t>Organización de las Naciones Unidas (2012), </w:t>
      </w:r>
      <w:r>
        <w:rPr>
          <w:i/>
          <w:sz w:val="24"/>
        </w:rPr>
        <w:t>Estado de las ciudades de </w:t>
      </w:r>
      <w:r>
        <w:rPr>
          <w:i/>
          <w:sz w:val="24"/>
        </w:rPr>
        <w:t>América Latina y el Caribe 2012. Rumbo a una nueva transición urbana. </w:t>
      </w:r>
      <w:r>
        <w:rPr>
          <w:sz w:val="24"/>
        </w:rPr>
        <w:t>Programa de las Naciones Unidas para los asentamientos Humanos, Kenia.</w:t>
      </w:r>
    </w:p>
    <w:p>
      <w:pPr>
        <w:spacing w:after="0" w:line="360" w:lineRule="auto"/>
        <w:jc w:val="both"/>
        <w:rPr>
          <w:sz w:val="24"/>
        </w:rPr>
        <w:sectPr>
          <w:pgSz w:w="12240" w:h="15840"/>
          <w:pgMar w:header="0" w:footer="1003" w:top="1360" w:bottom="1200" w:left="1720" w:right="1580"/>
        </w:sectPr>
      </w:pPr>
    </w:p>
    <w:p>
      <w:pPr>
        <w:pStyle w:val="BodyText"/>
        <w:spacing w:line="278" w:lineRule="auto" w:before="54"/>
        <w:ind w:left="341" w:right="120"/>
        <w:jc w:val="both"/>
      </w:pPr>
      <w:r>
        <w:rPr/>
        <w:t>Organización Panamericana de la Salud consultado abril, 2014 en </w:t>
      </w:r>
      <w:hyperlink r:id="rId1004">
        <w:r>
          <w:rPr/>
          <w:t>http://www.bvsde.paho.org/texcom/cd045364/vivsal.pdf</w:t>
        </w:r>
      </w:hyperlink>
    </w:p>
    <w:p>
      <w:pPr>
        <w:spacing w:before="194"/>
        <w:ind w:left="341" w:right="0" w:firstLine="0"/>
        <w:jc w:val="both"/>
        <w:rPr>
          <w:i/>
          <w:sz w:val="24"/>
        </w:rPr>
      </w:pPr>
      <w:r>
        <w:rPr>
          <w:sz w:val="24"/>
        </w:rPr>
        <w:t>Organización Panamericana de la Salud (2009), </w:t>
      </w:r>
      <w:r>
        <w:rPr>
          <w:i/>
          <w:sz w:val="24"/>
        </w:rPr>
        <w:t>Hacia una Vivienda Saludable.</w:t>
      </w:r>
    </w:p>
    <w:p>
      <w:pPr>
        <w:pStyle w:val="BodyText"/>
        <w:spacing w:before="41"/>
        <w:ind w:left="341"/>
        <w:jc w:val="both"/>
      </w:pPr>
      <w:r>
        <w:rPr/>
        <w:t>Guía para el facilitador. </w:t>
      </w:r>
      <w:r>
        <w:rPr>
          <w:i/>
          <w:sz w:val="19"/>
        </w:rPr>
        <w:t>OPS</w:t>
      </w:r>
      <w:r>
        <w:rPr/>
        <w:t>, Lima, Perú.</w:t>
      </w:r>
    </w:p>
    <w:p>
      <w:pPr>
        <w:pStyle w:val="BodyText"/>
        <w:spacing w:before="3"/>
        <w:rPr>
          <w:sz w:val="21"/>
        </w:rPr>
      </w:pPr>
    </w:p>
    <w:p>
      <w:pPr>
        <w:pStyle w:val="BodyText"/>
        <w:spacing w:line="360" w:lineRule="auto"/>
        <w:ind w:left="341" w:right="118"/>
        <w:jc w:val="both"/>
      </w:pPr>
      <w:r>
        <w:rPr/>
        <w:t>PNUD (2014), Índice de Desarrollo Humano Municipal en México: nueva metodología. Programa de las Naciones Unidas para el Desarrollo. México.</w:t>
      </w:r>
    </w:p>
    <w:p>
      <w:pPr>
        <w:spacing w:line="360" w:lineRule="auto" w:before="199"/>
        <w:ind w:left="341" w:right="118" w:firstLine="0"/>
        <w:jc w:val="both"/>
        <w:rPr>
          <w:sz w:val="24"/>
        </w:rPr>
      </w:pPr>
      <w:r>
        <w:rPr>
          <w:sz w:val="24"/>
        </w:rPr>
        <w:t>Pedrotti, C. (2014), La vivienda, un tema siempre contemporáneo. </w:t>
      </w:r>
      <w:r>
        <w:rPr>
          <w:i/>
          <w:sz w:val="19"/>
        </w:rPr>
        <w:t>ECONOMÍA</w:t>
      </w:r>
      <w:r>
        <w:rPr>
          <w:i/>
          <w:sz w:val="24"/>
        </w:rPr>
        <w:t>, </w:t>
      </w:r>
      <w:r>
        <w:rPr>
          <w:i/>
          <w:sz w:val="19"/>
        </w:rPr>
        <w:t>SOCIEDAD Y TERRITORIO</w:t>
      </w:r>
      <w:r>
        <w:rPr>
          <w:i/>
          <w:sz w:val="24"/>
        </w:rPr>
        <w:t>. </w:t>
      </w:r>
      <w:r>
        <w:rPr>
          <w:sz w:val="24"/>
        </w:rPr>
        <w:t>Vol. XIV No. 44, 273-280.</w:t>
      </w:r>
    </w:p>
    <w:p>
      <w:pPr>
        <w:pStyle w:val="BodyText"/>
        <w:spacing w:line="273" w:lineRule="auto" w:before="207"/>
        <w:ind w:left="341" w:right="122"/>
        <w:jc w:val="both"/>
      </w:pPr>
      <w:r>
        <w:rPr/>
        <w:t>Pelli, Victor Saúl (2006), “Habitar, participar, pertenecer. Acceder a la vivienda. Incluirse en la sociedad”, </w:t>
      </w:r>
      <w:r>
        <w:rPr>
          <w:i/>
          <w:sz w:val="19"/>
        </w:rPr>
        <w:t>NOBUKO</w:t>
      </w:r>
      <w:r>
        <w:rPr/>
        <w:t>, Buenos Aires.</w:t>
      </w:r>
    </w:p>
    <w:p>
      <w:pPr>
        <w:pStyle w:val="BodyText"/>
        <w:spacing w:before="1"/>
        <w:rPr>
          <w:sz w:val="21"/>
        </w:rPr>
      </w:pPr>
    </w:p>
    <w:p>
      <w:pPr>
        <w:pStyle w:val="BodyText"/>
        <w:spacing w:line="278" w:lineRule="auto" w:before="1"/>
        <w:ind w:left="341" w:right="122"/>
        <w:jc w:val="both"/>
      </w:pPr>
      <w:r>
        <w:rPr/>
        <w:t>Peña, E. (2002), “Sistemas de localidades de la región XI, Ixtapan de la Sal Estado de México, 1990-2000”. Tesis de Licenciatura, Facultad de Planeación Urbana y Regional, Universidad Autónoma del Estado de México.</w:t>
      </w:r>
    </w:p>
    <w:p>
      <w:pPr>
        <w:pStyle w:val="BodyText"/>
        <w:spacing w:before="5"/>
        <w:rPr>
          <w:sz w:val="20"/>
        </w:rPr>
      </w:pPr>
    </w:p>
    <w:p>
      <w:pPr>
        <w:spacing w:line="276" w:lineRule="auto" w:before="0"/>
        <w:ind w:left="341" w:right="119" w:firstLine="0"/>
        <w:jc w:val="both"/>
        <w:rPr>
          <w:sz w:val="24"/>
        </w:rPr>
      </w:pPr>
      <w:r>
        <w:rPr>
          <w:sz w:val="24"/>
        </w:rPr>
        <w:t>Pérez, Edmundo (2004), “Percepción del espacio público” </w:t>
      </w:r>
      <w:r>
        <w:rPr>
          <w:i/>
          <w:sz w:val="19"/>
        </w:rPr>
        <w:t>REVISTA BITÁCORA </w:t>
      </w:r>
      <w:r>
        <w:rPr>
          <w:i/>
          <w:sz w:val="19"/>
        </w:rPr>
        <w:t>URBANO TERRITORIAL</w:t>
      </w:r>
      <w:r>
        <w:rPr>
          <w:sz w:val="24"/>
        </w:rPr>
        <w:t>, vol. 1, núm. 8 pp. 27-31.</w:t>
      </w:r>
    </w:p>
    <w:p>
      <w:pPr>
        <w:pStyle w:val="BodyText"/>
        <w:spacing w:before="11"/>
        <w:rPr>
          <w:sz w:val="20"/>
        </w:rPr>
      </w:pPr>
    </w:p>
    <w:p>
      <w:pPr>
        <w:spacing w:line="276" w:lineRule="auto" w:before="0"/>
        <w:ind w:left="341" w:right="118" w:firstLine="0"/>
        <w:jc w:val="both"/>
        <w:rPr>
          <w:sz w:val="24"/>
        </w:rPr>
      </w:pPr>
      <w:r>
        <w:rPr>
          <w:sz w:val="24"/>
        </w:rPr>
        <w:t>Pérez, Claudia Catherine y Puentes, Ángela Viviana (2009), </w:t>
      </w:r>
      <w:r>
        <w:rPr>
          <w:i/>
          <w:sz w:val="24"/>
        </w:rPr>
        <w:t>Las redes sociales </w:t>
      </w:r>
      <w:r>
        <w:rPr>
          <w:i/>
          <w:sz w:val="24"/>
        </w:rPr>
        <w:t>y la vivienda saludable: Una estrategia de interacción y construcción integral. </w:t>
      </w:r>
      <w:r>
        <w:rPr>
          <w:sz w:val="24"/>
        </w:rPr>
        <w:t>Facultad de Ciencias Humanas y Sociales. Bogotá Colombi</w:t>
      </w:r>
      <w:r>
        <w:rPr>
          <w:sz w:val="28"/>
        </w:rPr>
        <w:t>a</w:t>
      </w:r>
      <w:r>
        <w:rPr>
          <w:sz w:val="24"/>
        </w:rPr>
        <w:t>.</w:t>
      </w:r>
    </w:p>
    <w:p>
      <w:pPr>
        <w:spacing w:line="362" w:lineRule="auto" w:before="199"/>
        <w:ind w:left="341" w:right="117" w:firstLine="0"/>
        <w:jc w:val="both"/>
        <w:rPr>
          <w:sz w:val="24"/>
        </w:rPr>
      </w:pPr>
      <w:r>
        <w:rPr>
          <w:sz w:val="24"/>
        </w:rPr>
        <w:t>Pezeu, J. (1988), </w:t>
      </w:r>
      <w:r>
        <w:rPr>
          <w:i/>
          <w:sz w:val="24"/>
        </w:rPr>
        <w:t>La vivienda como espacio social</w:t>
      </w:r>
      <w:r>
        <w:rPr>
          <w:sz w:val="24"/>
        </w:rPr>
        <w:t>. México: Editorial Fondo de Cultura Económica.</w:t>
      </w:r>
    </w:p>
    <w:p>
      <w:pPr>
        <w:spacing w:line="360" w:lineRule="auto" w:before="199"/>
        <w:ind w:left="341" w:right="117" w:firstLine="0"/>
        <w:jc w:val="both"/>
        <w:rPr>
          <w:sz w:val="24"/>
        </w:rPr>
      </w:pPr>
      <w:r>
        <w:rPr>
          <w:sz w:val="24"/>
        </w:rPr>
        <w:t>Pisarello, G. (2007), </w:t>
      </w:r>
      <w:r>
        <w:rPr>
          <w:i/>
          <w:sz w:val="24"/>
        </w:rPr>
        <w:t>Los derechos sociales y sus garantías. </w:t>
      </w:r>
      <w:r>
        <w:rPr>
          <w:sz w:val="24"/>
        </w:rPr>
        <w:t>Madrid: Editorial Trotta.</w:t>
      </w:r>
    </w:p>
    <w:p>
      <w:pPr>
        <w:pStyle w:val="BodyText"/>
        <w:spacing w:line="276" w:lineRule="auto" w:before="204"/>
        <w:ind w:left="341" w:right="116"/>
        <w:jc w:val="both"/>
      </w:pPr>
      <w:r>
        <w:rPr/>
        <w:t>Puebla, Claudia (2006), “Las instituciones públicas de vivienda en México” en Centro de Estudios Sociales y de Opinión Pública. Cámara de Diputados / LIX Legislatura. México D. F. pp. 135-148.</w:t>
      </w:r>
    </w:p>
    <w:p>
      <w:pPr>
        <w:pStyle w:val="BodyText"/>
        <w:spacing w:line="360" w:lineRule="auto" w:before="202"/>
        <w:ind w:left="341" w:right="120"/>
        <w:jc w:val="both"/>
      </w:pPr>
      <w:r>
        <w:rPr/>
        <w:t>PEDU (2008), Plan Estatal de Desarrollo Urbano. Gobierno del Estado de México, Toluca, México.</w:t>
      </w:r>
    </w:p>
    <w:p>
      <w:pPr>
        <w:spacing w:after="0" w:line="360" w:lineRule="auto"/>
        <w:jc w:val="both"/>
        <w:sectPr>
          <w:pgSz w:w="12240" w:h="15840"/>
          <w:pgMar w:header="0" w:footer="1003" w:top="1360" w:bottom="1200" w:left="1720" w:right="1580"/>
        </w:sectPr>
      </w:pPr>
    </w:p>
    <w:p>
      <w:pPr>
        <w:spacing w:line="278" w:lineRule="auto" w:before="52"/>
        <w:ind w:left="341" w:right="119" w:firstLine="0"/>
        <w:jc w:val="both"/>
        <w:rPr>
          <w:sz w:val="24"/>
        </w:rPr>
      </w:pPr>
      <w:r>
        <w:rPr>
          <w:sz w:val="24"/>
        </w:rPr>
        <w:t>Ramírez Vázquez, Pedro (1978), </w:t>
      </w:r>
      <w:r>
        <w:rPr>
          <w:i/>
          <w:sz w:val="24"/>
        </w:rPr>
        <w:t>Glosario de términos sobre asentamientos </w:t>
      </w:r>
      <w:r>
        <w:rPr>
          <w:i/>
          <w:sz w:val="24"/>
        </w:rPr>
        <w:t>humanos</w:t>
      </w:r>
      <w:r>
        <w:rPr>
          <w:sz w:val="24"/>
        </w:rPr>
        <w:t>. Secretaría de Asentamientos Humanos y Obras Públicas (</w:t>
      </w:r>
      <w:r>
        <w:rPr>
          <w:i/>
          <w:sz w:val="19"/>
        </w:rPr>
        <w:t>SAHOP</w:t>
      </w:r>
      <w:r>
        <w:rPr>
          <w:sz w:val="24"/>
        </w:rPr>
        <w:t>) México, Distrito Federal.</w:t>
      </w:r>
    </w:p>
    <w:p>
      <w:pPr>
        <w:pStyle w:val="BodyText"/>
        <w:spacing w:before="1"/>
        <w:rPr>
          <w:sz w:val="27"/>
        </w:rPr>
      </w:pPr>
    </w:p>
    <w:p>
      <w:pPr>
        <w:spacing w:line="280" w:lineRule="auto" w:before="1"/>
        <w:ind w:left="341" w:right="115" w:firstLine="0"/>
        <w:jc w:val="both"/>
        <w:rPr>
          <w:sz w:val="24"/>
        </w:rPr>
      </w:pPr>
      <w:r>
        <w:rPr>
          <w:sz w:val="24"/>
        </w:rPr>
        <w:t>Real Academia Española (2001), </w:t>
      </w:r>
      <w:r>
        <w:rPr>
          <w:i/>
          <w:sz w:val="24"/>
        </w:rPr>
        <w:t>Diccionario de la lengua española</w:t>
      </w:r>
      <w:r>
        <w:rPr>
          <w:sz w:val="24"/>
        </w:rPr>
        <w:t>. 22ª edición, Madrid, España, Espasa Calpe.</w:t>
      </w:r>
    </w:p>
    <w:p>
      <w:pPr>
        <w:pStyle w:val="BodyText"/>
        <w:spacing w:line="276" w:lineRule="auto" w:before="194"/>
        <w:ind w:left="341" w:right="118"/>
        <w:jc w:val="both"/>
      </w:pPr>
      <w:r>
        <w:rPr/>
        <w:t>Rodríguez Méndez, Juan Pablo (2013), “Vivienda colectiva en la ciudad de México a mediados del siglo XX”, tesis de maestría en arquitectura, Facultad  de Arquitectura, Universidad Nacional Autónoma de</w:t>
      </w:r>
      <w:r>
        <w:rPr>
          <w:spacing w:val="-22"/>
        </w:rPr>
        <w:t> </w:t>
      </w:r>
      <w:r>
        <w:rPr/>
        <w:t>México.</w:t>
      </w:r>
    </w:p>
    <w:p>
      <w:pPr>
        <w:spacing w:line="278" w:lineRule="auto" w:before="197"/>
        <w:ind w:left="341" w:right="117" w:firstLine="0"/>
        <w:jc w:val="both"/>
        <w:rPr>
          <w:sz w:val="24"/>
        </w:rPr>
      </w:pPr>
      <w:r>
        <w:rPr>
          <w:sz w:val="24"/>
        </w:rPr>
        <w:t>Saaty, Thomas (1980), </w:t>
      </w:r>
      <w:r>
        <w:rPr>
          <w:i/>
          <w:sz w:val="24"/>
        </w:rPr>
        <w:t>The Analytic Hierarchy Process. </w:t>
      </w:r>
      <w:r>
        <w:rPr>
          <w:sz w:val="24"/>
        </w:rPr>
        <w:t>Ed. McGraw Hill. New York.</w:t>
      </w:r>
    </w:p>
    <w:p>
      <w:pPr>
        <w:spacing w:line="273" w:lineRule="auto" w:before="199"/>
        <w:ind w:left="341" w:right="125" w:firstLine="0"/>
        <w:jc w:val="both"/>
        <w:rPr>
          <w:sz w:val="24"/>
        </w:rPr>
      </w:pPr>
      <w:r>
        <w:rPr>
          <w:sz w:val="24"/>
        </w:rPr>
        <w:t>Saldarriaga, A. (1982), “Cantidad vs calidad en la aproximación al problema vivienda”, </w:t>
      </w:r>
      <w:r>
        <w:rPr>
          <w:i/>
          <w:sz w:val="24"/>
        </w:rPr>
        <w:t>Talleres y Seminarios </w:t>
      </w:r>
      <w:r>
        <w:rPr>
          <w:i/>
          <w:sz w:val="19"/>
        </w:rPr>
        <w:t>PEVAL</w:t>
      </w:r>
      <w:r>
        <w:rPr>
          <w:sz w:val="24"/>
        </w:rPr>
        <w:t>, vol. 1 pp. 151-157</w:t>
      </w:r>
    </w:p>
    <w:p>
      <w:pPr>
        <w:pStyle w:val="BodyText"/>
        <w:spacing w:line="276" w:lineRule="auto" w:before="207"/>
        <w:ind w:left="341" w:right="118"/>
        <w:jc w:val="both"/>
      </w:pPr>
      <w:r>
        <w:rPr/>
        <w:t>Sánchez, Landy (2012), “Alcances y límites de los métodos de análisis espacial para el estudio de la pobreza urbana”, </w:t>
      </w:r>
      <w:r>
        <w:rPr>
          <w:i/>
          <w:sz w:val="19"/>
        </w:rPr>
        <w:t>REVISTA PAPELES DE POBLACIÓN</w:t>
      </w:r>
      <w:r>
        <w:rPr/>
        <w:t>, Vol. 18No. 72, 147-179.</w:t>
      </w:r>
    </w:p>
    <w:p>
      <w:pPr>
        <w:pStyle w:val="BodyText"/>
        <w:spacing w:line="360" w:lineRule="auto" w:before="202"/>
        <w:ind w:left="341" w:right="122"/>
        <w:jc w:val="both"/>
      </w:pPr>
      <w:r>
        <w:rPr/>
        <w:t>Sánchez, Javier (2013), La vivienda “social” en México. Pasado, Presente, Futuro. Sistema Nacional de Creadores de Arte. México, D. F.</w:t>
      </w:r>
    </w:p>
    <w:p>
      <w:pPr>
        <w:spacing w:before="202"/>
        <w:ind w:left="341" w:right="0" w:firstLine="0"/>
        <w:jc w:val="both"/>
        <w:rPr>
          <w:sz w:val="24"/>
        </w:rPr>
      </w:pPr>
      <w:r>
        <w:rPr>
          <w:sz w:val="24"/>
        </w:rPr>
        <w:t>Santos, Milton (1992), </w:t>
      </w:r>
      <w:r>
        <w:rPr>
          <w:i/>
          <w:sz w:val="24"/>
        </w:rPr>
        <w:t>Espaco e método</w:t>
      </w:r>
      <w:r>
        <w:rPr>
          <w:sz w:val="24"/>
        </w:rPr>
        <w:t>. San Pablo: Nobel.</w:t>
      </w:r>
    </w:p>
    <w:p>
      <w:pPr>
        <w:pStyle w:val="BodyText"/>
        <w:rPr>
          <w:sz w:val="21"/>
        </w:rPr>
      </w:pPr>
    </w:p>
    <w:p>
      <w:pPr>
        <w:spacing w:before="1"/>
        <w:ind w:left="341" w:right="0" w:firstLine="0"/>
        <w:jc w:val="both"/>
        <w:rPr>
          <w:sz w:val="24"/>
        </w:rPr>
      </w:pPr>
      <w:r>
        <w:rPr>
          <w:sz w:val="24"/>
        </w:rPr>
        <w:t>Santos, Milton (2000), </w:t>
      </w:r>
      <w:r>
        <w:rPr>
          <w:i/>
          <w:sz w:val="24"/>
        </w:rPr>
        <w:t>La naturaleza del espacio</w:t>
      </w:r>
      <w:r>
        <w:rPr>
          <w:sz w:val="24"/>
        </w:rPr>
        <w:t>, Barcelona, España: Ariel.</w:t>
      </w:r>
    </w:p>
    <w:p>
      <w:pPr>
        <w:pStyle w:val="BodyText"/>
        <w:spacing w:before="10"/>
        <w:rPr>
          <w:sz w:val="20"/>
        </w:rPr>
      </w:pPr>
    </w:p>
    <w:p>
      <w:pPr>
        <w:spacing w:line="278" w:lineRule="auto" w:before="0"/>
        <w:ind w:left="341" w:right="116" w:firstLine="0"/>
        <w:jc w:val="both"/>
        <w:rPr>
          <w:sz w:val="24"/>
        </w:rPr>
      </w:pPr>
      <w:r>
        <w:rPr>
          <w:sz w:val="24"/>
        </w:rPr>
        <w:t>Salazar, Octavio (2010), “Espacio público y paz social”, </w:t>
      </w:r>
      <w:r>
        <w:rPr>
          <w:i/>
          <w:sz w:val="24"/>
        </w:rPr>
        <w:t>Revista </w:t>
      </w:r>
      <w:r>
        <w:rPr>
          <w:i/>
          <w:sz w:val="19"/>
        </w:rPr>
        <w:t>DE PAZ Y </w:t>
      </w:r>
      <w:r>
        <w:rPr>
          <w:i/>
          <w:sz w:val="19"/>
        </w:rPr>
        <w:t>CONFLICTOS</w:t>
      </w:r>
      <w:r>
        <w:rPr>
          <w:sz w:val="24"/>
        </w:rPr>
        <w:t>, núm., 3, pp. 23-43.</w:t>
      </w:r>
    </w:p>
    <w:p>
      <w:pPr>
        <w:tabs>
          <w:tab w:pos="1432" w:val="left" w:leader="none"/>
          <w:tab w:pos="2058" w:val="left" w:leader="none"/>
          <w:tab w:pos="3375" w:val="left" w:leader="none"/>
          <w:tab w:pos="4183" w:val="left" w:leader="none"/>
          <w:tab w:pos="4809" w:val="left" w:leader="none"/>
          <w:tab w:pos="5835" w:val="left" w:leader="none"/>
          <w:tab w:pos="7310" w:val="left" w:leader="none"/>
          <w:tab w:pos="7933" w:val="left" w:leader="none"/>
        </w:tabs>
        <w:spacing w:line="276" w:lineRule="auto" w:before="197"/>
        <w:ind w:left="341" w:right="117" w:firstLine="0"/>
        <w:jc w:val="left"/>
        <w:rPr>
          <w:i/>
          <w:sz w:val="24"/>
        </w:rPr>
      </w:pPr>
      <w:r>
        <w:rPr>
          <w:sz w:val="24"/>
        </w:rPr>
        <w:t>Secretaría de Desarrollo Urbano y Vivienda (</w:t>
      </w:r>
      <w:r>
        <w:rPr>
          <w:sz w:val="19"/>
        </w:rPr>
        <w:t>SEDUVI</w:t>
      </w:r>
      <w:r>
        <w:rPr>
          <w:sz w:val="24"/>
        </w:rPr>
        <w:t>), </w:t>
      </w:r>
      <w:r>
        <w:rPr>
          <w:i/>
          <w:sz w:val="24"/>
        </w:rPr>
        <w:t>E-Glosario </w:t>
      </w:r>
      <w:r>
        <w:rPr>
          <w:sz w:val="24"/>
        </w:rPr>
        <w:t>[en línea]. [Fecha</w:t>
        <w:tab/>
        <w:t>de</w:t>
        <w:tab/>
        <w:t>consulta:</w:t>
        <w:tab/>
        <w:t>abril</w:t>
        <w:tab/>
        <w:t>de</w:t>
        <w:tab/>
        <w:t>2014].</w:t>
        <w:tab/>
        <w:t>Disponible</w:t>
        <w:tab/>
        <w:t>en</w:t>
        <w:tab/>
        <w:t>Internet: </w:t>
      </w:r>
      <w:r>
        <w:rPr>
          <w:i/>
          <w:sz w:val="24"/>
        </w:rPr>
        <w:t>http/</w:t>
      </w:r>
      <w:hyperlink r:id="rId1006">
        <w:r>
          <w:rPr>
            <w:i/>
            <w:sz w:val="24"/>
          </w:rPr>
          <w:t>/www.s</w:t>
        </w:r>
      </w:hyperlink>
      <w:r>
        <w:rPr>
          <w:i/>
          <w:sz w:val="24"/>
        </w:rPr>
        <w:t>e</w:t>
      </w:r>
      <w:hyperlink r:id="rId1006">
        <w:r>
          <w:rPr>
            <w:i/>
            <w:sz w:val="24"/>
          </w:rPr>
          <w:t>duvi.df.gob.mx/portal/index.php/acerca-de-la-seduvi/e-</w:t>
        </w:r>
      </w:hyperlink>
      <w:r>
        <w:rPr>
          <w:i/>
          <w:sz w:val="24"/>
        </w:rPr>
        <w:t> </w:t>
      </w:r>
      <w:r>
        <w:rPr>
          <w:i/>
          <w:sz w:val="24"/>
        </w:rPr>
        <w:t>glosario.html</w:t>
      </w:r>
    </w:p>
    <w:p>
      <w:pPr>
        <w:spacing w:before="200"/>
        <w:ind w:left="341" w:right="0" w:firstLine="0"/>
        <w:jc w:val="both"/>
        <w:rPr>
          <w:sz w:val="24"/>
        </w:rPr>
      </w:pPr>
      <w:r>
        <w:rPr>
          <w:sz w:val="24"/>
        </w:rPr>
        <w:t>Smith, Wallace (1973), </w:t>
      </w:r>
      <w:r>
        <w:rPr>
          <w:i/>
          <w:sz w:val="24"/>
        </w:rPr>
        <w:t>Sociología y economía de la vivienda</w:t>
      </w:r>
      <w:r>
        <w:rPr>
          <w:sz w:val="24"/>
        </w:rPr>
        <w:t>. México.  Editorial</w:t>
      </w:r>
    </w:p>
    <w:p>
      <w:pPr>
        <w:spacing w:before="45"/>
        <w:ind w:left="341" w:right="0" w:firstLine="0"/>
        <w:jc w:val="both"/>
        <w:rPr>
          <w:sz w:val="24"/>
        </w:rPr>
      </w:pPr>
      <w:r>
        <w:rPr>
          <w:sz w:val="19"/>
        </w:rPr>
        <w:t>PAX</w:t>
      </w:r>
      <w:r>
        <w:rPr>
          <w:sz w:val="24"/>
        </w:rPr>
        <w:t>-</w:t>
      </w:r>
      <w:r>
        <w:rPr>
          <w:sz w:val="19"/>
        </w:rPr>
        <w:t>MÉXICO</w:t>
      </w:r>
      <w:r>
        <w:rPr>
          <w:sz w:val="24"/>
        </w:rPr>
        <w:t>.</w:t>
      </w:r>
    </w:p>
    <w:p>
      <w:pPr>
        <w:pStyle w:val="BodyText"/>
        <w:spacing w:before="7"/>
        <w:rPr>
          <w:sz w:val="20"/>
        </w:rPr>
      </w:pPr>
    </w:p>
    <w:p>
      <w:pPr>
        <w:spacing w:before="0"/>
        <w:ind w:left="341" w:right="0" w:firstLine="0"/>
        <w:jc w:val="both"/>
        <w:rPr>
          <w:i/>
          <w:sz w:val="24"/>
        </w:rPr>
      </w:pPr>
      <w:r>
        <w:rPr>
          <w:sz w:val="24"/>
        </w:rPr>
        <w:t>Sobrino, Jaime (1993),  </w:t>
      </w:r>
      <w:r>
        <w:rPr>
          <w:i/>
          <w:sz w:val="24"/>
        </w:rPr>
        <w:t>Gobierno y Administración Metropolitana y     Regional.</w:t>
      </w:r>
    </w:p>
    <w:p>
      <w:pPr>
        <w:pStyle w:val="BodyText"/>
        <w:spacing w:before="45"/>
        <w:ind w:left="341"/>
        <w:jc w:val="both"/>
      </w:pPr>
      <w:r>
        <w:rPr/>
        <w:t>México. Instituto Nacional de Administración Pública. A. C.</w:t>
      </w:r>
    </w:p>
    <w:p>
      <w:pPr>
        <w:pStyle w:val="BodyText"/>
        <w:spacing w:before="10"/>
        <w:rPr>
          <w:sz w:val="20"/>
        </w:rPr>
      </w:pPr>
    </w:p>
    <w:p>
      <w:pPr>
        <w:pStyle w:val="BodyText"/>
        <w:spacing w:line="276" w:lineRule="auto"/>
        <w:ind w:left="341" w:right="117"/>
        <w:jc w:val="both"/>
      </w:pPr>
      <w:r>
        <w:rPr/>
        <w:t>Torrentera, Jazmín (2014), “Vivienda accesible. Estándares mínimos de habitabilidad  para personas con  discapacidad  motora”, Tesis  de  Maestría en</w:t>
      </w:r>
    </w:p>
    <w:p>
      <w:pPr>
        <w:spacing w:after="0" w:line="276" w:lineRule="auto"/>
        <w:jc w:val="both"/>
        <w:sectPr>
          <w:footerReference w:type="default" r:id="rId1005"/>
          <w:pgSz w:w="12240" w:h="15840"/>
          <w:pgMar w:footer="943" w:header="0" w:top="1360" w:bottom="1140" w:left="1720" w:right="1580"/>
          <w:pgNumType w:start="240"/>
        </w:sectPr>
      </w:pPr>
    </w:p>
    <w:p>
      <w:pPr>
        <w:pStyle w:val="BodyText"/>
        <w:spacing w:line="278" w:lineRule="auto" w:before="54"/>
        <w:ind w:left="341" w:right="120"/>
        <w:jc w:val="both"/>
      </w:pPr>
      <w:r>
        <w:rPr/>
        <w:t>Diseño Industrial, Facultad de Arquitectura, Universidad Nacional Autónoma de México.</w:t>
      </w:r>
    </w:p>
    <w:p>
      <w:pPr>
        <w:spacing w:line="360" w:lineRule="auto" w:before="194"/>
        <w:ind w:left="341" w:right="122" w:firstLine="0"/>
        <w:jc w:val="both"/>
        <w:rPr>
          <w:sz w:val="24"/>
        </w:rPr>
      </w:pPr>
      <w:r>
        <w:rPr>
          <w:sz w:val="24"/>
        </w:rPr>
        <w:t>Torres, Jorge (2007), </w:t>
      </w:r>
      <w:r>
        <w:rPr>
          <w:i/>
          <w:sz w:val="24"/>
        </w:rPr>
        <w:t>Las condiciones habitacionales de los hogares y su </w:t>
      </w:r>
      <w:r>
        <w:rPr>
          <w:i/>
          <w:sz w:val="24"/>
        </w:rPr>
        <w:t>relación con la pobreza. </w:t>
      </w:r>
      <w:r>
        <w:rPr>
          <w:sz w:val="24"/>
        </w:rPr>
        <w:t>Bogotá: Departamento Nacional de Planeación.</w:t>
      </w:r>
    </w:p>
    <w:p>
      <w:pPr>
        <w:spacing w:line="360" w:lineRule="auto" w:before="206"/>
        <w:ind w:left="341" w:right="115" w:firstLine="0"/>
        <w:jc w:val="both"/>
        <w:rPr>
          <w:sz w:val="24"/>
        </w:rPr>
      </w:pPr>
      <w:r>
        <w:rPr>
          <w:sz w:val="24"/>
        </w:rPr>
        <w:t>Torres, Jorge (2012), “Las necesidades habitacionales de los hogares bogotanos: una mirada que trasciende el déficit convencional de vivienda”</w:t>
      </w:r>
      <w:r>
        <w:rPr>
          <w:i/>
          <w:sz w:val="24"/>
        </w:rPr>
        <w:t>. </w:t>
      </w:r>
      <w:r>
        <w:rPr>
          <w:i/>
          <w:sz w:val="24"/>
        </w:rPr>
        <w:t>Revista Cuadernos de Vivienda y Urbanismo</w:t>
      </w:r>
      <w:r>
        <w:rPr>
          <w:sz w:val="24"/>
        </w:rPr>
        <w:t>, vol. 5, núm. 9 pp. 104-122.</w:t>
      </w:r>
    </w:p>
    <w:p>
      <w:pPr>
        <w:pStyle w:val="BodyText"/>
        <w:spacing w:before="202"/>
        <w:ind w:left="341"/>
        <w:jc w:val="both"/>
        <w:rPr>
          <w:i/>
        </w:rPr>
      </w:pPr>
      <w:r>
        <w:rPr/>
        <w:t>Torres, Mario (2013), “El paisaje y el enfoque de hábitat residencial” </w:t>
      </w:r>
      <w:r>
        <w:rPr>
          <w:i/>
        </w:rPr>
        <w:t>Revista</w:t>
      </w:r>
    </w:p>
    <w:p>
      <w:pPr>
        <w:pStyle w:val="BodyText"/>
        <w:spacing w:before="43"/>
        <w:ind w:left="341"/>
        <w:jc w:val="both"/>
      </w:pPr>
      <w:r>
        <w:rPr>
          <w:i/>
          <w:sz w:val="19"/>
        </w:rPr>
        <w:t>INVI</w:t>
      </w:r>
      <w:r>
        <w:rPr/>
        <w:t>, vol. 28, núm. 78 pp. 9-25.</w:t>
      </w:r>
    </w:p>
    <w:p>
      <w:pPr>
        <w:pStyle w:val="BodyText"/>
        <w:spacing w:before="10"/>
        <w:rPr>
          <w:sz w:val="20"/>
        </w:rPr>
      </w:pPr>
    </w:p>
    <w:p>
      <w:pPr>
        <w:pStyle w:val="BodyText"/>
        <w:spacing w:line="278" w:lineRule="auto"/>
        <w:ind w:left="341" w:right="118"/>
        <w:jc w:val="both"/>
      </w:pPr>
      <w:r>
        <w:rPr/>
        <w:t>Uribe, N. (2010), Más claro, el derecho humano al agua. </w:t>
      </w:r>
      <w:r>
        <w:rPr>
          <w:i/>
        </w:rPr>
        <w:t>Tiempo De Paz, </w:t>
      </w:r>
      <w:r>
        <w:rPr/>
        <w:t>No. 98, 31-37</w:t>
      </w:r>
    </w:p>
    <w:p>
      <w:pPr>
        <w:pStyle w:val="BodyText"/>
        <w:spacing w:before="9"/>
        <w:rPr>
          <w:sz w:val="23"/>
        </w:rPr>
      </w:pPr>
    </w:p>
    <w:p>
      <w:pPr>
        <w:spacing w:line="360" w:lineRule="auto" w:before="0"/>
        <w:ind w:left="341" w:right="119" w:firstLine="0"/>
        <w:jc w:val="both"/>
        <w:rPr>
          <w:sz w:val="24"/>
        </w:rPr>
      </w:pPr>
      <w:r>
        <w:rPr>
          <w:sz w:val="24"/>
        </w:rPr>
        <w:t>Universidad Politécnica de Valencia (2009), </w:t>
      </w:r>
      <w:r>
        <w:rPr>
          <w:i/>
          <w:sz w:val="24"/>
        </w:rPr>
        <w:t>Ciudades (im) propias la tensión </w:t>
      </w:r>
      <w:r>
        <w:rPr>
          <w:i/>
          <w:sz w:val="24"/>
        </w:rPr>
        <w:t>entre lo global. </w:t>
      </w:r>
      <w:r>
        <w:rPr>
          <w:sz w:val="24"/>
        </w:rPr>
        <w:t>Universidad Politécnica de Valencia. España.</w:t>
      </w:r>
    </w:p>
    <w:p>
      <w:pPr>
        <w:pStyle w:val="BodyText"/>
        <w:spacing w:before="5"/>
      </w:pPr>
    </w:p>
    <w:p>
      <w:pPr>
        <w:spacing w:line="360" w:lineRule="auto" w:before="0"/>
        <w:ind w:left="341" w:right="121" w:firstLine="0"/>
        <w:jc w:val="both"/>
        <w:rPr>
          <w:sz w:val="24"/>
        </w:rPr>
      </w:pPr>
      <w:r>
        <w:rPr>
          <w:sz w:val="24"/>
        </w:rPr>
        <w:t>Unikel, L. (1976), </w:t>
      </w:r>
      <w:r>
        <w:rPr>
          <w:i/>
          <w:sz w:val="24"/>
        </w:rPr>
        <w:t>El desarrollo urbano de México. Diagnostico e implicaciones </w:t>
      </w:r>
      <w:r>
        <w:rPr>
          <w:i/>
          <w:sz w:val="24"/>
        </w:rPr>
        <w:t>futuras</w:t>
      </w:r>
      <w:r>
        <w:rPr>
          <w:sz w:val="24"/>
        </w:rPr>
        <w:t>. Distrito Federal: Editorial El Colegio de México.</w:t>
      </w:r>
    </w:p>
    <w:p>
      <w:pPr>
        <w:pStyle w:val="BodyText"/>
        <w:rPr>
          <w:sz w:val="28"/>
        </w:rPr>
      </w:pPr>
    </w:p>
    <w:p>
      <w:pPr>
        <w:spacing w:line="360" w:lineRule="auto" w:before="0"/>
        <w:ind w:left="341" w:right="118" w:firstLine="0"/>
        <w:jc w:val="both"/>
        <w:rPr>
          <w:sz w:val="24"/>
        </w:rPr>
      </w:pPr>
      <w:r>
        <w:rPr>
          <w:sz w:val="24"/>
        </w:rPr>
        <w:t>Villagrán, J. (2001), </w:t>
      </w:r>
      <w:r>
        <w:rPr>
          <w:i/>
          <w:sz w:val="24"/>
        </w:rPr>
        <w:t>La Habitabilidad. Teoría de la arquitectura. </w:t>
      </w:r>
      <w:r>
        <w:rPr>
          <w:sz w:val="24"/>
        </w:rPr>
        <w:t>México:  Editorial Universidad Nacional Autónoma de</w:t>
      </w:r>
      <w:r>
        <w:rPr>
          <w:spacing w:val="-25"/>
          <w:sz w:val="24"/>
        </w:rPr>
        <w:t> </w:t>
      </w:r>
      <w:r>
        <w:rPr>
          <w:sz w:val="24"/>
        </w:rPr>
        <w:t>México.</w:t>
      </w:r>
    </w:p>
    <w:p>
      <w:pPr>
        <w:pStyle w:val="BodyText"/>
      </w:pPr>
    </w:p>
    <w:p>
      <w:pPr>
        <w:spacing w:line="278" w:lineRule="auto" w:before="139"/>
        <w:ind w:left="341" w:right="118" w:firstLine="0"/>
        <w:jc w:val="both"/>
        <w:rPr>
          <w:sz w:val="24"/>
        </w:rPr>
      </w:pPr>
      <w:r>
        <w:rPr>
          <w:sz w:val="24"/>
        </w:rPr>
        <w:t>Xevi, Paltor (2009), </w:t>
      </w:r>
      <w:r>
        <w:rPr>
          <w:i/>
          <w:sz w:val="24"/>
        </w:rPr>
        <w:t>Análisis sobre la vivienda mínima</w:t>
      </w:r>
      <w:r>
        <w:rPr>
          <w:sz w:val="24"/>
        </w:rPr>
        <w:t>. Congreso de arquitectos en España. Madrid, España.</w:t>
      </w:r>
    </w:p>
    <w:p>
      <w:pPr>
        <w:pStyle w:val="BodyText"/>
      </w:pPr>
    </w:p>
    <w:p>
      <w:pPr>
        <w:pStyle w:val="BodyText"/>
        <w:spacing w:before="7"/>
        <w:rPr>
          <w:sz w:val="20"/>
        </w:rPr>
      </w:pPr>
    </w:p>
    <w:p>
      <w:pPr>
        <w:spacing w:line="278" w:lineRule="auto" w:before="1"/>
        <w:ind w:left="341" w:right="119" w:firstLine="0"/>
        <w:jc w:val="both"/>
        <w:rPr>
          <w:sz w:val="24"/>
        </w:rPr>
      </w:pPr>
      <w:r>
        <w:rPr>
          <w:sz w:val="24"/>
        </w:rPr>
        <w:t>World Health Organization (2005), </w:t>
      </w:r>
      <w:r>
        <w:rPr>
          <w:i/>
          <w:sz w:val="24"/>
        </w:rPr>
        <w:t>Commission on Social Determinants of </w:t>
      </w:r>
      <w:r>
        <w:rPr>
          <w:i/>
          <w:sz w:val="24"/>
        </w:rPr>
        <w:t>Health</w:t>
      </w:r>
      <w:r>
        <w:rPr>
          <w:sz w:val="24"/>
        </w:rPr>
        <w:t>, Geneva, Switzerland, </w:t>
      </w:r>
      <w:r>
        <w:rPr>
          <w:sz w:val="19"/>
        </w:rPr>
        <w:t>WHO</w:t>
      </w:r>
      <w:r>
        <w:rPr>
          <w:sz w:val="24"/>
        </w:rPr>
        <w:t>.</w:t>
      </w:r>
    </w:p>
    <w:p>
      <w:pPr>
        <w:pStyle w:val="BodyText"/>
        <w:spacing w:before="6"/>
        <w:rPr>
          <w:sz w:val="27"/>
        </w:rPr>
      </w:pPr>
    </w:p>
    <w:p>
      <w:pPr>
        <w:pStyle w:val="BodyText"/>
        <w:spacing w:line="273" w:lineRule="auto"/>
        <w:ind w:left="341" w:right="114"/>
        <w:jc w:val="both"/>
      </w:pPr>
      <w:r>
        <w:rPr/>
        <w:t>Ziccardi, Alicia (2012), “Espacio público y participación ciudadana. El caso del Programa Comunitario de Mejoramiento Barrial de la ciudad de México”  </w:t>
      </w:r>
      <w:r>
        <w:rPr>
          <w:i/>
        </w:rPr>
        <w:t>Revista Gestión y Política Pública</w:t>
      </w:r>
      <w:r>
        <w:rPr/>
        <w:t>, vol. XXI, núm. Temático 2012 pp.</w:t>
      </w:r>
      <w:r>
        <w:rPr>
          <w:spacing w:val="-21"/>
        </w:rPr>
        <w:t> </w:t>
      </w:r>
      <w:r>
        <w:rPr/>
        <w:t>187-226.</w:t>
      </w:r>
    </w:p>
    <w:p>
      <w:pPr>
        <w:spacing w:after="0" w:line="273" w:lineRule="auto"/>
        <w:jc w:val="both"/>
        <w:sectPr>
          <w:pgSz w:w="12240" w:h="15840"/>
          <w:pgMar w:header="0" w:footer="943" w:top="1360" w:bottom="1200" w:left="1720" w:right="1580"/>
        </w:sectPr>
      </w:pPr>
    </w:p>
    <w:p>
      <w:pPr>
        <w:pStyle w:val="Heading4"/>
        <w:jc w:val="left"/>
      </w:pPr>
      <w:r>
        <w:rPr/>
        <w:t>Anexos</w:t>
      </w:r>
    </w:p>
    <w:p>
      <w:pPr>
        <w:pStyle w:val="BodyText"/>
        <w:rPr>
          <w:b/>
        </w:rPr>
      </w:pPr>
    </w:p>
    <w:p>
      <w:pPr>
        <w:pStyle w:val="BodyText"/>
        <w:rPr>
          <w:b/>
        </w:rPr>
      </w:pPr>
    </w:p>
    <w:p>
      <w:pPr>
        <w:pStyle w:val="BodyText"/>
        <w:spacing w:before="9"/>
        <w:rPr>
          <w:b/>
          <w:sz w:val="34"/>
        </w:rPr>
      </w:pPr>
    </w:p>
    <w:p>
      <w:pPr>
        <w:pStyle w:val="BodyText"/>
        <w:spacing w:line="360" w:lineRule="auto" w:before="1"/>
        <w:ind w:left="102"/>
      </w:pPr>
      <w:r>
        <w:rPr/>
        <w:t>En esta sección del trabajo se muestran las publicaciones derivadas de la investigación:</w:t>
      </w:r>
    </w:p>
    <w:p>
      <w:pPr>
        <w:pStyle w:val="BodyText"/>
        <w:spacing w:before="3"/>
        <w:rPr>
          <w:sz w:val="14"/>
        </w:rPr>
      </w:pPr>
      <w:r>
        <w:rPr/>
        <w:drawing>
          <wp:anchor distT="0" distB="0" distL="0" distR="0" allowOverlap="1" layoutInCell="1" locked="0" behindDoc="0" simplePos="0" relativeHeight="7240">
            <wp:simplePos x="0" y="0"/>
            <wp:positionH relativeFrom="page">
              <wp:posOffset>1098803</wp:posOffset>
            </wp:positionH>
            <wp:positionV relativeFrom="paragraph">
              <wp:posOffset>129208</wp:posOffset>
            </wp:positionV>
            <wp:extent cx="5232478" cy="6478524"/>
            <wp:effectExtent l="0" t="0" r="0" b="0"/>
            <wp:wrapTopAndBottom/>
            <wp:docPr id="181" name="image963.jpeg" descr=""/>
            <wp:cNvGraphicFramePr>
              <a:graphicFrameLocks noChangeAspect="1"/>
            </wp:cNvGraphicFramePr>
            <a:graphic>
              <a:graphicData uri="http://schemas.openxmlformats.org/drawingml/2006/picture">
                <pic:pic>
                  <pic:nvPicPr>
                    <pic:cNvPr id="182" name="image963.jpeg"/>
                    <pic:cNvPicPr/>
                  </pic:nvPicPr>
                  <pic:blipFill>
                    <a:blip r:embed="rId1007" cstate="print"/>
                    <a:stretch>
                      <a:fillRect/>
                    </a:stretch>
                  </pic:blipFill>
                  <pic:spPr>
                    <a:xfrm>
                      <a:off x="0" y="0"/>
                      <a:ext cx="5232478" cy="6478524"/>
                    </a:xfrm>
                    <a:prstGeom prst="rect">
                      <a:avLst/>
                    </a:prstGeom>
                  </pic:spPr>
                </pic:pic>
              </a:graphicData>
            </a:graphic>
          </wp:anchor>
        </w:drawing>
      </w:r>
    </w:p>
    <w:p>
      <w:pPr>
        <w:spacing w:after="0"/>
        <w:rPr>
          <w:sz w:val="14"/>
        </w:rPr>
        <w:sectPr>
          <w:pgSz w:w="12240" w:h="15840"/>
          <w:pgMar w:header="0" w:footer="943" w:top="1360" w:bottom="1200" w:left="1600" w:right="1600"/>
        </w:sectPr>
      </w:pPr>
    </w:p>
    <w:p>
      <w:pPr>
        <w:pStyle w:val="BodyText"/>
        <w:ind w:left="110"/>
        <w:rPr>
          <w:sz w:val="20"/>
        </w:rPr>
      </w:pPr>
      <w:r>
        <w:rPr>
          <w:sz w:val="20"/>
        </w:rPr>
        <w:drawing>
          <wp:inline distT="0" distB="0" distL="0" distR="0">
            <wp:extent cx="5571803" cy="6814184"/>
            <wp:effectExtent l="0" t="0" r="0" b="0"/>
            <wp:docPr id="183" name="image964.jpeg" descr=""/>
            <wp:cNvGraphicFramePr>
              <a:graphicFrameLocks noChangeAspect="1"/>
            </wp:cNvGraphicFramePr>
            <a:graphic>
              <a:graphicData uri="http://schemas.openxmlformats.org/drawingml/2006/picture">
                <pic:pic>
                  <pic:nvPicPr>
                    <pic:cNvPr id="184" name="image964.jpeg"/>
                    <pic:cNvPicPr/>
                  </pic:nvPicPr>
                  <pic:blipFill>
                    <a:blip r:embed="rId1008" cstate="print"/>
                    <a:stretch>
                      <a:fillRect/>
                    </a:stretch>
                  </pic:blipFill>
                  <pic:spPr>
                    <a:xfrm>
                      <a:off x="0" y="0"/>
                      <a:ext cx="5571803" cy="6814184"/>
                    </a:xfrm>
                    <a:prstGeom prst="rect">
                      <a:avLst/>
                    </a:prstGeom>
                  </pic:spPr>
                </pic:pic>
              </a:graphicData>
            </a:graphic>
          </wp:inline>
        </w:drawing>
      </w:r>
      <w:r>
        <w:rPr>
          <w:sz w:val="20"/>
        </w:rPr>
      </w:r>
    </w:p>
    <w:p>
      <w:pPr>
        <w:spacing w:after="0"/>
        <w:rPr>
          <w:sz w:val="20"/>
        </w:rPr>
        <w:sectPr>
          <w:pgSz w:w="12240" w:h="15840"/>
          <w:pgMar w:header="0" w:footer="943" w:top="1420" w:bottom="1140" w:left="1620" w:right="1560"/>
        </w:sectPr>
      </w:pPr>
    </w:p>
    <w:p>
      <w:pPr>
        <w:pStyle w:val="BodyText"/>
        <w:spacing w:line="20" w:lineRule="exact"/>
        <w:ind w:left="129"/>
        <w:rPr>
          <w:sz w:val="2"/>
        </w:rPr>
      </w:pPr>
      <w:r>
        <w:rPr>
          <w:sz w:val="2"/>
        </w:rPr>
        <w:pict>
          <v:group style="width:483.6pt;height:.5pt;mso-position-horizontal-relative:char;mso-position-vertical-relative:line" coordorigin="0,0" coordsize="9672,10">
            <v:line style="position:absolute" from="5,5" to="8330,5" stroked="true" strokeweight=".48pt" strokecolor="#363435"/>
            <v:line style="position:absolute" from="8330,5" to="8339,5" stroked="true" strokeweight=".48pt" strokecolor="#363435"/>
            <v:line style="position:absolute" from="8339,5" to="9667,5" stroked="true" strokeweight=".48pt" strokecolor="#363435"/>
          </v:group>
        </w:pict>
      </w:r>
      <w:r>
        <w:rPr>
          <w:sz w:val="2"/>
        </w:rPr>
      </w:r>
    </w:p>
    <w:p>
      <w:pPr>
        <w:pStyle w:val="BodyText"/>
        <w:rPr>
          <w:sz w:val="20"/>
        </w:rPr>
      </w:pPr>
    </w:p>
    <w:p>
      <w:pPr>
        <w:pStyle w:val="Heading1"/>
        <w:tabs>
          <w:tab w:pos="9304" w:val="right" w:leader="none"/>
        </w:tabs>
        <w:spacing w:line="240" w:lineRule="auto" w:before="216"/>
      </w:pPr>
      <w:r>
        <w:rPr/>
        <w:pict>
          <v:group style="position:absolute;margin-left:90.494003pt;margin-top:47.272232pt;width:483.6pt;height:.5pt;mso-position-horizontal-relative:page;mso-position-vertical-relative:paragraph;z-index:7360" coordorigin="1810,945" coordsize="9672,10">
            <v:line style="position:absolute" from="1815,950" to="10139,950" stroked="true" strokeweight=".48pt" strokecolor="#363435"/>
            <v:line style="position:absolute" from="10140,950" to="10149,950" stroked="true" strokeweight=".48pt" strokecolor="#363435"/>
            <v:line style="position:absolute" from="10149,950" to="11476,950" stroked="true" strokeweight=".48pt" strokecolor="#363435"/>
            <w10:wrap type="none"/>
          </v:group>
        </w:pict>
      </w:r>
      <w:r>
        <w:rPr>
          <w:color w:val="5F5F61"/>
        </w:rPr>
        <w:t>Flujos migratorios y ciudades</w:t>
      </w:r>
      <w:r>
        <w:rPr>
          <w:color w:val="5F5F61"/>
          <w:spacing w:val="-2"/>
        </w:rPr>
        <w:t> </w:t>
      </w:r>
      <w:r>
        <w:rPr>
          <w:color w:val="5F5F61"/>
        </w:rPr>
        <w:t>en</w:t>
      </w:r>
      <w:r>
        <w:rPr>
          <w:color w:val="5F5F61"/>
          <w:spacing w:val="-2"/>
        </w:rPr>
        <w:t> </w:t>
      </w:r>
      <w:r>
        <w:rPr>
          <w:color w:val="5F5F61"/>
        </w:rPr>
        <w:t>México</w:t>
        <w:tab/>
        <w:t>261</w:t>
      </w:r>
    </w:p>
    <w:p>
      <w:pPr>
        <w:tabs>
          <w:tab w:pos="9304" w:val="right" w:leader="none"/>
        </w:tabs>
        <w:spacing w:line="328" w:lineRule="exact" w:before="833"/>
        <w:ind w:left="242" w:right="0" w:firstLine="0"/>
        <w:jc w:val="left"/>
        <w:rPr>
          <w:rFonts w:ascii="Calibri" w:hAnsi="Calibri"/>
          <w:b/>
          <w:sz w:val="30"/>
        </w:rPr>
      </w:pPr>
      <w:r>
        <w:rPr>
          <w:rFonts w:ascii="Calibri" w:hAnsi="Calibri"/>
          <w:b/>
          <w:color w:val="5F5F61"/>
          <w:sz w:val="30"/>
        </w:rPr>
        <w:t>La relación de redes rurales y urbanas para</w:t>
      </w:r>
      <w:r>
        <w:rPr>
          <w:rFonts w:ascii="Calibri" w:hAnsi="Calibri"/>
          <w:b/>
          <w:color w:val="5F5F61"/>
          <w:spacing w:val="-12"/>
          <w:sz w:val="30"/>
        </w:rPr>
        <w:t> </w:t>
      </w:r>
      <w:r>
        <w:rPr>
          <w:rFonts w:ascii="Calibri" w:hAnsi="Calibri"/>
          <w:b/>
          <w:color w:val="5F5F61"/>
          <w:sz w:val="30"/>
        </w:rPr>
        <w:t>la</w:t>
      </w:r>
      <w:r>
        <w:rPr>
          <w:rFonts w:ascii="Calibri" w:hAnsi="Calibri"/>
          <w:b/>
          <w:color w:val="5F5F61"/>
          <w:spacing w:val="-2"/>
          <w:sz w:val="30"/>
        </w:rPr>
        <w:t> </w:t>
      </w:r>
      <w:r>
        <w:rPr>
          <w:rFonts w:ascii="Calibri" w:hAnsi="Calibri"/>
          <w:b/>
          <w:color w:val="5F5F61"/>
          <w:sz w:val="30"/>
        </w:rPr>
        <w:t>migración</w:t>
        <w:tab/>
        <w:t>273</w:t>
      </w:r>
    </w:p>
    <w:p>
      <w:pPr>
        <w:spacing w:line="328" w:lineRule="exact" w:before="0"/>
        <w:ind w:left="242" w:right="0" w:firstLine="0"/>
        <w:jc w:val="left"/>
        <w:rPr>
          <w:rFonts w:ascii="Calibri"/>
          <w:b/>
          <w:sz w:val="30"/>
        </w:rPr>
      </w:pPr>
      <w:r>
        <w:rPr>
          <w:rFonts w:ascii="Calibri"/>
          <w:b/>
          <w:color w:val="5F5F61"/>
          <w:sz w:val="30"/>
        </w:rPr>
        <w:t>hacia Estados Unidos. El caso del circuito Puebla-Nueva</w:t>
      </w:r>
    </w:p>
    <w:p>
      <w:pPr>
        <w:spacing w:before="135"/>
        <w:ind w:left="242" w:right="0" w:firstLine="0"/>
        <w:jc w:val="left"/>
        <w:rPr>
          <w:rFonts w:ascii="Calibri"/>
          <w:b/>
          <w:sz w:val="30"/>
        </w:rPr>
      </w:pPr>
      <w:r>
        <w:rPr>
          <w:rFonts w:ascii="Calibri"/>
          <w:b/>
          <w:color w:val="5F5F61"/>
          <w:sz w:val="30"/>
        </w:rPr>
        <w:t>York</w:t>
      </w:r>
    </w:p>
    <w:p>
      <w:pPr>
        <w:spacing w:before="133"/>
        <w:ind w:left="242" w:right="0" w:firstLine="0"/>
        <w:jc w:val="left"/>
        <w:rPr>
          <w:rFonts w:ascii="Calibri" w:hAnsi="Calibri"/>
          <w:i/>
          <w:sz w:val="30"/>
        </w:rPr>
      </w:pPr>
      <w:r>
        <w:rPr/>
        <w:pict>
          <v:group style="position:absolute;margin-left:90.494003pt;margin-top:28.602228pt;width:483.6pt;height:.5pt;mso-position-horizontal-relative:page;mso-position-vertical-relative:paragraph;z-index:7288;mso-wrap-distance-left:0;mso-wrap-distance-right:0" coordorigin="1810,572" coordsize="9672,10">
            <v:line style="position:absolute" from="1815,577" to="10139,577" stroked="true" strokeweight=".48001pt" strokecolor="#363435"/>
            <v:line style="position:absolute" from="10140,577" to="10149,577" stroked="true" strokeweight=".48001pt" strokecolor="#363435"/>
            <v:line style="position:absolute" from="10149,577" to="11476,577" stroked="true" strokeweight=".48001pt" strokecolor="#363435"/>
            <w10:wrap type="topAndBottom"/>
          </v:group>
        </w:pict>
      </w:r>
      <w:r>
        <w:rPr>
          <w:rFonts w:ascii="Calibri" w:hAnsi="Calibri"/>
          <w:i/>
          <w:color w:val="5F5F61"/>
          <w:sz w:val="30"/>
        </w:rPr>
        <w:t>Cristina Cruz Carvajal, Doriz Eunice Castellón Ramos</w:t>
      </w:r>
    </w:p>
    <w:p>
      <w:pPr>
        <w:pStyle w:val="BodyText"/>
        <w:spacing w:before="4"/>
        <w:rPr>
          <w:rFonts w:ascii="Calibri"/>
          <w:i/>
          <w:sz w:val="35"/>
        </w:rPr>
      </w:pPr>
    </w:p>
    <w:p>
      <w:pPr>
        <w:tabs>
          <w:tab w:pos="8850" w:val="left" w:leader="none"/>
        </w:tabs>
        <w:spacing w:line="328" w:lineRule="exact" w:before="1"/>
        <w:ind w:left="242" w:right="0" w:firstLine="0"/>
        <w:jc w:val="left"/>
        <w:rPr>
          <w:rFonts w:ascii="Calibri"/>
          <w:b/>
          <w:sz w:val="30"/>
        </w:rPr>
      </w:pPr>
      <w:r>
        <w:rPr>
          <w:rFonts w:ascii="Calibri"/>
          <w:b/>
          <w:color w:val="5F5F61"/>
          <w:sz w:val="30"/>
        </w:rPr>
        <w:t>Movimientos Humanos y Calidad</w:t>
      </w:r>
      <w:r>
        <w:rPr>
          <w:rFonts w:ascii="Calibri"/>
          <w:b/>
          <w:color w:val="5F5F61"/>
          <w:spacing w:val="-16"/>
          <w:sz w:val="30"/>
        </w:rPr>
        <w:t> </w:t>
      </w:r>
      <w:r>
        <w:rPr>
          <w:rFonts w:ascii="Calibri"/>
          <w:b/>
          <w:color w:val="5F5F61"/>
          <w:sz w:val="30"/>
        </w:rPr>
        <w:t>deVida:</w:t>
      </w:r>
      <w:r>
        <w:rPr>
          <w:rFonts w:ascii="Calibri"/>
          <w:b/>
          <w:color w:val="5F5F61"/>
          <w:spacing w:val="-6"/>
          <w:sz w:val="30"/>
        </w:rPr>
        <w:t> </w:t>
      </w:r>
      <w:r>
        <w:rPr>
          <w:rFonts w:ascii="Calibri"/>
          <w:b/>
          <w:color w:val="5F5F61"/>
          <w:sz w:val="30"/>
        </w:rPr>
        <w:t>Migrantes</w:t>
        <w:tab/>
        <w:t>289</w:t>
      </w:r>
    </w:p>
    <w:p>
      <w:pPr>
        <w:spacing w:line="328" w:lineRule="exact" w:before="0"/>
        <w:ind w:left="242" w:right="0" w:firstLine="0"/>
        <w:jc w:val="left"/>
        <w:rPr>
          <w:rFonts w:ascii="Calibri" w:hAnsi="Calibri"/>
          <w:b/>
          <w:sz w:val="30"/>
        </w:rPr>
      </w:pPr>
      <w:r>
        <w:rPr>
          <w:rFonts w:ascii="Calibri" w:hAnsi="Calibri"/>
          <w:b/>
          <w:color w:val="5F5F61"/>
          <w:sz w:val="30"/>
        </w:rPr>
        <w:t>jornaleros en Santa María Jajalpa,Tenango delValle, Estado</w:t>
      </w:r>
    </w:p>
    <w:p>
      <w:pPr>
        <w:spacing w:before="133"/>
        <w:ind w:left="242" w:right="0" w:firstLine="0"/>
        <w:jc w:val="left"/>
        <w:rPr>
          <w:rFonts w:ascii="Calibri" w:hAnsi="Calibri"/>
          <w:b/>
          <w:sz w:val="30"/>
        </w:rPr>
      </w:pPr>
      <w:r>
        <w:rPr>
          <w:rFonts w:ascii="Calibri" w:hAnsi="Calibri"/>
          <w:b/>
          <w:color w:val="5F5F61"/>
          <w:sz w:val="30"/>
        </w:rPr>
        <w:t>de México</w:t>
      </w:r>
    </w:p>
    <w:p>
      <w:pPr>
        <w:spacing w:line="326" w:lineRule="auto" w:before="135"/>
        <w:ind w:left="242" w:right="2215" w:firstLine="0"/>
        <w:jc w:val="left"/>
        <w:rPr>
          <w:rFonts w:ascii="Calibri" w:hAnsi="Calibri"/>
          <w:i/>
          <w:sz w:val="30"/>
        </w:rPr>
      </w:pPr>
      <w:r>
        <w:rPr/>
        <w:pict>
          <v:group style="position:absolute;margin-left:90.494003pt;margin-top:53.66222pt;width:483.6pt;height:.5pt;mso-position-horizontal-relative:page;mso-position-vertical-relative:paragraph;z-index:-330088" coordorigin="1810,1073" coordsize="9672,10">
            <v:line style="position:absolute" from="1815,1078" to="10139,1078" stroked="true" strokeweight=".48001pt" strokecolor="#363435"/>
            <v:line style="position:absolute" from="10140,1078" to="10149,1078" stroked="true" strokeweight=".48001pt" strokecolor="#363435"/>
            <v:line style="position:absolute" from="10149,1078" to="11476,1078" stroked="true" strokeweight=".48001pt" strokecolor="#363435"/>
            <w10:wrap type="none"/>
          </v:group>
        </w:pict>
      </w:r>
      <w:r>
        <w:rPr>
          <w:rFonts w:ascii="Calibri" w:hAnsi="Calibri"/>
          <w:i/>
          <w:color w:val="5F5F61"/>
          <w:sz w:val="30"/>
        </w:rPr>
        <w:t>ItzelAbril Tinoco González, Juan Trejo Castro, Mauricio García </w:t>
      </w:r>
      <w:r>
        <w:rPr>
          <w:rFonts w:ascii="Calibri" w:hAnsi="Calibri"/>
          <w:i/>
          <w:color w:val="5F5F61"/>
          <w:sz w:val="30"/>
        </w:rPr>
        <w:t>Sandoval</w:t>
      </w:r>
    </w:p>
    <w:p>
      <w:pPr>
        <w:pStyle w:val="BodyText"/>
        <w:spacing w:before="9"/>
        <w:rPr>
          <w:rFonts w:ascii="Calibri"/>
          <w:i/>
          <w:sz w:val="33"/>
        </w:rPr>
      </w:pPr>
    </w:p>
    <w:p>
      <w:pPr>
        <w:tabs>
          <w:tab w:pos="8850" w:val="left" w:leader="none"/>
        </w:tabs>
        <w:spacing w:line="328" w:lineRule="exact" w:before="0"/>
        <w:ind w:left="242" w:right="0" w:firstLine="0"/>
        <w:jc w:val="left"/>
        <w:rPr>
          <w:rFonts w:ascii="Calibri" w:hAnsi="Calibri"/>
          <w:b/>
          <w:sz w:val="30"/>
        </w:rPr>
      </w:pPr>
      <w:r>
        <w:rPr>
          <w:rFonts w:ascii="Calibri" w:hAnsi="Calibri"/>
          <w:b/>
          <w:color w:val="5F5F61"/>
          <w:sz w:val="30"/>
        </w:rPr>
        <w:t>Migración transfronteriza en la era de la</w:t>
      </w:r>
      <w:r>
        <w:rPr>
          <w:rFonts w:ascii="Calibri" w:hAnsi="Calibri"/>
          <w:b/>
          <w:color w:val="5F5F61"/>
          <w:spacing w:val="-13"/>
          <w:sz w:val="30"/>
        </w:rPr>
        <w:t> </w:t>
      </w:r>
      <w:r>
        <w:rPr>
          <w:rFonts w:ascii="Calibri" w:hAnsi="Calibri"/>
          <w:b/>
          <w:color w:val="5F5F61"/>
          <w:sz w:val="30"/>
        </w:rPr>
        <w:t>globalización</w:t>
      </w:r>
      <w:r>
        <w:rPr>
          <w:rFonts w:ascii="Calibri" w:hAnsi="Calibri"/>
          <w:b/>
          <w:color w:val="5F5F61"/>
          <w:spacing w:val="-4"/>
          <w:sz w:val="30"/>
        </w:rPr>
        <w:t> </w:t>
      </w:r>
      <w:r>
        <w:rPr>
          <w:rFonts w:ascii="Calibri" w:hAnsi="Calibri"/>
          <w:b/>
          <w:color w:val="5F5F61"/>
          <w:sz w:val="30"/>
        </w:rPr>
        <w:t>y</w:t>
        <w:tab/>
        <w:t>301</w:t>
      </w:r>
    </w:p>
    <w:p>
      <w:pPr>
        <w:spacing w:line="328" w:lineRule="exact" w:before="0"/>
        <w:ind w:left="242" w:right="0" w:firstLine="0"/>
        <w:jc w:val="left"/>
        <w:rPr>
          <w:rFonts w:ascii="Calibri"/>
          <w:b/>
          <w:sz w:val="30"/>
        </w:rPr>
      </w:pPr>
      <w:r>
        <w:rPr>
          <w:rFonts w:ascii="Calibri"/>
          <w:b/>
          <w:color w:val="5F5F61"/>
          <w:sz w:val="30"/>
        </w:rPr>
        <w:t>nuevos usos del territorio en las comunidades rurales de</w:t>
      </w:r>
    </w:p>
    <w:p>
      <w:pPr>
        <w:spacing w:before="133"/>
        <w:ind w:left="242" w:right="0" w:firstLine="0"/>
        <w:jc w:val="left"/>
        <w:rPr>
          <w:rFonts w:ascii="Calibri"/>
          <w:b/>
          <w:sz w:val="30"/>
        </w:rPr>
      </w:pPr>
      <w:r>
        <w:rPr>
          <w:rFonts w:ascii="Calibri"/>
          <w:b/>
          <w:color w:val="5F5F61"/>
          <w:sz w:val="30"/>
        </w:rPr>
        <w:t>origen</w:t>
      </w:r>
    </w:p>
    <w:p>
      <w:pPr>
        <w:spacing w:before="135"/>
        <w:ind w:left="242" w:right="0" w:firstLine="0"/>
        <w:jc w:val="left"/>
        <w:rPr>
          <w:rFonts w:ascii="Calibri" w:hAnsi="Calibri"/>
          <w:i/>
          <w:sz w:val="30"/>
        </w:rPr>
      </w:pPr>
      <w:r>
        <w:rPr/>
        <w:pict>
          <v:group style="position:absolute;margin-left:90.494003pt;margin-top:28.702232pt;width:483.6pt;height:.5pt;mso-position-horizontal-relative:page;mso-position-vertical-relative:paragraph;z-index:7312;mso-wrap-distance-left:0;mso-wrap-distance-right:0" coordorigin="1810,574" coordsize="9672,10">
            <v:line style="position:absolute" from="1815,579" to="10139,579" stroked="true" strokeweight=".48001pt" strokecolor="#363435"/>
            <v:line style="position:absolute" from="10140,579" to="10149,579" stroked="true" strokeweight=".48001pt" strokecolor="#363435"/>
            <v:line style="position:absolute" from="10149,579" to="11476,579" stroked="true" strokeweight=".48001pt" strokecolor="#363435"/>
            <w10:wrap type="topAndBottom"/>
          </v:group>
        </w:pict>
      </w:r>
      <w:r>
        <w:rPr>
          <w:rFonts w:ascii="Calibri" w:hAnsi="Calibri"/>
          <w:i/>
          <w:color w:val="5F5F61"/>
          <w:sz w:val="30"/>
        </w:rPr>
        <w:t>Guillermo Castillo Ramírez</w:t>
      </w:r>
    </w:p>
    <w:p>
      <w:pPr>
        <w:pStyle w:val="BodyText"/>
        <w:spacing w:before="1"/>
        <w:rPr>
          <w:rFonts w:ascii="Calibri"/>
          <w:i/>
          <w:sz w:val="35"/>
        </w:rPr>
      </w:pPr>
    </w:p>
    <w:p>
      <w:pPr>
        <w:tabs>
          <w:tab w:pos="8850" w:val="left" w:leader="none"/>
        </w:tabs>
        <w:spacing w:line="330" w:lineRule="exact" w:before="1"/>
        <w:ind w:left="242" w:right="0" w:firstLine="0"/>
        <w:jc w:val="left"/>
        <w:rPr>
          <w:rFonts w:ascii="Calibri" w:hAnsi="Calibri"/>
          <w:b/>
          <w:sz w:val="30"/>
        </w:rPr>
      </w:pPr>
      <w:r>
        <w:rPr>
          <w:rFonts w:ascii="Calibri" w:hAnsi="Calibri"/>
          <w:b/>
          <w:color w:val="5F5F61"/>
          <w:sz w:val="30"/>
        </w:rPr>
        <w:t>Globalización y la migración nacional</w:t>
      </w:r>
      <w:r>
        <w:rPr>
          <w:rFonts w:ascii="Calibri" w:hAnsi="Calibri"/>
          <w:b/>
          <w:color w:val="5F5F61"/>
          <w:spacing w:val="-14"/>
          <w:sz w:val="30"/>
        </w:rPr>
        <w:t> </w:t>
      </w:r>
      <w:r>
        <w:rPr>
          <w:rFonts w:ascii="Calibri" w:hAnsi="Calibri"/>
          <w:b/>
          <w:color w:val="5F5F61"/>
          <w:sz w:val="30"/>
        </w:rPr>
        <w:t>interna</w:t>
      </w:r>
      <w:r>
        <w:rPr>
          <w:rFonts w:ascii="Calibri" w:hAnsi="Calibri"/>
          <w:b/>
          <w:color w:val="5F5F61"/>
          <w:spacing w:val="-3"/>
          <w:sz w:val="30"/>
        </w:rPr>
        <w:t> </w:t>
      </w:r>
      <w:r>
        <w:rPr>
          <w:rFonts w:ascii="Calibri" w:hAnsi="Calibri"/>
          <w:b/>
          <w:color w:val="5F5F61"/>
          <w:sz w:val="30"/>
        </w:rPr>
        <w:t>pendularde</w:t>
        <w:tab/>
        <w:t>315</w:t>
      </w:r>
    </w:p>
    <w:p>
      <w:pPr>
        <w:spacing w:line="330" w:lineRule="exact" w:before="0"/>
        <w:ind w:left="242" w:right="0" w:firstLine="0"/>
        <w:jc w:val="left"/>
        <w:rPr>
          <w:rFonts w:ascii="Calibri" w:hAnsi="Calibri"/>
          <w:b/>
          <w:sz w:val="30"/>
        </w:rPr>
      </w:pPr>
      <w:r>
        <w:rPr>
          <w:rFonts w:ascii="Calibri" w:hAnsi="Calibri"/>
          <w:b/>
          <w:color w:val="5F5F61"/>
          <w:sz w:val="30"/>
        </w:rPr>
        <w:t>jornaleros agrícolas</w:t>
      </w:r>
    </w:p>
    <w:p>
      <w:pPr>
        <w:spacing w:before="133"/>
        <w:ind w:left="242" w:right="0" w:firstLine="0"/>
        <w:jc w:val="left"/>
        <w:rPr>
          <w:rFonts w:ascii="Calibri" w:hAnsi="Calibri"/>
          <w:i/>
          <w:sz w:val="30"/>
        </w:rPr>
      </w:pPr>
      <w:r>
        <w:rPr/>
        <w:pict>
          <v:group style="position:absolute;margin-left:90.494003pt;margin-top:28.602211pt;width:483.6pt;height:.5pt;mso-position-horizontal-relative:page;mso-position-vertical-relative:paragraph;z-index:7336;mso-wrap-distance-left:0;mso-wrap-distance-right:0" coordorigin="1810,572" coordsize="9672,10">
            <v:line style="position:absolute" from="1815,577" to="10139,577" stroked="true" strokeweight=".48004pt" strokecolor="#363435"/>
            <v:line style="position:absolute" from="10140,577" to="10149,577" stroked="true" strokeweight=".48004pt" strokecolor="#363435"/>
            <v:line style="position:absolute" from="10149,577" to="11476,577" stroked="true" strokeweight=".48004pt" strokecolor="#363435"/>
            <w10:wrap type="topAndBottom"/>
          </v:group>
        </w:pict>
      </w:r>
      <w:r>
        <w:rPr>
          <w:rFonts w:ascii="Calibri" w:hAnsi="Calibri"/>
          <w:i/>
          <w:color w:val="5F5F61"/>
          <w:sz w:val="30"/>
        </w:rPr>
        <w:t>GracielaAmira Medécigo Shej</w:t>
      </w:r>
    </w:p>
    <w:p>
      <w:pPr>
        <w:pStyle w:val="BodyText"/>
        <w:rPr>
          <w:rFonts w:ascii="Calibri"/>
          <w:i/>
          <w:sz w:val="20"/>
        </w:rPr>
      </w:pPr>
    </w:p>
    <w:p>
      <w:pPr>
        <w:tabs>
          <w:tab w:pos="9304" w:val="right" w:leader="none"/>
        </w:tabs>
        <w:spacing w:line="328" w:lineRule="exact" w:before="188"/>
        <w:ind w:left="242" w:right="0" w:firstLine="0"/>
        <w:jc w:val="left"/>
        <w:rPr>
          <w:rFonts w:ascii="Calibri"/>
          <w:b/>
          <w:sz w:val="30"/>
        </w:rPr>
      </w:pPr>
      <w:r>
        <w:rPr>
          <w:rFonts w:ascii="Calibri"/>
          <w:b/>
          <w:color w:val="5F5F61"/>
          <w:sz w:val="30"/>
          <w:shd w:fill="FFFF00" w:color="auto" w:val="clear"/>
        </w:rPr>
        <w:t>La habitabilidad de las viviendas en la</w:t>
      </w:r>
      <w:r>
        <w:rPr>
          <w:rFonts w:ascii="Calibri"/>
          <w:b/>
          <w:color w:val="5F5F61"/>
          <w:spacing w:val="-7"/>
          <w:sz w:val="30"/>
          <w:shd w:fill="FFFF00" w:color="auto" w:val="clear"/>
        </w:rPr>
        <w:t> </w:t>
      </w:r>
      <w:r>
        <w:rPr>
          <w:rFonts w:ascii="Calibri"/>
          <w:b/>
          <w:color w:val="5F5F61"/>
          <w:sz w:val="30"/>
          <w:shd w:fill="FFFF00" w:color="auto" w:val="clear"/>
        </w:rPr>
        <w:t>zona</w:t>
      </w:r>
      <w:r>
        <w:rPr>
          <w:rFonts w:ascii="Calibri"/>
          <w:b/>
          <w:color w:val="5F5F61"/>
          <w:spacing w:val="-1"/>
          <w:sz w:val="30"/>
          <w:shd w:fill="FFFF00" w:color="auto" w:val="clear"/>
        </w:rPr>
        <w:t> </w:t>
      </w:r>
      <w:r>
        <w:rPr>
          <w:rFonts w:ascii="Calibri"/>
          <w:b/>
          <w:color w:val="5F5F61"/>
          <w:sz w:val="30"/>
          <w:shd w:fill="FFFF00" w:color="auto" w:val="clear"/>
        </w:rPr>
        <w:t>metropolitana</w:t>
      </w:r>
      <w:r>
        <w:rPr>
          <w:rFonts w:ascii="Calibri"/>
          <w:b/>
          <w:color w:val="5F5F61"/>
          <w:sz w:val="30"/>
        </w:rPr>
        <w:tab/>
      </w:r>
      <w:r>
        <w:rPr>
          <w:rFonts w:ascii="Calibri"/>
          <w:b/>
          <w:color w:val="5F5F61"/>
          <w:sz w:val="30"/>
          <w:shd w:fill="FFFF00" w:color="auto" w:val="clear"/>
        </w:rPr>
        <w:t>325</w:t>
      </w:r>
    </w:p>
    <w:p>
      <w:pPr>
        <w:spacing w:line="328" w:lineRule="exact" w:before="0"/>
        <w:ind w:left="242" w:right="0" w:firstLine="0"/>
        <w:jc w:val="left"/>
        <w:rPr>
          <w:rFonts w:ascii="Calibri"/>
          <w:b/>
          <w:sz w:val="30"/>
        </w:rPr>
      </w:pPr>
      <w:r>
        <w:rPr>
          <w:rFonts w:ascii="Calibri"/>
          <w:b/>
          <w:color w:val="5F5F61"/>
          <w:sz w:val="30"/>
          <w:shd w:fill="FFFF00" w:color="auto" w:val="clear"/>
        </w:rPr>
        <w:t>Toluca</w:t>
      </w:r>
    </w:p>
    <w:p>
      <w:pPr>
        <w:spacing w:line="328" w:lineRule="auto" w:before="133"/>
        <w:ind w:left="242" w:right="2215" w:firstLine="0"/>
        <w:jc w:val="left"/>
        <w:rPr>
          <w:rFonts w:ascii="Calibri" w:hAnsi="Calibri"/>
          <w:i/>
          <w:sz w:val="30"/>
        </w:rPr>
      </w:pPr>
      <w:r>
        <w:rPr/>
        <w:pict>
          <v:group style="position:absolute;margin-left:89.774002pt;margin-top:53.682236pt;width:484.3pt;height:.5pt;mso-position-horizontal-relative:page;mso-position-vertical-relative:paragraph;z-index:-330064" coordorigin="1795,1074" coordsize="9686,10">
            <v:line style="position:absolute" from="1800,1079" to="10139,1079" stroked="true" strokeweight=".47998pt" strokecolor="#363435"/>
            <v:line style="position:absolute" from="10125,1079" to="10135,1079" stroked="true" strokeweight=".47998pt" strokecolor="#363435"/>
            <v:line style="position:absolute" from="10135,1079" to="11476,1079" stroked="true" strokeweight=".47998pt" strokecolor="#363435"/>
            <w10:wrap type="none"/>
          </v:group>
        </w:pict>
      </w:r>
      <w:r>
        <w:rPr>
          <w:rFonts w:ascii="Calibri" w:hAnsi="Calibri"/>
          <w:i/>
          <w:color w:val="5F5F61"/>
          <w:sz w:val="30"/>
          <w:shd w:fill="FFFF00" w:color="auto" w:val="clear"/>
        </w:rPr>
        <w:t>Omar Ávila Flores, Carlos Félix Garrocho Rangel, Hugo </w:t>
      </w:r>
      <w:r>
        <w:rPr>
          <w:rFonts w:ascii="Calibri" w:hAnsi="Calibri"/>
          <w:i/>
          <w:color w:val="5F5F61"/>
          <w:sz w:val="30"/>
          <w:shd w:fill="FFFF00" w:color="auto" w:val="clear"/>
        </w:rPr>
        <w:t>Montes de Oca Vargas</w:t>
      </w:r>
    </w:p>
    <w:p>
      <w:pPr>
        <w:spacing w:after="0" w:line="328" w:lineRule="auto"/>
        <w:jc w:val="left"/>
        <w:rPr>
          <w:rFonts w:ascii="Calibri" w:hAnsi="Calibri"/>
          <w:sz w:val="30"/>
        </w:rPr>
        <w:sectPr>
          <w:pgSz w:w="12240" w:h="15840"/>
          <w:pgMar w:header="0" w:footer="943" w:top="1420" w:bottom="1140" w:left="1680" w:right="640"/>
        </w:sectPr>
      </w:pPr>
    </w:p>
    <w:p>
      <w:pPr>
        <w:pStyle w:val="Heading4"/>
        <w:ind w:left="777" w:right="214"/>
        <w:jc w:val="left"/>
      </w:pPr>
      <w:r>
        <w:rPr/>
        <w:t>La habitabilidad de las viviendas en la zona metropolitana Toluca.</w:t>
      </w:r>
    </w:p>
    <w:p>
      <w:pPr>
        <w:pStyle w:val="BodyText"/>
        <w:rPr>
          <w:b/>
        </w:rPr>
      </w:pPr>
    </w:p>
    <w:p>
      <w:pPr>
        <w:pStyle w:val="BodyText"/>
        <w:rPr>
          <w:b/>
        </w:rPr>
      </w:pPr>
    </w:p>
    <w:p>
      <w:pPr>
        <w:pStyle w:val="BodyText"/>
        <w:spacing w:before="4"/>
        <w:rPr>
          <w:b/>
          <w:sz w:val="34"/>
        </w:rPr>
      </w:pPr>
    </w:p>
    <w:p>
      <w:pPr>
        <w:pStyle w:val="BodyText"/>
        <w:spacing w:line="355" w:lineRule="auto" w:before="1"/>
        <w:ind w:left="5621" w:right="117" w:firstLine="1240"/>
        <w:jc w:val="both"/>
        <w:rPr>
          <w:sz w:val="16"/>
        </w:rPr>
      </w:pPr>
      <w:r>
        <w:rPr/>
        <w:t>Omar Avila Flores</w:t>
      </w:r>
      <w:r>
        <w:rPr>
          <w:position w:val="8"/>
          <w:sz w:val="16"/>
        </w:rPr>
        <w:t>19 </w:t>
      </w:r>
      <w:r>
        <w:rPr/>
        <w:t>Carlos Félix Garrocho Rangel</w:t>
      </w:r>
      <w:r>
        <w:rPr>
          <w:position w:val="8"/>
          <w:sz w:val="16"/>
        </w:rPr>
        <w:t>20 </w:t>
      </w:r>
      <w:r>
        <w:rPr/>
        <w:t>Hugo Montes de Oca Vargas</w:t>
      </w:r>
      <w:r>
        <w:rPr>
          <w:position w:val="8"/>
          <w:sz w:val="16"/>
        </w:rPr>
        <w:t>21</w:t>
      </w:r>
    </w:p>
    <w:p>
      <w:pPr>
        <w:pStyle w:val="BodyText"/>
        <w:rPr>
          <w:sz w:val="26"/>
        </w:rPr>
      </w:pPr>
    </w:p>
    <w:p>
      <w:pPr>
        <w:pStyle w:val="BodyText"/>
        <w:rPr>
          <w:sz w:val="26"/>
        </w:rPr>
      </w:pPr>
    </w:p>
    <w:p>
      <w:pPr>
        <w:pStyle w:val="BodyText"/>
        <w:rPr>
          <w:sz w:val="26"/>
        </w:rPr>
      </w:pPr>
    </w:p>
    <w:p>
      <w:pPr>
        <w:pStyle w:val="BodyText"/>
        <w:spacing w:before="3"/>
        <w:rPr>
          <w:sz w:val="29"/>
        </w:rPr>
      </w:pPr>
    </w:p>
    <w:p>
      <w:pPr>
        <w:pStyle w:val="Heading4"/>
        <w:spacing w:before="0"/>
        <w:ind w:left="122"/>
      </w:pPr>
      <w:r>
        <w:rPr/>
        <w:t>Resumen</w:t>
      </w:r>
    </w:p>
    <w:p>
      <w:pPr>
        <w:pStyle w:val="BodyText"/>
        <w:spacing w:before="4"/>
        <w:rPr>
          <w:b/>
          <w:sz w:val="29"/>
        </w:rPr>
      </w:pPr>
    </w:p>
    <w:p>
      <w:pPr>
        <w:pStyle w:val="BodyText"/>
        <w:spacing w:line="360" w:lineRule="auto" w:before="1"/>
        <w:ind w:left="122" w:right="118"/>
        <w:jc w:val="both"/>
      </w:pPr>
      <w:r>
        <w:rPr/>
        <w:t>La presente investigación analiza la habitabilidad de las viviendas en la zona metropolitana de Toluca durante el periodo 2000-2010, por medio de los servicios públicos y materiales de construcción que registran los censos de población y vivienda del INEGI, en este contexto se examina la presión que tiene el  incremento absoluto y porcentual de la población sobre el espacio urbano,  tratando de dar una respuesta en la construcción de indicadores con los cuales se puedan visualizar las condiciones de inhabitabilidad, a través de la evaluación de las variables censales para medir las</w:t>
      </w:r>
      <w:r>
        <w:rPr>
          <w:spacing w:val="-19"/>
        </w:rPr>
        <w:t> </w:t>
      </w:r>
      <w:r>
        <w:rPr/>
        <w:t>viviendas.</w:t>
      </w:r>
    </w:p>
    <w:p>
      <w:pPr>
        <w:pStyle w:val="BodyText"/>
        <w:spacing w:line="360" w:lineRule="auto" w:before="204"/>
        <w:ind w:left="122" w:right="124"/>
        <w:jc w:val="both"/>
      </w:pPr>
      <w:r>
        <w:rPr/>
        <w:t>Partiendo del marco de habitabilidad, se analiza el conjunto de fuerzas motrices que se refiere a la urbanización de la zona metropolitana de Toluca dada con el crecimiento urbano, económico y que está estrechamente ligado con el crecimiento de la</w:t>
      </w:r>
      <w:r>
        <w:rPr>
          <w:spacing w:val="-6"/>
        </w:rPr>
        <w:t> </w:t>
      </w:r>
      <w:r>
        <w:rPr/>
        <w:t>población.</w:t>
      </w:r>
    </w:p>
    <w:p>
      <w:pPr>
        <w:pStyle w:val="Heading4"/>
        <w:spacing w:before="202"/>
        <w:ind w:left="122"/>
      </w:pPr>
      <w:r>
        <w:rPr/>
        <w:t>Palabras clave:</w:t>
      </w:r>
    </w:p>
    <w:p>
      <w:pPr>
        <w:pStyle w:val="BodyText"/>
        <w:spacing w:before="5"/>
        <w:rPr>
          <w:b/>
          <w:sz w:val="29"/>
        </w:rPr>
      </w:pPr>
    </w:p>
    <w:p>
      <w:pPr>
        <w:pStyle w:val="BodyText"/>
        <w:spacing w:line="360" w:lineRule="auto"/>
        <w:ind w:left="122" w:right="125"/>
        <w:jc w:val="both"/>
      </w:pPr>
      <w:r>
        <w:rPr/>
        <w:t>Habitabilidad, vivienda, urbanización, espacio urbano, zona metropolitana de Toluca.</w:t>
      </w:r>
    </w:p>
    <w:p>
      <w:pPr>
        <w:pStyle w:val="BodyText"/>
        <w:rPr>
          <w:sz w:val="20"/>
        </w:rPr>
      </w:pPr>
    </w:p>
    <w:p>
      <w:pPr>
        <w:pStyle w:val="BodyText"/>
        <w:spacing w:before="3"/>
        <w:rPr>
          <w:sz w:val="22"/>
        </w:rPr>
      </w:pPr>
      <w:r>
        <w:rPr/>
        <w:pict>
          <v:line style="position:absolute;mso-position-horizontal-relative:page;mso-position-vertical-relative:paragraph;z-index:7432;mso-wrap-distance-left:0;mso-wrap-distance-right:0" from="85.103996pt,15.194868pt" to="229.123996pt,15.194868pt" stroked="true" strokeweight=".84003pt" strokecolor="#000000">
            <w10:wrap type="topAndBottom"/>
          </v:line>
        </w:pict>
      </w:r>
    </w:p>
    <w:p>
      <w:pPr>
        <w:spacing w:before="78"/>
        <w:ind w:left="122" w:right="117" w:firstLine="0"/>
        <w:jc w:val="left"/>
        <w:rPr>
          <w:sz w:val="18"/>
        </w:rPr>
      </w:pPr>
      <w:r>
        <w:rPr>
          <w:w w:val="90"/>
          <w:position w:val="5"/>
          <w:sz w:val="12"/>
        </w:rPr>
        <w:t>19</w:t>
      </w:r>
      <w:r>
        <w:rPr>
          <w:spacing w:val="1"/>
          <w:w w:val="90"/>
          <w:position w:val="5"/>
          <w:sz w:val="12"/>
        </w:rPr>
        <w:t> </w:t>
      </w:r>
      <w:r>
        <w:rPr>
          <w:w w:val="90"/>
          <w:sz w:val="18"/>
        </w:rPr>
        <w:t>Doctorando</w:t>
      </w:r>
      <w:r>
        <w:rPr>
          <w:spacing w:val="-14"/>
          <w:w w:val="90"/>
          <w:sz w:val="18"/>
        </w:rPr>
        <w:t> </w:t>
      </w:r>
      <w:r>
        <w:rPr>
          <w:w w:val="90"/>
          <w:sz w:val="18"/>
        </w:rPr>
        <w:t>en</w:t>
      </w:r>
      <w:r>
        <w:rPr>
          <w:spacing w:val="-14"/>
          <w:w w:val="90"/>
          <w:sz w:val="18"/>
        </w:rPr>
        <w:t> </w:t>
      </w:r>
      <w:r>
        <w:rPr>
          <w:w w:val="90"/>
          <w:sz w:val="18"/>
        </w:rPr>
        <w:t>Urbanismo,</w:t>
      </w:r>
      <w:r>
        <w:rPr>
          <w:spacing w:val="-14"/>
          <w:w w:val="90"/>
          <w:sz w:val="18"/>
        </w:rPr>
        <w:t> </w:t>
      </w:r>
      <w:r>
        <w:rPr>
          <w:w w:val="90"/>
          <w:sz w:val="18"/>
        </w:rPr>
        <w:t>UAEMEX.</w:t>
      </w:r>
      <w:r>
        <w:rPr>
          <w:spacing w:val="-14"/>
          <w:w w:val="90"/>
          <w:sz w:val="18"/>
        </w:rPr>
        <w:t> </w:t>
      </w:r>
      <w:r>
        <w:rPr>
          <w:w w:val="90"/>
          <w:sz w:val="18"/>
        </w:rPr>
        <w:t>Maestro</w:t>
      </w:r>
      <w:r>
        <w:rPr>
          <w:spacing w:val="-14"/>
          <w:w w:val="90"/>
          <w:sz w:val="18"/>
        </w:rPr>
        <w:t> </w:t>
      </w:r>
      <w:r>
        <w:rPr>
          <w:w w:val="90"/>
          <w:sz w:val="18"/>
        </w:rPr>
        <w:t>en</w:t>
      </w:r>
      <w:r>
        <w:rPr>
          <w:spacing w:val="-14"/>
          <w:w w:val="90"/>
          <w:sz w:val="18"/>
        </w:rPr>
        <w:t> </w:t>
      </w:r>
      <w:r>
        <w:rPr>
          <w:w w:val="90"/>
          <w:sz w:val="18"/>
        </w:rPr>
        <w:t>Estudios</w:t>
      </w:r>
      <w:r>
        <w:rPr>
          <w:spacing w:val="-14"/>
          <w:w w:val="90"/>
          <w:sz w:val="18"/>
        </w:rPr>
        <w:t> </w:t>
      </w:r>
      <w:r>
        <w:rPr>
          <w:w w:val="90"/>
          <w:sz w:val="18"/>
        </w:rPr>
        <w:t>de</w:t>
      </w:r>
      <w:r>
        <w:rPr>
          <w:spacing w:val="-14"/>
          <w:w w:val="90"/>
          <w:sz w:val="18"/>
        </w:rPr>
        <w:t> </w:t>
      </w:r>
      <w:r>
        <w:rPr>
          <w:w w:val="90"/>
          <w:sz w:val="18"/>
        </w:rPr>
        <w:t>Población,</w:t>
      </w:r>
      <w:r>
        <w:rPr>
          <w:spacing w:val="-14"/>
          <w:w w:val="90"/>
          <w:sz w:val="18"/>
        </w:rPr>
        <w:t> </w:t>
      </w:r>
      <w:r>
        <w:rPr>
          <w:w w:val="90"/>
          <w:sz w:val="18"/>
        </w:rPr>
        <w:t>UAEH.</w:t>
      </w:r>
      <w:r>
        <w:rPr>
          <w:spacing w:val="-14"/>
          <w:w w:val="90"/>
          <w:sz w:val="18"/>
        </w:rPr>
        <w:t> </w:t>
      </w:r>
      <w:r>
        <w:rPr>
          <w:w w:val="90"/>
          <w:sz w:val="18"/>
        </w:rPr>
        <w:t>Licenciado</w:t>
      </w:r>
      <w:r>
        <w:rPr>
          <w:spacing w:val="-14"/>
          <w:w w:val="90"/>
          <w:sz w:val="18"/>
        </w:rPr>
        <w:t> </w:t>
      </w:r>
      <w:r>
        <w:rPr>
          <w:w w:val="90"/>
          <w:sz w:val="18"/>
        </w:rPr>
        <w:t>en</w:t>
      </w:r>
      <w:r>
        <w:rPr>
          <w:spacing w:val="-14"/>
          <w:w w:val="90"/>
          <w:sz w:val="18"/>
        </w:rPr>
        <w:t> </w:t>
      </w:r>
      <w:r>
        <w:rPr>
          <w:w w:val="90"/>
          <w:sz w:val="18"/>
        </w:rPr>
        <w:t>Geografía</w:t>
      </w:r>
      <w:r>
        <w:rPr>
          <w:spacing w:val="-14"/>
          <w:w w:val="90"/>
          <w:sz w:val="18"/>
        </w:rPr>
        <w:t> </w:t>
      </w:r>
      <w:r>
        <w:rPr>
          <w:w w:val="90"/>
          <w:sz w:val="18"/>
        </w:rPr>
        <w:t>y</w:t>
      </w:r>
      <w:r>
        <w:rPr>
          <w:spacing w:val="-14"/>
          <w:w w:val="90"/>
          <w:sz w:val="18"/>
        </w:rPr>
        <w:t> </w:t>
      </w:r>
      <w:r>
        <w:rPr>
          <w:w w:val="90"/>
          <w:sz w:val="18"/>
        </w:rPr>
        <w:t>Ordenación</w:t>
      </w:r>
      <w:r>
        <w:rPr>
          <w:spacing w:val="-14"/>
          <w:w w:val="90"/>
          <w:sz w:val="18"/>
        </w:rPr>
        <w:t> </w:t>
      </w:r>
      <w:r>
        <w:rPr>
          <w:w w:val="90"/>
          <w:sz w:val="18"/>
        </w:rPr>
        <w:t>del </w:t>
      </w:r>
      <w:r>
        <w:rPr>
          <w:w w:val="80"/>
          <w:sz w:val="18"/>
        </w:rPr>
        <w:t>Territorio,  UAEMEX. </w:t>
      </w:r>
      <w:r>
        <w:rPr>
          <w:spacing w:val="21"/>
          <w:w w:val="80"/>
          <w:sz w:val="18"/>
        </w:rPr>
        <w:t> </w:t>
      </w:r>
      <w:hyperlink r:id="rId1009">
        <w:r>
          <w:rPr>
            <w:w w:val="80"/>
            <w:sz w:val="18"/>
          </w:rPr>
          <w:t>afomar_1@hotmail.com</w:t>
        </w:r>
      </w:hyperlink>
    </w:p>
    <w:p>
      <w:pPr>
        <w:spacing w:before="0"/>
        <w:ind w:left="122" w:right="116" w:firstLine="0"/>
        <w:jc w:val="left"/>
        <w:rPr>
          <w:sz w:val="18"/>
        </w:rPr>
      </w:pPr>
      <w:r>
        <w:rPr>
          <w:w w:val="85"/>
          <w:position w:val="5"/>
          <w:sz w:val="12"/>
        </w:rPr>
        <w:t>20 </w:t>
      </w:r>
      <w:r>
        <w:rPr>
          <w:w w:val="85"/>
          <w:sz w:val="18"/>
        </w:rPr>
        <w:t>Doctor</w:t>
      </w:r>
      <w:r>
        <w:rPr>
          <w:spacing w:val="-14"/>
          <w:w w:val="85"/>
          <w:sz w:val="18"/>
        </w:rPr>
        <w:t> </w:t>
      </w:r>
      <w:r>
        <w:rPr>
          <w:w w:val="85"/>
          <w:sz w:val="18"/>
        </w:rPr>
        <w:t>en</w:t>
      </w:r>
      <w:r>
        <w:rPr>
          <w:spacing w:val="-14"/>
          <w:w w:val="85"/>
          <w:sz w:val="18"/>
        </w:rPr>
        <w:t> </w:t>
      </w:r>
      <w:r>
        <w:rPr>
          <w:w w:val="85"/>
          <w:sz w:val="18"/>
        </w:rPr>
        <w:t>Geografía</w:t>
      </w:r>
      <w:r>
        <w:rPr>
          <w:spacing w:val="-14"/>
          <w:w w:val="85"/>
          <w:sz w:val="18"/>
        </w:rPr>
        <w:t> </w:t>
      </w:r>
      <w:r>
        <w:rPr>
          <w:w w:val="85"/>
          <w:sz w:val="18"/>
        </w:rPr>
        <w:t>Social,</w:t>
      </w:r>
      <w:r>
        <w:rPr>
          <w:spacing w:val="-14"/>
          <w:w w:val="85"/>
          <w:sz w:val="18"/>
        </w:rPr>
        <w:t> </w:t>
      </w:r>
      <w:r>
        <w:rPr>
          <w:w w:val="85"/>
          <w:sz w:val="18"/>
        </w:rPr>
        <w:t>por</w:t>
      </w:r>
      <w:r>
        <w:rPr>
          <w:spacing w:val="-14"/>
          <w:w w:val="85"/>
          <w:sz w:val="18"/>
        </w:rPr>
        <w:t> </w:t>
      </w:r>
      <w:r>
        <w:rPr>
          <w:w w:val="85"/>
          <w:sz w:val="18"/>
        </w:rPr>
        <w:t>la</w:t>
      </w:r>
      <w:r>
        <w:rPr>
          <w:spacing w:val="-13"/>
          <w:w w:val="85"/>
          <w:sz w:val="18"/>
        </w:rPr>
        <w:t> </w:t>
      </w:r>
      <w:r>
        <w:rPr>
          <w:w w:val="85"/>
          <w:sz w:val="18"/>
        </w:rPr>
        <w:t>Universidad</w:t>
      </w:r>
      <w:r>
        <w:rPr>
          <w:spacing w:val="-14"/>
          <w:w w:val="85"/>
          <w:sz w:val="18"/>
        </w:rPr>
        <w:t> </w:t>
      </w:r>
      <w:r>
        <w:rPr>
          <w:w w:val="85"/>
          <w:sz w:val="18"/>
        </w:rPr>
        <w:t>de</w:t>
      </w:r>
      <w:r>
        <w:rPr>
          <w:spacing w:val="-14"/>
          <w:w w:val="85"/>
          <w:sz w:val="18"/>
        </w:rPr>
        <w:t> </w:t>
      </w:r>
      <w:r>
        <w:rPr>
          <w:w w:val="85"/>
          <w:sz w:val="18"/>
        </w:rPr>
        <w:t>Exeter,</w:t>
      </w:r>
      <w:r>
        <w:rPr>
          <w:spacing w:val="-14"/>
          <w:w w:val="85"/>
          <w:sz w:val="18"/>
        </w:rPr>
        <w:t> </w:t>
      </w:r>
      <w:r>
        <w:rPr>
          <w:w w:val="85"/>
          <w:sz w:val="18"/>
        </w:rPr>
        <w:t>Inglaterra.</w:t>
      </w:r>
      <w:r>
        <w:rPr>
          <w:spacing w:val="-13"/>
          <w:w w:val="85"/>
          <w:sz w:val="18"/>
        </w:rPr>
        <w:t> </w:t>
      </w:r>
      <w:r>
        <w:rPr>
          <w:w w:val="85"/>
          <w:sz w:val="18"/>
        </w:rPr>
        <w:t>Maestro</w:t>
      </w:r>
      <w:r>
        <w:rPr>
          <w:spacing w:val="-13"/>
          <w:w w:val="85"/>
          <w:sz w:val="18"/>
        </w:rPr>
        <w:t> </w:t>
      </w:r>
      <w:r>
        <w:rPr>
          <w:w w:val="85"/>
          <w:sz w:val="18"/>
        </w:rPr>
        <w:t>en</w:t>
      </w:r>
      <w:r>
        <w:rPr>
          <w:spacing w:val="-15"/>
          <w:w w:val="85"/>
          <w:sz w:val="18"/>
        </w:rPr>
        <w:t> </w:t>
      </w:r>
      <w:r>
        <w:rPr>
          <w:w w:val="85"/>
          <w:sz w:val="18"/>
        </w:rPr>
        <w:t>Desarrollo</w:t>
      </w:r>
      <w:r>
        <w:rPr>
          <w:spacing w:val="-14"/>
          <w:w w:val="85"/>
          <w:sz w:val="18"/>
        </w:rPr>
        <w:t> </w:t>
      </w:r>
      <w:r>
        <w:rPr>
          <w:w w:val="85"/>
          <w:sz w:val="18"/>
        </w:rPr>
        <w:t>Urbano,</w:t>
      </w:r>
      <w:r>
        <w:rPr>
          <w:spacing w:val="-13"/>
          <w:w w:val="85"/>
          <w:sz w:val="18"/>
        </w:rPr>
        <w:t> </w:t>
      </w:r>
      <w:r>
        <w:rPr>
          <w:w w:val="85"/>
          <w:sz w:val="18"/>
        </w:rPr>
        <w:t>COLMEX.</w:t>
      </w:r>
      <w:r>
        <w:rPr>
          <w:spacing w:val="15"/>
          <w:w w:val="85"/>
          <w:sz w:val="18"/>
        </w:rPr>
        <w:t> </w:t>
      </w:r>
      <w:r>
        <w:rPr>
          <w:w w:val="85"/>
          <w:sz w:val="18"/>
        </w:rPr>
        <w:t>Arquitecto,</w:t>
      </w:r>
      <w:r>
        <w:rPr>
          <w:spacing w:val="-13"/>
          <w:w w:val="85"/>
          <w:sz w:val="18"/>
        </w:rPr>
        <w:t> </w:t>
      </w:r>
      <w:r>
        <w:rPr>
          <w:w w:val="85"/>
          <w:sz w:val="18"/>
        </w:rPr>
        <w:t>UASLP. </w:t>
      </w:r>
      <w:r>
        <w:rPr>
          <w:w w:val="80"/>
          <w:sz w:val="18"/>
        </w:rPr>
        <w:t>Profesor-Investigador del Colegio Mexiquense, A. C.  </w:t>
      </w:r>
      <w:r>
        <w:rPr>
          <w:spacing w:val="23"/>
          <w:w w:val="80"/>
          <w:sz w:val="18"/>
        </w:rPr>
        <w:t> </w:t>
      </w:r>
      <w:hyperlink r:id="rId1010">
        <w:r>
          <w:rPr>
            <w:w w:val="80"/>
            <w:sz w:val="18"/>
          </w:rPr>
          <w:t>cgarrocho@cmq.edu.mx</w:t>
        </w:r>
      </w:hyperlink>
    </w:p>
    <w:p>
      <w:pPr>
        <w:spacing w:before="0"/>
        <w:ind w:left="122" w:right="28" w:firstLine="0"/>
        <w:jc w:val="left"/>
        <w:rPr>
          <w:sz w:val="18"/>
        </w:rPr>
      </w:pPr>
      <w:r>
        <w:rPr>
          <w:w w:val="85"/>
          <w:position w:val="5"/>
          <w:sz w:val="12"/>
        </w:rPr>
        <w:t>21 </w:t>
      </w:r>
      <w:r>
        <w:rPr>
          <w:w w:val="85"/>
          <w:sz w:val="18"/>
        </w:rPr>
        <w:t>Maestro en Demografía, COLEF. Profesor-Investigador del Centro de Investigación y Estudios Avanzados de Población (CIEAP), </w:t>
      </w:r>
      <w:r>
        <w:rPr>
          <w:w w:val="80"/>
          <w:sz w:val="18"/>
        </w:rPr>
        <w:t>UAEMEX.  </w:t>
      </w:r>
      <w:hyperlink r:id="rId1011">
        <w:r>
          <w:rPr>
            <w:w w:val="80"/>
            <w:sz w:val="18"/>
          </w:rPr>
          <w:t>huvic100@hotmail.com</w:t>
        </w:r>
      </w:hyperlink>
    </w:p>
    <w:p>
      <w:pPr>
        <w:spacing w:after="0"/>
        <w:jc w:val="left"/>
        <w:rPr>
          <w:sz w:val="18"/>
        </w:rPr>
        <w:sectPr>
          <w:pgSz w:w="12240" w:h="15840"/>
          <w:pgMar w:header="0" w:footer="943" w:top="1360" w:bottom="1200" w:left="1580" w:right="1580"/>
        </w:sectPr>
      </w:pPr>
    </w:p>
    <w:p>
      <w:pPr>
        <w:pStyle w:val="Heading4"/>
      </w:pPr>
      <w:r>
        <w:rPr/>
        <w:t>Introducción</w:t>
      </w:r>
    </w:p>
    <w:p>
      <w:pPr>
        <w:pStyle w:val="BodyText"/>
        <w:rPr>
          <w:b/>
        </w:rPr>
      </w:pPr>
    </w:p>
    <w:p>
      <w:pPr>
        <w:pStyle w:val="BodyText"/>
        <w:rPr>
          <w:b/>
        </w:rPr>
      </w:pPr>
    </w:p>
    <w:p>
      <w:pPr>
        <w:pStyle w:val="BodyText"/>
        <w:spacing w:line="360" w:lineRule="auto" w:before="201"/>
        <w:ind w:left="102" w:right="115"/>
        <w:jc w:val="both"/>
      </w:pPr>
      <w:r>
        <w:rPr/>
        <w:t>En México en el siglo XX se presentó un crecimiento urbano descontrolado  aunado a la falta de planificación de las ciudades, esto ha generado importantes desequilibrios territoriales vinculados con la urbanización. En ese ámbito existen desafíos sobre la planificación de ciudades, uno de los más preocupantes es el de la vivienda, la falta de equipamiento e infraestructura y acceso a servicios</w:t>
      </w:r>
      <w:r>
        <w:rPr>
          <w:spacing w:val="-21"/>
        </w:rPr>
        <w:t> </w:t>
      </w:r>
      <w:r>
        <w:rPr/>
        <w:t>básicos.</w:t>
      </w:r>
    </w:p>
    <w:p>
      <w:pPr>
        <w:pStyle w:val="BodyText"/>
      </w:pPr>
    </w:p>
    <w:p>
      <w:pPr>
        <w:pStyle w:val="BodyText"/>
        <w:spacing w:line="360" w:lineRule="auto" w:before="142"/>
        <w:ind w:left="102" w:right="121"/>
        <w:jc w:val="both"/>
      </w:pPr>
      <w:r>
        <w:rPr/>
        <w:t>En la presente investigación se analiza la habitabilidad de las viviendas en la Zona Metropolitana de Toluca en el periodo 2000-2010, por medio de la evaluación de variables censales de los servicios públicos y materiales de construcción con las que cuentan las viviendas para que estas puedan ser habitables, ya que la ZMT es la quinta zona más grande del país.</w:t>
      </w:r>
    </w:p>
    <w:p>
      <w:pPr>
        <w:pStyle w:val="BodyText"/>
      </w:pPr>
    </w:p>
    <w:p>
      <w:pPr>
        <w:pStyle w:val="BodyText"/>
        <w:spacing w:line="360" w:lineRule="auto" w:before="142"/>
        <w:ind w:left="102" w:right="113"/>
        <w:jc w:val="both"/>
      </w:pPr>
      <w:r>
        <w:rPr/>
        <w:t>El crecimiento urbano está asociado al desarrollo tecnológico y económico del país. Para que las viviendas sean habitables, deben proveer estructuras y  servicios que sostengan el bienestar y la productividad de sus residentes. Las personas requieren entornos de vida favorables y propicios para compensar los cambios físicos y sociales asociados a la</w:t>
      </w:r>
      <w:r>
        <w:rPr>
          <w:spacing w:val="-16"/>
        </w:rPr>
        <w:t> </w:t>
      </w:r>
      <w:r>
        <w:rPr/>
        <w:t>urbanización.</w:t>
      </w:r>
    </w:p>
    <w:p>
      <w:pPr>
        <w:pStyle w:val="BodyText"/>
      </w:pPr>
    </w:p>
    <w:p>
      <w:pPr>
        <w:pStyle w:val="BodyText"/>
        <w:spacing w:line="360" w:lineRule="auto" w:before="142"/>
        <w:ind w:left="102" w:right="118"/>
        <w:jc w:val="both"/>
      </w:pPr>
      <w:r>
        <w:rPr/>
        <w:t>Una vivienda con buenas condiciones de habitabilidad alienta el desarrollo de las personas, mediante la optimización de las oportunidades de educación, trabajo, salud, participación y seguridad a fin de mejorar la calidad de vida de las personas así como de grupos de personas vulnerables (niños, personas con capacidades diferentes, adultos mayores, entre otros). La vivienda es esencial para la  seguridad y el bienestar, existe una relación entre la vivienda habitable y el acceso a los servicios públicos y sociales que influye sobre la independencia y la calidad de vida de las personas. Por lo que existe una valoración universal por la vivienda y el apoyo que les permite a las personas vivir en forma cómoda y segura en el seno de la comunidad a la que</w:t>
      </w:r>
      <w:r>
        <w:rPr>
          <w:spacing w:val="-18"/>
        </w:rPr>
        <w:t> </w:t>
      </w:r>
      <w:r>
        <w:rPr/>
        <w:t>pertenecen.</w:t>
      </w:r>
    </w:p>
    <w:p>
      <w:pPr>
        <w:spacing w:after="0" w:line="360" w:lineRule="auto"/>
        <w:jc w:val="both"/>
        <w:sectPr>
          <w:pgSz w:w="12240" w:h="15840"/>
          <w:pgMar w:header="0" w:footer="943" w:top="1360" w:bottom="1200" w:left="1600" w:right="1580"/>
        </w:sectPr>
      </w:pPr>
    </w:p>
    <w:p>
      <w:pPr>
        <w:pStyle w:val="BodyText"/>
        <w:spacing w:line="360" w:lineRule="auto" w:before="54"/>
        <w:ind w:left="102" w:right="119"/>
        <w:jc w:val="both"/>
      </w:pPr>
      <w:r>
        <w:rPr/>
        <w:t>Un factor importante que determina la habitabilidad de las viviendas es el costo de las mismas ya que influye sobre la ubicación o localización, encontrando viviendas económicas en la periferia de las ciudades, las cuales no cuentan con la infraestructura y equipamiento urbano necesario. Se considera que varios aspectos referidos al diseño de las viviendas afectan la capacidad de las personas de vivir cómodamente dentro de</w:t>
      </w:r>
      <w:r>
        <w:rPr>
          <w:spacing w:val="-14"/>
        </w:rPr>
        <w:t> </w:t>
      </w:r>
      <w:r>
        <w:rPr/>
        <w:t>ellas.</w:t>
      </w:r>
    </w:p>
    <w:p>
      <w:pPr>
        <w:pStyle w:val="BodyText"/>
      </w:pPr>
    </w:p>
    <w:p>
      <w:pPr>
        <w:pStyle w:val="BodyText"/>
        <w:spacing w:line="360" w:lineRule="auto" w:before="142"/>
        <w:ind w:left="102" w:right="119"/>
        <w:jc w:val="both"/>
      </w:pPr>
      <w:r>
        <w:rPr/>
        <w:t>Diferentes organismos internacionales (ONU, OMS) consideran importante que las personas vivan en instalaciones construidas con materiales adecuados y estructuralmente sólidos, que presenten superficies lisas y niveladas que tengan instalaciones de baño y cocina adecuadas, con el espacio suficiente para moverse y espacio de almacenamiento adecuado, con pasillos lo suficientemente amplios y equipados para afrontar las condiciones climáticas específicas.</w:t>
      </w:r>
    </w:p>
    <w:p>
      <w:pPr>
        <w:pStyle w:val="BodyText"/>
      </w:pPr>
    </w:p>
    <w:p>
      <w:pPr>
        <w:pStyle w:val="BodyText"/>
        <w:spacing w:line="360" w:lineRule="auto" w:before="142"/>
        <w:ind w:left="102" w:right="123"/>
        <w:jc w:val="both"/>
      </w:pPr>
      <w:r>
        <w:rPr/>
        <w:t>Otro de los aspectos importantes que se deben considerar para una buena habitabilidad en la vivienda es el suministro de servicios públicos los cuales revisten de particular importancia. Pues contar con servicios públicos e instalaciones de vivienda adecuadas se considera que la población presenta características urbanas aceptables de habitabilidad. En este sentido la localización de las viviendas, influye en el desarrollo social y cultural de sus habitantes, pues el contar con espacios de esparcimiento cercanos como lo son parques recreativos, plazas culturales entre otros, hacen posible que las personas no estén aisladas de la comunidad y tengan  condiciones de socialización.</w:t>
      </w:r>
    </w:p>
    <w:p>
      <w:pPr>
        <w:pStyle w:val="BodyText"/>
      </w:pPr>
    </w:p>
    <w:p>
      <w:pPr>
        <w:pStyle w:val="BodyText"/>
        <w:spacing w:line="360" w:lineRule="auto" w:before="142"/>
        <w:ind w:left="102" w:right="115"/>
        <w:jc w:val="both"/>
      </w:pPr>
      <w:r>
        <w:rPr/>
        <w:t>En este sentido, los responsables públicos de la toma de decisiones y en el sector privado, en el nivel de la ciudad influyen en el número, la gama y la ubicación de los servicios y otros aspectos relacionados con la accesibilidad de las  instalaciones y los servicios de las</w:t>
      </w:r>
      <w:r>
        <w:rPr>
          <w:spacing w:val="-14"/>
        </w:rPr>
        <w:t> </w:t>
      </w:r>
      <w:r>
        <w:rPr/>
        <w:t>viviendas.</w:t>
      </w:r>
    </w:p>
    <w:p>
      <w:pPr>
        <w:spacing w:after="0" w:line="360" w:lineRule="auto"/>
        <w:jc w:val="both"/>
        <w:sectPr>
          <w:pgSz w:w="12240" w:h="15840"/>
          <w:pgMar w:header="0" w:footer="943" w:top="1360" w:bottom="1200" w:left="1600" w:right="1580"/>
        </w:sectPr>
      </w:pPr>
    </w:p>
    <w:p>
      <w:pPr>
        <w:pStyle w:val="Heading4"/>
      </w:pPr>
      <w:r>
        <w:rPr/>
        <w:t>Antecedentes</w:t>
      </w:r>
    </w:p>
    <w:p>
      <w:pPr>
        <w:pStyle w:val="BodyText"/>
        <w:spacing w:before="4"/>
        <w:rPr>
          <w:b/>
          <w:sz w:val="29"/>
        </w:rPr>
      </w:pPr>
    </w:p>
    <w:p>
      <w:pPr>
        <w:pStyle w:val="BodyText"/>
        <w:spacing w:line="360" w:lineRule="auto" w:before="1"/>
        <w:ind w:left="102" w:right="102"/>
        <w:jc w:val="both"/>
      </w:pPr>
      <w:r>
        <w:rPr/>
        <w:t>A partir del 2007, más de la mitad de la población mundial global vive en ciudades. El número y la proporción de habitantes urbanos seguirán creciendo en las décadas por venir, en especial en las ciudades con menos de cinco millones de habitantes (OMS, 2007:8). Es aquí la importancia de la investigación, realizar a partir del diagnóstico un análisis y evaluación de las viviendas que son habitables  e inhabitables para la población que radica en la zona metropolitana de Toluca, ya que para el año 2010 la población total era menor de 2 millones de</w:t>
      </w:r>
      <w:r>
        <w:rPr>
          <w:spacing w:val="-31"/>
        </w:rPr>
        <w:t> </w:t>
      </w:r>
      <w:r>
        <w:rPr/>
        <w:t>personas.</w:t>
      </w:r>
    </w:p>
    <w:p>
      <w:pPr>
        <w:pStyle w:val="BodyText"/>
      </w:pPr>
    </w:p>
    <w:p>
      <w:pPr>
        <w:pStyle w:val="BodyText"/>
        <w:spacing w:line="360" w:lineRule="auto" w:before="142"/>
        <w:ind w:left="102" w:right="98"/>
        <w:jc w:val="both"/>
      </w:pPr>
      <w:r>
        <w:rPr/>
        <w:t>El actual y futuro escenario de las viviendas en la zona metropolitana de Toluca, que experimentaron un significativo desarrollo durante las décadas de la industrialización del corredor industrial Toluca-Lerma durante las  décadas sesentas y setentas, hoy en día emiten señales de decadencia para sus habitantes, ya que las viviendas no cuentan con condiciones de habitabilidad para sus moradores.</w:t>
      </w:r>
    </w:p>
    <w:p>
      <w:pPr>
        <w:pStyle w:val="BodyText"/>
      </w:pPr>
    </w:p>
    <w:p>
      <w:pPr>
        <w:pStyle w:val="BodyText"/>
        <w:spacing w:line="360" w:lineRule="auto" w:before="142"/>
        <w:ind w:left="102" w:right="102"/>
        <w:jc w:val="both"/>
      </w:pPr>
      <w:r>
        <w:rPr/>
        <w:t>Para que la población cuente con viviendas habitables es necesario tomar en cuenta factores urbanos (servicios, infraestructura y equipamiento), geográficos (ubicación, localización), demográficos (grupos de población, migración), sociales (educación), económicos (ingreso, trabajo), y ambientales (riesgos), asociados en los municipios estudiados. Ya que es una estrategia para mejorar las viviendas existentes en la zona metropolitana y optimizar la calidad de vida de esta población, tener análisis y diagnósticos ligados a la vivienda habitable puede producir resultados a corto, mediano y largo plazo.</w:t>
      </w:r>
    </w:p>
    <w:p>
      <w:pPr>
        <w:pStyle w:val="BodyText"/>
        <w:spacing w:line="360" w:lineRule="auto" w:before="205"/>
        <w:ind w:left="102" w:right="102"/>
        <w:jc w:val="both"/>
      </w:pPr>
      <w:r>
        <w:rPr/>
        <w:t>Las condiciones de vivienda de cualquier ser humano en el planeta, han sido reconocidas desde hace tiempo, como una de las principales determinantes sociales de la salud humana (WHO, 2005a). El diseño urbano inadecuado, el hacinamiento, la falta de movilidad dentro de la vivienda para la población en general, los desastres naturales, falta de higiene y condiciones sanitarias, además del ruido, humedad, plomo, monóxido de carbono, las partículas, los   compuestos</w:t>
      </w:r>
    </w:p>
    <w:p>
      <w:pPr>
        <w:spacing w:after="0" w:line="360" w:lineRule="auto"/>
        <w:jc w:val="both"/>
        <w:sectPr>
          <w:pgSz w:w="12240" w:h="15840"/>
          <w:pgMar w:header="0" w:footer="943" w:top="1360" w:bottom="1200" w:left="1600" w:right="1600"/>
        </w:sectPr>
      </w:pPr>
    </w:p>
    <w:p>
      <w:pPr>
        <w:pStyle w:val="BodyText"/>
        <w:spacing w:line="360" w:lineRule="auto" w:before="54"/>
        <w:ind w:left="102" w:right="126"/>
        <w:jc w:val="both"/>
      </w:pPr>
      <w:r>
        <w:rPr/>
        <w:t>orgánicos volátiles, el radón (gas), son algunos de los peligros a la salud a los que se está expuesto en la vivienda (Foster, 1992; Ineichen, 1993; Krieger, Higgins, 2002).</w:t>
      </w:r>
    </w:p>
    <w:p>
      <w:pPr>
        <w:pStyle w:val="BodyText"/>
        <w:spacing w:line="360" w:lineRule="auto" w:before="204"/>
        <w:ind w:left="102" w:right="116"/>
        <w:jc w:val="both"/>
      </w:pPr>
      <w:r>
        <w:rPr/>
        <w:t>El derecho a la vivienda adecuada promovida por la Agenda Hábitat presentada  en la Conferencia Hábitat II en Estambul en 1996. Por su parte el Estado  mexicano asumió a la vivienda de una forma integrada usando conceptos de planificación rural-urbano como única unidad, enfocándose no solo en el ambiente físico, sino también en el entorno, la comunidad y respetando, en lo posible, la cultura y costumbres de los pueblos. Incluir el concepto de vivienda habitable, el cual alude a un espacio de residencia que promueve la calidad de vida de sus moradores. Una vivienda habitable carece o presenta factores de riesgo controlados y prevenibles e incluye agentes promotores de la salud y el</w:t>
      </w:r>
      <w:r>
        <w:rPr>
          <w:spacing w:val="-26"/>
        </w:rPr>
        <w:t> </w:t>
      </w:r>
      <w:r>
        <w:rPr/>
        <w:t>bienestar.</w:t>
      </w:r>
    </w:p>
    <w:p>
      <w:pPr>
        <w:pStyle w:val="BodyText"/>
      </w:pPr>
    </w:p>
    <w:p>
      <w:pPr>
        <w:pStyle w:val="BodyText"/>
        <w:spacing w:before="7"/>
        <w:rPr>
          <w:sz w:val="29"/>
        </w:rPr>
      </w:pPr>
    </w:p>
    <w:p>
      <w:pPr>
        <w:pStyle w:val="BodyText"/>
        <w:spacing w:line="360" w:lineRule="auto"/>
        <w:ind w:left="102" w:right="126"/>
        <w:jc w:val="both"/>
      </w:pPr>
      <w:r>
        <w:rPr/>
        <w:t>Por lo que analizar y evaluar la vivienda habitable es una iniciativa que consiste en fortalecer la ejecución de actividades que promueven el mejoramiento de las viviendas de poblaciones en situación de vulnerabilidad, de los peligros a los que están expuestas sus viviendas en aquellas zonas más necesitadas  con  la finalidad de contribuir  al desarrollo local de cada municipio.</w:t>
      </w:r>
    </w:p>
    <w:p>
      <w:pPr>
        <w:pStyle w:val="BodyText"/>
      </w:pPr>
    </w:p>
    <w:p>
      <w:pPr>
        <w:pStyle w:val="BodyText"/>
        <w:spacing w:line="360" w:lineRule="auto" w:before="142"/>
        <w:ind w:left="102" w:right="118"/>
        <w:jc w:val="both"/>
      </w:pPr>
      <w:r>
        <w:rPr/>
        <w:t>Con estos principios y líneas de acción de la vivienda habitable se concreta que una vivienda es un derecho humano básico recogido en las declaraciones internacionales y en constituciones nacionales (Gledhiil, 2010: 103).</w:t>
      </w:r>
    </w:p>
    <w:p>
      <w:pPr>
        <w:pStyle w:val="BodyText"/>
      </w:pPr>
    </w:p>
    <w:p>
      <w:pPr>
        <w:pStyle w:val="BodyText"/>
        <w:spacing w:line="360" w:lineRule="auto" w:before="142"/>
        <w:ind w:left="102" w:right="118"/>
        <w:jc w:val="both"/>
      </w:pPr>
      <w:r>
        <w:rPr/>
        <w:t>Dentro de la vivienda habitable, un servicio público necesario es el acceso al agua y al saneamiento como derecho inherente a los seres humanos, anclado en el derecho internacional (Domínguez, 2010). El derecho humano al agua, el derecho de todas las personas a disponer de agua suficiente, salubre, aceptable, accesible y asequible para el uso personal y doméstico (Uribe, 2010).</w:t>
      </w:r>
    </w:p>
    <w:p>
      <w:pPr>
        <w:spacing w:after="0" w:line="360" w:lineRule="auto"/>
        <w:jc w:val="both"/>
        <w:sectPr>
          <w:pgSz w:w="12240" w:h="15840"/>
          <w:pgMar w:header="0" w:footer="943" w:top="1360" w:bottom="1200" w:left="1600" w:right="1580"/>
        </w:sectPr>
      </w:pPr>
    </w:p>
    <w:p>
      <w:pPr>
        <w:pStyle w:val="BodyText"/>
        <w:spacing w:line="360" w:lineRule="auto" w:before="54"/>
        <w:ind w:left="102" w:right="119"/>
        <w:jc w:val="both"/>
      </w:pPr>
      <w:r>
        <w:rPr/>
        <w:t>Por lo tanto el objetivo general de la investigación es: Evaluar las condiciones de habitabilidad de las viviendas en la zona metropolitana de Toluca durante el periodo 2000-2010.</w:t>
      </w:r>
    </w:p>
    <w:p>
      <w:pPr>
        <w:pStyle w:val="BodyText"/>
        <w:spacing w:before="7"/>
      </w:pPr>
    </w:p>
    <w:p>
      <w:pPr>
        <w:pStyle w:val="BodyText"/>
        <w:spacing w:line="360" w:lineRule="auto"/>
        <w:ind w:left="102" w:right="123"/>
        <w:jc w:val="both"/>
      </w:pPr>
      <w:r>
        <w:rPr/>
        <w:t>La metodología empleada en la investigación consta del análisis de habitabilidad en las viviendas en la ZMT, el cual se llevara a cabo por medio del marco territorial establecido partiendo de las colonias o ageb´s que se obtenga de la información censal de cada municipio que integren la zona metropolitana de Toluca, espacio físico geográfico de análisis de la investigación.</w:t>
      </w:r>
    </w:p>
    <w:p>
      <w:pPr>
        <w:pStyle w:val="BodyText"/>
        <w:spacing w:before="10"/>
      </w:pPr>
    </w:p>
    <w:p>
      <w:pPr>
        <w:pStyle w:val="BodyText"/>
        <w:spacing w:line="360" w:lineRule="auto"/>
        <w:ind w:left="102" w:right="116"/>
        <w:jc w:val="both"/>
      </w:pPr>
      <w:r>
        <w:rPr/>
        <w:t>Las fuentes de información que se utilizarán serán las muestras censales del XII Censo de Población y Vivienda 2000, el XIII Censo de Población y Vivienda 2010 del INEGI, el análisis se desarrollará a nivel municipal, por localidad y por Ageb con los microdatos básicos del</w:t>
      </w:r>
      <w:r>
        <w:rPr>
          <w:spacing w:val="-17"/>
        </w:rPr>
        <w:t> </w:t>
      </w:r>
      <w:r>
        <w:rPr/>
        <w:t>cuestionario.</w:t>
      </w:r>
    </w:p>
    <w:p>
      <w:pPr>
        <w:pStyle w:val="BodyText"/>
      </w:pPr>
    </w:p>
    <w:p>
      <w:pPr>
        <w:pStyle w:val="BodyText"/>
        <w:spacing w:before="7"/>
        <w:rPr>
          <w:sz w:val="29"/>
        </w:rPr>
      </w:pPr>
    </w:p>
    <w:p>
      <w:pPr>
        <w:pStyle w:val="Heading4"/>
        <w:spacing w:before="0"/>
      </w:pPr>
      <w:r>
        <w:rPr/>
        <w:t>Zona Metropolitana</w:t>
      </w:r>
    </w:p>
    <w:p>
      <w:pPr>
        <w:pStyle w:val="BodyText"/>
        <w:spacing w:before="5"/>
        <w:rPr>
          <w:b/>
          <w:sz w:val="29"/>
        </w:rPr>
      </w:pPr>
    </w:p>
    <w:p>
      <w:pPr>
        <w:pStyle w:val="BodyText"/>
        <w:spacing w:line="360" w:lineRule="auto"/>
        <w:ind w:left="102" w:right="122"/>
        <w:jc w:val="both"/>
      </w:pPr>
      <w:r>
        <w:rPr/>
        <w:t>La noción de zona metropolitana fue utilizada por primera vez en los Estados Unidos designando en un principio únicamente a ciudades de muy grande tamaño, y en especial a las ciudades que tienen un centro administrativo de unos 50 000 habitantes (Bairoch, 1990).</w:t>
      </w:r>
    </w:p>
    <w:p>
      <w:pPr>
        <w:pStyle w:val="BodyText"/>
        <w:spacing w:line="360" w:lineRule="auto" w:before="202"/>
        <w:ind w:left="102" w:right="120"/>
        <w:jc w:val="both"/>
      </w:pPr>
      <w:r>
        <w:rPr/>
        <w:t>En términos prácticos la zona metropolitana engloba no solo a los alrededores adyacentes sino igualmente a pequeñas poblaciones que en virtud de su cercanía han pasado a ser dependientes de la gran ciudad y que estas ciudades satélites pueden funcionar como ciudades dormitorio, industriales, comerciales, etcétera, todo ello organizado de una manera centralizada.</w:t>
      </w:r>
    </w:p>
    <w:p>
      <w:pPr>
        <w:pStyle w:val="BodyText"/>
        <w:spacing w:line="360" w:lineRule="auto" w:before="204"/>
        <w:ind w:left="102" w:right="115"/>
        <w:jc w:val="both"/>
      </w:pPr>
      <w:r>
        <w:rPr/>
        <w:t>La aparición de un gran número de zonas metropolitanas alrededor del mundo se desarrollan a partir del siglo XX, en la fase posterior a la Revolución Industrial, afectando a la mayoría de ciudades grandes y medias, no solo producido por el desarrollo económico y social, sino también por las altas tasas de crecimiento demográfico, este da lugar a un rápido crecimiento urbano y a la aparición de</w:t>
      </w:r>
    </w:p>
    <w:p>
      <w:pPr>
        <w:spacing w:after="0" w:line="360" w:lineRule="auto"/>
        <w:jc w:val="both"/>
        <w:sectPr>
          <w:footerReference w:type="default" r:id="rId1012"/>
          <w:pgSz w:w="12240" w:h="15840"/>
          <w:pgMar w:footer="943" w:header="0" w:top="1360" w:bottom="1140" w:left="1600" w:right="1580"/>
          <w:pgNumType w:start="250"/>
        </w:sectPr>
      </w:pPr>
    </w:p>
    <w:p>
      <w:pPr>
        <w:pStyle w:val="BodyText"/>
        <w:spacing w:line="360" w:lineRule="auto" w:before="54"/>
        <w:ind w:left="122" w:right="122"/>
        <w:jc w:val="both"/>
      </w:pPr>
      <w:r>
        <w:rPr/>
        <w:t>ciudades muy grandes, otro factor ha sido los sistemas de transporte especialmente el automóvil que ha contribuido al crecimiento desmesurado de las zonas metropolitanas.</w:t>
      </w:r>
    </w:p>
    <w:p>
      <w:pPr>
        <w:pStyle w:val="BodyText"/>
        <w:spacing w:line="360" w:lineRule="auto" w:before="204"/>
        <w:ind w:left="122" w:right="114"/>
        <w:jc w:val="both"/>
      </w:pPr>
      <w:r>
        <w:rPr/>
        <w:t>Para nuestro país zona metropolitana se define como el conjunto de dos o más municipios donde se localiza una ciudad de 50 mil o más habitantes, cuya área urbana, funciones y actividades rebasan el límite del municipio que originalmente la contenía, incorporando como parte de sí misma o de su área de influencia directa a los municipios vecinos, predominantemente urbanos, con los que mantiene un alto grado de integración socioeconómica (CONAPO-SEDESOL- INEGI, 2008).También se incluye a aquellos municipios que por sus características particulares son relevantes para la planeación y política urbana de las zonas metropolitanas en cuestión (CONAPO-SEDESOL- INEGI,</w:t>
      </w:r>
      <w:r>
        <w:rPr>
          <w:spacing w:val="-15"/>
        </w:rPr>
        <w:t> </w:t>
      </w:r>
      <w:r>
        <w:rPr/>
        <w:t>2012).</w:t>
      </w:r>
    </w:p>
    <w:p>
      <w:pPr>
        <w:pStyle w:val="BodyText"/>
        <w:spacing w:line="360" w:lineRule="auto" w:before="204"/>
        <w:ind w:left="122" w:right="119"/>
        <w:jc w:val="both"/>
      </w:pPr>
      <w:r>
        <w:rPr/>
        <w:t>Asimismo, se define como zonas metropolitanas todos aquellos municipios que contienen una ciudad de un millón o más de habitantes, así como aquellos con ciudades de 250 mil o más habitantes que comparten procesos de conurbación con ciudades de Estados Unidos de América (CONAPO-SEDESOL- INEGI,</w:t>
      </w:r>
      <w:r>
        <w:rPr>
          <w:spacing w:val="-21"/>
        </w:rPr>
        <w:t> </w:t>
      </w:r>
      <w:r>
        <w:rPr/>
        <w:t>2012).</w:t>
      </w:r>
    </w:p>
    <w:p>
      <w:pPr>
        <w:pStyle w:val="BodyText"/>
        <w:spacing w:before="10"/>
        <w:rPr>
          <w:sz w:val="35"/>
        </w:rPr>
      </w:pPr>
    </w:p>
    <w:p>
      <w:pPr>
        <w:pStyle w:val="BodyText"/>
        <w:spacing w:line="360" w:lineRule="auto" w:before="1"/>
        <w:ind w:left="122" w:right="116"/>
        <w:jc w:val="both"/>
      </w:pPr>
      <w:r>
        <w:rPr/>
        <w:t>Teóricamente hablando, la zona metropolitana, como toda región nodal</w:t>
      </w:r>
      <w:r>
        <w:rPr>
          <w:position w:val="8"/>
          <w:sz w:val="16"/>
        </w:rPr>
        <w:t>22</w:t>
      </w:r>
      <w:r>
        <w:rPr/>
        <w:t>, conlleva grandes contrastes intrametropolitanos, presentando características de máxima homogeneidad interna y máxima heterogeneidad externa.</w:t>
      </w:r>
    </w:p>
    <w:p>
      <w:pPr>
        <w:pStyle w:val="BodyText"/>
      </w:pPr>
    </w:p>
    <w:p>
      <w:pPr>
        <w:pStyle w:val="BodyText"/>
        <w:spacing w:before="10"/>
        <w:rPr>
          <w:sz w:val="29"/>
        </w:rPr>
      </w:pPr>
    </w:p>
    <w:p>
      <w:pPr>
        <w:pStyle w:val="Heading4"/>
        <w:spacing w:before="0"/>
        <w:ind w:left="122"/>
      </w:pPr>
      <w:r>
        <w:rPr/>
        <w:t>Habitabilidad de las viviendas en la zona metropolitana de Toluca</w:t>
      </w:r>
    </w:p>
    <w:p>
      <w:pPr>
        <w:pStyle w:val="BodyText"/>
        <w:spacing w:before="2"/>
        <w:rPr>
          <w:b/>
          <w:sz w:val="29"/>
        </w:rPr>
      </w:pPr>
    </w:p>
    <w:p>
      <w:pPr>
        <w:pStyle w:val="BodyText"/>
        <w:spacing w:line="360" w:lineRule="auto"/>
        <w:ind w:left="122" w:right="119"/>
        <w:jc w:val="both"/>
      </w:pPr>
      <w:r>
        <w:rPr/>
        <w:t>La situación actual de un urbanismo descontrolado y no planificado, además de un incremento de la población, que demanda vivienda habitable en la zona metropolitana de Toluca plantea grandes retos en materia de política pública. Para proponer  políticas  públicas  y programas  sociales  se debe tener un   diagnóstico</w:t>
      </w:r>
    </w:p>
    <w:p>
      <w:pPr>
        <w:pStyle w:val="BodyText"/>
        <w:rPr>
          <w:sz w:val="20"/>
        </w:rPr>
      </w:pPr>
    </w:p>
    <w:p>
      <w:pPr>
        <w:pStyle w:val="BodyText"/>
        <w:rPr>
          <w:sz w:val="20"/>
        </w:rPr>
      </w:pPr>
    </w:p>
    <w:p>
      <w:pPr>
        <w:pStyle w:val="BodyText"/>
        <w:spacing w:before="8"/>
        <w:rPr>
          <w:sz w:val="17"/>
        </w:rPr>
      </w:pPr>
      <w:r>
        <w:rPr/>
        <w:pict>
          <v:line style="position:absolute;mso-position-horizontal-relative:page;mso-position-vertical-relative:paragraph;z-index:7456;mso-wrap-distance-left:0;mso-wrap-distance-right:0" from="85.103996pt,12.575872pt" to="229.123996pt,12.575872pt" stroked="true" strokeweight=".83997pt" strokecolor="#000000">
            <w10:wrap type="topAndBottom"/>
          </v:line>
        </w:pict>
      </w:r>
    </w:p>
    <w:p>
      <w:pPr>
        <w:spacing w:before="78"/>
        <w:ind w:left="122" w:right="117" w:firstLine="0"/>
        <w:jc w:val="both"/>
        <w:rPr>
          <w:sz w:val="18"/>
        </w:rPr>
      </w:pPr>
      <w:r>
        <w:rPr>
          <w:w w:val="85"/>
          <w:position w:val="5"/>
          <w:sz w:val="12"/>
        </w:rPr>
        <w:t>22</w:t>
      </w:r>
      <w:r>
        <w:rPr>
          <w:spacing w:val="4"/>
          <w:w w:val="85"/>
          <w:position w:val="5"/>
          <w:sz w:val="12"/>
        </w:rPr>
        <w:t> </w:t>
      </w:r>
      <w:r>
        <w:rPr>
          <w:w w:val="85"/>
          <w:sz w:val="18"/>
        </w:rPr>
        <w:t>El</w:t>
      </w:r>
      <w:r>
        <w:rPr>
          <w:spacing w:val="-11"/>
          <w:w w:val="85"/>
          <w:sz w:val="18"/>
        </w:rPr>
        <w:t> </w:t>
      </w:r>
      <w:r>
        <w:rPr>
          <w:w w:val="85"/>
          <w:sz w:val="18"/>
        </w:rPr>
        <w:t>concepto</w:t>
      </w:r>
      <w:r>
        <w:rPr>
          <w:spacing w:val="-11"/>
          <w:w w:val="85"/>
          <w:sz w:val="18"/>
        </w:rPr>
        <w:t> </w:t>
      </w:r>
      <w:r>
        <w:rPr>
          <w:w w:val="85"/>
          <w:sz w:val="18"/>
        </w:rPr>
        <w:t>básico</w:t>
      </w:r>
      <w:r>
        <w:rPr>
          <w:spacing w:val="-11"/>
          <w:w w:val="85"/>
          <w:sz w:val="18"/>
        </w:rPr>
        <w:t> </w:t>
      </w:r>
      <w:r>
        <w:rPr>
          <w:w w:val="85"/>
          <w:sz w:val="18"/>
        </w:rPr>
        <w:t>en</w:t>
      </w:r>
      <w:r>
        <w:rPr>
          <w:spacing w:val="-11"/>
          <w:w w:val="85"/>
          <w:sz w:val="18"/>
        </w:rPr>
        <w:t> </w:t>
      </w:r>
      <w:r>
        <w:rPr>
          <w:w w:val="85"/>
          <w:sz w:val="18"/>
        </w:rPr>
        <w:t>que</w:t>
      </w:r>
      <w:r>
        <w:rPr>
          <w:spacing w:val="-11"/>
          <w:w w:val="85"/>
          <w:sz w:val="18"/>
        </w:rPr>
        <w:t> </w:t>
      </w:r>
      <w:r>
        <w:rPr>
          <w:w w:val="85"/>
          <w:sz w:val="18"/>
        </w:rPr>
        <w:t>se</w:t>
      </w:r>
      <w:r>
        <w:rPr>
          <w:spacing w:val="-13"/>
          <w:w w:val="85"/>
          <w:sz w:val="18"/>
        </w:rPr>
        <w:t> </w:t>
      </w:r>
      <w:r>
        <w:rPr>
          <w:w w:val="85"/>
          <w:sz w:val="18"/>
        </w:rPr>
        <w:t>funda</w:t>
      </w:r>
      <w:r>
        <w:rPr>
          <w:spacing w:val="-11"/>
          <w:w w:val="85"/>
          <w:sz w:val="18"/>
        </w:rPr>
        <w:t> </w:t>
      </w:r>
      <w:r>
        <w:rPr>
          <w:w w:val="85"/>
          <w:sz w:val="18"/>
        </w:rPr>
        <w:t>la</w:t>
      </w:r>
      <w:r>
        <w:rPr>
          <w:spacing w:val="-11"/>
          <w:w w:val="85"/>
          <w:sz w:val="18"/>
        </w:rPr>
        <w:t> </w:t>
      </w:r>
      <w:r>
        <w:rPr>
          <w:w w:val="85"/>
          <w:sz w:val="18"/>
        </w:rPr>
        <w:t>idea</w:t>
      </w:r>
      <w:r>
        <w:rPr>
          <w:spacing w:val="-11"/>
          <w:w w:val="85"/>
          <w:sz w:val="18"/>
        </w:rPr>
        <w:t> </w:t>
      </w:r>
      <w:r>
        <w:rPr>
          <w:w w:val="85"/>
          <w:sz w:val="18"/>
        </w:rPr>
        <w:t>de</w:t>
      </w:r>
      <w:r>
        <w:rPr>
          <w:spacing w:val="-11"/>
          <w:w w:val="85"/>
          <w:sz w:val="18"/>
        </w:rPr>
        <w:t> </w:t>
      </w:r>
      <w:r>
        <w:rPr>
          <w:w w:val="85"/>
          <w:sz w:val="18"/>
        </w:rPr>
        <w:t>región</w:t>
      </w:r>
      <w:r>
        <w:rPr>
          <w:spacing w:val="-11"/>
          <w:w w:val="85"/>
          <w:sz w:val="18"/>
        </w:rPr>
        <w:t> </w:t>
      </w:r>
      <w:r>
        <w:rPr>
          <w:w w:val="85"/>
          <w:sz w:val="18"/>
        </w:rPr>
        <w:t>nodal</w:t>
      </w:r>
      <w:r>
        <w:rPr>
          <w:spacing w:val="-10"/>
          <w:w w:val="85"/>
          <w:sz w:val="18"/>
        </w:rPr>
        <w:t> </w:t>
      </w:r>
      <w:r>
        <w:rPr>
          <w:w w:val="85"/>
          <w:sz w:val="18"/>
        </w:rPr>
        <w:t>es</w:t>
      </w:r>
      <w:r>
        <w:rPr>
          <w:spacing w:val="-11"/>
          <w:w w:val="85"/>
          <w:sz w:val="18"/>
        </w:rPr>
        <w:t> </w:t>
      </w:r>
      <w:r>
        <w:rPr>
          <w:w w:val="85"/>
          <w:sz w:val="18"/>
        </w:rPr>
        <w:t>que</w:t>
      </w:r>
      <w:r>
        <w:rPr>
          <w:spacing w:val="-11"/>
          <w:w w:val="85"/>
          <w:sz w:val="18"/>
        </w:rPr>
        <w:t> </w:t>
      </w:r>
      <w:r>
        <w:rPr>
          <w:w w:val="85"/>
          <w:sz w:val="18"/>
        </w:rPr>
        <w:t>la</w:t>
      </w:r>
      <w:r>
        <w:rPr>
          <w:spacing w:val="-11"/>
          <w:w w:val="85"/>
          <w:sz w:val="18"/>
        </w:rPr>
        <w:t> </w:t>
      </w:r>
      <w:r>
        <w:rPr>
          <w:w w:val="85"/>
          <w:sz w:val="18"/>
        </w:rPr>
        <w:t>sociedad</w:t>
      </w:r>
      <w:r>
        <w:rPr>
          <w:spacing w:val="-11"/>
          <w:w w:val="85"/>
          <w:sz w:val="18"/>
        </w:rPr>
        <w:t> </w:t>
      </w:r>
      <w:r>
        <w:rPr>
          <w:w w:val="85"/>
          <w:sz w:val="18"/>
        </w:rPr>
        <w:t>se</w:t>
      </w:r>
      <w:r>
        <w:rPr>
          <w:spacing w:val="-11"/>
          <w:w w:val="85"/>
          <w:sz w:val="18"/>
        </w:rPr>
        <w:t> </w:t>
      </w:r>
      <w:r>
        <w:rPr>
          <w:w w:val="85"/>
          <w:sz w:val="18"/>
        </w:rPr>
        <w:t>organiza</w:t>
      </w:r>
      <w:r>
        <w:rPr>
          <w:spacing w:val="-11"/>
          <w:w w:val="85"/>
          <w:sz w:val="18"/>
        </w:rPr>
        <w:t> </w:t>
      </w:r>
      <w:r>
        <w:rPr>
          <w:w w:val="85"/>
          <w:sz w:val="18"/>
        </w:rPr>
        <w:t>a</w:t>
      </w:r>
      <w:r>
        <w:rPr>
          <w:spacing w:val="-11"/>
          <w:w w:val="85"/>
          <w:sz w:val="18"/>
        </w:rPr>
        <w:t> </w:t>
      </w:r>
      <w:r>
        <w:rPr>
          <w:w w:val="85"/>
          <w:sz w:val="18"/>
        </w:rPr>
        <w:t>sí</w:t>
      </w:r>
      <w:r>
        <w:rPr>
          <w:spacing w:val="-11"/>
          <w:w w:val="85"/>
          <w:sz w:val="18"/>
        </w:rPr>
        <w:t> </w:t>
      </w:r>
      <w:r>
        <w:rPr>
          <w:w w:val="85"/>
          <w:sz w:val="18"/>
        </w:rPr>
        <w:t>misma</w:t>
      </w:r>
      <w:r>
        <w:rPr>
          <w:spacing w:val="-11"/>
          <w:w w:val="85"/>
          <w:sz w:val="18"/>
        </w:rPr>
        <w:t> </w:t>
      </w:r>
      <w:r>
        <w:rPr>
          <w:w w:val="85"/>
          <w:sz w:val="18"/>
        </w:rPr>
        <w:t>espacialmente.</w:t>
      </w:r>
      <w:r>
        <w:rPr>
          <w:spacing w:val="-11"/>
          <w:w w:val="85"/>
          <w:sz w:val="18"/>
        </w:rPr>
        <w:t> </w:t>
      </w:r>
      <w:r>
        <w:rPr>
          <w:w w:val="85"/>
          <w:sz w:val="18"/>
        </w:rPr>
        <w:t>La</w:t>
      </w:r>
      <w:r>
        <w:rPr>
          <w:spacing w:val="-11"/>
          <w:w w:val="85"/>
          <w:sz w:val="18"/>
        </w:rPr>
        <w:t> </w:t>
      </w:r>
      <w:r>
        <w:rPr>
          <w:w w:val="85"/>
          <w:sz w:val="18"/>
        </w:rPr>
        <w:t>autoridad presupone</w:t>
      </w:r>
      <w:r>
        <w:rPr>
          <w:spacing w:val="-17"/>
          <w:w w:val="85"/>
          <w:sz w:val="18"/>
        </w:rPr>
        <w:t> </w:t>
      </w:r>
      <w:r>
        <w:rPr>
          <w:w w:val="85"/>
          <w:sz w:val="18"/>
        </w:rPr>
        <w:t>un</w:t>
      </w:r>
      <w:r>
        <w:rPr>
          <w:spacing w:val="-17"/>
          <w:w w:val="85"/>
          <w:sz w:val="18"/>
        </w:rPr>
        <w:t> </w:t>
      </w:r>
      <w:r>
        <w:rPr>
          <w:w w:val="85"/>
          <w:sz w:val="18"/>
        </w:rPr>
        <w:t>centro</w:t>
      </w:r>
      <w:r>
        <w:rPr>
          <w:spacing w:val="-17"/>
          <w:w w:val="85"/>
          <w:sz w:val="18"/>
        </w:rPr>
        <w:t> </w:t>
      </w:r>
      <w:r>
        <w:rPr>
          <w:w w:val="85"/>
          <w:sz w:val="18"/>
        </w:rPr>
        <w:t>desde</w:t>
      </w:r>
      <w:r>
        <w:rPr>
          <w:spacing w:val="-17"/>
          <w:w w:val="85"/>
          <w:sz w:val="18"/>
        </w:rPr>
        <w:t> </w:t>
      </w:r>
      <w:r>
        <w:rPr>
          <w:w w:val="85"/>
          <w:sz w:val="18"/>
        </w:rPr>
        <w:t>el</w:t>
      </w:r>
      <w:r>
        <w:rPr>
          <w:spacing w:val="-17"/>
          <w:w w:val="85"/>
          <w:sz w:val="18"/>
        </w:rPr>
        <w:t> </w:t>
      </w:r>
      <w:r>
        <w:rPr>
          <w:w w:val="85"/>
          <w:sz w:val="18"/>
        </w:rPr>
        <w:t>cual</w:t>
      </w:r>
      <w:r>
        <w:rPr>
          <w:spacing w:val="-17"/>
          <w:w w:val="85"/>
          <w:sz w:val="18"/>
        </w:rPr>
        <w:t> </w:t>
      </w:r>
      <w:r>
        <w:rPr>
          <w:w w:val="85"/>
          <w:sz w:val="18"/>
        </w:rPr>
        <w:t>se</w:t>
      </w:r>
      <w:r>
        <w:rPr>
          <w:spacing w:val="-17"/>
          <w:w w:val="85"/>
          <w:sz w:val="18"/>
        </w:rPr>
        <w:t> </w:t>
      </w:r>
      <w:r>
        <w:rPr>
          <w:w w:val="85"/>
          <w:sz w:val="18"/>
        </w:rPr>
        <w:t>ejerce</w:t>
      </w:r>
      <w:r>
        <w:rPr>
          <w:spacing w:val="-17"/>
          <w:w w:val="85"/>
          <w:sz w:val="18"/>
        </w:rPr>
        <w:t> </w:t>
      </w:r>
      <w:r>
        <w:rPr>
          <w:w w:val="85"/>
          <w:sz w:val="18"/>
        </w:rPr>
        <w:t>influencia</w:t>
      </w:r>
      <w:r>
        <w:rPr>
          <w:spacing w:val="-17"/>
          <w:w w:val="85"/>
          <w:sz w:val="18"/>
        </w:rPr>
        <w:t> </w:t>
      </w:r>
      <w:r>
        <w:rPr>
          <w:w w:val="85"/>
          <w:sz w:val="18"/>
        </w:rPr>
        <w:t>sobre</w:t>
      </w:r>
      <w:r>
        <w:rPr>
          <w:spacing w:val="-17"/>
          <w:w w:val="85"/>
          <w:sz w:val="18"/>
        </w:rPr>
        <w:t> </w:t>
      </w:r>
      <w:r>
        <w:rPr>
          <w:w w:val="85"/>
          <w:sz w:val="18"/>
        </w:rPr>
        <w:t>una</w:t>
      </w:r>
      <w:r>
        <w:rPr>
          <w:spacing w:val="-17"/>
          <w:w w:val="85"/>
          <w:sz w:val="18"/>
        </w:rPr>
        <w:t> </w:t>
      </w:r>
      <w:r>
        <w:rPr>
          <w:w w:val="85"/>
          <w:sz w:val="18"/>
        </w:rPr>
        <w:t>comarca</w:t>
      </w:r>
      <w:r>
        <w:rPr>
          <w:spacing w:val="-17"/>
          <w:w w:val="85"/>
          <w:sz w:val="18"/>
        </w:rPr>
        <w:t> </w:t>
      </w:r>
      <w:r>
        <w:rPr>
          <w:w w:val="85"/>
          <w:sz w:val="18"/>
        </w:rPr>
        <w:t>circundante.</w:t>
      </w:r>
      <w:r>
        <w:rPr>
          <w:spacing w:val="-17"/>
          <w:w w:val="85"/>
          <w:sz w:val="18"/>
        </w:rPr>
        <w:t> </w:t>
      </w:r>
      <w:r>
        <w:rPr>
          <w:w w:val="85"/>
          <w:sz w:val="18"/>
        </w:rPr>
        <w:t>Dicho</w:t>
      </w:r>
      <w:r>
        <w:rPr>
          <w:spacing w:val="-17"/>
          <w:w w:val="85"/>
          <w:sz w:val="18"/>
        </w:rPr>
        <w:t> </w:t>
      </w:r>
      <w:r>
        <w:rPr>
          <w:w w:val="85"/>
          <w:sz w:val="18"/>
        </w:rPr>
        <w:t>centro</w:t>
      </w:r>
      <w:r>
        <w:rPr>
          <w:spacing w:val="-17"/>
          <w:w w:val="85"/>
          <w:sz w:val="18"/>
        </w:rPr>
        <w:t> </w:t>
      </w:r>
      <w:r>
        <w:rPr>
          <w:w w:val="85"/>
          <w:sz w:val="18"/>
        </w:rPr>
        <w:t>y</w:t>
      </w:r>
      <w:r>
        <w:rPr>
          <w:spacing w:val="-17"/>
          <w:w w:val="85"/>
          <w:sz w:val="18"/>
        </w:rPr>
        <w:t> </w:t>
      </w:r>
      <w:r>
        <w:rPr>
          <w:w w:val="85"/>
          <w:sz w:val="18"/>
        </w:rPr>
        <w:t>la</w:t>
      </w:r>
      <w:r>
        <w:rPr>
          <w:spacing w:val="-17"/>
          <w:w w:val="85"/>
          <w:sz w:val="18"/>
        </w:rPr>
        <w:t> </w:t>
      </w:r>
      <w:r>
        <w:rPr>
          <w:w w:val="85"/>
          <w:sz w:val="18"/>
        </w:rPr>
        <w:t>zona</w:t>
      </w:r>
      <w:r>
        <w:rPr>
          <w:spacing w:val="-17"/>
          <w:w w:val="85"/>
          <w:sz w:val="18"/>
        </w:rPr>
        <w:t> </w:t>
      </w:r>
      <w:r>
        <w:rPr>
          <w:w w:val="85"/>
          <w:sz w:val="18"/>
        </w:rPr>
        <w:t>circundante</w:t>
      </w:r>
      <w:r>
        <w:rPr>
          <w:spacing w:val="-17"/>
          <w:w w:val="85"/>
          <w:sz w:val="18"/>
        </w:rPr>
        <w:t> </w:t>
      </w:r>
      <w:r>
        <w:rPr>
          <w:w w:val="85"/>
          <w:sz w:val="18"/>
        </w:rPr>
        <w:t>constituyen una</w:t>
      </w:r>
      <w:r>
        <w:rPr>
          <w:spacing w:val="-23"/>
          <w:w w:val="85"/>
          <w:sz w:val="18"/>
        </w:rPr>
        <w:t> </w:t>
      </w:r>
      <w:r>
        <w:rPr>
          <w:w w:val="85"/>
          <w:sz w:val="18"/>
        </w:rPr>
        <w:t>región</w:t>
      </w:r>
      <w:r>
        <w:rPr>
          <w:spacing w:val="-23"/>
          <w:w w:val="85"/>
          <w:sz w:val="18"/>
        </w:rPr>
        <w:t> </w:t>
      </w:r>
      <w:r>
        <w:rPr>
          <w:w w:val="85"/>
          <w:sz w:val="18"/>
        </w:rPr>
        <w:t>nodal.</w:t>
      </w:r>
    </w:p>
    <w:p>
      <w:pPr>
        <w:spacing w:after="0"/>
        <w:jc w:val="both"/>
        <w:rPr>
          <w:sz w:val="18"/>
        </w:rPr>
        <w:sectPr>
          <w:pgSz w:w="12240" w:h="15840"/>
          <w:pgMar w:header="0" w:footer="943" w:top="1360" w:bottom="1200" w:left="1580" w:right="1580"/>
        </w:sectPr>
      </w:pPr>
    </w:p>
    <w:p>
      <w:pPr>
        <w:pStyle w:val="BodyText"/>
        <w:spacing w:line="360" w:lineRule="auto" w:before="54"/>
        <w:ind w:left="102" w:right="115"/>
        <w:jc w:val="both"/>
      </w:pPr>
      <w:r>
        <w:rPr/>
        <w:t>previo de las necesidades y cambios urbanos y demográficos de esta población, principalmente en la zona metropolitana de Toluca.</w:t>
      </w:r>
    </w:p>
    <w:p>
      <w:pPr>
        <w:pStyle w:val="BodyText"/>
        <w:spacing w:line="360" w:lineRule="auto" w:before="204"/>
        <w:ind w:left="102" w:right="114"/>
        <w:jc w:val="both"/>
      </w:pPr>
      <w:r>
        <w:rPr/>
        <w:t>La ZMT es la quinta más grande, según la delimitación del CONAPO/INEGI/SEDESOL. Presenta problemas por sus características físico- geográficas, el tamaño de su población, su dinámica económica, la falta de vivienda y de habitabilidad, la pérdida de calidad de vida, la dotación de servicios públicos, el transporte, entre otros.</w:t>
      </w:r>
    </w:p>
    <w:p>
      <w:pPr>
        <w:pStyle w:val="BodyText"/>
        <w:spacing w:line="360" w:lineRule="auto" w:before="202"/>
        <w:ind w:left="102" w:right="121"/>
        <w:jc w:val="both"/>
      </w:pPr>
      <w:r>
        <w:rPr/>
        <w:t>Sin duda, la inhabitabilidad de las viviendas es un proceso continuo, que en las próximas décadas se dará de manera muy rápida, enmarcada en un contexto de desarrollo heterogéneo entre los municipios que integran la zona metropolitana de Toluca donde se concentra un porcentaje considerable de población.</w:t>
      </w:r>
    </w:p>
    <w:p>
      <w:pPr>
        <w:pStyle w:val="BodyText"/>
        <w:spacing w:line="360" w:lineRule="auto" w:before="204"/>
        <w:ind w:left="102" w:right="116"/>
        <w:jc w:val="both"/>
      </w:pPr>
      <w:r>
        <w:rPr/>
        <w:t>Algunos de los aspectos negativos en las condiciones de la vivienda se pueden mencionar los siguientes: la acelerada urbanización descontrolada, no planificada y en particular, la creciente importancia de la migración entre las ciudades; el establecimiento de políticas y marcos reguladores ineficaces; el funcionamiento  del mercado ilegal de tierras, los desplazamientos por desahucios planificados, los desastres naturales y la falta de acceso al financiamiento (OMS,</w:t>
      </w:r>
      <w:r>
        <w:rPr>
          <w:spacing w:val="-23"/>
        </w:rPr>
        <w:t> </w:t>
      </w:r>
      <w:r>
        <w:rPr/>
        <w:t>2006).</w:t>
      </w:r>
    </w:p>
    <w:p>
      <w:pPr>
        <w:pStyle w:val="Heading4"/>
        <w:spacing w:before="204"/>
      </w:pPr>
      <w:r>
        <w:rPr/>
        <w:t>Vivienda</w:t>
      </w:r>
    </w:p>
    <w:p>
      <w:pPr>
        <w:pStyle w:val="BodyText"/>
        <w:spacing w:before="4"/>
        <w:rPr>
          <w:b/>
          <w:sz w:val="29"/>
        </w:rPr>
      </w:pPr>
    </w:p>
    <w:p>
      <w:pPr>
        <w:pStyle w:val="BodyText"/>
        <w:spacing w:line="360" w:lineRule="auto" w:before="1"/>
        <w:ind w:left="102" w:right="121"/>
        <w:jc w:val="both"/>
      </w:pPr>
      <w:r>
        <w:rPr/>
        <w:t>El concepto de la vivienda ha evolucionado a través del tiempo debido a su relación directa con la población. Desde que el hombre dejo de ser nómada una  de sus mayores necesidades fue refugiarse de las inclemencias climáticas, lo que lo llevo a contar con una seguridad para él y su familia. La vivienda es una de las necesidades humanas más importantes. Tradicionalmente la vivienda se le ha concebido como un espacio integrado por paredes y techo, cuya función principal es la protección y el resguardo del medio</w:t>
      </w:r>
      <w:r>
        <w:rPr>
          <w:spacing w:val="-12"/>
        </w:rPr>
        <w:t> </w:t>
      </w:r>
      <w:r>
        <w:rPr/>
        <w:t>ambiente.</w:t>
      </w:r>
    </w:p>
    <w:p>
      <w:pPr>
        <w:pStyle w:val="BodyText"/>
        <w:spacing w:line="360" w:lineRule="auto" w:before="204"/>
        <w:ind w:left="102" w:right="124"/>
        <w:jc w:val="both"/>
      </w:pPr>
      <w:r>
        <w:rPr/>
        <w:t>Como concepto integral de vivienda, no solo se toman en cuenta las  características físicas, también su entorno y el lugar donde está ubicada, además la manera en que las personas representan el espacio habitacional a través de </w:t>
      </w:r>
      <w:r>
        <w:rPr>
          <w:spacing w:val="20"/>
        </w:rPr>
        <w:t> </w:t>
      </w:r>
      <w:r>
        <w:rPr/>
        <w:t>su</w:t>
      </w:r>
    </w:p>
    <w:p>
      <w:pPr>
        <w:spacing w:after="0" w:line="360" w:lineRule="auto"/>
        <w:jc w:val="both"/>
        <w:sectPr>
          <w:pgSz w:w="12240" w:h="15840"/>
          <w:pgMar w:header="0" w:footer="943" w:top="1360" w:bottom="1200" w:left="1600" w:right="1580"/>
        </w:sectPr>
      </w:pPr>
    </w:p>
    <w:p>
      <w:pPr>
        <w:pStyle w:val="BodyText"/>
        <w:spacing w:line="360" w:lineRule="auto" w:before="54"/>
        <w:ind w:left="102" w:right="122"/>
        <w:jc w:val="both"/>
      </w:pPr>
      <w:r>
        <w:rPr/>
        <w:t>experiencia cotidiana (Esquivel, 2006: 94). Es decir las características de las viviendas incluyen esencialmente el espacio físico, la localización y su entorno donde están ubicadas.</w:t>
      </w:r>
    </w:p>
    <w:p>
      <w:pPr>
        <w:pStyle w:val="BodyText"/>
        <w:spacing w:line="360" w:lineRule="auto" w:before="204"/>
        <w:ind w:left="102" w:right="121"/>
        <w:jc w:val="both"/>
      </w:pPr>
      <w:r>
        <w:rPr/>
        <w:t>Se conceptualiza a la vivienda como provisor de bienes públicos y asociado a la composición social de los espacios habitacionales (Bournazou citado en Pedrotti, 2014: 4). La vivienda es la base para poder realizar otros derechos, como el acceso a la salud, la educación, el trabajo, entre otros (Pisarello, 2010).</w:t>
      </w:r>
    </w:p>
    <w:p>
      <w:pPr>
        <w:pStyle w:val="BodyText"/>
        <w:spacing w:line="360" w:lineRule="auto" w:before="202"/>
        <w:ind w:left="102" w:right="118"/>
        <w:jc w:val="both"/>
      </w:pPr>
      <w:r>
        <w:rPr/>
        <w:t>La Organización Panamericana de la Salud (OPS, 2009: 17) menciona que la vivienda se convierte en un lugar indispensable para la vida, necesaria para el desarrollo de las personas y la familia. Ya que brinda seguridad, protección, intimidad, privacidad, además de contribuir al bienestar de las personas que la habitan.</w:t>
      </w:r>
    </w:p>
    <w:p>
      <w:pPr>
        <w:spacing w:line="360" w:lineRule="auto" w:before="202"/>
        <w:ind w:left="102" w:right="117" w:firstLine="0"/>
        <w:jc w:val="both"/>
        <w:rPr>
          <w:sz w:val="24"/>
        </w:rPr>
      </w:pPr>
      <w:r>
        <w:rPr>
          <w:sz w:val="24"/>
        </w:rPr>
        <w:t>En México, la vivienda se define como el “</w:t>
      </w:r>
      <w:r>
        <w:rPr>
          <w:i/>
          <w:sz w:val="24"/>
        </w:rPr>
        <w:t>espacio delimitado normalmente por </w:t>
      </w:r>
      <w:r>
        <w:rPr>
          <w:i/>
          <w:sz w:val="24"/>
        </w:rPr>
        <w:t>paredes y techos de cualquier material, con entrada independiente, que se utiliza para vivir, esto es, dormir, preparar los alimentos, comer y protegerse del ambiente</w:t>
      </w:r>
      <w:r>
        <w:rPr>
          <w:sz w:val="24"/>
        </w:rPr>
        <w:t>”. (INEGI, 2000). Mientras que una década después al concepto de vivienda se agrega a la vivienda como “</w:t>
      </w:r>
      <w:r>
        <w:rPr>
          <w:i/>
          <w:sz w:val="24"/>
        </w:rPr>
        <w:t>la construcción para la habitación de </w:t>
      </w:r>
      <w:r>
        <w:rPr>
          <w:i/>
          <w:sz w:val="24"/>
        </w:rPr>
        <w:t>personas que se utiliza para vivir</w:t>
      </w:r>
      <w:r>
        <w:rPr>
          <w:sz w:val="24"/>
        </w:rPr>
        <w:t>” (INEGI, 2010). Quitando las  funciones  de dormir, preparar alimentos, comer, además de la protección en contra del ambiente.</w:t>
      </w:r>
    </w:p>
    <w:p>
      <w:pPr>
        <w:pStyle w:val="Heading4"/>
        <w:spacing w:before="202"/>
      </w:pPr>
      <w:r>
        <w:rPr/>
        <w:t>Zona en estudio</w:t>
      </w:r>
    </w:p>
    <w:p>
      <w:pPr>
        <w:pStyle w:val="BodyText"/>
        <w:spacing w:before="4"/>
        <w:rPr>
          <w:b/>
          <w:sz w:val="29"/>
        </w:rPr>
      </w:pPr>
    </w:p>
    <w:p>
      <w:pPr>
        <w:pStyle w:val="BodyText"/>
        <w:spacing w:line="362" w:lineRule="auto" w:before="1"/>
        <w:ind w:left="102" w:right="125"/>
        <w:jc w:val="both"/>
      </w:pPr>
      <w:r>
        <w:rPr/>
        <w:t>Para analizar la zona en estudio es necesario contar con el diagnostico previo respecto a su población total que habita en dicho lugar.</w:t>
      </w:r>
    </w:p>
    <w:p>
      <w:pPr>
        <w:pStyle w:val="BodyText"/>
        <w:spacing w:line="360" w:lineRule="auto" w:before="201"/>
        <w:ind w:left="102" w:right="118"/>
        <w:jc w:val="both"/>
      </w:pPr>
      <w:r>
        <w:rPr/>
        <w:t>La ubicación de la Zona Metropolitana de Toluca que según el CONAPO, 2012 menciona que está integrada por 15 municipios los cuales son los siguientes: Almoloya de Juárez, Calimaya, Chapultepec, Lerma, Metepec, Mexicaltzingo, Ocoyoacac, Otzolotepec, Rayón, San Antonio la Isla, San Mateo Atenco, Temoaya, Toluca, Xonacatlán y Zinacantepec (ver mapa</w:t>
      </w:r>
      <w:r>
        <w:rPr>
          <w:spacing w:val="-25"/>
        </w:rPr>
        <w:t> </w:t>
      </w:r>
      <w:r>
        <w:rPr/>
        <w:t>1).</w:t>
      </w:r>
    </w:p>
    <w:p>
      <w:pPr>
        <w:spacing w:after="0" w:line="360" w:lineRule="auto"/>
        <w:jc w:val="both"/>
        <w:sectPr>
          <w:pgSz w:w="12240" w:h="15840"/>
          <w:pgMar w:header="0" w:footer="943" w:top="1360" w:bottom="1200" w:left="1600" w:right="1580"/>
        </w:sectPr>
      </w:pPr>
    </w:p>
    <w:p>
      <w:pPr>
        <w:pStyle w:val="BodyText"/>
        <w:spacing w:line="360" w:lineRule="auto" w:before="54"/>
        <w:ind w:left="102" w:right="98"/>
        <w:jc w:val="both"/>
      </w:pPr>
      <w:r>
        <w:rPr/>
        <w:t>La zona metropolitana de Toluca, contaba con una población total en la década de 1990 de 1’058,332 habitantes, una década después en el año 2000 la población  se incrementó a 1’540,452 habitantes con una tasa de crecimiento para este periodo de 2.9 por ciento anual, para el año 2010 la población total fue de más de 1’936,126 habitantes con una tasa de crecimiento para este año de 2.7 (INEGI, 1990, 2000,</w:t>
      </w:r>
      <w:r>
        <w:rPr>
          <w:spacing w:val="-9"/>
        </w:rPr>
        <w:t> </w:t>
      </w:r>
      <w:r>
        <w:rPr/>
        <w:t>2010).</w:t>
      </w:r>
    </w:p>
    <w:p>
      <w:pPr>
        <w:pStyle w:val="BodyText"/>
        <w:spacing w:line="360" w:lineRule="auto" w:before="204"/>
        <w:ind w:left="102" w:right="99"/>
        <w:jc w:val="both"/>
      </w:pPr>
      <w:r>
        <w:rPr/>
        <w:t>En lo que respecta en materia de vivienda, la ZMT en el año 2000 según datos censales, existían más de 322 mil viviendas, siendo el municipio de Toluca quien contaba con más de 145 mil viviendas, es decir 45 por ciento, seguido del municipio de Metepec con más de 43 mil, Zinacantepec registro más de 23 mil, Almoloya de Juárez casi 22 mil y Lerma  más de 20  mil. Los municipios con  menor cantidad de viviendas, se encuentra Chapultepec con más mil 100 viviendas, Rayón y San Antonio la Isla con mil 600 y mil 800 viviendas respectivamente (ver cuadro</w:t>
      </w:r>
      <w:r>
        <w:rPr>
          <w:spacing w:val="-9"/>
        </w:rPr>
        <w:t> </w:t>
      </w:r>
      <w:r>
        <w:rPr/>
        <w:t>1).</w:t>
      </w:r>
    </w:p>
    <w:p>
      <w:pPr>
        <w:pStyle w:val="Heading4"/>
        <w:spacing w:before="204"/>
        <w:ind w:left="157" w:right="157"/>
        <w:jc w:val="center"/>
      </w:pPr>
      <w:r>
        <w:rPr/>
        <w:t>Mapa 1</w:t>
      </w:r>
    </w:p>
    <w:p>
      <w:pPr>
        <w:pStyle w:val="BodyText"/>
        <w:spacing w:before="3"/>
        <w:rPr>
          <w:b/>
          <w:sz w:val="9"/>
        </w:rPr>
      </w:pPr>
      <w:r>
        <w:rPr/>
        <w:drawing>
          <wp:anchor distT="0" distB="0" distL="0" distR="0" allowOverlap="1" layoutInCell="1" locked="0" behindDoc="0" simplePos="0" relativeHeight="7480">
            <wp:simplePos x="0" y="0"/>
            <wp:positionH relativeFrom="page">
              <wp:posOffset>1919490</wp:posOffset>
            </wp:positionH>
            <wp:positionV relativeFrom="paragraph">
              <wp:posOffset>92953</wp:posOffset>
            </wp:positionV>
            <wp:extent cx="3942941" cy="3013710"/>
            <wp:effectExtent l="0" t="0" r="0" b="0"/>
            <wp:wrapTopAndBottom/>
            <wp:docPr id="185" name="image965.png" descr=""/>
            <wp:cNvGraphicFramePr>
              <a:graphicFrameLocks noChangeAspect="1"/>
            </wp:cNvGraphicFramePr>
            <a:graphic>
              <a:graphicData uri="http://schemas.openxmlformats.org/drawingml/2006/picture">
                <pic:pic>
                  <pic:nvPicPr>
                    <pic:cNvPr id="186" name="image965.png"/>
                    <pic:cNvPicPr/>
                  </pic:nvPicPr>
                  <pic:blipFill>
                    <a:blip r:embed="rId1013" cstate="print"/>
                    <a:stretch>
                      <a:fillRect/>
                    </a:stretch>
                  </pic:blipFill>
                  <pic:spPr>
                    <a:xfrm>
                      <a:off x="0" y="0"/>
                      <a:ext cx="3942941" cy="3013710"/>
                    </a:xfrm>
                    <a:prstGeom prst="rect">
                      <a:avLst/>
                    </a:prstGeom>
                  </pic:spPr>
                </pic:pic>
              </a:graphicData>
            </a:graphic>
          </wp:anchor>
        </w:drawing>
      </w:r>
    </w:p>
    <w:p>
      <w:pPr>
        <w:spacing w:before="129"/>
        <w:ind w:left="157" w:right="156" w:firstLine="0"/>
        <w:jc w:val="center"/>
        <w:rPr>
          <w:sz w:val="24"/>
        </w:rPr>
      </w:pPr>
      <w:r>
        <w:rPr>
          <w:sz w:val="22"/>
        </w:rPr>
        <w:t>Fuente: Elaboración propia, con base en el CONAPO, 2010 y Censo INEGI, 2010</w:t>
      </w:r>
      <w:r>
        <w:rPr>
          <w:sz w:val="24"/>
        </w:rPr>
        <w:t>.</w:t>
      </w:r>
    </w:p>
    <w:p>
      <w:pPr>
        <w:pStyle w:val="BodyText"/>
        <w:spacing w:before="2"/>
        <w:rPr>
          <w:sz w:val="29"/>
        </w:rPr>
      </w:pPr>
    </w:p>
    <w:p>
      <w:pPr>
        <w:pStyle w:val="BodyText"/>
        <w:spacing w:line="360" w:lineRule="auto"/>
        <w:ind w:left="102" w:right="105"/>
        <w:jc w:val="both"/>
      </w:pPr>
      <w:r>
        <w:rPr/>
        <w:t>Para el año 2010, todos los municipios de la ZMT aumentaron el número de viviendas, el municipio de Toluca mantenía el mayor número de viviendas con más</w:t>
      </w:r>
    </w:p>
    <w:p>
      <w:pPr>
        <w:spacing w:after="0" w:line="360" w:lineRule="auto"/>
        <w:jc w:val="both"/>
        <w:sectPr>
          <w:pgSz w:w="12240" w:h="15840"/>
          <w:pgMar w:header="0" w:footer="943" w:top="1360" w:bottom="1200" w:left="1600" w:right="1600"/>
        </w:sectPr>
      </w:pPr>
    </w:p>
    <w:p>
      <w:pPr>
        <w:pStyle w:val="BodyText"/>
        <w:spacing w:line="360" w:lineRule="auto" w:before="54"/>
        <w:ind w:left="102" w:right="112"/>
        <w:jc w:val="both"/>
      </w:pPr>
      <w:r>
        <w:rPr/>
        <w:t>de 199 mil, incremento en una década el número de viviendas en más de 54 mil, seguido del municipio de Metepec incrementando en una década más de 11 mil viviendas, Zinacantepec registro más de 37 mil registrando un incremento de más de 14 mil nuevas viviendas en tan solo 10 años. En lo que respecta a los municipios que incrementaron en mayor número de viviendas en la década 2000- 2010 fueron San Antonio la Isla quien paso de mil 800 viviendas a más de cinco mil, es decir triplico el total de sus viviendas, San Mateo Atenco por su parte, paso de 11 mil a más de 16 mil y Temoaya de 12 mil a más de 17 mil viviendas, cifras que dejan ver que el crecimiento metropolitano en cuestión de viviendas es considerado y más aun hacia la propio periferia de la los municipios que la limitan. (Ver cuadro 1).</w:t>
      </w:r>
    </w:p>
    <w:p>
      <w:pPr>
        <w:pStyle w:val="Heading4"/>
        <w:spacing w:before="204"/>
        <w:ind w:left="201" w:right="216"/>
        <w:jc w:val="center"/>
      </w:pPr>
      <w:r>
        <w:rPr/>
        <w:t>Cuadro No. 1</w:t>
      </w:r>
    </w:p>
    <w:p>
      <w:pPr>
        <w:spacing w:before="139"/>
        <w:ind w:left="193" w:right="210" w:firstLine="0"/>
        <w:jc w:val="center"/>
        <w:rPr>
          <w:b/>
          <w:sz w:val="24"/>
        </w:rPr>
      </w:pPr>
      <w:r>
        <w:rPr/>
        <w:pict>
          <v:shape style="position:absolute;margin-left:150.719986pt;margin-top:27.66116pt;width:312.150pt;height:18.55pt;mso-position-horizontal-relative:page;mso-position-vertical-relative:paragraph;z-index:750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66"/>
                    <w:gridCol w:w="1320"/>
                    <w:gridCol w:w="1166"/>
                    <w:gridCol w:w="704"/>
                    <w:gridCol w:w="1166"/>
                    <w:gridCol w:w="704"/>
                  </w:tblGrid>
                  <w:tr>
                    <w:trPr>
                      <w:trHeight w:val="173" w:hRule="exact"/>
                    </w:trPr>
                    <w:tc>
                      <w:tcPr>
                        <w:tcW w:w="1166" w:type="dxa"/>
                        <w:vMerge w:val="restart"/>
                        <w:shd w:val="clear" w:color="auto" w:fill="F1F1F1"/>
                      </w:tcPr>
                      <w:p>
                        <w:pPr>
                          <w:pStyle w:val="TableParagraph"/>
                          <w:spacing w:before="96"/>
                          <w:ind w:left="217"/>
                          <w:rPr>
                            <w:rFonts w:ascii="Times New Roman"/>
                            <w:b/>
                            <w:sz w:val="13"/>
                          </w:rPr>
                        </w:pPr>
                        <w:r>
                          <w:rPr>
                            <w:rFonts w:ascii="Times New Roman"/>
                            <w:b/>
                            <w:w w:val="105"/>
                            <w:sz w:val="13"/>
                          </w:rPr>
                          <w:t>Clave Mpio.</w:t>
                        </w:r>
                      </w:p>
                    </w:tc>
                    <w:tc>
                      <w:tcPr>
                        <w:tcW w:w="1320" w:type="dxa"/>
                        <w:vMerge w:val="restart"/>
                        <w:shd w:val="clear" w:color="auto" w:fill="F1F1F1"/>
                      </w:tcPr>
                      <w:p>
                        <w:pPr>
                          <w:pStyle w:val="TableParagraph"/>
                          <w:spacing w:before="96"/>
                          <w:ind w:left="351"/>
                          <w:rPr>
                            <w:rFonts w:ascii="Times New Roman"/>
                            <w:b/>
                            <w:sz w:val="13"/>
                          </w:rPr>
                        </w:pPr>
                        <w:r>
                          <w:rPr>
                            <w:rFonts w:ascii="Times New Roman"/>
                            <w:b/>
                            <w:w w:val="105"/>
                            <w:sz w:val="13"/>
                          </w:rPr>
                          <w:t>Municipio</w:t>
                        </w:r>
                      </w:p>
                    </w:tc>
                    <w:tc>
                      <w:tcPr>
                        <w:tcW w:w="1870" w:type="dxa"/>
                        <w:gridSpan w:val="2"/>
                        <w:shd w:val="clear" w:color="auto" w:fill="F1F1F1"/>
                      </w:tcPr>
                      <w:p>
                        <w:pPr>
                          <w:pStyle w:val="TableParagraph"/>
                          <w:spacing w:before="5"/>
                          <w:ind w:left="772" w:right="772"/>
                          <w:jc w:val="center"/>
                          <w:rPr>
                            <w:rFonts w:ascii="Times New Roman"/>
                            <w:b/>
                            <w:sz w:val="13"/>
                          </w:rPr>
                        </w:pPr>
                        <w:r>
                          <w:rPr>
                            <w:rFonts w:ascii="Times New Roman"/>
                            <w:b/>
                            <w:w w:val="105"/>
                            <w:sz w:val="13"/>
                          </w:rPr>
                          <w:t>2000</w:t>
                        </w:r>
                      </w:p>
                    </w:tc>
                    <w:tc>
                      <w:tcPr>
                        <w:tcW w:w="1870" w:type="dxa"/>
                        <w:gridSpan w:val="2"/>
                        <w:shd w:val="clear" w:color="auto" w:fill="F1F1F1"/>
                      </w:tcPr>
                      <w:p>
                        <w:pPr>
                          <w:pStyle w:val="TableParagraph"/>
                          <w:spacing w:before="5"/>
                          <w:ind w:left="772" w:right="772"/>
                          <w:jc w:val="center"/>
                          <w:rPr>
                            <w:rFonts w:ascii="Times New Roman"/>
                            <w:b/>
                            <w:sz w:val="13"/>
                          </w:rPr>
                        </w:pPr>
                        <w:r>
                          <w:rPr>
                            <w:rFonts w:ascii="Times New Roman"/>
                            <w:b/>
                            <w:w w:val="105"/>
                            <w:sz w:val="13"/>
                          </w:rPr>
                          <w:t>2010</w:t>
                        </w:r>
                      </w:p>
                    </w:tc>
                  </w:tr>
                  <w:tr>
                    <w:trPr>
                      <w:trHeight w:val="181" w:hRule="exact"/>
                    </w:trPr>
                    <w:tc>
                      <w:tcPr>
                        <w:tcW w:w="1166" w:type="dxa"/>
                        <w:vMerge/>
                        <w:tcBorders>
                          <w:bottom w:val="single" w:sz="9" w:space="0" w:color="000000"/>
                        </w:tcBorders>
                        <w:shd w:val="clear" w:color="auto" w:fill="F1F1F1"/>
                      </w:tcPr>
                      <w:p>
                        <w:pPr/>
                      </w:p>
                    </w:tc>
                    <w:tc>
                      <w:tcPr>
                        <w:tcW w:w="1320" w:type="dxa"/>
                        <w:vMerge/>
                        <w:tcBorders>
                          <w:bottom w:val="single" w:sz="9" w:space="0" w:color="000000"/>
                        </w:tcBorders>
                        <w:shd w:val="clear" w:color="auto" w:fill="F1F1F1"/>
                      </w:tcPr>
                      <w:p>
                        <w:pPr/>
                      </w:p>
                    </w:tc>
                    <w:tc>
                      <w:tcPr>
                        <w:tcW w:w="1166" w:type="dxa"/>
                        <w:tcBorders>
                          <w:bottom w:val="single" w:sz="9" w:space="0" w:color="000000"/>
                        </w:tcBorders>
                        <w:shd w:val="clear" w:color="auto" w:fill="F1F1F1"/>
                      </w:tcPr>
                      <w:p>
                        <w:pPr>
                          <w:pStyle w:val="TableParagraph"/>
                          <w:spacing w:before="2"/>
                          <w:ind w:left="19"/>
                          <w:rPr>
                            <w:rFonts w:ascii="Times New Roman" w:hAnsi="Times New Roman"/>
                            <w:b/>
                            <w:sz w:val="13"/>
                          </w:rPr>
                        </w:pPr>
                        <w:r>
                          <w:rPr>
                            <w:rFonts w:ascii="Times New Roman" w:hAnsi="Times New Roman"/>
                            <w:b/>
                            <w:w w:val="105"/>
                            <w:sz w:val="13"/>
                          </w:rPr>
                          <w:t>Población Total</w:t>
                        </w:r>
                      </w:p>
                    </w:tc>
                    <w:tc>
                      <w:tcPr>
                        <w:tcW w:w="704" w:type="dxa"/>
                        <w:tcBorders>
                          <w:bottom w:val="single" w:sz="9" w:space="0" w:color="000000"/>
                        </w:tcBorders>
                        <w:shd w:val="clear" w:color="auto" w:fill="F1F1F1"/>
                      </w:tcPr>
                      <w:p>
                        <w:pPr>
                          <w:pStyle w:val="TableParagraph"/>
                          <w:spacing w:before="2"/>
                          <w:ind w:left="19"/>
                          <w:rPr>
                            <w:rFonts w:ascii="Times New Roman"/>
                            <w:b/>
                            <w:sz w:val="13"/>
                          </w:rPr>
                        </w:pPr>
                        <w:r>
                          <w:rPr>
                            <w:rFonts w:ascii="Times New Roman"/>
                            <w:b/>
                            <w:w w:val="105"/>
                            <w:sz w:val="13"/>
                          </w:rPr>
                          <w:t>Viviendas</w:t>
                        </w:r>
                      </w:p>
                    </w:tc>
                    <w:tc>
                      <w:tcPr>
                        <w:tcW w:w="1166" w:type="dxa"/>
                        <w:tcBorders>
                          <w:bottom w:val="single" w:sz="9" w:space="0" w:color="000000"/>
                        </w:tcBorders>
                        <w:shd w:val="clear" w:color="auto" w:fill="F1F1F1"/>
                      </w:tcPr>
                      <w:p>
                        <w:pPr>
                          <w:pStyle w:val="TableParagraph"/>
                          <w:spacing w:before="2"/>
                          <w:ind w:left="19"/>
                          <w:rPr>
                            <w:rFonts w:ascii="Times New Roman" w:hAnsi="Times New Roman"/>
                            <w:b/>
                            <w:sz w:val="13"/>
                          </w:rPr>
                        </w:pPr>
                        <w:r>
                          <w:rPr>
                            <w:rFonts w:ascii="Times New Roman" w:hAnsi="Times New Roman"/>
                            <w:b/>
                            <w:w w:val="105"/>
                            <w:sz w:val="13"/>
                          </w:rPr>
                          <w:t>Población Total</w:t>
                        </w:r>
                      </w:p>
                    </w:tc>
                    <w:tc>
                      <w:tcPr>
                        <w:tcW w:w="704" w:type="dxa"/>
                        <w:tcBorders>
                          <w:bottom w:val="single" w:sz="9" w:space="0" w:color="000000"/>
                        </w:tcBorders>
                        <w:shd w:val="clear" w:color="auto" w:fill="F1F1F1"/>
                      </w:tcPr>
                      <w:p>
                        <w:pPr>
                          <w:pStyle w:val="TableParagraph"/>
                          <w:spacing w:before="2"/>
                          <w:ind w:left="19"/>
                          <w:rPr>
                            <w:rFonts w:ascii="Times New Roman"/>
                            <w:b/>
                            <w:sz w:val="13"/>
                          </w:rPr>
                        </w:pPr>
                        <w:r>
                          <w:rPr>
                            <w:rFonts w:ascii="Times New Roman"/>
                            <w:b/>
                            <w:w w:val="105"/>
                            <w:sz w:val="13"/>
                          </w:rPr>
                          <w:t>Viviendas</w:t>
                        </w:r>
                      </w:p>
                    </w:tc>
                  </w:tr>
                </w:tbl>
                <w:p>
                  <w:pPr>
                    <w:pStyle w:val="BodyText"/>
                  </w:pPr>
                </w:p>
              </w:txbxContent>
            </v:textbox>
            <w10:wrap type="none"/>
          </v:shape>
        </w:pict>
      </w:r>
      <w:r>
        <w:rPr>
          <w:b/>
          <w:sz w:val="24"/>
        </w:rPr>
        <w:t>Población total y total de viviendas por municipio de la ZMT, 2000-2010</w:t>
      </w:r>
    </w:p>
    <w:p>
      <w:pPr>
        <w:pStyle w:val="BodyText"/>
        <w:spacing w:before="5"/>
        <w:rPr>
          <w:b/>
          <w:sz w:val="12"/>
        </w:rPr>
      </w:pPr>
    </w:p>
    <w:tbl>
      <w:tblPr>
        <w:tblW w:w="0" w:type="auto"/>
        <w:jc w:val="left"/>
        <w:tblInd w:w="14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1320"/>
        <w:gridCol w:w="1166"/>
        <w:gridCol w:w="704"/>
        <w:gridCol w:w="1166"/>
        <w:gridCol w:w="704"/>
      </w:tblGrid>
      <w:tr>
        <w:trPr>
          <w:trHeight w:val="173" w:hRule="exact"/>
        </w:trPr>
        <w:tc>
          <w:tcPr>
            <w:tcW w:w="1166" w:type="dxa"/>
            <w:vMerge w:val="restart"/>
          </w:tcPr>
          <w:p>
            <w:pPr/>
          </w:p>
        </w:tc>
        <w:tc>
          <w:tcPr>
            <w:tcW w:w="1320" w:type="dxa"/>
          </w:tcPr>
          <w:p>
            <w:pPr/>
          </w:p>
        </w:tc>
        <w:tc>
          <w:tcPr>
            <w:tcW w:w="1166" w:type="dxa"/>
          </w:tcPr>
          <w:p>
            <w:pPr/>
          </w:p>
        </w:tc>
        <w:tc>
          <w:tcPr>
            <w:tcW w:w="704" w:type="dxa"/>
          </w:tcPr>
          <w:p>
            <w:pPr/>
          </w:p>
        </w:tc>
        <w:tc>
          <w:tcPr>
            <w:tcW w:w="1166" w:type="dxa"/>
          </w:tcPr>
          <w:p>
            <w:pPr/>
          </w:p>
        </w:tc>
        <w:tc>
          <w:tcPr>
            <w:tcW w:w="704" w:type="dxa"/>
            <w:vMerge w:val="restart"/>
          </w:tcPr>
          <w:p>
            <w:pPr/>
          </w:p>
        </w:tc>
      </w:tr>
      <w:tr>
        <w:trPr>
          <w:trHeight w:val="181" w:hRule="exact"/>
        </w:trPr>
        <w:tc>
          <w:tcPr>
            <w:tcW w:w="1166" w:type="dxa"/>
            <w:vMerge/>
          </w:tcPr>
          <w:p>
            <w:pPr/>
          </w:p>
        </w:tc>
        <w:tc>
          <w:tcPr>
            <w:tcW w:w="1320" w:type="dxa"/>
          </w:tcPr>
          <w:p>
            <w:pPr/>
          </w:p>
        </w:tc>
        <w:tc>
          <w:tcPr>
            <w:tcW w:w="1166" w:type="dxa"/>
          </w:tcPr>
          <w:p>
            <w:pPr/>
          </w:p>
        </w:tc>
        <w:tc>
          <w:tcPr>
            <w:tcW w:w="704" w:type="dxa"/>
          </w:tcPr>
          <w:p>
            <w:pPr/>
          </w:p>
        </w:tc>
        <w:tc>
          <w:tcPr>
            <w:tcW w:w="1166" w:type="dxa"/>
          </w:tcPr>
          <w:p>
            <w:pPr/>
          </w:p>
        </w:tc>
        <w:tc>
          <w:tcPr>
            <w:tcW w:w="704" w:type="dxa"/>
            <w:vMerge/>
          </w:tcPr>
          <w:p>
            <w:pPr/>
          </w:p>
        </w:tc>
      </w:tr>
      <w:tr>
        <w:trPr>
          <w:trHeight w:val="177" w:hRule="exact"/>
        </w:trPr>
        <w:tc>
          <w:tcPr>
            <w:tcW w:w="1166" w:type="dxa"/>
          </w:tcPr>
          <w:p>
            <w:pPr>
              <w:pStyle w:val="TableParagraph"/>
              <w:spacing w:before="11"/>
              <w:ind w:left="464" w:right="456"/>
              <w:jc w:val="center"/>
              <w:rPr>
                <w:rFonts w:ascii="Times New Roman"/>
                <w:sz w:val="13"/>
              </w:rPr>
            </w:pPr>
            <w:r>
              <w:rPr>
                <w:rFonts w:ascii="Times New Roman"/>
                <w:w w:val="105"/>
                <w:sz w:val="13"/>
              </w:rPr>
              <w:t>005</w:t>
            </w:r>
          </w:p>
        </w:tc>
        <w:tc>
          <w:tcPr>
            <w:tcW w:w="1320" w:type="dxa"/>
          </w:tcPr>
          <w:p>
            <w:pPr>
              <w:pStyle w:val="TableParagraph"/>
              <w:spacing w:before="11"/>
              <w:ind w:left="24"/>
              <w:rPr>
                <w:rFonts w:ascii="Times New Roman" w:hAnsi="Times New Roman"/>
                <w:sz w:val="13"/>
              </w:rPr>
            </w:pPr>
            <w:r>
              <w:rPr>
                <w:rFonts w:ascii="Times New Roman" w:hAnsi="Times New Roman"/>
                <w:w w:val="105"/>
                <w:sz w:val="13"/>
              </w:rPr>
              <w:t>Almoloya de Juárez</w:t>
            </w:r>
          </w:p>
        </w:tc>
        <w:tc>
          <w:tcPr>
            <w:tcW w:w="1166" w:type="dxa"/>
          </w:tcPr>
          <w:p>
            <w:pPr>
              <w:pStyle w:val="TableParagraph"/>
              <w:spacing w:before="20"/>
              <w:ind w:right="20"/>
              <w:jc w:val="right"/>
              <w:rPr>
                <w:rFonts w:ascii="Times New Roman"/>
                <w:sz w:val="12"/>
              </w:rPr>
            </w:pPr>
            <w:r>
              <w:rPr>
                <w:rFonts w:ascii="Times New Roman"/>
                <w:w w:val="105"/>
                <w:sz w:val="12"/>
              </w:rPr>
              <w:t>110,591</w:t>
            </w:r>
          </w:p>
        </w:tc>
        <w:tc>
          <w:tcPr>
            <w:tcW w:w="704" w:type="dxa"/>
          </w:tcPr>
          <w:p>
            <w:pPr>
              <w:pStyle w:val="TableParagraph"/>
              <w:spacing w:before="20"/>
              <w:ind w:right="20"/>
              <w:jc w:val="right"/>
              <w:rPr>
                <w:rFonts w:ascii="Times New Roman"/>
                <w:sz w:val="12"/>
              </w:rPr>
            </w:pPr>
            <w:r>
              <w:rPr>
                <w:rFonts w:ascii="Times New Roman"/>
                <w:w w:val="105"/>
                <w:sz w:val="12"/>
              </w:rPr>
              <w:t>21,999</w:t>
            </w:r>
          </w:p>
        </w:tc>
        <w:tc>
          <w:tcPr>
            <w:tcW w:w="1166" w:type="dxa"/>
          </w:tcPr>
          <w:p>
            <w:pPr>
              <w:pStyle w:val="TableParagraph"/>
              <w:spacing w:before="14"/>
              <w:ind w:right="17"/>
              <w:jc w:val="right"/>
              <w:rPr>
                <w:rFonts w:ascii="Times New Roman"/>
                <w:sz w:val="12"/>
              </w:rPr>
            </w:pPr>
            <w:r>
              <w:rPr>
                <w:rFonts w:ascii="Times New Roman"/>
                <w:w w:val="105"/>
                <w:sz w:val="12"/>
              </w:rPr>
              <w:t>147,653</w:t>
            </w:r>
          </w:p>
        </w:tc>
        <w:tc>
          <w:tcPr>
            <w:tcW w:w="704" w:type="dxa"/>
          </w:tcPr>
          <w:p>
            <w:pPr>
              <w:pStyle w:val="TableParagraph"/>
              <w:spacing w:before="14"/>
              <w:ind w:right="17"/>
              <w:jc w:val="right"/>
              <w:rPr>
                <w:rFonts w:ascii="Times New Roman"/>
                <w:sz w:val="12"/>
              </w:rPr>
            </w:pPr>
            <w:r>
              <w:rPr>
                <w:rFonts w:ascii="Times New Roman"/>
                <w:w w:val="105"/>
                <w:sz w:val="12"/>
              </w:rPr>
              <w:t>32,842</w:t>
            </w:r>
          </w:p>
        </w:tc>
      </w:tr>
      <w:tr>
        <w:trPr>
          <w:trHeight w:val="173" w:hRule="exact"/>
        </w:trPr>
        <w:tc>
          <w:tcPr>
            <w:tcW w:w="1166" w:type="dxa"/>
          </w:tcPr>
          <w:p>
            <w:pPr>
              <w:pStyle w:val="TableParagraph"/>
              <w:spacing w:before="7"/>
              <w:ind w:left="464" w:right="456"/>
              <w:jc w:val="center"/>
              <w:rPr>
                <w:rFonts w:ascii="Times New Roman"/>
                <w:sz w:val="13"/>
              </w:rPr>
            </w:pPr>
            <w:r>
              <w:rPr>
                <w:rFonts w:ascii="Times New Roman"/>
                <w:w w:val="105"/>
                <w:sz w:val="13"/>
              </w:rPr>
              <w:t>018</w:t>
            </w:r>
          </w:p>
        </w:tc>
        <w:tc>
          <w:tcPr>
            <w:tcW w:w="1320" w:type="dxa"/>
          </w:tcPr>
          <w:p>
            <w:pPr>
              <w:pStyle w:val="TableParagraph"/>
              <w:spacing w:before="7"/>
              <w:ind w:left="24"/>
              <w:rPr>
                <w:rFonts w:ascii="Times New Roman"/>
                <w:sz w:val="13"/>
              </w:rPr>
            </w:pPr>
            <w:r>
              <w:rPr>
                <w:rFonts w:ascii="Times New Roman"/>
                <w:w w:val="105"/>
                <w:sz w:val="13"/>
              </w:rPr>
              <w:t>Calimaya</w:t>
            </w:r>
          </w:p>
        </w:tc>
        <w:tc>
          <w:tcPr>
            <w:tcW w:w="1166" w:type="dxa"/>
          </w:tcPr>
          <w:p>
            <w:pPr>
              <w:pStyle w:val="TableParagraph"/>
              <w:spacing w:before="16"/>
              <w:ind w:right="20"/>
              <w:jc w:val="right"/>
              <w:rPr>
                <w:rFonts w:ascii="Times New Roman"/>
                <w:sz w:val="12"/>
              </w:rPr>
            </w:pPr>
            <w:r>
              <w:rPr>
                <w:rFonts w:ascii="Times New Roman"/>
                <w:w w:val="105"/>
                <w:sz w:val="12"/>
              </w:rPr>
              <w:t>35,196</w:t>
            </w:r>
          </w:p>
        </w:tc>
        <w:tc>
          <w:tcPr>
            <w:tcW w:w="704" w:type="dxa"/>
          </w:tcPr>
          <w:p>
            <w:pPr>
              <w:pStyle w:val="TableParagraph"/>
              <w:spacing w:before="16"/>
              <w:ind w:right="20"/>
              <w:jc w:val="right"/>
              <w:rPr>
                <w:rFonts w:ascii="Times New Roman"/>
                <w:sz w:val="12"/>
              </w:rPr>
            </w:pPr>
            <w:r>
              <w:rPr>
                <w:rFonts w:ascii="Times New Roman"/>
                <w:w w:val="105"/>
                <w:sz w:val="12"/>
              </w:rPr>
              <w:t>7,153</w:t>
            </w:r>
          </w:p>
        </w:tc>
        <w:tc>
          <w:tcPr>
            <w:tcW w:w="1166" w:type="dxa"/>
          </w:tcPr>
          <w:p>
            <w:pPr>
              <w:pStyle w:val="TableParagraph"/>
              <w:spacing w:before="11"/>
              <w:ind w:right="17"/>
              <w:jc w:val="right"/>
              <w:rPr>
                <w:rFonts w:ascii="Times New Roman"/>
                <w:sz w:val="12"/>
              </w:rPr>
            </w:pPr>
            <w:r>
              <w:rPr>
                <w:rFonts w:ascii="Times New Roman"/>
                <w:w w:val="105"/>
                <w:sz w:val="12"/>
              </w:rPr>
              <w:t>47,033</w:t>
            </w:r>
          </w:p>
        </w:tc>
        <w:tc>
          <w:tcPr>
            <w:tcW w:w="704" w:type="dxa"/>
          </w:tcPr>
          <w:p>
            <w:pPr>
              <w:pStyle w:val="TableParagraph"/>
              <w:spacing w:before="11"/>
              <w:ind w:right="17"/>
              <w:jc w:val="right"/>
              <w:rPr>
                <w:rFonts w:ascii="Times New Roman"/>
                <w:sz w:val="12"/>
              </w:rPr>
            </w:pPr>
            <w:r>
              <w:rPr>
                <w:rFonts w:ascii="Times New Roman"/>
                <w:w w:val="105"/>
                <w:sz w:val="12"/>
              </w:rPr>
              <w:t>10,694</w:t>
            </w:r>
          </w:p>
        </w:tc>
      </w:tr>
      <w:tr>
        <w:trPr>
          <w:trHeight w:val="173" w:hRule="exact"/>
        </w:trPr>
        <w:tc>
          <w:tcPr>
            <w:tcW w:w="1166" w:type="dxa"/>
          </w:tcPr>
          <w:p>
            <w:pPr>
              <w:pStyle w:val="TableParagraph"/>
              <w:spacing w:before="7"/>
              <w:ind w:left="464" w:right="456"/>
              <w:jc w:val="center"/>
              <w:rPr>
                <w:rFonts w:ascii="Times New Roman"/>
                <w:sz w:val="13"/>
              </w:rPr>
            </w:pPr>
            <w:r>
              <w:rPr>
                <w:rFonts w:ascii="Times New Roman"/>
                <w:w w:val="105"/>
                <w:sz w:val="13"/>
              </w:rPr>
              <w:t>027</w:t>
            </w:r>
          </w:p>
        </w:tc>
        <w:tc>
          <w:tcPr>
            <w:tcW w:w="1320" w:type="dxa"/>
          </w:tcPr>
          <w:p>
            <w:pPr>
              <w:pStyle w:val="TableParagraph"/>
              <w:spacing w:before="7"/>
              <w:ind w:left="24"/>
              <w:rPr>
                <w:rFonts w:ascii="Times New Roman"/>
                <w:sz w:val="13"/>
              </w:rPr>
            </w:pPr>
            <w:r>
              <w:rPr>
                <w:rFonts w:ascii="Times New Roman"/>
                <w:w w:val="105"/>
                <w:sz w:val="13"/>
              </w:rPr>
              <w:t>Chapultepec</w:t>
            </w:r>
          </w:p>
        </w:tc>
        <w:tc>
          <w:tcPr>
            <w:tcW w:w="1166" w:type="dxa"/>
          </w:tcPr>
          <w:p>
            <w:pPr>
              <w:pStyle w:val="TableParagraph"/>
              <w:spacing w:before="16"/>
              <w:ind w:right="20"/>
              <w:jc w:val="right"/>
              <w:rPr>
                <w:rFonts w:ascii="Times New Roman"/>
                <w:sz w:val="12"/>
              </w:rPr>
            </w:pPr>
            <w:r>
              <w:rPr>
                <w:rFonts w:ascii="Times New Roman"/>
                <w:w w:val="105"/>
                <w:sz w:val="12"/>
              </w:rPr>
              <w:t>5,735</w:t>
            </w:r>
          </w:p>
        </w:tc>
        <w:tc>
          <w:tcPr>
            <w:tcW w:w="704" w:type="dxa"/>
          </w:tcPr>
          <w:p>
            <w:pPr>
              <w:pStyle w:val="TableParagraph"/>
              <w:spacing w:before="16"/>
              <w:ind w:right="20"/>
              <w:jc w:val="right"/>
              <w:rPr>
                <w:rFonts w:ascii="Times New Roman"/>
                <w:sz w:val="12"/>
              </w:rPr>
            </w:pPr>
            <w:r>
              <w:rPr>
                <w:rFonts w:ascii="Times New Roman"/>
                <w:w w:val="105"/>
                <w:sz w:val="12"/>
              </w:rPr>
              <w:t>1,183</w:t>
            </w:r>
          </w:p>
        </w:tc>
        <w:tc>
          <w:tcPr>
            <w:tcW w:w="1166" w:type="dxa"/>
          </w:tcPr>
          <w:p>
            <w:pPr>
              <w:pStyle w:val="TableParagraph"/>
              <w:spacing w:before="11"/>
              <w:ind w:right="17"/>
              <w:jc w:val="right"/>
              <w:rPr>
                <w:rFonts w:ascii="Times New Roman"/>
                <w:sz w:val="12"/>
              </w:rPr>
            </w:pPr>
            <w:r>
              <w:rPr>
                <w:rFonts w:ascii="Times New Roman"/>
                <w:w w:val="105"/>
                <w:sz w:val="12"/>
              </w:rPr>
              <w:t>9,676</w:t>
            </w:r>
          </w:p>
        </w:tc>
        <w:tc>
          <w:tcPr>
            <w:tcW w:w="704" w:type="dxa"/>
          </w:tcPr>
          <w:p>
            <w:pPr>
              <w:pStyle w:val="TableParagraph"/>
              <w:spacing w:before="11"/>
              <w:ind w:right="17"/>
              <w:jc w:val="right"/>
              <w:rPr>
                <w:rFonts w:ascii="Times New Roman"/>
                <w:sz w:val="12"/>
              </w:rPr>
            </w:pPr>
            <w:r>
              <w:rPr>
                <w:rFonts w:ascii="Times New Roman"/>
                <w:w w:val="105"/>
                <w:sz w:val="12"/>
              </w:rPr>
              <w:t>2,421</w:t>
            </w:r>
          </w:p>
        </w:tc>
      </w:tr>
      <w:tr>
        <w:trPr>
          <w:trHeight w:val="173" w:hRule="exact"/>
        </w:trPr>
        <w:tc>
          <w:tcPr>
            <w:tcW w:w="1166" w:type="dxa"/>
          </w:tcPr>
          <w:p>
            <w:pPr>
              <w:pStyle w:val="TableParagraph"/>
              <w:spacing w:before="7"/>
              <w:ind w:left="464" w:right="456"/>
              <w:jc w:val="center"/>
              <w:rPr>
                <w:rFonts w:ascii="Times New Roman"/>
                <w:sz w:val="13"/>
              </w:rPr>
            </w:pPr>
            <w:r>
              <w:rPr>
                <w:rFonts w:ascii="Times New Roman"/>
                <w:w w:val="105"/>
                <w:sz w:val="13"/>
              </w:rPr>
              <w:t>051</w:t>
            </w:r>
          </w:p>
        </w:tc>
        <w:tc>
          <w:tcPr>
            <w:tcW w:w="1320" w:type="dxa"/>
          </w:tcPr>
          <w:p>
            <w:pPr>
              <w:pStyle w:val="TableParagraph"/>
              <w:spacing w:before="7"/>
              <w:ind w:left="24"/>
              <w:rPr>
                <w:rFonts w:ascii="Times New Roman"/>
                <w:sz w:val="13"/>
              </w:rPr>
            </w:pPr>
            <w:r>
              <w:rPr>
                <w:rFonts w:ascii="Times New Roman"/>
                <w:w w:val="105"/>
                <w:sz w:val="13"/>
              </w:rPr>
              <w:t>Lerma</w:t>
            </w:r>
          </w:p>
        </w:tc>
        <w:tc>
          <w:tcPr>
            <w:tcW w:w="1166" w:type="dxa"/>
          </w:tcPr>
          <w:p>
            <w:pPr>
              <w:pStyle w:val="TableParagraph"/>
              <w:spacing w:before="16"/>
              <w:ind w:right="20"/>
              <w:jc w:val="right"/>
              <w:rPr>
                <w:rFonts w:ascii="Times New Roman"/>
                <w:sz w:val="12"/>
              </w:rPr>
            </w:pPr>
            <w:r>
              <w:rPr>
                <w:rFonts w:ascii="Times New Roman"/>
                <w:w w:val="105"/>
                <w:sz w:val="12"/>
              </w:rPr>
              <w:t>99,870</w:t>
            </w:r>
          </w:p>
        </w:tc>
        <w:tc>
          <w:tcPr>
            <w:tcW w:w="704" w:type="dxa"/>
          </w:tcPr>
          <w:p>
            <w:pPr>
              <w:pStyle w:val="TableParagraph"/>
              <w:spacing w:before="16"/>
              <w:ind w:right="20"/>
              <w:jc w:val="right"/>
              <w:rPr>
                <w:rFonts w:ascii="Times New Roman"/>
                <w:sz w:val="12"/>
              </w:rPr>
            </w:pPr>
            <w:r>
              <w:rPr>
                <w:rFonts w:ascii="Times New Roman"/>
                <w:w w:val="105"/>
                <w:sz w:val="12"/>
              </w:rPr>
              <w:t>20,659</w:t>
            </w:r>
          </w:p>
        </w:tc>
        <w:tc>
          <w:tcPr>
            <w:tcW w:w="1166" w:type="dxa"/>
          </w:tcPr>
          <w:p>
            <w:pPr>
              <w:pStyle w:val="TableParagraph"/>
              <w:spacing w:before="11"/>
              <w:ind w:right="17"/>
              <w:jc w:val="right"/>
              <w:rPr>
                <w:rFonts w:ascii="Times New Roman"/>
                <w:sz w:val="12"/>
              </w:rPr>
            </w:pPr>
            <w:r>
              <w:rPr>
                <w:rFonts w:ascii="Times New Roman"/>
                <w:w w:val="105"/>
                <w:sz w:val="12"/>
              </w:rPr>
              <w:t>134,799</w:t>
            </w:r>
          </w:p>
        </w:tc>
        <w:tc>
          <w:tcPr>
            <w:tcW w:w="704" w:type="dxa"/>
          </w:tcPr>
          <w:p>
            <w:pPr>
              <w:pStyle w:val="TableParagraph"/>
              <w:spacing w:before="11"/>
              <w:ind w:right="17"/>
              <w:jc w:val="right"/>
              <w:rPr>
                <w:rFonts w:ascii="Times New Roman"/>
                <w:sz w:val="12"/>
              </w:rPr>
            </w:pPr>
            <w:r>
              <w:rPr>
                <w:rFonts w:ascii="Times New Roman"/>
                <w:w w:val="105"/>
                <w:sz w:val="12"/>
              </w:rPr>
              <w:t>31,150</w:t>
            </w:r>
          </w:p>
        </w:tc>
      </w:tr>
      <w:tr>
        <w:trPr>
          <w:trHeight w:val="173" w:hRule="exact"/>
        </w:trPr>
        <w:tc>
          <w:tcPr>
            <w:tcW w:w="1166" w:type="dxa"/>
          </w:tcPr>
          <w:p>
            <w:pPr>
              <w:pStyle w:val="TableParagraph"/>
              <w:spacing w:before="7"/>
              <w:ind w:left="464" w:right="456"/>
              <w:jc w:val="center"/>
              <w:rPr>
                <w:rFonts w:ascii="Times New Roman"/>
                <w:sz w:val="13"/>
              </w:rPr>
            </w:pPr>
            <w:r>
              <w:rPr>
                <w:rFonts w:ascii="Times New Roman"/>
                <w:w w:val="105"/>
                <w:sz w:val="13"/>
              </w:rPr>
              <w:t>054</w:t>
            </w:r>
          </w:p>
        </w:tc>
        <w:tc>
          <w:tcPr>
            <w:tcW w:w="1320" w:type="dxa"/>
          </w:tcPr>
          <w:p>
            <w:pPr>
              <w:pStyle w:val="TableParagraph"/>
              <w:spacing w:before="7"/>
              <w:ind w:left="24"/>
              <w:rPr>
                <w:rFonts w:ascii="Times New Roman"/>
                <w:sz w:val="13"/>
              </w:rPr>
            </w:pPr>
            <w:r>
              <w:rPr>
                <w:rFonts w:ascii="Times New Roman"/>
                <w:w w:val="105"/>
                <w:sz w:val="13"/>
              </w:rPr>
              <w:t>Metepec</w:t>
            </w:r>
          </w:p>
        </w:tc>
        <w:tc>
          <w:tcPr>
            <w:tcW w:w="1166" w:type="dxa"/>
          </w:tcPr>
          <w:p>
            <w:pPr>
              <w:pStyle w:val="TableParagraph"/>
              <w:spacing w:before="16"/>
              <w:ind w:right="20"/>
              <w:jc w:val="right"/>
              <w:rPr>
                <w:rFonts w:ascii="Times New Roman"/>
                <w:sz w:val="12"/>
              </w:rPr>
            </w:pPr>
            <w:r>
              <w:rPr>
                <w:rFonts w:ascii="Times New Roman"/>
                <w:w w:val="105"/>
                <w:sz w:val="12"/>
              </w:rPr>
              <w:t>194,463</w:t>
            </w:r>
          </w:p>
        </w:tc>
        <w:tc>
          <w:tcPr>
            <w:tcW w:w="704" w:type="dxa"/>
          </w:tcPr>
          <w:p>
            <w:pPr>
              <w:pStyle w:val="TableParagraph"/>
              <w:spacing w:before="16"/>
              <w:ind w:right="20"/>
              <w:jc w:val="right"/>
              <w:rPr>
                <w:rFonts w:ascii="Times New Roman"/>
                <w:sz w:val="12"/>
              </w:rPr>
            </w:pPr>
            <w:r>
              <w:rPr>
                <w:rFonts w:ascii="Times New Roman"/>
                <w:w w:val="105"/>
                <w:sz w:val="12"/>
              </w:rPr>
              <w:t>43,852</w:t>
            </w:r>
          </w:p>
        </w:tc>
        <w:tc>
          <w:tcPr>
            <w:tcW w:w="1166" w:type="dxa"/>
          </w:tcPr>
          <w:p>
            <w:pPr>
              <w:pStyle w:val="TableParagraph"/>
              <w:spacing w:before="11"/>
              <w:ind w:right="17"/>
              <w:jc w:val="right"/>
              <w:rPr>
                <w:rFonts w:ascii="Times New Roman"/>
                <w:sz w:val="12"/>
              </w:rPr>
            </w:pPr>
            <w:r>
              <w:rPr>
                <w:rFonts w:ascii="Times New Roman"/>
                <w:w w:val="105"/>
                <w:sz w:val="12"/>
              </w:rPr>
              <w:t>214,162</w:t>
            </w:r>
          </w:p>
        </w:tc>
        <w:tc>
          <w:tcPr>
            <w:tcW w:w="704" w:type="dxa"/>
          </w:tcPr>
          <w:p>
            <w:pPr>
              <w:pStyle w:val="TableParagraph"/>
              <w:spacing w:before="11"/>
              <w:ind w:right="17"/>
              <w:jc w:val="right"/>
              <w:rPr>
                <w:rFonts w:ascii="Times New Roman"/>
                <w:sz w:val="12"/>
              </w:rPr>
            </w:pPr>
            <w:r>
              <w:rPr>
                <w:rFonts w:ascii="Times New Roman"/>
                <w:w w:val="105"/>
                <w:sz w:val="12"/>
              </w:rPr>
              <w:t>54,915</w:t>
            </w:r>
          </w:p>
        </w:tc>
      </w:tr>
      <w:tr>
        <w:trPr>
          <w:trHeight w:val="173" w:hRule="exact"/>
        </w:trPr>
        <w:tc>
          <w:tcPr>
            <w:tcW w:w="1166" w:type="dxa"/>
          </w:tcPr>
          <w:p>
            <w:pPr>
              <w:pStyle w:val="TableParagraph"/>
              <w:spacing w:before="7"/>
              <w:ind w:left="464" w:right="456"/>
              <w:jc w:val="center"/>
              <w:rPr>
                <w:rFonts w:ascii="Times New Roman"/>
                <w:sz w:val="13"/>
              </w:rPr>
            </w:pPr>
            <w:r>
              <w:rPr>
                <w:rFonts w:ascii="Times New Roman"/>
                <w:w w:val="105"/>
                <w:sz w:val="13"/>
              </w:rPr>
              <w:t>055</w:t>
            </w:r>
          </w:p>
        </w:tc>
        <w:tc>
          <w:tcPr>
            <w:tcW w:w="1320" w:type="dxa"/>
          </w:tcPr>
          <w:p>
            <w:pPr>
              <w:pStyle w:val="TableParagraph"/>
              <w:spacing w:before="7"/>
              <w:ind w:left="24"/>
              <w:rPr>
                <w:rFonts w:ascii="Times New Roman"/>
                <w:sz w:val="13"/>
              </w:rPr>
            </w:pPr>
            <w:r>
              <w:rPr>
                <w:rFonts w:ascii="Times New Roman"/>
                <w:w w:val="105"/>
                <w:sz w:val="13"/>
              </w:rPr>
              <w:t>Mexicaltzingo</w:t>
            </w:r>
          </w:p>
        </w:tc>
        <w:tc>
          <w:tcPr>
            <w:tcW w:w="1166" w:type="dxa"/>
          </w:tcPr>
          <w:p>
            <w:pPr>
              <w:pStyle w:val="TableParagraph"/>
              <w:spacing w:before="16"/>
              <w:ind w:right="20"/>
              <w:jc w:val="right"/>
              <w:rPr>
                <w:rFonts w:ascii="Times New Roman"/>
                <w:sz w:val="12"/>
              </w:rPr>
            </w:pPr>
            <w:r>
              <w:rPr>
                <w:rFonts w:ascii="Times New Roman"/>
                <w:w w:val="105"/>
                <w:sz w:val="12"/>
              </w:rPr>
              <w:t>9,225</w:t>
            </w:r>
          </w:p>
        </w:tc>
        <w:tc>
          <w:tcPr>
            <w:tcW w:w="704" w:type="dxa"/>
          </w:tcPr>
          <w:p>
            <w:pPr>
              <w:pStyle w:val="TableParagraph"/>
              <w:spacing w:before="16"/>
              <w:ind w:right="20"/>
              <w:jc w:val="right"/>
              <w:rPr>
                <w:rFonts w:ascii="Times New Roman"/>
                <w:sz w:val="12"/>
              </w:rPr>
            </w:pPr>
            <w:r>
              <w:rPr>
                <w:rFonts w:ascii="Times New Roman"/>
                <w:w w:val="105"/>
                <w:sz w:val="12"/>
              </w:rPr>
              <w:t>1,727</w:t>
            </w:r>
          </w:p>
        </w:tc>
        <w:tc>
          <w:tcPr>
            <w:tcW w:w="1166" w:type="dxa"/>
          </w:tcPr>
          <w:p>
            <w:pPr>
              <w:pStyle w:val="TableParagraph"/>
              <w:spacing w:before="11"/>
              <w:ind w:right="17"/>
              <w:jc w:val="right"/>
              <w:rPr>
                <w:rFonts w:ascii="Times New Roman"/>
                <w:sz w:val="12"/>
              </w:rPr>
            </w:pPr>
            <w:r>
              <w:rPr>
                <w:rFonts w:ascii="Times New Roman"/>
                <w:w w:val="105"/>
                <w:sz w:val="12"/>
              </w:rPr>
              <w:t>11,712</w:t>
            </w:r>
          </w:p>
        </w:tc>
        <w:tc>
          <w:tcPr>
            <w:tcW w:w="704" w:type="dxa"/>
          </w:tcPr>
          <w:p>
            <w:pPr>
              <w:pStyle w:val="TableParagraph"/>
              <w:spacing w:before="11"/>
              <w:ind w:right="17"/>
              <w:jc w:val="right"/>
              <w:rPr>
                <w:rFonts w:ascii="Times New Roman"/>
                <w:sz w:val="12"/>
              </w:rPr>
            </w:pPr>
            <w:r>
              <w:rPr>
                <w:rFonts w:ascii="Times New Roman"/>
                <w:w w:val="105"/>
                <w:sz w:val="12"/>
              </w:rPr>
              <w:t>2,623</w:t>
            </w:r>
          </w:p>
        </w:tc>
      </w:tr>
      <w:tr>
        <w:trPr>
          <w:trHeight w:val="173" w:hRule="exact"/>
        </w:trPr>
        <w:tc>
          <w:tcPr>
            <w:tcW w:w="1166" w:type="dxa"/>
          </w:tcPr>
          <w:p>
            <w:pPr>
              <w:pStyle w:val="TableParagraph"/>
              <w:spacing w:before="7"/>
              <w:ind w:left="464" w:right="456"/>
              <w:jc w:val="center"/>
              <w:rPr>
                <w:rFonts w:ascii="Times New Roman"/>
                <w:sz w:val="13"/>
              </w:rPr>
            </w:pPr>
            <w:r>
              <w:rPr>
                <w:rFonts w:ascii="Times New Roman"/>
                <w:w w:val="105"/>
                <w:sz w:val="13"/>
              </w:rPr>
              <w:t>062</w:t>
            </w:r>
          </w:p>
        </w:tc>
        <w:tc>
          <w:tcPr>
            <w:tcW w:w="1320" w:type="dxa"/>
          </w:tcPr>
          <w:p>
            <w:pPr>
              <w:pStyle w:val="TableParagraph"/>
              <w:spacing w:before="7"/>
              <w:ind w:left="24"/>
              <w:rPr>
                <w:rFonts w:ascii="Times New Roman"/>
                <w:sz w:val="13"/>
              </w:rPr>
            </w:pPr>
            <w:r>
              <w:rPr>
                <w:rFonts w:ascii="Times New Roman"/>
                <w:w w:val="105"/>
                <w:sz w:val="13"/>
              </w:rPr>
              <w:t>Ocoyoacac</w:t>
            </w:r>
          </w:p>
        </w:tc>
        <w:tc>
          <w:tcPr>
            <w:tcW w:w="1166" w:type="dxa"/>
          </w:tcPr>
          <w:p>
            <w:pPr>
              <w:pStyle w:val="TableParagraph"/>
              <w:spacing w:before="16"/>
              <w:ind w:right="20"/>
              <w:jc w:val="right"/>
              <w:rPr>
                <w:rFonts w:ascii="Times New Roman"/>
                <w:sz w:val="12"/>
              </w:rPr>
            </w:pPr>
            <w:r>
              <w:rPr>
                <w:rFonts w:ascii="Times New Roman"/>
                <w:w w:val="105"/>
                <w:sz w:val="12"/>
              </w:rPr>
              <w:t>49,643</w:t>
            </w:r>
          </w:p>
        </w:tc>
        <w:tc>
          <w:tcPr>
            <w:tcW w:w="704" w:type="dxa"/>
          </w:tcPr>
          <w:p>
            <w:pPr>
              <w:pStyle w:val="TableParagraph"/>
              <w:spacing w:before="16"/>
              <w:ind w:right="20"/>
              <w:jc w:val="right"/>
              <w:rPr>
                <w:rFonts w:ascii="Times New Roman"/>
                <w:sz w:val="12"/>
              </w:rPr>
            </w:pPr>
            <w:r>
              <w:rPr>
                <w:rFonts w:ascii="Times New Roman"/>
                <w:w w:val="105"/>
                <w:sz w:val="12"/>
              </w:rPr>
              <w:t>10,099</w:t>
            </w:r>
          </w:p>
        </w:tc>
        <w:tc>
          <w:tcPr>
            <w:tcW w:w="1166" w:type="dxa"/>
          </w:tcPr>
          <w:p>
            <w:pPr>
              <w:pStyle w:val="TableParagraph"/>
              <w:spacing w:before="11"/>
              <w:ind w:right="17"/>
              <w:jc w:val="right"/>
              <w:rPr>
                <w:rFonts w:ascii="Times New Roman"/>
                <w:sz w:val="12"/>
              </w:rPr>
            </w:pPr>
            <w:r>
              <w:rPr>
                <w:rFonts w:ascii="Times New Roman"/>
                <w:w w:val="105"/>
                <w:sz w:val="12"/>
              </w:rPr>
              <w:t>61,805</w:t>
            </w:r>
          </w:p>
        </w:tc>
        <w:tc>
          <w:tcPr>
            <w:tcW w:w="704" w:type="dxa"/>
          </w:tcPr>
          <w:p>
            <w:pPr>
              <w:pStyle w:val="TableParagraph"/>
              <w:spacing w:before="11"/>
              <w:ind w:right="17"/>
              <w:jc w:val="right"/>
              <w:rPr>
                <w:rFonts w:ascii="Times New Roman"/>
                <w:sz w:val="12"/>
              </w:rPr>
            </w:pPr>
            <w:r>
              <w:rPr>
                <w:rFonts w:ascii="Times New Roman"/>
                <w:w w:val="105"/>
                <w:sz w:val="12"/>
              </w:rPr>
              <w:t>13,926</w:t>
            </w:r>
          </w:p>
        </w:tc>
      </w:tr>
      <w:tr>
        <w:trPr>
          <w:trHeight w:val="173" w:hRule="exact"/>
        </w:trPr>
        <w:tc>
          <w:tcPr>
            <w:tcW w:w="1166" w:type="dxa"/>
          </w:tcPr>
          <w:p>
            <w:pPr>
              <w:pStyle w:val="TableParagraph"/>
              <w:spacing w:before="7"/>
              <w:ind w:left="464" w:right="456"/>
              <w:jc w:val="center"/>
              <w:rPr>
                <w:rFonts w:ascii="Times New Roman"/>
                <w:sz w:val="13"/>
              </w:rPr>
            </w:pPr>
            <w:r>
              <w:rPr>
                <w:rFonts w:ascii="Times New Roman"/>
                <w:w w:val="105"/>
                <w:sz w:val="13"/>
              </w:rPr>
              <w:t>067</w:t>
            </w:r>
          </w:p>
        </w:tc>
        <w:tc>
          <w:tcPr>
            <w:tcW w:w="1320" w:type="dxa"/>
          </w:tcPr>
          <w:p>
            <w:pPr>
              <w:pStyle w:val="TableParagraph"/>
              <w:spacing w:before="7"/>
              <w:ind w:left="24"/>
              <w:rPr>
                <w:rFonts w:ascii="Times New Roman"/>
                <w:sz w:val="13"/>
              </w:rPr>
            </w:pPr>
            <w:r>
              <w:rPr>
                <w:rFonts w:ascii="Times New Roman"/>
                <w:w w:val="105"/>
                <w:sz w:val="13"/>
              </w:rPr>
              <w:t>Otzolotepec</w:t>
            </w:r>
          </w:p>
        </w:tc>
        <w:tc>
          <w:tcPr>
            <w:tcW w:w="1166" w:type="dxa"/>
          </w:tcPr>
          <w:p>
            <w:pPr>
              <w:pStyle w:val="TableParagraph"/>
              <w:spacing w:before="16"/>
              <w:ind w:right="20"/>
              <w:jc w:val="right"/>
              <w:rPr>
                <w:rFonts w:ascii="Times New Roman"/>
                <w:sz w:val="12"/>
              </w:rPr>
            </w:pPr>
            <w:r>
              <w:rPr>
                <w:rFonts w:ascii="Times New Roman"/>
                <w:w w:val="105"/>
                <w:sz w:val="12"/>
              </w:rPr>
              <w:t>57,583</w:t>
            </w:r>
          </w:p>
        </w:tc>
        <w:tc>
          <w:tcPr>
            <w:tcW w:w="704" w:type="dxa"/>
          </w:tcPr>
          <w:p>
            <w:pPr>
              <w:pStyle w:val="TableParagraph"/>
              <w:spacing w:before="16"/>
              <w:ind w:right="20"/>
              <w:jc w:val="right"/>
              <w:rPr>
                <w:rFonts w:ascii="Times New Roman"/>
                <w:sz w:val="12"/>
              </w:rPr>
            </w:pPr>
            <w:r>
              <w:rPr>
                <w:rFonts w:ascii="Times New Roman"/>
                <w:w w:val="105"/>
                <w:sz w:val="12"/>
              </w:rPr>
              <w:t>10,713</w:t>
            </w:r>
          </w:p>
        </w:tc>
        <w:tc>
          <w:tcPr>
            <w:tcW w:w="1166" w:type="dxa"/>
          </w:tcPr>
          <w:p>
            <w:pPr>
              <w:pStyle w:val="TableParagraph"/>
              <w:spacing w:before="11"/>
              <w:ind w:right="17"/>
              <w:jc w:val="right"/>
              <w:rPr>
                <w:rFonts w:ascii="Times New Roman"/>
                <w:sz w:val="12"/>
              </w:rPr>
            </w:pPr>
            <w:r>
              <w:rPr>
                <w:rFonts w:ascii="Times New Roman"/>
                <w:w w:val="105"/>
                <w:sz w:val="12"/>
              </w:rPr>
              <w:t>78,146</w:t>
            </w:r>
          </w:p>
        </w:tc>
        <w:tc>
          <w:tcPr>
            <w:tcW w:w="704" w:type="dxa"/>
          </w:tcPr>
          <w:p>
            <w:pPr>
              <w:pStyle w:val="TableParagraph"/>
              <w:spacing w:before="11"/>
              <w:ind w:right="17"/>
              <w:jc w:val="right"/>
              <w:rPr>
                <w:rFonts w:ascii="Times New Roman"/>
                <w:sz w:val="12"/>
              </w:rPr>
            </w:pPr>
            <w:r>
              <w:rPr>
                <w:rFonts w:ascii="Times New Roman"/>
                <w:w w:val="105"/>
                <w:sz w:val="12"/>
              </w:rPr>
              <w:t>16,076</w:t>
            </w:r>
          </w:p>
        </w:tc>
      </w:tr>
      <w:tr>
        <w:trPr>
          <w:trHeight w:val="173" w:hRule="exact"/>
        </w:trPr>
        <w:tc>
          <w:tcPr>
            <w:tcW w:w="1166" w:type="dxa"/>
          </w:tcPr>
          <w:p>
            <w:pPr>
              <w:pStyle w:val="TableParagraph"/>
              <w:spacing w:before="7"/>
              <w:ind w:left="464" w:right="456"/>
              <w:jc w:val="center"/>
              <w:rPr>
                <w:rFonts w:ascii="Times New Roman"/>
                <w:sz w:val="13"/>
              </w:rPr>
            </w:pPr>
            <w:r>
              <w:rPr>
                <w:rFonts w:ascii="Times New Roman"/>
                <w:w w:val="105"/>
                <w:sz w:val="13"/>
              </w:rPr>
              <w:t>072</w:t>
            </w:r>
          </w:p>
        </w:tc>
        <w:tc>
          <w:tcPr>
            <w:tcW w:w="1320" w:type="dxa"/>
          </w:tcPr>
          <w:p>
            <w:pPr>
              <w:pStyle w:val="TableParagraph"/>
              <w:spacing w:before="7"/>
              <w:ind w:left="24"/>
              <w:rPr>
                <w:rFonts w:ascii="Times New Roman" w:hAnsi="Times New Roman"/>
                <w:sz w:val="13"/>
              </w:rPr>
            </w:pPr>
            <w:r>
              <w:rPr>
                <w:rFonts w:ascii="Times New Roman" w:hAnsi="Times New Roman"/>
                <w:w w:val="105"/>
                <w:sz w:val="13"/>
              </w:rPr>
              <w:t>Rayón</w:t>
            </w:r>
          </w:p>
        </w:tc>
        <w:tc>
          <w:tcPr>
            <w:tcW w:w="1166" w:type="dxa"/>
          </w:tcPr>
          <w:p>
            <w:pPr>
              <w:pStyle w:val="TableParagraph"/>
              <w:spacing w:before="16"/>
              <w:ind w:right="20"/>
              <w:jc w:val="right"/>
              <w:rPr>
                <w:rFonts w:ascii="Times New Roman"/>
                <w:sz w:val="12"/>
              </w:rPr>
            </w:pPr>
            <w:r>
              <w:rPr>
                <w:rFonts w:ascii="Times New Roman"/>
                <w:w w:val="105"/>
                <w:sz w:val="12"/>
              </w:rPr>
              <w:t>9,024</w:t>
            </w:r>
          </w:p>
        </w:tc>
        <w:tc>
          <w:tcPr>
            <w:tcW w:w="704" w:type="dxa"/>
          </w:tcPr>
          <w:p>
            <w:pPr>
              <w:pStyle w:val="TableParagraph"/>
              <w:spacing w:before="16"/>
              <w:ind w:right="20"/>
              <w:jc w:val="right"/>
              <w:rPr>
                <w:rFonts w:ascii="Times New Roman"/>
                <w:sz w:val="12"/>
              </w:rPr>
            </w:pPr>
            <w:r>
              <w:rPr>
                <w:rFonts w:ascii="Times New Roman"/>
                <w:w w:val="105"/>
                <w:sz w:val="12"/>
              </w:rPr>
              <w:t>1,683</w:t>
            </w:r>
          </w:p>
        </w:tc>
        <w:tc>
          <w:tcPr>
            <w:tcW w:w="1166" w:type="dxa"/>
          </w:tcPr>
          <w:p>
            <w:pPr>
              <w:pStyle w:val="TableParagraph"/>
              <w:spacing w:before="11"/>
              <w:ind w:right="17"/>
              <w:jc w:val="right"/>
              <w:rPr>
                <w:rFonts w:ascii="Times New Roman"/>
                <w:sz w:val="12"/>
              </w:rPr>
            </w:pPr>
            <w:r>
              <w:rPr>
                <w:rFonts w:ascii="Times New Roman"/>
                <w:w w:val="105"/>
                <w:sz w:val="12"/>
              </w:rPr>
              <w:t>12,748</w:t>
            </w:r>
          </w:p>
        </w:tc>
        <w:tc>
          <w:tcPr>
            <w:tcW w:w="704" w:type="dxa"/>
          </w:tcPr>
          <w:p>
            <w:pPr>
              <w:pStyle w:val="TableParagraph"/>
              <w:spacing w:before="11"/>
              <w:ind w:right="17"/>
              <w:jc w:val="right"/>
              <w:rPr>
                <w:rFonts w:ascii="Times New Roman"/>
                <w:sz w:val="12"/>
              </w:rPr>
            </w:pPr>
            <w:r>
              <w:rPr>
                <w:rFonts w:ascii="Times New Roman"/>
                <w:w w:val="105"/>
                <w:sz w:val="12"/>
              </w:rPr>
              <w:t>2,834</w:t>
            </w:r>
          </w:p>
        </w:tc>
      </w:tr>
      <w:tr>
        <w:trPr>
          <w:trHeight w:val="173" w:hRule="exact"/>
        </w:trPr>
        <w:tc>
          <w:tcPr>
            <w:tcW w:w="1166" w:type="dxa"/>
          </w:tcPr>
          <w:p>
            <w:pPr>
              <w:pStyle w:val="TableParagraph"/>
              <w:spacing w:before="7"/>
              <w:ind w:left="464" w:right="456"/>
              <w:jc w:val="center"/>
              <w:rPr>
                <w:rFonts w:ascii="Times New Roman"/>
                <w:sz w:val="13"/>
              </w:rPr>
            </w:pPr>
            <w:r>
              <w:rPr>
                <w:rFonts w:ascii="Times New Roman"/>
                <w:w w:val="105"/>
                <w:sz w:val="13"/>
              </w:rPr>
              <w:t>073</w:t>
            </w:r>
          </w:p>
        </w:tc>
        <w:tc>
          <w:tcPr>
            <w:tcW w:w="1320" w:type="dxa"/>
          </w:tcPr>
          <w:p>
            <w:pPr>
              <w:pStyle w:val="TableParagraph"/>
              <w:spacing w:before="7"/>
              <w:ind w:left="24"/>
              <w:rPr>
                <w:rFonts w:ascii="Times New Roman"/>
                <w:sz w:val="13"/>
              </w:rPr>
            </w:pPr>
            <w:r>
              <w:rPr>
                <w:rFonts w:ascii="Times New Roman"/>
                <w:w w:val="105"/>
                <w:sz w:val="13"/>
              </w:rPr>
              <w:t>San Antonio la Isla</w:t>
            </w:r>
          </w:p>
        </w:tc>
        <w:tc>
          <w:tcPr>
            <w:tcW w:w="1166" w:type="dxa"/>
          </w:tcPr>
          <w:p>
            <w:pPr>
              <w:pStyle w:val="TableParagraph"/>
              <w:spacing w:before="16"/>
              <w:ind w:right="20"/>
              <w:jc w:val="right"/>
              <w:rPr>
                <w:rFonts w:ascii="Times New Roman"/>
                <w:sz w:val="12"/>
              </w:rPr>
            </w:pPr>
            <w:r>
              <w:rPr>
                <w:rFonts w:ascii="Times New Roman"/>
                <w:w w:val="105"/>
                <w:sz w:val="12"/>
              </w:rPr>
              <w:t>10,321</w:t>
            </w:r>
          </w:p>
        </w:tc>
        <w:tc>
          <w:tcPr>
            <w:tcW w:w="704" w:type="dxa"/>
          </w:tcPr>
          <w:p>
            <w:pPr>
              <w:pStyle w:val="TableParagraph"/>
              <w:spacing w:before="16"/>
              <w:ind w:right="20"/>
              <w:jc w:val="right"/>
              <w:rPr>
                <w:rFonts w:ascii="Times New Roman"/>
                <w:sz w:val="12"/>
              </w:rPr>
            </w:pPr>
            <w:r>
              <w:rPr>
                <w:rFonts w:ascii="Times New Roman"/>
                <w:w w:val="105"/>
                <w:sz w:val="12"/>
              </w:rPr>
              <w:t>1,806</w:t>
            </w:r>
          </w:p>
        </w:tc>
        <w:tc>
          <w:tcPr>
            <w:tcW w:w="1166" w:type="dxa"/>
          </w:tcPr>
          <w:p>
            <w:pPr>
              <w:pStyle w:val="TableParagraph"/>
              <w:spacing w:before="11"/>
              <w:ind w:right="17"/>
              <w:jc w:val="right"/>
              <w:rPr>
                <w:rFonts w:ascii="Times New Roman"/>
                <w:sz w:val="12"/>
              </w:rPr>
            </w:pPr>
            <w:r>
              <w:rPr>
                <w:rFonts w:ascii="Times New Roman"/>
                <w:w w:val="105"/>
                <w:sz w:val="12"/>
              </w:rPr>
              <w:t>22,152</w:t>
            </w:r>
          </w:p>
        </w:tc>
        <w:tc>
          <w:tcPr>
            <w:tcW w:w="704" w:type="dxa"/>
          </w:tcPr>
          <w:p>
            <w:pPr>
              <w:pStyle w:val="TableParagraph"/>
              <w:spacing w:before="11"/>
              <w:ind w:right="17"/>
              <w:jc w:val="right"/>
              <w:rPr>
                <w:rFonts w:ascii="Times New Roman"/>
                <w:sz w:val="12"/>
              </w:rPr>
            </w:pPr>
            <w:r>
              <w:rPr>
                <w:rFonts w:ascii="Times New Roman"/>
                <w:w w:val="105"/>
                <w:sz w:val="12"/>
              </w:rPr>
              <w:t>5,551</w:t>
            </w:r>
          </w:p>
        </w:tc>
      </w:tr>
      <w:tr>
        <w:trPr>
          <w:trHeight w:val="173" w:hRule="exact"/>
        </w:trPr>
        <w:tc>
          <w:tcPr>
            <w:tcW w:w="1166" w:type="dxa"/>
          </w:tcPr>
          <w:p>
            <w:pPr>
              <w:pStyle w:val="TableParagraph"/>
              <w:spacing w:before="7"/>
              <w:ind w:left="464" w:right="456"/>
              <w:jc w:val="center"/>
              <w:rPr>
                <w:rFonts w:ascii="Times New Roman"/>
                <w:sz w:val="13"/>
              </w:rPr>
            </w:pPr>
            <w:r>
              <w:rPr>
                <w:rFonts w:ascii="Times New Roman"/>
                <w:w w:val="105"/>
                <w:sz w:val="13"/>
              </w:rPr>
              <w:t>076</w:t>
            </w:r>
          </w:p>
        </w:tc>
        <w:tc>
          <w:tcPr>
            <w:tcW w:w="1320" w:type="dxa"/>
          </w:tcPr>
          <w:p>
            <w:pPr>
              <w:pStyle w:val="TableParagraph"/>
              <w:spacing w:before="7"/>
              <w:ind w:left="24"/>
              <w:rPr>
                <w:rFonts w:ascii="Times New Roman"/>
                <w:sz w:val="13"/>
              </w:rPr>
            </w:pPr>
            <w:r>
              <w:rPr>
                <w:rFonts w:ascii="Times New Roman"/>
                <w:w w:val="105"/>
                <w:sz w:val="13"/>
              </w:rPr>
              <w:t>San Mateo Atenco</w:t>
            </w:r>
          </w:p>
        </w:tc>
        <w:tc>
          <w:tcPr>
            <w:tcW w:w="1166" w:type="dxa"/>
          </w:tcPr>
          <w:p>
            <w:pPr>
              <w:pStyle w:val="TableParagraph"/>
              <w:spacing w:before="16"/>
              <w:ind w:right="20"/>
              <w:jc w:val="right"/>
              <w:rPr>
                <w:rFonts w:ascii="Times New Roman"/>
                <w:sz w:val="12"/>
              </w:rPr>
            </w:pPr>
            <w:r>
              <w:rPr>
                <w:rFonts w:ascii="Times New Roman"/>
                <w:w w:val="105"/>
                <w:sz w:val="12"/>
              </w:rPr>
              <w:t>59,647</w:t>
            </w:r>
          </w:p>
        </w:tc>
        <w:tc>
          <w:tcPr>
            <w:tcW w:w="704" w:type="dxa"/>
          </w:tcPr>
          <w:p>
            <w:pPr>
              <w:pStyle w:val="TableParagraph"/>
              <w:spacing w:before="16"/>
              <w:ind w:right="20"/>
              <w:jc w:val="right"/>
              <w:rPr>
                <w:rFonts w:ascii="Times New Roman"/>
                <w:sz w:val="12"/>
              </w:rPr>
            </w:pPr>
            <w:r>
              <w:rPr>
                <w:rFonts w:ascii="Times New Roman"/>
                <w:w w:val="105"/>
                <w:sz w:val="12"/>
              </w:rPr>
              <w:t>11,983</w:t>
            </w:r>
          </w:p>
        </w:tc>
        <w:tc>
          <w:tcPr>
            <w:tcW w:w="1166" w:type="dxa"/>
          </w:tcPr>
          <w:p>
            <w:pPr>
              <w:pStyle w:val="TableParagraph"/>
              <w:spacing w:before="11"/>
              <w:ind w:right="17"/>
              <w:jc w:val="right"/>
              <w:rPr>
                <w:rFonts w:ascii="Times New Roman"/>
                <w:sz w:val="12"/>
              </w:rPr>
            </w:pPr>
            <w:r>
              <w:rPr>
                <w:rFonts w:ascii="Times New Roman"/>
                <w:w w:val="105"/>
                <w:sz w:val="12"/>
              </w:rPr>
              <w:t>72,579</w:t>
            </w:r>
          </w:p>
        </w:tc>
        <w:tc>
          <w:tcPr>
            <w:tcW w:w="704" w:type="dxa"/>
          </w:tcPr>
          <w:p>
            <w:pPr>
              <w:pStyle w:val="TableParagraph"/>
              <w:spacing w:before="11"/>
              <w:ind w:right="17"/>
              <w:jc w:val="right"/>
              <w:rPr>
                <w:rFonts w:ascii="Times New Roman"/>
                <w:sz w:val="12"/>
              </w:rPr>
            </w:pPr>
            <w:r>
              <w:rPr>
                <w:rFonts w:ascii="Times New Roman"/>
                <w:w w:val="105"/>
                <w:sz w:val="12"/>
              </w:rPr>
              <w:t>16,119</w:t>
            </w:r>
          </w:p>
        </w:tc>
      </w:tr>
      <w:tr>
        <w:trPr>
          <w:trHeight w:val="173" w:hRule="exact"/>
        </w:trPr>
        <w:tc>
          <w:tcPr>
            <w:tcW w:w="1166" w:type="dxa"/>
          </w:tcPr>
          <w:p>
            <w:pPr>
              <w:pStyle w:val="TableParagraph"/>
              <w:spacing w:before="7"/>
              <w:ind w:left="464" w:right="456"/>
              <w:jc w:val="center"/>
              <w:rPr>
                <w:rFonts w:ascii="Times New Roman"/>
                <w:sz w:val="13"/>
              </w:rPr>
            </w:pPr>
            <w:r>
              <w:rPr>
                <w:rFonts w:ascii="Times New Roman"/>
                <w:w w:val="105"/>
                <w:sz w:val="13"/>
              </w:rPr>
              <w:t>087</w:t>
            </w:r>
          </w:p>
        </w:tc>
        <w:tc>
          <w:tcPr>
            <w:tcW w:w="1320" w:type="dxa"/>
          </w:tcPr>
          <w:p>
            <w:pPr>
              <w:pStyle w:val="TableParagraph"/>
              <w:spacing w:before="7"/>
              <w:ind w:left="24"/>
              <w:rPr>
                <w:rFonts w:ascii="Times New Roman"/>
                <w:sz w:val="13"/>
              </w:rPr>
            </w:pPr>
            <w:r>
              <w:rPr>
                <w:rFonts w:ascii="Times New Roman"/>
                <w:w w:val="105"/>
                <w:sz w:val="13"/>
              </w:rPr>
              <w:t>Temoaya</w:t>
            </w:r>
          </w:p>
        </w:tc>
        <w:tc>
          <w:tcPr>
            <w:tcW w:w="1166" w:type="dxa"/>
          </w:tcPr>
          <w:p>
            <w:pPr>
              <w:pStyle w:val="TableParagraph"/>
              <w:spacing w:before="16"/>
              <w:ind w:right="20"/>
              <w:jc w:val="right"/>
              <w:rPr>
                <w:rFonts w:ascii="Times New Roman"/>
                <w:sz w:val="12"/>
              </w:rPr>
            </w:pPr>
            <w:r>
              <w:rPr>
                <w:rFonts w:ascii="Times New Roman"/>
                <w:w w:val="105"/>
                <w:sz w:val="12"/>
              </w:rPr>
              <w:t>69,306</w:t>
            </w:r>
          </w:p>
        </w:tc>
        <w:tc>
          <w:tcPr>
            <w:tcW w:w="704" w:type="dxa"/>
          </w:tcPr>
          <w:p>
            <w:pPr>
              <w:pStyle w:val="TableParagraph"/>
              <w:spacing w:before="16"/>
              <w:ind w:right="20"/>
              <w:jc w:val="right"/>
              <w:rPr>
                <w:rFonts w:ascii="Times New Roman"/>
                <w:sz w:val="12"/>
              </w:rPr>
            </w:pPr>
            <w:r>
              <w:rPr>
                <w:rFonts w:ascii="Times New Roman"/>
                <w:w w:val="105"/>
                <w:sz w:val="12"/>
              </w:rPr>
              <w:t>12,384</w:t>
            </w:r>
          </w:p>
        </w:tc>
        <w:tc>
          <w:tcPr>
            <w:tcW w:w="1166" w:type="dxa"/>
          </w:tcPr>
          <w:p>
            <w:pPr>
              <w:pStyle w:val="TableParagraph"/>
              <w:spacing w:before="11"/>
              <w:ind w:right="17"/>
              <w:jc w:val="right"/>
              <w:rPr>
                <w:rFonts w:ascii="Times New Roman"/>
                <w:sz w:val="12"/>
              </w:rPr>
            </w:pPr>
            <w:r>
              <w:rPr>
                <w:rFonts w:ascii="Times New Roman"/>
                <w:w w:val="105"/>
                <w:sz w:val="12"/>
              </w:rPr>
              <w:t>90,010</w:t>
            </w:r>
          </w:p>
        </w:tc>
        <w:tc>
          <w:tcPr>
            <w:tcW w:w="704" w:type="dxa"/>
          </w:tcPr>
          <w:p>
            <w:pPr>
              <w:pStyle w:val="TableParagraph"/>
              <w:spacing w:before="11"/>
              <w:ind w:right="17"/>
              <w:jc w:val="right"/>
              <w:rPr>
                <w:rFonts w:ascii="Times New Roman"/>
                <w:sz w:val="12"/>
              </w:rPr>
            </w:pPr>
            <w:r>
              <w:rPr>
                <w:rFonts w:ascii="Times New Roman"/>
                <w:w w:val="105"/>
                <w:sz w:val="12"/>
              </w:rPr>
              <w:t>17,982</w:t>
            </w:r>
          </w:p>
        </w:tc>
      </w:tr>
      <w:tr>
        <w:trPr>
          <w:trHeight w:val="173" w:hRule="exact"/>
        </w:trPr>
        <w:tc>
          <w:tcPr>
            <w:tcW w:w="1166" w:type="dxa"/>
          </w:tcPr>
          <w:p>
            <w:pPr>
              <w:pStyle w:val="TableParagraph"/>
              <w:spacing w:before="7"/>
              <w:ind w:left="464" w:right="456"/>
              <w:jc w:val="center"/>
              <w:rPr>
                <w:rFonts w:ascii="Times New Roman"/>
                <w:sz w:val="13"/>
              </w:rPr>
            </w:pPr>
            <w:r>
              <w:rPr>
                <w:rFonts w:ascii="Times New Roman"/>
                <w:w w:val="105"/>
                <w:sz w:val="13"/>
              </w:rPr>
              <w:t>106</w:t>
            </w:r>
          </w:p>
        </w:tc>
        <w:tc>
          <w:tcPr>
            <w:tcW w:w="1320" w:type="dxa"/>
          </w:tcPr>
          <w:p>
            <w:pPr>
              <w:pStyle w:val="TableParagraph"/>
              <w:spacing w:before="7"/>
              <w:ind w:left="24"/>
              <w:rPr>
                <w:rFonts w:ascii="Times New Roman"/>
                <w:sz w:val="13"/>
              </w:rPr>
            </w:pPr>
            <w:r>
              <w:rPr>
                <w:rFonts w:ascii="Times New Roman"/>
                <w:w w:val="105"/>
                <w:sz w:val="13"/>
              </w:rPr>
              <w:t>Toluca</w:t>
            </w:r>
          </w:p>
        </w:tc>
        <w:tc>
          <w:tcPr>
            <w:tcW w:w="1166" w:type="dxa"/>
          </w:tcPr>
          <w:p>
            <w:pPr>
              <w:pStyle w:val="TableParagraph"/>
              <w:spacing w:before="16"/>
              <w:ind w:right="20"/>
              <w:jc w:val="right"/>
              <w:rPr>
                <w:rFonts w:ascii="Times New Roman"/>
                <w:sz w:val="12"/>
              </w:rPr>
            </w:pPr>
            <w:r>
              <w:rPr>
                <w:rFonts w:ascii="Times New Roman"/>
                <w:w w:val="105"/>
                <w:sz w:val="12"/>
              </w:rPr>
              <w:t>666,596</w:t>
            </w:r>
          </w:p>
        </w:tc>
        <w:tc>
          <w:tcPr>
            <w:tcW w:w="704" w:type="dxa"/>
          </w:tcPr>
          <w:p>
            <w:pPr>
              <w:pStyle w:val="TableParagraph"/>
              <w:spacing w:before="16"/>
              <w:ind w:right="20"/>
              <w:jc w:val="right"/>
              <w:rPr>
                <w:rFonts w:ascii="Times New Roman"/>
                <w:sz w:val="12"/>
              </w:rPr>
            </w:pPr>
            <w:r>
              <w:rPr>
                <w:rFonts w:ascii="Times New Roman"/>
                <w:w w:val="105"/>
                <w:sz w:val="12"/>
              </w:rPr>
              <w:t>145,649</w:t>
            </w:r>
          </w:p>
        </w:tc>
        <w:tc>
          <w:tcPr>
            <w:tcW w:w="1166" w:type="dxa"/>
          </w:tcPr>
          <w:p>
            <w:pPr>
              <w:pStyle w:val="TableParagraph"/>
              <w:spacing w:before="11"/>
              <w:ind w:right="17"/>
              <w:jc w:val="right"/>
              <w:rPr>
                <w:rFonts w:ascii="Times New Roman"/>
                <w:sz w:val="12"/>
              </w:rPr>
            </w:pPr>
            <w:r>
              <w:rPr>
                <w:rFonts w:ascii="Times New Roman"/>
                <w:w w:val="105"/>
                <w:sz w:val="12"/>
              </w:rPr>
              <w:t>819,561</w:t>
            </w:r>
          </w:p>
        </w:tc>
        <w:tc>
          <w:tcPr>
            <w:tcW w:w="704" w:type="dxa"/>
          </w:tcPr>
          <w:p>
            <w:pPr>
              <w:pStyle w:val="TableParagraph"/>
              <w:spacing w:before="11"/>
              <w:ind w:right="17"/>
              <w:jc w:val="right"/>
              <w:rPr>
                <w:rFonts w:ascii="Times New Roman"/>
                <w:sz w:val="12"/>
              </w:rPr>
            </w:pPr>
            <w:r>
              <w:rPr>
                <w:rFonts w:ascii="Times New Roman"/>
                <w:w w:val="105"/>
                <w:sz w:val="12"/>
              </w:rPr>
              <w:t>199,815</w:t>
            </w:r>
          </w:p>
        </w:tc>
      </w:tr>
      <w:tr>
        <w:trPr>
          <w:trHeight w:val="173" w:hRule="exact"/>
        </w:trPr>
        <w:tc>
          <w:tcPr>
            <w:tcW w:w="1166" w:type="dxa"/>
          </w:tcPr>
          <w:p>
            <w:pPr>
              <w:pStyle w:val="TableParagraph"/>
              <w:spacing w:before="7"/>
              <w:ind w:left="464" w:right="456"/>
              <w:jc w:val="center"/>
              <w:rPr>
                <w:rFonts w:ascii="Times New Roman"/>
                <w:sz w:val="13"/>
              </w:rPr>
            </w:pPr>
            <w:r>
              <w:rPr>
                <w:rFonts w:ascii="Times New Roman"/>
                <w:w w:val="105"/>
                <w:sz w:val="13"/>
              </w:rPr>
              <w:t>115</w:t>
            </w:r>
          </w:p>
        </w:tc>
        <w:tc>
          <w:tcPr>
            <w:tcW w:w="1320" w:type="dxa"/>
          </w:tcPr>
          <w:p>
            <w:pPr>
              <w:pStyle w:val="TableParagraph"/>
              <w:spacing w:before="7"/>
              <w:ind w:left="24"/>
              <w:rPr>
                <w:rFonts w:ascii="Times New Roman" w:hAnsi="Times New Roman"/>
                <w:sz w:val="13"/>
              </w:rPr>
            </w:pPr>
            <w:r>
              <w:rPr>
                <w:rFonts w:ascii="Times New Roman" w:hAnsi="Times New Roman"/>
                <w:w w:val="105"/>
                <w:sz w:val="13"/>
              </w:rPr>
              <w:t>Xonacatlán</w:t>
            </w:r>
          </w:p>
        </w:tc>
        <w:tc>
          <w:tcPr>
            <w:tcW w:w="1166" w:type="dxa"/>
          </w:tcPr>
          <w:p>
            <w:pPr>
              <w:pStyle w:val="TableParagraph"/>
              <w:spacing w:before="16"/>
              <w:ind w:right="20"/>
              <w:jc w:val="right"/>
              <w:rPr>
                <w:rFonts w:ascii="Times New Roman"/>
                <w:sz w:val="12"/>
              </w:rPr>
            </w:pPr>
            <w:r>
              <w:rPr>
                <w:rFonts w:ascii="Times New Roman"/>
                <w:w w:val="105"/>
                <w:sz w:val="12"/>
              </w:rPr>
              <w:t>41,402</w:t>
            </w:r>
          </w:p>
        </w:tc>
        <w:tc>
          <w:tcPr>
            <w:tcW w:w="704" w:type="dxa"/>
          </w:tcPr>
          <w:p>
            <w:pPr>
              <w:pStyle w:val="TableParagraph"/>
              <w:spacing w:before="16"/>
              <w:ind w:right="20"/>
              <w:jc w:val="right"/>
              <w:rPr>
                <w:rFonts w:ascii="Times New Roman"/>
                <w:sz w:val="12"/>
              </w:rPr>
            </w:pPr>
            <w:r>
              <w:rPr>
                <w:rFonts w:ascii="Times New Roman"/>
                <w:w w:val="105"/>
                <w:sz w:val="12"/>
              </w:rPr>
              <w:t>8,106</w:t>
            </w:r>
          </w:p>
        </w:tc>
        <w:tc>
          <w:tcPr>
            <w:tcW w:w="1166" w:type="dxa"/>
          </w:tcPr>
          <w:p>
            <w:pPr>
              <w:pStyle w:val="TableParagraph"/>
              <w:spacing w:before="11"/>
              <w:ind w:right="17"/>
              <w:jc w:val="right"/>
              <w:rPr>
                <w:rFonts w:ascii="Times New Roman"/>
                <w:sz w:val="12"/>
              </w:rPr>
            </w:pPr>
            <w:r>
              <w:rPr>
                <w:rFonts w:ascii="Times New Roman"/>
                <w:w w:val="105"/>
                <w:sz w:val="12"/>
              </w:rPr>
              <w:t>46,331</w:t>
            </w:r>
          </w:p>
        </w:tc>
        <w:tc>
          <w:tcPr>
            <w:tcW w:w="704" w:type="dxa"/>
          </w:tcPr>
          <w:p>
            <w:pPr>
              <w:pStyle w:val="TableParagraph"/>
              <w:spacing w:before="11"/>
              <w:ind w:right="17"/>
              <w:jc w:val="right"/>
              <w:rPr>
                <w:rFonts w:ascii="Times New Roman"/>
                <w:sz w:val="12"/>
              </w:rPr>
            </w:pPr>
            <w:r>
              <w:rPr>
                <w:rFonts w:ascii="Times New Roman"/>
                <w:w w:val="105"/>
                <w:sz w:val="12"/>
              </w:rPr>
              <w:t>9,966</w:t>
            </w:r>
          </w:p>
        </w:tc>
      </w:tr>
      <w:tr>
        <w:trPr>
          <w:trHeight w:val="170" w:hRule="exact"/>
        </w:trPr>
        <w:tc>
          <w:tcPr>
            <w:tcW w:w="1166" w:type="dxa"/>
            <w:tcBorders>
              <w:bottom w:val="single" w:sz="4" w:space="0" w:color="000000"/>
            </w:tcBorders>
          </w:tcPr>
          <w:p>
            <w:pPr>
              <w:pStyle w:val="TableParagraph"/>
              <w:spacing w:before="7"/>
              <w:ind w:left="464" w:right="456"/>
              <w:jc w:val="center"/>
              <w:rPr>
                <w:rFonts w:ascii="Times New Roman"/>
                <w:sz w:val="13"/>
              </w:rPr>
            </w:pPr>
            <w:r>
              <w:rPr>
                <w:rFonts w:ascii="Times New Roman"/>
                <w:w w:val="105"/>
                <w:sz w:val="13"/>
              </w:rPr>
              <w:t>118</w:t>
            </w:r>
          </w:p>
        </w:tc>
        <w:tc>
          <w:tcPr>
            <w:tcW w:w="1320" w:type="dxa"/>
            <w:tcBorders>
              <w:bottom w:val="single" w:sz="4" w:space="0" w:color="000000"/>
            </w:tcBorders>
          </w:tcPr>
          <w:p>
            <w:pPr>
              <w:pStyle w:val="TableParagraph"/>
              <w:spacing w:before="7"/>
              <w:ind w:left="24"/>
              <w:rPr>
                <w:rFonts w:ascii="Times New Roman"/>
                <w:sz w:val="13"/>
              </w:rPr>
            </w:pPr>
            <w:r>
              <w:rPr>
                <w:rFonts w:ascii="Times New Roman"/>
                <w:w w:val="105"/>
                <w:sz w:val="13"/>
              </w:rPr>
              <w:t>Zinacantepec</w:t>
            </w:r>
          </w:p>
        </w:tc>
        <w:tc>
          <w:tcPr>
            <w:tcW w:w="1166" w:type="dxa"/>
            <w:tcBorders>
              <w:bottom w:val="single" w:sz="4" w:space="0" w:color="000000"/>
            </w:tcBorders>
          </w:tcPr>
          <w:p>
            <w:pPr>
              <w:pStyle w:val="TableParagraph"/>
              <w:spacing w:before="16"/>
              <w:ind w:right="20"/>
              <w:jc w:val="right"/>
              <w:rPr>
                <w:rFonts w:ascii="Times New Roman"/>
                <w:sz w:val="12"/>
              </w:rPr>
            </w:pPr>
            <w:r>
              <w:rPr>
                <w:rFonts w:ascii="Times New Roman"/>
                <w:w w:val="105"/>
                <w:sz w:val="12"/>
              </w:rPr>
              <w:t>121,850</w:t>
            </w:r>
          </w:p>
        </w:tc>
        <w:tc>
          <w:tcPr>
            <w:tcW w:w="704" w:type="dxa"/>
            <w:tcBorders>
              <w:bottom w:val="single" w:sz="4" w:space="0" w:color="000000"/>
            </w:tcBorders>
          </w:tcPr>
          <w:p>
            <w:pPr>
              <w:pStyle w:val="TableParagraph"/>
              <w:spacing w:before="16"/>
              <w:ind w:right="20"/>
              <w:jc w:val="right"/>
              <w:rPr>
                <w:rFonts w:ascii="Times New Roman"/>
                <w:sz w:val="12"/>
              </w:rPr>
            </w:pPr>
            <w:r>
              <w:rPr>
                <w:rFonts w:ascii="Times New Roman"/>
                <w:w w:val="105"/>
                <w:sz w:val="12"/>
              </w:rPr>
              <w:t>23,639</w:t>
            </w:r>
          </w:p>
        </w:tc>
        <w:tc>
          <w:tcPr>
            <w:tcW w:w="1166" w:type="dxa"/>
            <w:tcBorders>
              <w:bottom w:val="single" w:sz="4" w:space="0" w:color="000000"/>
            </w:tcBorders>
          </w:tcPr>
          <w:p>
            <w:pPr>
              <w:pStyle w:val="TableParagraph"/>
              <w:spacing w:before="11"/>
              <w:ind w:right="17"/>
              <w:jc w:val="right"/>
              <w:rPr>
                <w:rFonts w:ascii="Times New Roman"/>
                <w:sz w:val="12"/>
              </w:rPr>
            </w:pPr>
            <w:r>
              <w:rPr>
                <w:rFonts w:ascii="Times New Roman"/>
                <w:w w:val="105"/>
                <w:sz w:val="12"/>
              </w:rPr>
              <w:t>167,759</w:t>
            </w:r>
          </w:p>
        </w:tc>
        <w:tc>
          <w:tcPr>
            <w:tcW w:w="704" w:type="dxa"/>
            <w:tcBorders>
              <w:bottom w:val="single" w:sz="4" w:space="0" w:color="000000"/>
            </w:tcBorders>
          </w:tcPr>
          <w:p>
            <w:pPr>
              <w:pStyle w:val="TableParagraph"/>
              <w:spacing w:before="11"/>
              <w:ind w:right="17"/>
              <w:jc w:val="right"/>
              <w:rPr>
                <w:rFonts w:ascii="Times New Roman"/>
                <w:sz w:val="12"/>
              </w:rPr>
            </w:pPr>
            <w:r>
              <w:rPr>
                <w:rFonts w:ascii="Times New Roman"/>
                <w:w w:val="105"/>
                <w:sz w:val="12"/>
              </w:rPr>
              <w:t>37,665</w:t>
            </w:r>
          </w:p>
        </w:tc>
      </w:tr>
      <w:tr>
        <w:trPr>
          <w:trHeight w:val="182" w:hRule="exact"/>
        </w:trPr>
        <w:tc>
          <w:tcPr>
            <w:tcW w:w="1166" w:type="dxa"/>
            <w:tcBorders>
              <w:top w:val="single" w:sz="4" w:space="0" w:color="000000"/>
              <w:left w:val="single" w:sz="4" w:space="0" w:color="000000"/>
              <w:bottom w:val="single" w:sz="9" w:space="0" w:color="000000"/>
              <w:right w:val="single" w:sz="4" w:space="0" w:color="000000"/>
            </w:tcBorders>
            <w:shd w:val="clear" w:color="auto" w:fill="F1F1F1"/>
          </w:tcPr>
          <w:p>
            <w:pPr>
              <w:pStyle w:val="TableParagraph"/>
              <w:spacing w:before="13"/>
              <w:ind w:left="96" w:right="95"/>
              <w:jc w:val="center"/>
              <w:rPr>
                <w:rFonts w:ascii="Times New Roman" w:hAnsi="Times New Roman"/>
                <w:b/>
                <w:sz w:val="13"/>
              </w:rPr>
            </w:pPr>
            <w:r>
              <w:rPr>
                <w:rFonts w:ascii="Times New Roman" w:hAnsi="Times New Roman"/>
                <w:b/>
                <w:w w:val="105"/>
                <w:sz w:val="13"/>
              </w:rPr>
              <w:t>Población Total</w:t>
            </w:r>
          </w:p>
        </w:tc>
        <w:tc>
          <w:tcPr>
            <w:tcW w:w="1320" w:type="dxa"/>
            <w:tcBorders>
              <w:top w:val="single" w:sz="4" w:space="0" w:color="000000"/>
              <w:left w:val="single" w:sz="4" w:space="0" w:color="000000"/>
              <w:bottom w:val="single" w:sz="9" w:space="0" w:color="000000"/>
              <w:right w:val="single" w:sz="4" w:space="0" w:color="000000"/>
            </w:tcBorders>
          </w:tcPr>
          <w:p>
            <w:pPr/>
          </w:p>
        </w:tc>
        <w:tc>
          <w:tcPr>
            <w:tcW w:w="1166" w:type="dxa"/>
            <w:tcBorders>
              <w:top w:val="single" w:sz="4" w:space="0" w:color="000000"/>
              <w:left w:val="single" w:sz="4" w:space="0" w:color="000000"/>
              <w:bottom w:val="single" w:sz="9" w:space="0" w:color="000000"/>
              <w:right w:val="single" w:sz="4" w:space="0" w:color="000000"/>
            </w:tcBorders>
            <w:shd w:val="clear" w:color="auto" w:fill="F1F1F1"/>
          </w:tcPr>
          <w:p>
            <w:pPr>
              <w:pStyle w:val="TableParagraph"/>
              <w:spacing w:line="136" w:lineRule="exact"/>
              <w:ind w:right="16"/>
              <w:jc w:val="right"/>
              <w:rPr>
                <w:rFonts w:ascii="Times New Roman"/>
                <w:b/>
                <w:sz w:val="13"/>
              </w:rPr>
            </w:pPr>
            <w:r>
              <w:rPr>
                <w:rFonts w:ascii="Times New Roman"/>
                <w:b/>
                <w:w w:val="105"/>
                <w:sz w:val="13"/>
              </w:rPr>
              <w:t>1,540,452</w:t>
            </w:r>
          </w:p>
        </w:tc>
        <w:tc>
          <w:tcPr>
            <w:tcW w:w="704" w:type="dxa"/>
            <w:tcBorders>
              <w:top w:val="single" w:sz="4" w:space="0" w:color="000000"/>
              <w:left w:val="single" w:sz="4" w:space="0" w:color="000000"/>
              <w:bottom w:val="single" w:sz="9" w:space="0" w:color="000000"/>
              <w:right w:val="single" w:sz="4" w:space="0" w:color="000000"/>
            </w:tcBorders>
          </w:tcPr>
          <w:p>
            <w:pPr/>
          </w:p>
        </w:tc>
        <w:tc>
          <w:tcPr>
            <w:tcW w:w="1166" w:type="dxa"/>
            <w:tcBorders>
              <w:top w:val="single" w:sz="4" w:space="0" w:color="000000"/>
              <w:left w:val="single" w:sz="4" w:space="0" w:color="000000"/>
              <w:bottom w:val="single" w:sz="9" w:space="0" w:color="000000"/>
              <w:right w:val="single" w:sz="4" w:space="0" w:color="000000"/>
            </w:tcBorders>
            <w:shd w:val="clear" w:color="auto" w:fill="F1F1F1"/>
          </w:tcPr>
          <w:p>
            <w:pPr>
              <w:pStyle w:val="TableParagraph"/>
              <w:spacing w:line="136" w:lineRule="exact"/>
              <w:ind w:right="15"/>
              <w:jc w:val="right"/>
              <w:rPr>
                <w:rFonts w:ascii="Times New Roman"/>
                <w:b/>
                <w:sz w:val="13"/>
              </w:rPr>
            </w:pPr>
            <w:r>
              <w:rPr>
                <w:rFonts w:ascii="Times New Roman"/>
                <w:b/>
                <w:w w:val="105"/>
                <w:sz w:val="13"/>
              </w:rPr>
              <w:t>1,936,126</w:t>
            </w:r>
          </w:p>
        </w:tc>
        <w:tc>
          <w:tcPr>
            <w:tcW w:w="704" w:type="dxa"/>
            <w:tcBorders>
              <w:top w:val="single" w:sz="4" w:space="0" w:color="000000"/>
              <w:left w:val="single" w:sz="4" w:space="0" w:color="000000"/>
              <w:bottom w:val="single" w:sz="9" w:space="0" w:color="000000"/>
              <w:right w:val="single" w:sz="4" w:space="0" w:color="000000"/>
            </w:tcBorders>
          </w:tcPr>
          <w:p>
            <w:pPr/>
          </w:p>
        </w:tc>
      </w:tr>
      <w:tr>
        <w:trPr>
          <w:trHeight w:val="178" w:hRule="exact"/>
        </w:trPr>
        <w:tc>
          <w:tcPr>
            <w:tcW w:w="1166" w:type="dxa"/>
            <w:tcBorders>
              <w:top w:val="single" w:sz="9" w:space="0" w:color="000000"/>
              <w:left w:val="single" w:sz="4" w:space="0" w:color="000000"/>
              <w:bottom w:val="single" w:sz="7" w:space="0" w:color="000000"/>
              <w:right w:val="single" w:sz="4" w:space="0" w:color="000000"/>
            </w:tcBorders>
            <w:shd w:val="clear" w:color="auto" w:fill="F1F1F1"/>
          </w:tcPr>
          <w:p>
            <w:pPr>
              <w:pStyle w:val="TableParagraph"/>
              <w:spacing w:before="7"/>
              <w:ind w:left="97" w:right="94"/>
              <w:jc w:val="center"/>
              <w:rPr>
                <w:rFonts w:ascii="Times New Roman"/>
                <w:b/>
                <w:sz w:val="13"/>
              </w:rPr>
            </w:pPr>
            <w:r>
              <w:rPr>
                <w:rFonts w:ascii="Times New Roman"/>
                <w:b/>
                <w:w w:val="105"/>
                <w:sz w:val="13"/>
              </w:rPr>
              <w:t>Total Viviendas</w:t>
            </w:r>
          </w:p>
        </w:tc>
        <w:tc>
          <w:tcPr>
            <w:tcW w:w="2486" w:type="dxa"/>
            <w:gridSpan w:val="2"/>
            <w:tcBorders>
              <w:top w:val="single" w:sz="9" w:space="0" w:color="000000"/>
              <w:left w:val="single" w:sz="4" w:space="0" w:color="000000"/>
              <w:bottom w:val="single" w:sz="7" w:space="0" w:color="000000"/>
              <w:right w:val="single" w:sz="4" w:space="0" w:color="000000"/>
            </w:tcBorders>
          </w:tcPr>
          <w:p>
            <w:pPr/>
          </w:p>
        </w:tc>
        <w:tc>
          <w:tcPr>
            <w:tcW w:w="704" w:type="dxa"/>
            <w:tcBorders>
              <w:top w:val="single" w:sz="9" w:space="0" w:color="000000"/>
              <w:left w:val="single" w:sz="4" w:space="0" w:color="000000"/>
              <w:bottom w:val="single" w:sz="7" w:space="0" w:color="000000"/>
              <w:right w:val="single" w:sz="4" w:space="0" w:color="000000"/>
            </w:tcBorders>
            <w:shd w:val="clear" w:color="auto" w:fill="F1F1F1"/>
          </w:tcPr>
          <w:p>
            <w:pPr>
              <w:pStyle w:val="TableParagraph"/>
              <w:spacing w:line="146" w:lineRule="exact"/>
              <w:ind w:right="17"/>
              <w:jc w:val="right"/>
              <w:rPr>
                <w:rFonts w:ascii="Times New Roman"/>
                <w:b/>
                <w:sz w:val="13"/>
              </w:rPr>
            </w:pPr>
            <w:r>
              <w:rPr>
                <w:rFonts w:ascii="Times New Roman"/>
                <w:b/>
                <w:w w:val="105"/>
                <w:sz w:val="13"/>
              </w:rPr>
              <w:t>322,635</w:t>
            </w:r>
          </w:p>
        </w:tc>
        <w:tc>
          <w:tcPr>
            <w:tcW w:w="1166" w:type="dxa"/>
            <w:tcBorders>
              <w:top w:val="single" w:sz="9" w:space="0" w:color="000000"/>
              <w:left w:val="single" w:sz="4" w:space="0" w:color="000000"/>
              <w:bottom w:val="single" w:sz="7" w:space="0" w:color="000000"/>
              <w:right w:val="single" w:sz="4" w:space="0" w:color="000000"/>
            </w:tcBorders>
          </w:tcPr>
          <w:p>
            <w:pPr/>
          </w:p>
        </w:tc>
        <w:tc>
          <w:tcPr>
            <w:tcW w:w="704" w:type="dxa"/>
            <w:tcBorders>
              <w:top w:val="single" w:sz="9" w:space="0" w:color="000000"/>
              <w:left w:val="single" w:sz="4" w:space="0" w:color="000000"/>
              <w:bottom w:val="single" w:sz="7" w:space="0" w:color="000000"/>
              <w:right w:val="single" w:sz="4" w:space="0" w:color="000000"/>
            </w:tcBorders>
            <w:shd w:val="clear" w:color="auto" w:fill="F1F1F1"/>
          </w:tcPr>
          <w:p>
            <w:pPr>
              <w:pStyle w:val="TableParagraph"/>
              <w:spacing w:line="146" w:lineRule="exact"/>
              <w:ind w:right="17"/>
              <w:jc w:val="right"/>
              <w:rPr>
                <w:rFonts w:ascii="Times New Roman"/>
                <w:b/>
                <w:sz w:val="13"/>
              </w:rPr>
            </w:pPr>
            <w:r>
              <w:rPr>
                <w:rFonts w:ascii="Times New Roman"/>
                <w:b/>
                <w:w w:val="105"/>
                <w:sz w:val="13"/>
              </w:rPr>
              <w:t>454,579</w:t>
            </w:r>
          </w:p>
        </w:tc>
      </w:tr>
    </w:tbl>
    <w:p>
      <w:pPr>
        <w:spacing w:before="127"/>
        <w:ind w:left="193" w:right="216" w:firstLine="0"/>
        <w:jc w:val="center"/>
        <w:rPr>
          <w:sz w:val="22"/>
        </w:rPr>
      </w:pPr>
      <w:r>
        <w:rPr>
          <w:sz w:val="22"/>
        </w:rPr>
        <w:t>Fuente: elaboración con base en los censos de población y vivienda, INEGI, 2000-2010.</w:t>
      </w:r>
    </w:p>
    <w:p>
      <w:pPr>
        <w:pStyle w:val="BodyText"/>
        <w:rPr>
          <w:sz w:val="22"/>
        </w:rPr>
      </w:pPr>
    </w:p>
    <w:p>
      <w:pPr>
        <w:pStyle w:val="BodyText"/>
        <w:spacing w:before="1"/>
        <w:rPr>
          <w:sz w:val="25"/>
        </w:rPr>
      </w:pPr>
    </w:p>
    <w:p>
      <w:pPr>
        <w:pStyle w:val="BodyText"/>
        <w:spacing w:line="360" w:lineRule="auto"/>
        <w:ind w:left="102" w:right="125"/>
        <w:jc w:val="both"/>
      </w:pPr>
      <w:r>
        <w:rPr/>
        <w:t>Analizando el grado de urbanización de los municipios de la ZMT, lo haremos haciendo referencia a la cantidad de personas que viven en localidades de más de</w:t>
      </w:r>
    </w:p>
    <w:p>
      <w:pPr>
        <w:pStyle w:val="BodyText"/>
        <w:spacing w:line="360" w:lineRule="auto" w:before="5"/>
        <w:ind w:left="102" w:right="119"/>
        <w:jc w:val="both"/>
      </w:pPr>
      <w:r>
        <w:rPr/>
        <w:t>15 mil habitantes. En el año 2000, en la ZMT de los 15 municipios que la conformaban, solo ocho municipios presentan un alto grado de urbanización, en esta década el municipio con mayor grado de urbanización fue San Mateo Atenco ya que más de 96 por ciento de su población se encontraba concentrada en localidades mayores de 15 mil habitantes (zonas urbanas), seguido del   municipio</w:t>
      </w:r>
    </w:p>
    <w:p>
      <w:pPr>
        <w:spacing w:after="0" w:line="360" w:lineRule="auto"/>
        <w:jc w:val="both"/>
        <w:sectPr>
          <w:pgSz w:w="12240" w:h="15840"/>
          <w:pgMar w:header="0" w:footer="943" w:top="1360" w:bottom="1200" w:left="1600" w:right="1580"/>
        </w:sectPr>
      </w:pPr>
    </w:p>
    <w:p>
      <w:pPr>
        <w:pStyle w:val="BodyText"/>
        <w:spacing w:line="360" w:lineRule="auto" w:before="54"/>
        <w:ind w:left="122" w:right="119"/>
        <w:jc w:val="both"/>
      </w:pPr>
      <w:r>
        <w:rPr/>
        <w:t>de Metepec con más del 81 por ciento, Toluca, con más del 74 por ciento. municipios  con mayor población asentada en zonas urbanas.</w:t>
      </w:r>
    </w:p>
    <w:p>
      <w:pPr>
        <w:pStyle w:val="BodyText"/>
      </w:pPr>
    </w:p>
    <w:p>
      <w:pPr>
        <w:pStyle w:val="BodyText"/>
        <w:spacing w:line="360" w:lineRule="auto" w:before="142"/>
        <w:ind w:left="122" w:right="122"/>
        <w:jc w:val="both"/>
      </w:pPr>
      <w:r>
        <w:rPr/>
        <w:t>En contraste entre los municipios con menos de la mitad de población que radicaba en zonas urbanas son; Ocoyoacac con un grado de urbanización del 44 por ciento, Xonacatlán con el 42 por ciento, Zinacantepec con el 32 por ciento. Un dato curioso es el grado de urbanización del municipio de Otzolotepec ya que registraba en más del 28 por ciento</w:t>
      </w:r>
      <w:r>
        <w:rPr>
          <w:position w:val="8"/>
          <w:sz w:val="16"/>
        </w:rPr>
        <w:t>23</w:t>
      </w:r>
      <w:r>
        <w:rPr/>
        <w:t>, mientras que para el año 2010 registra cero grado de</w:t>
      </w:r>
      <w:r>
        <w:rPr>
          <w:spacing w:val="-8"/>
        </w:rPr>
        <w:t> </w:t>
      </w:r>
      <w:r>
        <w:rPr/>
        <w:t>urbanización.</w:t>
      </w:r>
    </w:p>
    <w:p>
      <w:pPr>
        <w:pStyle w:val="Heading4"/>
        <w:spacing w:before="5"/>
        <w:ind w:right="100"/>
        <w:jc w:val="center"/>
      </w:pPr>
      <w:r>
        <w:rPr/>
        <w:t>Cuadro No. 2</w:t>
      </w:r>
    </w:p>
    <w:p>
      <w:pPr>
        <w:spacing w:before="137"/>
        <w:ind w:left="102" w:right="102" w:firstLine="0"/>
        <w:jc w:val="center"/>
        <w:rPr>
          <w:b/>
          <w:sz w:val="24"/>
        </w:rPr>
      </w:pPr>
      <w:r>
        <w:rPr>
          <w:b/>
          <w:sz w:val="24"/>
        </w:rPr>
        <w:t>Grado de urbanización por municipio de la ZMT, 2000-2010</w:t>
      </w:r>
    </w:p>
    <w:p>
      <w:pPr>
        <w:pStyle w:val="BodyText"/>
        <w:spacing w:before="7" w:after="1"/>
        <w:rPr>
          <w:b/>
          <w:sz w:val="12"/>
        </w:rPr>
      </w:pPr>
    </w:p>
    <w:tbl>
      <w:tblPr>
        <w:tblW w:w="0" w:type="auto"/>
        <w:jc w:val="left"/>
        <w:tblInd w:w="143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575"/>
        <w:gridCol w:w="1537"/>
        <w:gridCol w:w="1549"/>
        <w:gridCol w:w="1554"/>
      </w:tblGrid>
      <w:tr>
        <w:trPr>
          <w:trHeight w:val="362" w:hRule="exact"/>
        </w:trPr>
        <w:tc>
          <w:tcPr>
            <w:tcW w:w="1575" w:type="dxa"/>
            <w:tcBorders>
              <w:left w:val="single" w:sz="7" w:space="0" w:color="000000"/>
              <w:bottom w:val="single" w:sz="9" w:space="0" w:color="000000"/>
            </w:tcBorders>
            <w:shd w:val="clear" w:color="auto" w:fill="F1F1F1"/>
          </w:tcPr>
          <w:p>
            <w:pPr>
              <w:pStyle w:val="TableParagraph"/>
              <w:spacing w:before="99"/>
              <w:ind w:left="407" w:right="412"/>
              <w:jc w:val="center"/>
              <w:rPr>
                <w:rFonts w:ascii="Arial"/>
                <w:b/>
                <w:sz w:val="12"/>
              </w:rPr>
            </w:pPr>
            <w:r>
              <w:rPr>
                <w:rFonts w:ascii="Arial"/>
                <w:b/>
                <w:w w:val="105"/>
                <w:sz w:val="12"/>
              </w:rPr>
              <w:t>Clave Mpio.</w:t>
            </w:r>
          </w:p>
        </w:tc>
        <w:tc>
          <w:tcPr>
            <w:tcW w:w="1537" w:type="dxa"/>
            <w:tcBorders>
              <w:bottom w:val="single" w:sz="9" w:space="0" w:color="000000"/>
            </w:tcBorders>
            <w:shd w:val="clear" w:color="auto" w:fill="F1F1F1"/>
          </w:tcPr>
          <w:p>
            <w:pPr>
              <w:pStyle w:val="TableParagraph"/>
              <w:spacing w:before="99"/>
              <w:ind w:left="470"/>
              <w:rPr>
                <w:rFonts w:ascii="Arial"/>
                <w:b/>
                <w:sz w:val="12"/>
              </w:rPr>
            </w:pPr>
            <w:r>
              <w:rPr>
                <w:rFonts w:ascii="Arial"/>
                <w:b/>
                <w:w w:val="105"/>
                <w:sz w:val="12"/>
              </w:rPr>
              <w:t>Municipio</w:t>
            </w:r>
          </w:p>
        </w:tc>
        <w:tc>
          <w:tcPr>
            <w:tcW w:w="1549" w:type="dxa"/>
            <w:tcBorders>
              <w:bottom w:val="single" w:sz="9" w:space="0" w:color="000000"/>
            </w:tcBorders>
            <w:shd w:val="clear" w:color="auto" w:fill="F1F1F1"/>
          </w:tcPr>
          <w:p>
            <w:pPr>
              <w:pStyle w:val="TableParagraph"/>
              <w:spacing w:line="276" w:lineRule="auto" w:before="40"/>
              <w:ind w:left="635" w:hanging="545"/>
              <w:rPr>
                <w:rFonts w:ascii="Arial" w:hAnsi="Arial"/>
                <w:b/>
                <w:sz w:val="12"/>
              </w:rPr>
            </w:pPr>
            <w:r>
              <w:rPr>
                <w:rFonts w:ascii="Arial" w:hAnsi="Arial"/>
                <w:b/>
                <w:w w:val="105"/>
                <w:sz w:val="12"/>
              </w:rPr>
              <w:t>Grado de Urbanización 2000</w:t>
            </w:r>
          </w:p>
        </w:tc>
        <w:tc>
          <w:tcPr>
            <w:tcW w:w="1554" w:type="dxa"/>
            <w:tcBorders>
              <w:bottom w:val="single" w:sz="9" w:space="0" w:color="000000"/>
              <w:right w:val="single" w:sz="7" w:space="0" w:color="000000"/>
            </w:tcBorders>
            <w:shd w:val="clear" w:color="auto" w:fill="F1F1F1"/>
          </w:tcPr>
          <w:p>
            <w:pPr>
              <w:pStyle w:val="TableParagraph"/>
              <w:spacing w:line="276" w:lineRule="auto" w:before="40"/>
              <w:ind w:left="639" w:hanging="545"/>
              <w:rPr>
                <w:rFonts w:ascii="Arial" w:hAnsi="Arial"/>
                <w:b/>
                <w:sz w:val="12"/>
              </w:rPr>
            </w:pPr>
            <w:r>
              <w:rPr>
                <w:rFonts w:ascii="Arial" w:hAnsi="Arial"/>
                <w:b/>
                <w:w w:val="105"/>
                <w:sz w:val="12"/>
              </w:rPr>
              <w:t>Grado de Urbanización 2010</w:t>
            </w:r>
          </w:p>
        </w:tc>
      </w:tr>
      <w:tr>
        <w:trPr>
          <w:trHeight w:val="183" w:hRule="exact"/>
        </w:trPr>
        <w:tc>
          <w:tcPr>
            <w:tcW w:w="1575" w:type="dxa"/>
            <w:tcBorders>
              <w:top w:val="single" w:sz="9" w:space="0" w:color="000000"/>
              <w:left w:val="nil"/>
              <w:bottom w:val="nil"/>
              <w:right w:val="nil"/>
            </w:tcBorders>
          </w:tcPr>
          <w:p>
            <w:pPr>
              <w:pStyle w:val="TableParagraph"/>
              <w:spacing w:before="8"/>
              <w:ind w:left="665" w:right="660"/>
              <w:jc w:val="center"/>
              <w:rPr>
                <w:rFonts w:ascii="Arial"/>
                <w:sz w:val="12"/>
              </w:rPr>
            </w:pPr>
            <w:r>
              <w:rPr>
                <w:rFonts w:ascii="Arial"/>
                <w:w w:val="105"/>
                <w:sz w:val="12"/>
              </w:rPr>
              <w:t>005</w:t>
            </w:r>
          </w:p>
        </w:tc>
        <w:tc>
          <w:tcPr>
            <w:tcW w:w="1537" w:type="dxa"/>
            <w:tcBorders>
              <w:top w:val="single" w:sz="9" w:space="0" w:color="000000"/>
              <w:left w:val="nil"/>
              <w:bottom w:val="nil"/>
              <w:right w:val="nil"/>
            </w:tcBorders>
          </w:tcPr>
          <w:p>
            <w:pPr>
              <w:pStyle w:val="TableParagraph"/>
              <w:spacing w:before="8"/>
              <w:ind w:left="23"/>
              <w:rPr>
                <w:rFonts w:ascii="Arial" w:hAnsi="Arial"/>
                <w:sz w:val="12"/>
              </w:rPr>
            </w:pPr>
            <w:r>
              <w:rPr>
                <w:rFonts w:ascii="Arial" w:hAnsi="Arial"/>
                <w:w w:val="105"/>
                <w:sz w:val="12"/>
              </w:rPr>
              <w:t>Almoloya de Juárez</w:t>
            </w:r>
          </w:p>
        </w:tc>
        <w:tc>
          <w:tcPr>
            <w:tcW w:w="1549" w:type="dxa"/>
            <w:tcBorders>
              <w:top w:val="single" w:sz="9" w:space="0" w:color="000000"/>
              <w:left w:val="nil"/>
              <w:bottom w:val="nil"/>
              <w:right w:val="nil"/>
            </w:tcBorders>
          </w:tcPr>
          <w:p>
            <w:pPr>
              <w:pStyle w:val="TableParagraph"/>
              <w:spacing w:before="8"/>
              <w:ind w:left="636" w:right="624"/>
              <w:jc w:val="center"/>
              <w:rPr>
                <w:rFonts w:ascii="Arial"/>
                <w:sz w:val="12"/>
              </w:rPr>
            </w:pPr>
            <w:r>
              <w:rPr>
                <w:rFonts w:ascii="Arial"/>
                <w:w w:val="105"/>
                <w:sz w:val="12"/>
              </w:rPr>
              <w:t>0.0</w:t>
            </w:r>
          </w:p>
        </w:tc>
        <w:tc>
          <w:tcPr>
            <w:tcW w:w="1554" w:type="dxa"/>
            <w:tcBorders>
              <w:top w:val="single" w:sz="9" w:space="0" w:color="000000"/>
              <w:left w:val="nil"/>
              <w:bottom w:val="nil"/>
              <w:right w:val="nil"/>
            </w:tcBorders>
          </w:tcPr>
          <w:p>
            <w:pPr>
              <w:pStyle w:val="TableParagraph"/>
              <w:spacing w:before="8"/>
              <w:ind w:left="642" w:right="627"/>
              <w:jc w:val="center"/>
              <w:rPr>
                <w:rFonts w:ascii="Arial"/>
                <w:sz w:val="12"/>
              </w:rPr>
            </w:pPr>
            <w:r>
              <w:rPr>
                <w:rFonts w:ascii="Arial"/>
                <w:w w:val="105"/>
                <w:sz w:val="12"/>
              </w:rPr>
              <w:t>11.2</w:t>
            </w:r>
          </w:p>
        </w:tc>
      </w:tr>
      <w:tr>
        <w:trPr>
          <w:trHeight w:val="177" w:hRule="exact"/>
        </w:trPr>
        <w:tc>
          <w:tcPr>
            <w:tcW w:w="1575" w:type="dxa"/>
            <w:tcBorders>
              <w:top w:val="nil"/>
              <w:left w:val="nil"/>
              <w:bottom w:val="nil"/>
              <w:right w:val="nil"/>
            </w:tcBorders>
          </w:tcPr>
          <w:p>
            <w:pPr>
              <w:pStyle w:val="TableParagraph"/>
              <w:spacing w:before="14"/>
              <w:ind w:left="665" w:right="660"/>
              <w:jc w:val="center"/>
              <w:rPr>
                <w:rFonts w:ascii="Arial"/>
                <w:sz w:val="12"/>
              </w:rPr>
            </w:pPr>
            <w:r>
              <w:rPr>
                <w:rFonts w:ascii="Arial"/>
                <w:w w:val="105"/>
                <w:sz w:val="12"/>
              </w:rPr>
              <w:t>018</w:t>
            </w:r>
          </w:p>
        </w:tc>
        <w:tc>
          <w:tcPr>
            <w:tcW w:w="1537" w:type="dxa"/>
            <w:tcBorders>
              <w:top w:val="nil"/>
              <w:left w:val="nil"/>
              <w:bottom w:val="nil"/>
              <w:right w:val="nil"/>
            </w:tcBorders>
          </w:tcPr>
          <w:p>
            <w:pPr>
              <w:pStyle w:val="TableParagraph"/>
              <w:spacing w:before="14"/>
              <w:ind w:left="23"/>
              <w:rPr>
                <w:rFonts w:ascii="Arial"/>
                <w:sz w:val="12"/>
              </w:rPr>
            </w:pPr>
            <w:r>
              <w:rPr>
                <w:rFonts w:ascii="Arial"/>
                <w:w w:val="105"/>
                <w:sz w:val="12"/>
              </w:rPr>
              <w:t>Calimaya</w:t>
            </w:r>
          </w:p>
        </w:tc>
        <w:tc>
          <w:tcPr>
            <w:tcW w:w="1549" w:type="dxa"/>
            <w:tcBorders>
              <w:top w:val="nil"/>
              <w:left w:val="nil"/>
              <w:bottom w:val="nil"/>
              <w:right w:val="nil"/>
            </w:tcBorders>
          </w:tcPr>
          <w:p>
            <w:pPr>
              <w:pStyle w:val="TableParagraph"/>
              <w:spacing w:before="14"/>
              <w:ind w:left="636" w:right="624"/>
              <w:jc w:val="center"/>
              <w:rPr>
                <w:rFonts w:ascii="Arial"/>
                <w:sz w:val="12"/>
              </w:rPr>
            </w:pPr>
            <w:r>
              <w:rPr>
                <w:rFonts w:ascii="Arial"/>
                <w:w w:val="105"/>
                <w:sz w:val="12"/>
              </w:rPr>
              <w:t>0.0</w:t>
            </w:r>
          </w:p>
        </w:tc>
        <w:tc>
          <w:tcPr>
            <w:tcW w:w="1554" w:type="dxa"/>
            <w:tcBorders>
              <w:top w:val="nil"/>
              <w:left w:val="nil"/>
              <w:bottom w:val="nil"/>
              <w:right w:val="nil"/>
            </w:tcBorders>
          </w:tcPr>
          <w:p>
            <w:pPr>
              <w:pStyle w:val="TableParagraph"/>
              <w:spacing w:before="14"/>
              <w:ind w:left="639" w:right="627"/>
              <w:jc w:val="center"/>
              <w:rPr>
                <w:rFonts w:ascii="Arial"/>
                <w:sz w:val="12"/>
              </w:rPr>
            </w:pPr>
            <w:r>
              <w:rPr>
                <w:rFonts w:ascii="Arial"/>
                <w:w w:val="105"/>
                <w:sz w:val="12"/>
              </w:rPr>
              <w:t>0.0</w:t>
            </w:r>
          </w:p>
        </w:tc>
      </w:tr>
      <w:tr>
        <w:trPr>
          <w:trHeight w:val="177" w:hRule="exact"/>
        </w:trPr>
        <w:tc>
          <w:tcPr>
            <w:tcW w:w="1575" w:type="dxa"/>
            <w:tcBorders>
              <w:top w:val="nil"/>
              <w:left w:val="nil"/>
              <w:bottom w:val="nil"/>
              <w:right w:val="nil"/>
            </w:tcBorders>
          </w:tcPr>
          <w:p>
            <w:pPr>
              <w:pStyle w:val="TableParagraph"/>
              <w:spacing w:before="14"/>
              <w:ind w:left="665" w:right="660"/>
              <w:jc w:val="center"/>
              <w:rPr>
                <w:rFonts w:ascii="Arial"/>
                <w:sz w:val="12"/>
              </w:rPr>
            </w:pPr>
            <w:r>
              <w:rPr>
                <w:rFonts w:ascii="Arial"/>
                <w:w w:val="105"/>
                <w:sz w:val="12"/>
              </w:rPr>
              <w:t>027</w:t>
            </w:r>
          </w:p>
        </w:tc>
        <w:tc>
          <w:tcPr>
            <w:tcW w:w="1537" w:type="dxa"/>
            <w:tcBorders>
              <w:top w:val="nil"/>
              <w:left w:val="nil"/>
              <w:bottom w:val="nil"/>
              <w:right w:val="nil"/>
            </w:tcBorders>
          </w:tcPr>
          <w:p>
            <w:pPr>
              <w:pStyle w:val="TableParagraph"/>
              <w:spacing w:before="14"/>
              <w:ind w:left="23"/>
              <w:rPr>
                <w:rFonts w:ascii="Arial"/>
                <w:sz w:val="12"/>
              </w:rPr>
            </w:pPr>
            <w:r>
              <w:rPr>
                <w:rFonts w:ascii="Arial"/>
                <w:w w:val="105"/>
                <w:sz w:val="12"/>
              </w:rPr>
              <w:t>Chapultepec</w:t>
            </w:r>
          </w:p>
        </w:tc>
        <w:tc>
          <w:tcPr>
            <w:tcW w:w="1549" w:type="dxa"/>
            <w:tcBorders>
              <w:top w:val="nil"/>
              <w:left w:val="nil"/>
              <w:bottom w:val="nil"/>
              <w:right w:val="nil"/>
            </w:tcBorders>
          </w:tcPr>
          <w:p>
            <w:pPr>
              <w:pStyle w:val="TableParagraph"/>
              <w:spacing w:before="14"/>
              <w:ind w:left="636" w:right="624"/>
              <w:jc w:val="center"/>
              <w:rPr>
                <w:rFonts w:ascii="Arial"/>
                <w:sz w:val="12"/>
              </w:rPr>
            </w:pPr>
            <w:r>
              <w:rPr>
                <w:rFonts w:ascii="Arial"/>
                <w:w w:val="105"/>
                <w:sz w:val="12"/>
              </w:rPr>
              <w:t>0.0</w:t>
            </w:r>
          </w:p>
        </w:tc>
        <w:tc>
          <w:tcPr>
            <w:tcW w:w="1554" w:type="dxa"/>
            <w:tcBorders>
              <w:top w:val="nil"/>
              <w:left w:val="nil"/>
              <w:bottom w:val="nil"/>
              <w:right w:val="nil"/>
            </w:tcBorders>
          </w:tcPr>
          <w:p>
            <w:pPr>
              <w:pStyle w:val="TableParagraph"/>
              <w:spacing w:before="14"/>
              <w:ind w:left="639" w:right="627"/>
              <w:jc w:val="center"/>
              <w:rPr>
                <w:rFonts w:ascii="Arial"/>
                <w:sz w:val="12"/>
              </w:rPr>
            </w:pPr>
            <w:r>
              <w:rPr>
                <w:rFonts w:ascii="Arial"/>
                <w:w w:val="105"/>
                <w:sz w:val="12"/>
              </w:rPr>
              <w:t>0.0</w:t>
            </w:r>
          </w:p>
        </w:tc>
      </w:tr>
      <w:tr>
        <w:trPr>
          <w:trHeight w:val="177" w:hRule="exact"/>
        </w:trPr>
        <w:tc>
          <w:tcPr>
            <w:tcW w:w="1575" w:type="dxa"/>
            <w:tcBorders>
              <w:top w:val="nil"/>
              <w:left w:val="nil"/>
              <w:bottom w:val="nil"/>
              <w:right w:val="nil"/>
            </w:tcBorders>
          </w:tcPr>
          <w:p>
            <w:pPr>
              <w:pStyle w:val="TableParagraph"/>
              <w:spacing w:before="14"/>
              <w:ind w:left="665" w:right="660"/>
              <w:jc w:val="center"/>
              <w:rPr>
                <w:rFonts w:ascii="Arial"/>
                <w:sz w:val="12"/>
              </w:rPr>
            </w:pPr>
            <w:r>
              <w:rPr>
                <w:rFonts w:ascii="Arial"/>
                <w:w w:val="105"/>
                <w:sz w:val="12"/>
              </w:rPr>
              <w:t>051</w:t>
            </w:r>
          </w:p>
        </w:tc>
        <w:tc>
          <w:tcPr>
            <w:tcW w:w="1537" w:type="dxa"/>
            <w:tcBorders>
              <w:top w:val="nil"/>
              <w:left w:val="nil"/>
              <w:bottom w:val="nil"/>
              <w:right w:val="nil"/>
            </w:tcBorders>
          </w:tcPr>
          <w:p>
            <w:pPr>
              <w:pStyle w:val="TableParagraph"/>
              <w:spacing w:before="14"/>
              <w:ind w:left="23"/>
              <w:rPr>
                <w:rFonts w:ascii="Arial"/>
                <w:sz w:val="12"/>
              </w:rPr>
            </w:pPr>
            <w:r>
              <w:rPr>
                <w:rFonts w:ascii="Arial"/>
                <w:w w:val="105"/>
                <w:sz w:val="12"/>
              </w:rPr>
              <w:t>Lerma</w:t>
            </w:r>
          </w:p>
        </w:tc>
        <w:tc>
          <w:tcPr>
            <w:tcW w:w="1549" w:type="dxa"/>
            <w:tcBorders>
              <w:top w:val="nil"/>
              <w:left w:val="nil"/>
              <w:bottom w:val="nil"/>
              <w:right w:val="nil"/>
            </w:tcBorders>
          </w:tcPr>
          <w:p>
            <w:pPr>
              <w:pStyle w:val="TableParagraph"/>
              <w:spacing w:before="14"/>
              <w:ind w:left="636" w:right="627"/>
              <w:jc w:val="center"/>
              <w:rPr>
                <w:rFonts w:ascii="Arial"/>
                <w:sz w:val="12"/>
              </w:rPr>
            </w:pPr>
            <w:r>
              <w:rPr>
                <w:rFonts w:ascii="Arial"/>
                <w:w w:val="105"/>
                <w:sz w:val="12"/>
              </w:rPr>
              <w:t>16.3</w:t>
            </w:r>
          </w:p>
        </w:tc>
        <w:tc>
          <w:tcPr>
            <w:tcW w:w="1554" w:type="dxa"/>
            <w:tcBorders>
              <w:top w:val="nil"/>
              <w:left w:val="nil"/>
              <w:bottom w:val="nil"/>
              <w:right w:val="nil"/>
            </w:tcBorders>
          </w:tcPr>
          <w:p>
            <w:pPr>
              <w:pStyle w:val="TableParagraph"/>
              <w:spacing w:before="14"/>
              <w:ind w:left="642" w:right="627"/>
              <w:jc w:val="center"/>
              <w:rPr>
                <w:rFonts w:ascii="Arial"/>
                <w:sz w:val="12"/>
              </w:rPr>
            </w:pPr>
            <w:r>
              <w:rPr>
                <w:rFonts w:ascii="Arial"/>
                <w:w w:val="105"/>
                <w:sz w:val="12"/>
              </w:rPr>
              <w:t>16.8</w:t>
            </w:r>
          </w:p>
        </w:tc>
      </w:tr>
      <w:tr>
        <w:trPr>
          <w:trHeight w:val="177" w:hRule="exact"/>
        </w:trPr>
        <w:tc>
          <w:tcPr>
            <w:tcW w:w="1575" w:type="dxa"/>
            <w:tcBorders>
              <w:top w:val="nil"/>
              <w:left w:val="nil"/>
              <w:bottom w:val="nil"/>
              <w:right w:val="nil"/>
            </w:tcBorders>
          </w:tcPr>
          <w:p>
            <w:pPr>
              <w:pStyle w:val="TableParagraph"/>
              <w:spacing w:before="14"/>
              <w:ind w:left="665" w:right="660"/>
              <w:jc w:val="center"/>
              <w:rPr>
                <w:rFonts w:ascii="Arial"/>
                <w:sz w:val="12"/>
              </w:rPr>
            </w:pPr>
            <w:r>
              <w:rPr>
                <w:rFonts w:ascii="Arial"/>
                <w:w w:val="105"/>
                <w:sz w:val="12"/>
              </w:rPr>
              <w:t>054</w:t>
            </w:r>
          </w:p>
        </w:tc>
        <w:tc>
          <w:tcPr>
            <w:tcW w:w="1537" w:type="dxa"/>
            <w:tcBorders>
              <w:top w:val="nil"/>
              <w:left w:val="nil"/>
              <w:bottom w:val="nil"/>
              <w:right w:val="nil"/>
            </w:tcBorders>
          </w:tcPr>
          <w:p>
            <w:pPr>
              <w:pStyle w:val="TableParagraph"/>
              <w:spacing w:before="14"/>
              <w:ind w:left="23"/>
              <w:rPr>
                <w:rFonts w:ascii="Arial"/>
                <w:sz w:val="12"/>
              </w:rPr>
            </w:pPr>
            <w:r>
              <w:rPr>
                <w:rFonts w:ascii="Arial"/>
                <w:w w:val="105"/>
                <w:sz w:val="12"/>
              </w:rPr>
              <w:t>Metepec</w:t>
            </w:r>
          </w:p>
        </w:tc>
        <w:tc>
          <w:tcPr>
            <w:tcW w:w="1549" w:type="dxa"/>
            <w:tcBorders>
              <w:top w:val="nil"/>
              <w:left w:val="nil"/>
              <w:bottom w:val="nil"/>
              <w:right w:val="nil"/>
            </w:tcBorders>
          </w:tcPr>
          <w:p>
            <w:pPr>
              <w:pStyle w:val="TableParagraph"/>
              <w:spacing w:before="14"/>
              <w:ind w:left="636" w:right="627"/>
              <w:jc w:val="center"/>
              <w:rPr>
                <w:rFonts w:ascii="Arial"/>
                <w:sz w:val="12"/>
              </w:rPr>
            </w:pPr>
            <w:r>
              <w:rPr>
                <w:rFonts w:ascii="Arial"/>
                <w:w w:val="105"/>
                <w:sz w:val="12"/>
              </w:rPr>
              <w:t>81.6</w:t>
            </w:r>
          </w:p>
        </w:tc>
        <w:tc>
          <w:tcPr>
            <w:tcW w:w="1554" w:type="dxa"/>
            <w:tcBorders>
              <w:top w:val="nil"/>
              <w:left w:val="nil"/>
              <w:bottom w:val="nil"/>
              <w:right w:val="nil"/>
            </w:tcBorders>
          </w:tcPr>
          <w:p>
            <w:pPr>
              <w:pStyle w:val="TableParagraph"/>
              <w:spacing w:before="14"/>
              <w:ind w:left="642" w:right="627"/>
              <w:jc w:val="center"/>
              <w:rPr>
                <w:rFonts w:ascii="Arial"/>
                <w:sz w:val="12"/>
              </w:rPr>
            </w:pPr>
            <w:r>
              <w:rPr>
                <w:rFonts w:ascii="Arial"/>
                <w:w w:val="105"/>
                <w:sz w:val="12"/>
              </w:rPr>
              <w:t>76.5</w:t>
            </w:r>
          </w:p>
        </w:tc>
      </w:tr>
      <w:tr>
        <w:trPr>
          <w:trHeight w:val="177" w:hRule="exact"/>
        </w:trPr>
        <w:tc>
          <w:tcPr>
            <w:tcW w:w="1575" w:type="dxa"/>
            <w:tcBorders>
              <w:top w:val="nil"/>
              <w:left w:val="nil"/>
              <w:bottom w:val="nil"/>
              <w:right w:val="nil"/>
            </w:tcBorders>
          </w:tcPr>
          <w:p>
            <w:pPr>
              <w:pStyle w:val="TableParagraph"/>
              <w:spacing w:before="14"/>
              <w:ind w:left="665" w:right="660"/>
              <w:jc w:val="center"/>
              <w:rPr>
                <w:rFonts w:ascii="Arial"/>
                <w:sz w:val="12"/>
              </w:rPr>
            </w:pPr>
            <w:r>
              <w:rPr>
                <w:rFonts w:ascii="Arial"/>
                <w:w w:val="105"/>
                <w:sz w:val="12"/>
              </w:rPr>
              <w:t>055</w:t>
            </w:r>
          </w:p>
        </w:tc>
        <w:tc>
          <w:tcPr>
            <w:tcW w:w="1537" w:type="dxa"/>
            <w:tcBorders>
              <w:top w:val="nil"/>
              <w:left w:val="nil"/>
              <w:bottom w:val="nil"/>
              <w:right w:val="nil"/>
            </w:tcBorders>
          </w:tcPr>
          <w:p>
            <w:pPr>
              <w:pStyle w:val="TableParagraph"/>
              <w:spacing w:before="14"/>
              <w:ind w:left="23"/>
              <w:rPr>
                <w:rFonts w:ascii="Arial"/>
                <w:sz w:val="12"/>
              </w:rPr>
            </w:pPr>
            <w:r>
              <w:rPr>
                <w:rFonts w:ascii="Arial"/>
                <w:w w:val="105"/>
                <w:sz w:val="12"/>
              </w:rPr>
              <w:t>Mexicaltzingo</w:t>
            </w:r>
          </w:p>
        </w:tc>
        <w:tc>
          <w:tcPr>
            <w:tcW w:w="1549" w:type="dxa"/>
            <w:tcBorders>
              <w:top w:val="nil"/>
              <w:left w:val="nil"/>
              <w:bottom w:val="nil"/>
              <w:right w:val="nil"/>
            </w:tcBorders>
          </w:tcPr>
          <w:p>
            <w:pPr>
              <w:pStyle w:val="TableParagraph"/>
              <w:spacing w:before="14"/>
              <w:ind w:left="636" w:right="624"/>
              <w:jc w:val="center"/>
              <w:rPr>
                <w:rFonts w:ascii="Arial"/>
                <w:sz w:val="12"/>
              </w:rPr>
            </w:pPr>
            <w:r>
              <w:rPr>
                <w:rFonts w:ascii="Arial"/>
                <w:w w:val="105"/>
                <w:sz w:val="12"/>
              </w:rPr>
              <w:t>0.0</w:t>
            </w:r>
          </w:p>
        </w:tc>
        <w:tc>
          <w:tcPr>
            <w:tcW w:w="1554" w:type="dxa"/>
            <w:tcBorders>
              <w:top w:val="nil"/>
              <w:left w:val="nil"/>
              <w:bottom w:val="nil"/>
              <w:right w:val="nil"/>
            </w:tcBorders>
          </w:tcPr>
          <w:p>
            <w:pPr>
              <w:pStyle w:val="TableParagraph"/>
              <w:spacing w:before="14"/>
              <w:ind w:left="639" w:right="627"/>
              <w:jc w:val="center"/>
              <w:rPr>
                <w:rFonts w:ascii="Arial"/>
                <w:sz w:val="12"/>
              </w:rPr>
            </w:pPr>
            <w:r>
              <w:rPr>
                <w:rFonts w:ascii="Arial"/>
                <w:w w:val="105"/>
                <w:sz w:val="12"/>
              </w:rPr>
              <w:t>0.0</w:t>
            </w:r>
          </w:p>
        </w:tc>
      </w:tr>
      <w:tr>
        <w:trPr>
          <w:trHeight w:val="177" w:hRule="exact"/>
        </w:trPr>
        <w:tc>
          <w:tcPr>
            <w:tcW w:w="1575" w:type="dxa"/>
            <w:tcBorders>
              <w:top w:val="nil"/>
              <w:left w:val="nil"/>
              <w:bottom w:val="nil"/>
              <w:right w:val="nil"/>
            </w:tcBorders>
          </w:tcPr>
          <w:p>
            <w:pPr>
              <w:pStyle w:val="TableParagraph"/>
              <w:spacing w:before="14"/>
              <w:ind w:left="665" w:right="660"/>
              <w:jc w:val="center"/>
              <w:rPr>
                <w:rFonts w:ascii="Arial"/>
                <w:sz w:val="12"/>
              </w:rPr>
            </w:pPr>
            <w:r>
              <w:rPr>
                <w:rFonts w:ascii="Arial"/>
                <w:w w:val="105"/>
                <w:sz w:val="12"/>
              </w:rPr>
              <w:t>062</w:t>
            </w:r>
          </w:p>
        </w:tc>
        <w:tc>
          <w:tcPr>
            <w:tcW w:w="1537" w:type="dxa"/>
            <w:tcBorders>
              <w:top w:val="nil"/>
              <w:left w:val="nil"/>
              <w:bottom w:val="nil"/>
              <w:right w:val="nil"/>
            </w:tcBorders>
          </w:tcPr>
          <w:p>
            <w:pPr>
              <w:pStyle w:val="TableParagraph"/>
              <w:spacing w:before="14"/>
              <w:ind w:left="23"/>
              <w:rPr>
                <w:rFonts w:ascii="Arial"/>
                <w:sz w:val="12"/>
              </w:rPr>
            </w:pPr>
            <w:r>
              <w:rPr>
                <w:rFonts w:ascii="Arial"/>
                <w:w w:val="105"/>
                <w:sz w:val="12"/>
              </w:rPr>
              <w:t>Ocoyoacac</w:t>
            </w:r>
          </w:p>
        </w:tc>
        <w:tc>
          <w:tcPr>
            <w:tcW w:w="1549" w:type="dxa"/>
            <w:tcBorders>
              <w:top w:val="nil"/>
              <w:left w:val="nil"/>
              <w:bottom w:val="nil"/>
              <w:right w:val="nil"/>
            </w:tcBorders>
          </w:tcPr>
          <w:p>
            <w:pPr>
              <w:pStyle w:val="TableParagraph"/>
              <w:spacing w:before="14"/>
              <w:ind w:left="636" w:right="627"/>
              <w:jc w:val="center"/>
              <w:rPr>
                <w:rFonts w:ascii="Arial"/>
                <w:sz w:val="12"/>
              </w:rPr>
            </w:pPr>
            <w:r>
              <w:rPr>
                <w:rFonts w:ascii="Arial"/>
                <w:w w:val="105"/>
                <w:sz w:val="12"/>
              </w:rPr>
              <w:t>44.6</w:t>
            </w:r>
          </w:p>
        </w:tc>
        <w:tc>
          <w:tcPr>
            <w:tcW w:w="1554" w:type="dxa"/>
            <w:tcBorders>
              <w:top w:val="nil"/>
              <w:left w:val="nil"/>
              <w:bottom w:val="nil"/>
              <w:right w:val="nil"/>
            </w:tcBorders>
          </w:tcPr>
          <w:p>
            <w:pPr>
              <w:pStyle w:val="TableParagraph"/>
              <w:spacing w:before="14"/>
              <w:ind w:left="642" w:right="627"/>
              <w:jc w:val="center"/>
              <w:rPr>
                <w:rFonts w:ascii="Arial"/>
                <w:sz w:val="12"/>
              </w:rPr>
            </w:pPr>
            <w:r>
              <w:rPr>
                <w:rFonts w:ascii="Arial"/>
                <w:w w:val="105"/>
                <w:sz w:val="12"/>
              </w:rPr>
              <w:t>42.1</w:t>
            </w:r>
          </w:p>
        </w:tc>
      </w:tr>
      <w:tr>
        <w:trPr>
          <w:trHeight w:val="177" w:hRule="exact"/>
        </w:trPr>
        <w:tc>
          <w:tcPr>
            <w:tcW w:w="1575" w:type="dxa"/>
            <w:tcBorders>
              <w:top w:val="nil"/>
              <w:left w:val="nil"/>
              <w:bottom w:val="nil"/>
              <w:right w:val="nil"/>
            </w:tcBorders>
          </w:tcPr>
          <w:p>
            <w:pPr>
              <w:pStyle w:val="TableParagraph"/>
              <w:spacing w:before="14"/>
              <w:ind w:left="665" w:right="660"/>
              <w:jc w:val="center"/>
              <w:rPr>
                <w:rFonts w:ascii="Arial"/>
                <w:sz w:val="12"/>
              </w:rPr>
            </w:pPr>
            <w:r>
              <w:rPr>
                <w:rFonts w:ascii="Arial"/>
                <w:w w:val="105"/>
                <w:sz w:val="12"/>
              </w:rPr>
              <w:t>067</w:t>
            </w:r>
          </w:p>
        </w:tc>
        <w:tc>
          <w:tcPr>
            <w:tcW w:w="1537" w:type="dxa"/>
            <w:tcBorders>
              <w:top w:val="nil"/>
              <w:left w:val="nil"/>
              <w:bottom w:val="nil"/>
              <w:right w:val="nil"/>
            </w:tcBorders>
          </w:tcPr>
          <w:p>
            <w:pPr>
              <w:pStyle w:val="TableParagraph"/>
              <w:spacing w:before="14"/>
              <w:ind w:left="23"/>
              <w:rPr>
                <w:rFonts w:ascii="Arial"/>
                <w:sz w:val="12"/>
              </w:rPr>
            </w:pPr>
            <w:r>
              <w:rPr>
                <w:rFonts w:ascii="Arial"/>
                <w:w w:val="105"/>
                <w:sz w:val="12"/>
              </w:rPr>
              <w:t>Otzolotepec</w:t>
            </w:r>
          </w:p>
        </w:tc>
        <w:tc>
          <w:tcPr>
            <w:tcW w:w="1549" w:type="dxa"/>
            <w:tcBorders>
              <w:top w:val="nil"/>
              <w:left w:val="nil"/>
              <w:bottom w:val="nil"/>
              <w:right w:val="nil"/>
            </w:tcBorders>
          </w:tcPr>
          <w:p>
            <w:pPr>
              <w:pStyle w:val="TableParagraph"/>
              <w:spacing w:before="14"/>
              <w:ind w:left="636" w:right="627"/>
              <w:jc w:val="center"/>
              <w:rPr>
                <w:rFonts w:ascii="Arial"/>
                <w:sz w:val="12"/>
              </w:rPr>
            </w:pPr>
            <w:r>
              <w:rPr>
                <w:rFonts w:ascii="Arial"/>
                <w:w w:val="105"/>
                <w:sz w:val="12"/>
              </w:rPr>
              <w:t>28.6</w:t>
            </w:r>
          </w:p>
        </w:tc>
        <w:tc>
          <w:tcPr>
            <w:tcW w:w="1554" w:type="dxa"/>
            <w:tcBorders>
              <w:top w:val="nil"/>
              <w:left w:val="nil"/>
              <w:bottom w:val="nil"/>
              <w:right w:val="nil"/>
            </w:tcBorders>
          </w:tcPr>
          <w:p>
            <w:pPr>
              <w:pStyle w:val="TableParagraph"/>
              <w:spacing w:before="14"/>
              <w:ind w:left="639" w:right="627"/>
              <w:jc w:val="center"/>
              <w:rPr>
                <w:rFonts w:ascii="Arial"/>
                <w:sz w:val="12"/>
              </w:rPr>
            </w:pPr>
            <w:r>
              <w:rPr>
                <w:rFonts w:ascii="Arial"/>
                <w:w w:val="105"/>
                <w:sz w:val="12"/>
              </w:rPr>
              <w:t>0.0</w:t>
            </w:r>
          </w:p>
        </w:tc>
      </w:tr>
      <w:tr>
        <w:trPr>
          <w:trHeight w:val="177" w:hRule="exact"/>
        </w:trPr>
        <w:tc>
          <w:tcPr>
            <w:tcW w:w="1575" w:type="dxa"/>
            <w:tcBorders>
              <w:top w:val="nil"/>
              <w:left w:val="nil"/>
              <w:bottom w:val="nil"/>
              <w:right w:val="nil"/>
            </w:tcBorders>
          </w:tcPr>
          <w:p>
            <w:pPr>
              <w:pStyle w:val="TableParagraph"/>
              <w:spacing w:before="14"/>
              <w:ind w:left="665" w:right="660"/>
              <w:jc w:val="center"/>
              <w:rPr>
                <w:rFonts w:ascii="Arial"/>
                <w:sz w:val="12"/>
              </w:rPr>
            </w:pPr>
            <w:r>
              <w:rPr>
                <w:rFonts w:ascii="Arial"/>
                <w:w w:val="105"/>
                <w:sz w:val="12"/>
              </w:rPr>
              <w:t>072</w:t>
            </w:r>
          </w:p>
        </w:tc>
        <w:tc>
          <w:tcPr>
            <w:tcW w:w="1537" w:type="dxa"/>
            <w:tcBorders>
              <w:top w:val="nil"/>
              <w:left w:val="nil"/>
              <w:bottom w:val="nil"/>
              <w:right w:val="nil"/>
            </w:tcBorders>
          </w:tcPr>
          <w:p>
            <w:pPr>
              <w:pStyle w:val="TableParagraph"/>
              <w:spacing w:before="14"/>
              <w:ind w:left="23"/>
              <w:rPr>
                <w:rFonts w:ascii="Arial" w:hAnsi="Arial"/>
                <w:sz w:val="12"/>
              </w:rPr>
            </w:pPr>
            <w:r>
              <w:rPr>
                <w:rFonts w:ascii="Arial" w:hAnsi="Arial"/>
                <w:w w:val="105"/>
                <w:sz w:val="12"/>
              </w:rPr>
              <w:t>Rayón</w:t>
            </w:r>
          </w:p>
        </w:tc>
        <w:tc>
          <w:tcPr>
            <w:tcW w:w="1549" w:type="dxa"/>
            <w:tcBorders>
              <w:top w:val="nil"/>
              <w:left w:val="nil"/>
              <w:bottom w:val="nil"/>
              <w:right w:val="nil"/>
            </w:tcBorders>
          </w:tcPr>
          <w:p>
            <w:pPr>
              <w:pStyle w:val="TableParagraph"/>
              <w:spacing w:before="14"/>
              <w:ind w:left="636" w:right="624"/>
              <w:jc w:val="center"/>
              <w:rPr>
                <w:rFonts w:ascii="Arial"/>
                <w:sz w:val="12"/>
              </w:rPr>
            </w:pPr>
            <w:r>
              <w:rPr>
                <w:rFonts w:ascii="Arial"/>
                <w:w w:val="105"/>
                <w:sz w:val="12"/>
              </w:rPr>
              <w:t>0.0</w:t>
            </w:r>
          </w:p>
        </w:tc>
        <w:tc>
          <w:tcPr>
            <w:tcW w:w="1554" w:type="dxa"/>
            <w:tcBorders>
              <w:top w:val="nil"/>
              <w:left w:val="nil"/>
              <w:bottom w:val="nil"/>
              <w:right w:val="nil"/>
            </w:tcBorders>
          </w:tcPr>
          <w:p>
            <w:pPr>
              <w:pStyle w:val="TableParagraph"/>
              <w:spacing w:before="14"/>
              <w:ind w:left="639" w:right="627"/>
              <w:jc w:val="center"/>
              <w:rPr>
                <w:rFonts w:ascii="Arial"/>
                <w:sz w:val="12"/>
              </w:rPr>
            </w:pPr>
            <w:r>
              <w:rPr>
                <w:rFonts w:ascii="Arial"/>
                <w:w w:val="105"/>
                <w:sz w:val="12"/>
              </w:rPr>
              <w:t>0.0</w:t>
            </w:r>
          </w:p>
        </w:tc>
      </w:tr>
      <w:tr>
        <w:trPr>
          <w:trHeight w:val="177" w:hRule="exact"/>
        </w:trPr>
        <w:tc>
          <w:tcPr>
            <w:tcW w:w="1575" w:type="dxa"/>
            <w:tcBorders>
              <w:top w:val="nil"/>
              <w:left w:val="nil"/>
              <w:bottom w:val="nil"/>
              <w:right w:val="nil"/>
            </w:tcBorders>
          </w:tcPr>
          <w:p>
            <w:pPr>
              <w:pStyle w:val="TableParagraph"/>
              <w:spacing w:before="14"/>
              <w:ind w:left="665" w:right="660"/>
              <w:jc w:val="center"/>
              <w:rPr>
                <w:rFonts w:ascii="Arial"/>
                <w:sz w:val="12"/>
              </w:rPr>
            </w:pPr>
            <w:r>
              <w:rPr>
                <w:rFonts w:ascii="Arial"/>
                <w:w w:val="105"/>
                <w:sz w:val="12"/>
              </w:rPr>
              <w:t>073</w:t>
            </w:r>
          </w:p>
        </w:tc>
        <w:tc>
          <w:tcPr>
            <w:tcW w:w="1537" w:type="dxa"/>
            <w:tcBorders>
              <w:top w:val="nil"/>
              <w:left w:val="nil"/>
              <w:bottom w:val="nil"/>
              <w:right w:val="nil"/>
            </w:tcBorders>
          </w:tcPr>
          <w:p>
            <w:pPr>
              <w:pStyle w:val="TableParagraph"/>
              <w:spacing w:before="14"/>
              <w:ind w:left="23"/>
              <w:rPr>
                <w:rFonts w:ascii="Arial"/>
                <w:sz w:val="12"/>
              </w:rPr>
            </w:pPr>
            <w:r>
              <w:rPr>
                <w:rFonts w:ascii="Arial"/>
                <w:w w:val="105"/>
                <w:sz w:val="12"/>
              </w:rPr>
              <w:t>San Antonio la Isla</w:t>
            </w:r>
          </w:p>
        </w:tc>
        <w:tc>
          <w:tcPr>
            <w:tcW w:w="1549" w:type="dxa"/>
            <w:tcBorders>
              <w:top w:val="nil"/>
              <w:left w:val="nil"/>
              <w:bottom w:val="nil"/>
              <w:right w:val="nil"/>
            </w:tcBorders>
          </w:tcPr>
          <w:p>
            <w:pPr>
              <w:pStyle w:val="TableParagraph"/>
              <w:spacing w:before="14"/>
              <w:ind w:left="636" w:right="624"/>
              <w:jc w:val="center"/>
              <w:rPr>
                <w:rFonts w:ascii="Arial"/>
                <w:sz w:val="12"/>
              </w:rPr>
            </w:pPr>
            <w:r>
              <w:rPr>
                <w:rFonts w:ascii="Arial"/>
                <w:w w:val="105"/>
                <w:sz w:val="12"/>
              </w:rPr>
              <w:t>0.0</w:t>
            </w:r>
          </w:p>
        </w:tc>
        <w:tc>
          <w:tcPr>
            <w:tcW w:w="1554" w:type="dxa"/>
            <w:tcBorders>
              <w:top w:val="nil"/>
              <w:left w:val="nil"/>
              <w:bottom w:val="nil"/>
              <w:right w:val="nil"/>
            </w:tcBorders>
          </w:tcPr>
          <w:p>
            <w:pPr>
              <w:pStyle w:val="TableParagraph"/>
              <w:spacing w:before="14"/>
              <w:ind w:left="639" w:right="627"/>
              <w:jc w:val="center"/>
              <w:rPr>
                <w:rFonts w:ascii="Arial"/>
                <w:sz w:val="12"/>
              </w:rPr>
            </w:pPr>
            <w:r>
              <w:rPr>
                <w:rFonts w:ascii="Arial"/>
                <w:w w:val="105"/>
                <w:sz w:val="12"/>
              </w:rPr>
              <w:t>0.0</w:t>
            </w:r>
          </w:p>
        </w:tc>
      </w:tr>
      <w:tr>
        <w:trPr>
          <w:trHeight w:val="177" w:hRule="exact"/>
        </w:trPr>
        <w:tc>
          <w:tcPr>
            <w:tcW w:w="1575" w:type="dxa"/>
            <w:tcBorders>
              <w:top w:val="nil"/>
              <w:left w:val="nil"/>
              <w:bottom w:val="nil"/>
              <w:right w:val="nil"/>
            </w:tcBorders>
          </w:tcPr>
          <w:p>
            <w:pPr>
              <w:pStyle w:val="TableParagraph"/>
              <w:spacing w:before="14"/>
              <w:ind w:left="665" w:right="660"/>
              <w:jc w:val="center"/>
              <w:rPr>
                <w:rFonts w:ascii="Arial"/>
                <w:sz w:val="12"/>
              </w:rPr>
            </w:pPr>
            <w:r>
              <w:rPr>
                <w:rFonts w:ascii="Arial"/>
                <w:w w:val="105"/>
                <w:sz w:val="12"/>
              </w:rPr>
              <w:t>076</w:t>
            </w:r>
          </w:p>
        </w:tc>
        <w:tc>
          <w:tcPr>
            <w:tcW w:w="1537" w:type="dxa"/>
            <w:tcBorders>
              <w:top w:val="nil"/>
              <w:left w:val="nil"/>
              <w:bottom w:val="nil"/>
              <w:right w:val="nil"/>
            </w:tcBorders>
          </w:tcPr>
          <w:p>
            <w:pPr>
              <w:pStyle w:val="TableParagraph"/>
              <w:spacing w:before="14"/>
              <w:ind w:left="23"/>
              <w:rPr>
                <w:rFonts w:ascii="Arial"/>
                <w:sz w:val="12"/>
              </w:rPr>
            </w:pPr>
            <w:r>
              <w:rPr>
                <w:rFonts w:ascii="Arial"/>
                <w:w w:val="105"/>
                <w:sz w:val="12"/>
              </w:rPr>
              <w:t>San Mateo Atenco</w:t>
            </w:r>
          </w:p>
        </w:tc>
        <w:tc>
          <w:tcPr>
            <w:tcW w:w="1549" w:type="dxa"/>
            <w:tcBorders>
              <w:top w:val="nil"/>
              <w:left w:val="nil"/>
              <w:bottom w:val="nil"/>
              <w:right w:val="nil"/>
            </w:tcBorders>
          </w:tcPr>
          <w:p>
            <w:pPr>
              <w:pStyle w:val="TableParagraph"/>
              <w:spacing w:before="14"/>
              <w:ind w:left="636" w:right="627"/>
              <w:jc w:val="center"/>
              <w:rPr>
                <w:rFonts w:ascii="Arial"/>
                <w:sz w:val="12"/>
              </w:rPr>
            </w:pPr>
            <w:r>
              <w:rPr>
                <w:rFonts w:ascii="Arial"/>
                <w:w w:val="105"/>
                <w:sz w:val="12"/>
              </w:rPr>
              <w:t>96.3</w:t>
            </w:r>
          </w:p>
        </w:tc>
        <w:tc>
          <w:tcPr>
            <w:tcW w:w="1554" w:type="dxa"/>
            <w:tcBorders>
              <w:top w:val="nil"/>
              <w:left w:val="nil"/>
              <w:bottom w:val="nil"/>
              <w:right w:val="nil"/>
            </w:tcBorders>
          </w:tcPr>
          <w:p>
            <w:pPr>
              <w:pStyle w:val="TableParagraph"/>
              <w:spacing w:before="14"/>
              <w:ind w:left="642" w:right="627"/>
              <w:jc w:val="center"/>
              <w:rPr>
                <w:rFonts w:ascii="Arial"/>
                <w:sz w:val="12"/>
              </w:rPr>
            </w:pPr>
            <w:r>
              <w:rPr>
                <w:rFonts w:ascii="Arial"/>
                <w:w w:val="105"/>
                <w:sz w:val="12"/>
              </w:rPr>
              <w:t>93.5</w:t>
            </w:r>
          </w:p>
        </w:tc>
      </w:tr>
      <w:tr>
        <w:trPr>
          <w:trHeight w:val="177" w:hRule="exact"/>
        </w:trPr>
        <w:tc>
          <w:tcPr>
            <w:tcW w:w="1575" w:type="dxa"/>
            <w:tcBorders>
              <w:top w:val="nil"/>
              <w:left w:val="nil"/>
              <w:bottom w:val="nil"/>
              <w:right w:val="nil"/>
            </w:tcBorders>
          </w:tcPr>
          <w:p>
            <w:pPr>
              <w:pStyle w:val="TableParagraph"/>
              <w:spacing w:before="14"/>
              <w:ind w:left="665" w:right="660"/>
              <w:jc w:val="center"/>
              <w:rPr>
                <w:rFonts w:ascii="Arial"/>
                <w:sz w:val="12"/>
              </w:rPr>
            </w:pPr>
            <w:r>
              <w:rPr>
                <w:rFonts w:ascii="Arial"/>
                <w:w w:val="105"/>
                <w:sz w:val="12"/>
              </w:rPr>
              <w:t>087</w:t>
            </w:r>
          </w:p>
        </w:tc>
        <w:tc>
          <w:tcPr>
            <w:tcW w:w="1537" w:type="dxa"/>
            <w:tcBorders>
              <w:top w:val="nil"/>
              <w:left w:val="nil"/>
              <w:bottom w:val="nil"/>
              <w:right w:val="nil"/>
            </w:tcBorders>
          </w:tcPr>
          <w:p>
            <w:pPr>
              <w:pStyle w:val="TableParagraph"/>
              <w:spacing w:before="14"/>
              <w:ind w:left="23"/>
              <w:rPr>
                <w:rFonts w:ascii="Arial"/>
                <w:sz w:val="12"/>
              </w:rPr>
            </w:pPr>
            <w:r>
              <w:rPr>
                <w:rFonts w:ascii="Arial"/>
                <w:w w:val="105"/>
                <w:sz w:val="12"/>
              </w:rPr>
              <w:t>Temoaya</w:t>
            </w:r>
          </w:p>
        </w:tc>
        <w:tc>
          <w:tcPr>
            <w:tcW w:w="1549" w:type="dxa"/>
            <w:tcBorders>
              <w:top w:val="nil"/>
              <w:left w:val="nil"/>
              <w:bottom w:val="nil"/>
              <w:right w:val="nil"/>
            </w:tcBorders>
          </w:tcPr>
          <w:p>
            <w:pPr>
              <w:pStyle w:val="TableParagraph"/>
              <w:spacing w:before="14"/>
              <w:ind w:left="636" w:right="624"/>
              <w:jc w:val="center"/>
              <w:rPr>
                <w:rFonts w:ascii="Arial"/>
                <w:sz w:val="12"/>
              </w:rPr>
            </w:pPr>
            <w:r>
              <w:rPr>
                <w:rFonts w:ascii="Arial"/>
                <w:w w:val="105"/>
                <w:sz w:val="12"/>
              </w:rPr>
              <w:t>0.0</w:t>
            </w:r>
          </w:p>
        </w:tc>
        <w:tc>
          <w:tcPr>
            <w:tcW w:w="1554" w:type="dxa"/>
            <w:tcBorders>
              <w:top w:val="nil"/>
              <w:left w:val="nil"/>
              <w:bottom w:val="nil"/>
              <w:right w:val="nil"/>
            </w:tcBorders>
          </w:tcPr>
          <w:p>
            <w:pPr>
              <w:pStyle w:val="TableParagraph"/>
              <w:spacing w:before="14"/>
              <w:ind w:left="639" w:right="627"/>
              <w:jc w:val="center"/>
              <w:rPr>
                <w:rFonts w:ascii="Arial"/>
                <w:sz w:val="12"/>
              </w:rPr>
            </w:pPr>
            <w:r>
              <w:rPr>
                <w:rFonts w:ascii="Arial"/>
                <w:w w:val="105"/>
                <w:sz w:val="12"/>
              </w:rPr>
              <w:t>0.0</w:t>
            </w:r>
          </w:p>
        </w:tc>
      </w:tr>
      <w:tr>
        <w:trPr>
          <w:trHeight w:val="177" w:hRule="exact"/>
        </w:trPr>
        <w:tc>
          <w:tcPr>
            <w:tcW w:w="1575" w:type="dxa"/>
            <w:tcBorders>
              <w:top w:val="nil"/>
              <w:left w:val="nil"/>
              <w:bottom w:val="nil"/>
              <w:right w:val="nil"/>
            </w:tcBorders>
          </w:tcPr>
          <w:p>
            <w:pPr>
              <w:pStyle w:val="TableParagraph"/>
              <w:spacing w:before="14"/>
              <w:ind w:left="665" w:right="660"/>
              <w:jc w:val="center"/>
              <w:rPr>
                <w:rFonts w:ascii="Arial"/>
                <w:sz w:val="12"/>
              </w:rPr>
            </w:pPr>
            <w:r>
              <w:rPr>
                <w:rFonts w:ascii="Arial"/>
                <w:w w:val="105"/>
                <w:sz w:val="12"/>
              </w:rPr>
              <w:t>106</w:t>
            </w:r>
          </w:p>
        </w:tc>
        <w:tc>
          <w:tcPr>
            <w:tcW w:w="1537" w:type="dxa"/>
            <w:tcBorders>
              <w:top w:val="nil"/>
              <w:left w:val="nil"/>
              <w:bottom w:val="nil"/>
              <w:right w:val="nil"/>
            </w:tcBorders>
          </w:tcPr>
          <w:p>
            <w:pPr>
              <w:pStyle w:val="TableParagraph"/>
              <w:spacing w:before="14"/>
              <w:ind w:left="23"/>
              <w:rPr>
                <w:rFonts w:ascii="Arial"/>
                <w:sz w:val="12"/>
              </w:rPr>
            </w:pPr>
            <w:r>
              <w:rPr>
                <w:rFonts w:ascii="Arial"/>
                <w:w w:val="105"/>
                <w:sz w:val="12"/>
              </w:rPr>
              <w:t>Toluca</w:t>
            </w:r>
          </w:p>
        </w:tc>
        <w:tc>
          <w:tcPr>
            <w:tcW w:w="1549" w:type="dxa"/>
            <w:tcBorders>
              <w:top w:val="nil"/>
              <w:left w:val="nil"/>
              <w:bottom w:val="nil"/>
              <w:right w:val="nil"/>
            </w:tcBorders>
          </w:tcPr>
          <w:p>
            <w:pPr>
              <w:pStyle w:val="TableParagraph"/>
              <w:spacing w:before="14"/>
              <w:ind w:left="636" w:right="627"/>
              <w:jc w:val="center"/>
              <w:rPr>
                <w:rFonts w:ascii="Arial"/>
                <w:sz w:val="12"/>
              </w:rPr>
            </w:pPr>
            <w:r>
              <w:rPr>
                <w:rFonts w:ascii="Arial"/>
                <w:w w:val="105"/>
                <w:sz w:val="12"/>
              </w:rPr>
              <w:t>74.4</w:t>
            </w:r>
          </w:p>
        </w:tc>
        <w:tc>
          <w:tcPr>
            <w:tcW w:w="1554" w:type="dxa"/>
            <w:tcBorders>
              <w:top w:val="nil"/>
              <w:left w:val="nil"/>
              <w:bottom w:val="nil"/>
              <w:right w:val="nil"/>
            </w:tcBorders>
          </w:tcPr>
          <w:p>
            <w:pPr>
              <w:pStyle w:val="TableParagraph"/>
              <w:spacing w:before="14"/>
              <w:ind w:left="642" w:right="627"/>
              <w:jc w:val="center"/>
              <w:rPr>
                <w:rFonts w:ascii="Arial"/>
                <w:sz w:val="12"/>
              </w:rPr>
            </w:pPr>
            <w:r>
              <w:rPr>
                <w:rFonts w:ascii="Arial"/>
                <w:w w:val="105"/>
                <w:sz w:val="12"/>
              </w:rPr>
              <w:t>77.3</w:t>
            </w:r>
          </w:p>
        </w:tc>
      </w:tr>
      <w:tr>
        <w:trPr>
          <w:trHeight w:val="175" w:hRule="exact"/>
        </w:trPr>
        <w:tc>
          <w:tcPr>
            <w:tcW w:w="1575" w:type="dxa"/>
            <w:tcBorders>
              <w:top w:val="nil"/>
              <w:left w:val="nil"/>
              <w:bottom w:val="nil"/>
              <w:right w:val="nil"/>
            </w:tcBorders>
          </w:tcPr>
          <w:p>
            <w:pPr>
              <w:pStyle w:val="TableParagraph"/>
              <w:spacing w:before="14"/>
              <w:ind w:left="665" w:right="660"/>
              <w:jc w:val="center"/>
              <w:rPr>
                <w:rFonts w:ascii="Arial"/>
                <w:sz w:val="12"/>
              </w:rPr>
            </w:pPr>
            <w:r>
              <w:rPr>
                <w:rFonts w:ascii="Arial"/>
                <w:w w:val="105"/>
                <w:sz w:val="12"/>
              </w:rPr>
              <w:t>115</w:t>
            </w:r>
          </w:p>
        </w:tc>
        <w:tc>
          <w:tcPr>
            <w:tcW w:w="1537" w:type="dxa"/>
            <w:tcBorders>
              <w:top w:val="nil"/>
              <w:left w:val="nil"/>
              <w:bottom w:val="nil"/>
              <w:right w:val="nil"/>
            </w:tcBorders>
          </w:tcPr>
          <w:p>
            <w:pPr>
              <w:pStyle w:val="TableParagraph"/>
              <w:spacing w:before="14"/>
              <w:ind w:left="23"/>
              <w:rPr>
                <w:rFonts w:ascii="Arial" w:hAnsi="Arial"/>
                <w:sz w:val="12"/>
              </w:rPr>
            </w:pPr>
            <w:r>
              <w:rPr>
                <w:rFonts w:ascii="Arial" w:hAnsi="Arial"/>
                <w:w w:val="105"/>
                <w:sz w:val="12"/>
              </w:rPr>
              <w:t>Xonacatlán</w:t>
            </w:r>
          </w:p>
        </w:tc>
        <w:tc>
          <w:tcPr>
            <w:tcW w:w="1549" w:type="dxa"/>
            <w:tcBorders>
              <w:top w:val="nil"/>
              <w:left w:val="nil"/>
              <w:bottom w:val="nil"/>
              <w:right w:val="nil"/>
            </w:tcBorders>
          </w:tcPr>
          <w:p>
            <w:pPr>
              <w:pStyle w:val="TableParagraph"/>
              <w:spacing w:before="14"/>
              <w:ind w:left="636" w:right="627"/>
              <w:jc w:val="center"/>
              <w:rPr>
                <w:rFonts w:ascii="Arial"/>
                <w:sz w:val="12"/>
              </w:rPr>
            </w:pPr>
            <w:r>
              <w:rPr>
                <w:rFonts w:ascii="Arial"/>
                <w:w w:val="105"/>
                <w:sz w:val="12"/>
              </w:rPr>
              <w:t>42.7</w:t>
            </w:r>
          </w:p>
        </w:tc>
        <w:tc>
          <w:tcPr>
            <w:tcW w:w="1554" w:type="dxa"/>
            <w:tcBorders>
              <w:top w:val="nil"/>
              <w:left w:val="nil"/>
              <w:bottom w:val="nil"/>
              <w:right w:val="nil"/>
            </w:tcBorders>
          </w:tcPr>
          <w:p>
            <w:pPr>
              <w:pStyle w:val="TableParagraph"/>
              <w:spacing w:before="14"/>
              <w:ind w:left="642" w:right="627"/>
              <w:jc w:val="center"/>
              <w:rPr>
                <w:rFonts w:ascii="Arial"/>
                <w:sz w:val="12"/>
              </w:rPr>
            </w:pPr>
            <w:r>
              <w:rPr>
                <w:rFonts w:ascii="Arial"/>
                <w:w w:val="105"/>
                <w:sz w:val="12"/>
              </w:rPr>
              <w:t>44.6</w:t>
            </w:r>
          </w:p>
        </w:tc>
      </w:tr>
      <w:tr>
        <w:trPr>
          <w:trHeight w:val="181" w:hRule="exact"/>
        </w:trPr>
        <w:tc>
          <w:tcPr>
            <w:tcW w:w="1575" w:type="dxa"/>
            <w:tcBorders>
              <w:top w:val="nil"/>
              <w:left w:val="nil"/>
              <w:right w:val="nil"/>
            </w:tcBorders>
          </w:tcPr>
          <w:p>
            <w:pPr>
              <w:pStyle w:val="TableParagraph"/>
              <w:spacing w:before="12"/>
              <w:ind w:left="665" w:right="660"/>
              <w:jc w:val="center"/>
              <w:rPr>
                <w:rFonts w:ascii="Arial"/>
                <w:sz w:val="12"/>
              </w:rPr>
            </w:pPr>
            <w:r>
              <w:rPr>
                <w:rFonts w:ascii="Arial"/>
                <w:w w:val="105"/>
                <w:sz w:val="12"/>
              </w:rPr>
              <w:t>118</w:t>
            </w:r>
          </w:p>
        </w:tc>
        <w:tc>
          <w:tcPr>
            <w:tcW w:w="1537" w:type="dxa"/>
            <w:tcBorders>
              <w:top w:val="nil"/>
              <w:left w:val="nil"/>
              <w:right w:val="nil"/>
            </w:tcBorders>
          </w:tcPr>
          <w:p>
            <w:pPr>
              <w:pStyle w:val="TableParagraph"/>
              <w:spacing w:before="12"/>
              <w:ind w:left="23"/>
              <w:rPr>
                <w:rFonts w:ascii="Arial"/>
                <w:sz w:val="12"/>
              </w:rPr>
            </w:pPr>
            <w:r>
              <w:rPr>
                <w:rFonts w:ascii="Arial"/>
                <w:w w:val="105"/>
                <w:sz w:val="12"/>
              </w:rPr>
              <w:t>Zinacantepec</w:t>
            </w:r>
          </w:p>
        </w:tc>
        <w:tc>
          <w:tcPr>
            <w:tcW w:w="1549" w:type="dxa"/>
            <w:tcBorders>
              <w:top w:val="nil"/>
              <w:left w:val="nil"/>
              <w:right w:val="nil"/>
            </w:tcBorders>
          </w:tcPr>
          <w:p>
            <w:pPr>
              <w:pStyle w:val="TableParagraph"/>
              <w:spacing w:before="12"/>
              <w:ind w:left="636" w:right="627"/>
              <w:jc w:val="center"/>
              <w:rPr>
                <w:rFonts w:ascii="Arial"/>
                <w:sz w:val="12"/>
              </w:rPr>
            </w:pPr>
            <w:r>
              <w:rPr>
                <w:rFonts w:ascii="Arial"/>
                <w:w w:val="105"/>
                <w:sz w:val="12"/>
              </w:rPr>
              <w:t>35.0</w:t>
            </w:r>
          </w:p>
        </w:tc>
        <w:tc>
          <w:tcPr>
            <w:tcW w:w="1554" w:type="dxa"/>
            <w:tcBorders>
              <w:top w:val="nil"/>
              <w:left w:val="nil"/>
              <w:right w:val="nil"/>
            </w:tcBorders>
          </w:tcPr>
          <w:p>
            <w:pPr>
              <w:pStyle w:val="TableParagraph"/>
              <w:spacing w:before="12"/>
              <w:ind w:left="642" w:right="627"/>
              <w:jc w:val="center"/>
              <w:rPr>
                <w:rFonts w:ascii="Arial"/>
                <w:sz w:val="12"/>
              </w:rPr>
            </w:pPr>
            <w:r>
              <w:rPr>
                <w:rFonts w:ascii="Arial"/>
                <w:w w:val="105"/>
                <w:sz w:val="12"/>
              </w:rPr>
              <w:t>41.9</w:t>
            </w:r>
          </w:p>
        </w:tc>
      </w:tr>
    </w:tbl>
    <w:p>
      <w:pPr>
        <w:spacing w:before="130"/>
        <w:ind w:left="102" w:right="102" w:firstLine="0"/>
        <w:jc w:val="center"/>
        <w:rPr>
          <w:sz w:val="22"/>
        </w:rPr>
      </w:pPr>
      <w:r>
        <w:rPr>
          <w:sz w:val="22"/>
        </w:rPr>
        <w:t>Fuente: elaboración con base en los censos de población y vivienda, INEGI, 2000-2010.</w:t>
      </w:r>
    </w:p>
    <w:p>
      <w:pPr>
        <w:pStyle w:val="BodyText"/>
        <w:rPr>
          <w:sz w:val="22"/>
        </w:rPr>
      </w:pPr>
    </w:p>
    <w:p>
      <w:pPr>
        <w:pStyle w:val="BodyText"/>
        <w:spacing w:before="1"/>
        <w:rPr>
          <w:sz w:val="25"/>
        </w:rPr>
      </w:pPr>
    </w:p>
    <w:p>
      <w:pPr>
        <w:pStyle w:val="BodyText"/>
        <w:spacing w:line="360" w:lineRule="auto"/>
        <w:ind w:left="102" w:right="102"/>
        <w:jc w:val="center"/>
      </w:pPr>
      <w:r>
        <w:rPr/>
        <w:t>Para el año 2010, son ocho los municipios que presentan un alto grado de urbanización, destaca el municipio de San Mateo Atenco quien presenta más  </w:t>
      </w:r>
      <w:r>
        <w:rPr>
          <w:spacing w:val="64"/>
        </w:rPr>
        <w:t> </w:t>
      </w:r>
      <w:r>
        <w:rPr/>
        <w:t>del</w:t>
      </w:r>
    </w:p>
    <w:p>
      <w:pPr>
        <w:pStyle w:val="BodyText"/>
        <w:spacing w:line="360" w:lineRule="auto" w:before="5"/>
        <w:ind w:left="122" w:right="119"/>
        <w:jc w:val="both"/>
      </w:pPr>
      <w:r>
        <w:rPr/>
        <w:t>93 por ciento de población concentrada en zonas urbanas, le sigue Toluca y Metepec con el 77 y 76 por ciento respectivamente, municipios que cuentan con la mayoría de la población viviendo en localidades de más de 15 habitantes (zonas urbanas) como vimos anteriormente desde el año 2000 (ver cuadro 2).</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6"/>
        </w:rPr>
      </w:pPr>
      <w:r>
        <w:rPr/>
        <w:pict>
          <v:line style="position:absolute;mso-position-horizontal-relative:page;mso-position-vertical-relative:paragraph;z-index:7528;mso-wrap-distance-left:0;mso-wrap-distance-right:0" from="85.103996pt,17.657827pt" to="229.123996pt,17.657827pt" stroked="true" strokeweight=".83997pt" strokecolor="#000000">
            <w10:wrap type="topAndBottom"/>
          </v:line>
        </w:pict>
      </w:r>
    </w:p>
    <w:p>
      <w:pPr>
        <w:spacing w:before="78"/>
        <w:ind w:left="122" w:right="116" w:firstLine="0"/>
        <w:jc w:val="both"/>
        <w:rPr>
          <w:sz w:val="18"/>
        </w:rPr>
      </w:pPr>
      <w:r>
        <w:rPr>
          <w:w w:val="85"/>
          <w:position w:val="5"/>
          <w:sz w:val="12"/>
        </w:rPr>
        <w:t>23</w:t>
      </w:r>
      <w:r>
        <w:rPr>
          <w:spacing w:val="3"/>
          <w:w w:val="85"/>
          <w:position w:val="5"/>
          <w:sz w:val="12"/>
        </w:rPr>
        <w:t> </w:t>
      </w:r>
      <w:r>
        <w:rPr>
          <w:w w:val="85"/>
          <w:sz w:val="18"/>
        </w:rPr>
        <w:t>El</w:t>
      </w:r>
      <w:r>
        <w:rPr>
          <w:spacing w:val="-12"/>
          <w:w w:val="85"/>
          <w:sz w:val="18"/>
        </w:rPr>
        <w:t> </w:t>
      </w:r>
      <w:r>
        <w:rPr>
          <w:w w:val="85"/>
          <w:sz w:val="18"/>
        </w:rPr>
        <w:t>municipio</w:t>
      </w:r>
      <w:r>
        <w:rPr>
          <w:spacing w:val="-12"/>
          <w:w w:val="85"/>
          <w:sz w:val="18"/>
        </w:rPr>
        <w:t> </w:t>
      </w:r>
      <w:r>
        <w:rPr>
          <w:w w:val="85"/>
          <w:sz w:val="18"/>
        </w:rPr>
        <w:t>de</w:t>
      </w:r>
      <w:r>
        <w:rPr>
          <w:spacing w:val="-11"/>
          <w:w w:val="85"/>
          <w:sz w:val="18"/>
        </w:rPr>
        <w:t> </w:t>
      </w:r>
      <w:r>
        <w:rPr>
          <w:w w:val="85"/>
          <w:sz w:val="18"/>
        </w:rPr>
        <w:t>Otzolotepec</w:t>
      </w:r>
      <w:r>
        <w:rPr>
          <w:spacing w:val="-10"/>
          <w:w w:val="85"/>
          <w:sz w:val="18"/>
        </w:rPr>
        <w:t> </w:t>
      </w:r>
      <w:r>
        <w:rPr>
          <w:w w:val="85"/>
          <w:sz w:val="18"/>
        </w:rPr>
        <w:t>en</w:t>
      </w:r>
      <w:r>
        <w:rPr>
          <w:spacing w:val="-11"/>
          <w:w w:val="85"/>
          <w:sz w:val="18"/>
        </w:rPr>
        <w:t> </w:t>
      </w:r>
      <w:r>
        <w:rPr>
          <w:w w:val="85"/>
          <w:sz w:val="18"/>
        </w:rPr>
        <w:t>el</w:t>
      </w:r>
      <w:r>
        <w:rPr>
          <w:spacing w:val="-12"/>
          <w:w w:val="85"/>
          <w:sz w:val="18"/>
        </w:rPr>
        <w:t> </w:t>
      </w:r>
      <w:r>
        <w:rPr>
          <w:w w:val="85"/>
          <w:sz w:val="18"/>
        </w:rPr>
        <w:t>año</w:t>
      </w:r>
      <w:r>
        <w:rPr>
          <w:spacing w:val="-12"/>
          <w:w w:val="85"/>
          <w:sz w:val="18"/>
        </w:rPr>
        <w:t> </w:t>
      </w:r>
      <w:r>
        <w:rPr>
          <w:w w:val="85"/>
          <w:sz w:val="18"/>
        </w:rPr>
        <w:t>2000</w:t>
      </w:r>
      <w:r>
        <w:rPr>
          <w:spacing w:val="-11"/>
          <w:w w:val="85"/>
          <w:sz w:val="18"/>
        </w:rPr>
        <w:t> </w:t>
      </w:r>
      <w:r>
        <w:rPr>
          <w:w w:val="85"/>
          <w:sz w:val="18"/>
        </w:rPr>
        <w:t>registraba</w:t>
      </w:r>
      <w:r>
        <w:rPr>
          <w:spacing w:val="-12"/>
          <w:w w:val="85"/>
          <w:sz w:val="18"/>
        </w:rPr>
        <w:t> </w:t>
      </w:r>
      <w:r>
        <w:rPr>
          <w:w w:val="85"/>
          <w:sz w:val="18"/>
        </w:rPr>
        <w:t>la</w:t>
      </w:r>
      <w:r>
        <w:rPr>
          <w:spacing w:val="-11"/>
          <w:w w:val="85"/>
          <w:sz w:val="18"/>
        </w:rPr>
        <w:t> </w:t>
      </w:r>
      <w:r>
        <w:rPr>
          <w:w w:val="85"/>
          <w:sz w:val="18"/>
        </w:rPr>
        <w:t>cabecera</w:t>
      </w:r>
      <w:r>
        <w:rPr>
          <w:spacing w:val="-12"/>
          <w:w w:val="85"/>
          <w:sz w:val="18"/>
        </w:rPr>
        <w:t> </w:t>
      </w:r>
      <w:r>
        <w:rPr>
          <w:w w:val="85"/>
          <w:sz w:val="18"/>
        </w:rPr>
        <w:t>municipal</w:t>
      </w:r>
      <w:r>
        <w:rPr>
          <w:spacing w:val="-12"/>
          <w:w w:val="85"/>
          <w:sz w:val="18"/>
        </w:rPr>
        <w:t> </w:t>
      </w:r>
      <w:r>
        <w:rPr>
          <w:w w:val="85"/>
          <w:sz w:val="18"/>
        </w:rPr>
        <w:t>más</w:t>
      </w:r>
      <w:r>
        <w:rPr>
          <w:spacing w:val="-12"/>
          <w:w w:val="85"/>
          <w:sz w:val="18"/>
        </w:rPr>
        <w:t> </w:t>
      </w:r>
      <w:r>
        <w:rPr>
          <w:w w:val="85"/>
          <w:sz w:val="18"/>
        </w:rPr>
        <w:t>de</w:t>
      </w:r>
      <w:r>
        <w:rPr>
          <w:spacing w:val="-11"/>
          <w:w w:val="85"/>
          <w:sz w:val="18"/>
        </w:rPr>
        <w:t> </w:t>
      </w:r>
      <w:r>
        <w:rPr>
          <w:w w:val="85"/>
          <w:sz w:val="18"/>
        </w:rPr>
        <w:t>16</w:t>
      </w:r>
      <w:r>
        <w:rPr>
          <w:spacing w:val="-11"/>
          <w:w w:val="85"/>
          <w:sz w:val="18"/>
        </w:rPr>
        <w:t> </w:t>
      </w:r>
      <w:r>
        <w:rPr>
          <w:w w:val="85"/>
          <w:sz w:val="18"/>
        </w:rPr>
        <w:t>mil</w:t>
      </w:r>
      <w:r>
        <w:rPr>
          <w:spacing w:val="-12"/>
          <w:w w:val="85"/>
          <w:sz w:val="18"/>
        </w:rPr>
        <w:t> </w:t>
      </w:r>
      <w:r>
        <w:rPr>
          <w:w w:val="85"/>
          <w:sz w:val="18"/>
        </w:rPr>
        <w:t>habitantes,</w:t>
      </w:r>
      <w:r>
        <w:rPr>
          <w:spacing w:val="-12"/>
          <w:w w:val="85"/>
          <w:sz w:val="18"/>
        </w:rPr>
        <w:t> </w:t>
      </w:r>
      <w:r>
        <w:rPr>
          <w:w w:val="85"/>
          <w:sz w:val="18"/>
        </w:rPr>
        <w:t>y</w:t>
      </w:r>
      <w:r>
        <w:rPr>
          <w:spacing w:val="-12"/>
          <w:w w:val="85"/>
          <w:sz w:val="18"/>
        </w:rPr>
        <w:t> </w:t>
      </w:r>
      <w:r>
        <w:rPr>
          <w:w w:val="85"/>
          <w:sz w:val="18"/>
        </w:rPr>
        <w:t>en</w:t>
      </w:r>
      <w:r>
        <w:rPr>
          <w:spacing w:val="-10"/>
          <w:w w:val="85"/>
          <w:sz w:val="18"/>
        </w:rPr>
        <w:t> </w:t>
      </w:r>
      <w:r>
        <w:rPr>
          <w:w w:val="85"/>
          <w:sz w:val="18"/>
        </w:rPr>
        <w:t>el</w:t>
      </w:r>
      <w:r>
        <w:rPr>
          <w:spacing w:val="-12"/>
          <w:w w:val="85"/>
          <w:sz w:val="18"/>
        </w:rPr>
        <w:t> </w:t>
      </w:r>
      <w:r>
        <w:rPr>
          <w:w w:val="85"/>
          <w:sz w:val="18"/>
        </w:rPr>
        <w:t>año</w:t>
      </w:r>
      <w:r>
        <w:rPr>
          <w:spacing w:val="-10"/>
          <w:w w:val="85"/>
          <w:sz w:val="18"/>
        </w:rPr>
        <w:t> </w:t>
      </w:r>
      <w:r>
        <w:rPr>
          <w:w w:val="85"/>
          <w:sz w:val="18"/>
        </w:rPr>
        <w:t>2010</w:t>
      </w:r>
      <w:r>
        <w:rPr>
          <w:spacing w:val="-11"/>
          <w:w w:val="85"/>
          <w:sz w:val="18"/>
        </w:rPr>
        <w:t> </w:t>
      </w:r>
      <w:r>
        <w:rPr>
          <w:w w:val="85"/>
          <w:sz w:val="18"/>
        </w:rPr>
        <w:t>registra</w:t>
      </w:r>
      <w:r>
        <w:rPr>
          <w:spacing w:val="-10"/>
          <w:w w:val="85"/>
          <w:sz w:val="18"/>
        </w:rPr>
        <w:t> </w:t>
      </w:r>
      <w:r>
        <w:rPr>
          <w:w w:val="85"/>
          <w:sz w:val="18"/>
        </w:rPr>
        <w:t>11 </w:t>
      </w:r>
      <w:r>
        <w:rPr>
          <w:w w:val="90"/>
          <w:sz w:val="18"/>
        </w:rPr>
        <w:t>mil habitantes en la cabecera municipal, lo que significa un importante movimiento de población ya sea por migración o desplazamiento.</w:t>
      </w:r>
    </w:p>
    <w:p>
      <w:pPr>
        <w:spacing w:after="0"/>
        <w:jc w:val="both"/>
        <w:rPr>
          <w:sz w:val="18"/>
        </w:rPr>
        <w:sectPr>
          <w:pgSz w:w="12240" w:h="15840"/>
          <w:pgMar w:header="0" w:footer="943" w:top="1360" w:bottom="1200" w:left="1580" w:right="1580"/>
        </w:sectPr>
      </w:pPr>
    </w:p>
    <w:p>
      <w:pPr>
        <w:pStyle w:val="Heading4"/>
      </w:pPr>
      <w:r>
        <w:rPr/>
        <w:t>Conclusiones</w:t>
      </w:r>
    </w:p>
    <w:p>
      <w:pPr>
        <w:pStyle w:val="BodyText"/>
        <w:rPr>
          <w:b/>
        </w:rPr>
      </w:pPr>
    </w:p>
    <w:p>
      <w:pPr>
        <w:pStyle w:val="BodyText"/>
        <w:rPr>
          <w:b/>
        </w:rPr>
      </w:pPr>
    </w:p>
    <w:p>
      <w:pPr>
        <w:pStyle w:val="BodyText"/>
        <w:spacing w:line="360" w:lineRule="auto"/>
        <w:ind w:left="102" w:right="104"/>
        <w:jc w:val="both"/>
      </w:pPr>
      <w:r>
        <w:rPr/>
        <w:t>La habitabilidad debe ser entendida más allá de las características físicas de la vivienda, con la dimensión material y social que se desarrolla a escala urbana. En el ámbito de la vivienda, es posible detectar profundos cambios acontecidos recientemente en sociedades con un aumento en los recursos disponibles.</w:t>
      </w:r>
    </w:p>
    <w:p>
      <w:pPr>
        <w:pStyle w:val="BodyText"/>
        <w:spacing w:line="360" w:lineRule="auto" w:before="204"/>
        <w:ind w:left="102" w:right="106"/>
        <w:jc w:val="both"/>
      </w:pPr>
      <w:r>
        <w:rPr/>
        <w:t>Deberían existir soluciones habitacionales presentes en la sociedad por ejemplo, adultos mayores, personas viviendo solas, inmigrantes, parejas sin hijos, familias extensas, familias compuestas, etc.</w:t>
      </w:r>
    </w:p>
    <w:p>
      <w:pPr>
        <w:pStyle w:val="BodyText"/>
        <w:spacing w:line="360" w:lineRule="auto" w:before="202"/>
        <w:ind w:left="102" w:right="106"/>
        <w:jc w:val="both"/>
      </w:pPr>
      <w:r>
        <w:rPr/>
        <w:t>Es aquí que está investigación pretende contribuir que el derecho a la vivienda aparezca más como el derecho a la ciudad, que las políticas enfocadas a la habitabilidad, se basen en las viviendas donde la gente vive, trabaja, estudia, en un mismo espacio dentro de la</w:t>
      </w:r>
      <w:r>
        <w:rPr>
          <w:spacing w:val="-12"/>
        </w:rPr>
        <w:t> </w:t>
      </w:r>
      <w:r>
        <w:rPr/>
        <w:t>ciudad.</w:t>
      </w:r>
    </w:p>
    <w:p>
      <w:pPr>
        <w:pStyle w:val="BodyText"/>
      </w:pPr>
    </w:p>
    <w:p>
      <w:pPr>
        <w:pStyle w:val="BodyText"/>
      </w:pPr>
    </w:p>
    <w:p>
      <w:pPr>
        <w:pStyle w:val="BodyText"/>
        <w:spacing w:before="2"/>
        <w:rPr>
          <w:sz w:val="23"/>
        </w:rPr>
      </w:pPr>
    </w:p>
    <w:p>
      <w:pPr>
        <w:pStyle w:val="Heading4"/>
        <w:spacing w:before="0"/>
      </w:pPr>
      <w:bookmarkStart w:name="_TOC_250000" w:id="34"/>
      <w:bookmarkEnd w:id="34"/>
      <w:r>
        <w:rPr/>
        <w:t>Bibliografía</w:t>
      </w:r>
    </w:p>
    <w:p>
      <w:pPr>
        <w:pStyle w:val="BodyText"/>
        <w:rPr>
          <w:b/>
        </w:rPr>
      </w:pPr>
    </w:p>
    <w:p>
      <w:pPr>
        <w:pStyle w:val="BodyText"/>
        <w:rPr>
          <w:b/>
        </w:rPr>
      </w:pPr>
    </w:p>
    <w:p>
      <w:pPr>
        <w:spacing w:line="360" w:lineRule="auto" w:before="197"/>
        <w:ind w:left="102" w:right="98" w:firstLine="0"/>
        <w:jc w:val="both"/>
        <w:rPr>
          <w:sz w:val="24"/>
        </w:rPr>
      </w:pPr>
      <w:r>
        <w:rPr>
          <w:sz w:val="24"/>
        </w:rPr>
        <w:t>Biroch, Paul (1990), </w:t>
      </w:r>
      <w:r>
        <w:rPr>
          <w:i/>
          <w:sz w:val="24"/>
        </w:rPr>
        <w:t>De Jericó a México. Historia de Urbanización</w:t>
      </w:r>
      <w:r>
        <w:rPr>
          <w:sz w:val="24"/>
        </w:rPr>
        <w:t>. Editorial Trillas. México D. F.</w:t>
      </w:r>
    </w:p>
    <w:p>
      <w:pPr>
        <w:spacing w:line="360" w:lineRule="auto" w:before="2"/>
        <w:ind w:left="102" w:right="98" w:firstLine="0"/>
        <w:jc w:val="both"/>
        <w:rPr>
          <w:sz w:val="24"/>
        </w:rPr>
      </w:pPr>
      <w:r>
        <w:rPr>
          <w:sz w:val="24"/>
        </w:rPr>
        <w:t>CONAPO/SEDESOL/INEGI (2008), </w:t>
      </w:r>
      <w:r>
        <w:rPr>
          <w:i/>
          <w:sz w:val="24"/>
        </w:rPr>
        <w:t>Delimitación de las zonas metropolitanas de </w:t>
      </w:r>
      <w:r>
        <w:rPr>
          <w:i/>
          <w:sz w:val="24"/>
        </w:rPr>
        <w:t>México, versión actualizada para el conteo de población y vivienda, 2005 y publicada en 2008. </w:t>
      </w:r>
      <w:r>
        <w:rPr>
          <w:sz w:val="24"/>
        </w:rPr>
        <w:t>Consejo Nacional de Población, Secretaria de Desarrollo Social e Instituto Nacional de Estadística y Geografía,</w:t>
      </w:r>
      <w:r>
        <w:rPr>
          <w:spacing w:val="-24"/>
          <w:sz w:val="24"/>
        </w:rPr>
        <w:t> </w:t>
      </w:r>
      <w:r>
        <w:rPr>
          <w:sz w:val="24"/>
        </w:rPr>
        <w:t>México.</w:t>
      </w:r>
    </w:p>
    <w:p>
      <w:pPr>
        <w:spacing w:line="360" w:lineRule="auto" w:before="3"/>
        <w:ind w:left="102" w:right="101" w:firstLine="0"/>
        <w:jc w:val="both"/>
        <w:rPr>
          <w:sz w:val="24"/>
        </w:rPr>
      </w:pPr>
      <w:r>
        <w:rPr>
          <w:sz w:val="24"/>
        </w:rPr>
        <w:t>CONAPO/SEDESOL/INEGI (2012), </w:t>
      </w:r>
      <w:r>
        <w:rPr>
          <w:i/>
          <w:sz w:val="24"/>
        </w:rPr>
        <w:t>Delimitación de las zonas metropolitanas de </w:t>
      </w:r>
      <w:r>
        <w:rPr>
          <w:i/>
          <w:sz w:val="24"/>
        </w:rPr>
        <w:t>México, versión actualizada para el censo de población y vivienda, 2010 y publicada en 2012. </w:t>
      </w:r>
      <w:r>
        <w:rPr>
          <w:sz w:val="24"/>
        </w:rPr>
        <w:t>Consejo Nacional de Población, Secretaria de Desarrollo Social e Instituto Nacional de Estadística y Geografía,</w:t>
      </w:r>
      <w:r>
        <w:rPr>
          <w:spacing w:val="-24"/>
          <w:sz w:val="24"/>
        </w:rPr>
        <w:t> </w:t>
      </w:r>
      <w:r>
        <w:rPr>
          <w:sz w:val="24"/>
        </w:rPr>
        <w:t>México.</w:t>
      </w:r>
    </w:p>
    <w:p>
      <w:pPr>
        <w:pStyle w:val="BodyText"/>
        <w:spacing w:line="360" w:lineRule="auto" w:before="5"/>
        <w:ind w:left="102" w:right="98"/>
        <w:jc w:val="both"/>
      </w:pPr>
      <w:r>
        <w:rPr/>
        <w:t>Domínguez, Judith (2010), “El acceso al agua y saneamiento: Un problema de capacidad institucional local. Análisis en el estado de Veracruz”. </w:t>
      </w:r>
      <w:r>
        <w:rPr>
          <w:i/>
        </w:rPr>
        <w:t>Gestión y Política </w:t>
      </w:r>
      <w:r>
        <w:rPr>
          <w:i/>
        </w:rPr>
        <w:t>Pública</w:t>
      </w:r>
      <w:r>
        <w:rPr/>
        <w:t>, vol. 3, pp. 311-350.</w:t>
      </w:r>
    </w:p>
    <w:p>
      <w:pPr>
        <w:spacing w:after="0" w:line="360" w:lineRule="auto"/>
        <w:jc w:val="both"/>
        <w:sectPr>
          <w:pgSz w:w="12240" w:h="15840"/>
          <w:pgMar w:header="0" w:footer="943" w:top="1360" w:bottom="1200" w:left="1600" w:right="1600"/>
        </w:sectPr>
      </w:pPr>
    </w:p>
    <w:p>
      <w:pPr>
        <w:pStyle w:val="BodyText"/>
        <w:spacing w:line="360" w:lineRule="auto" w:before="54"/>
        <w:ind w:left="102" w:right="152"/>
      </w:pPr>
      <w:r>
        <w:rPr/>
        <w:t>Esquivel, María Teresa (2006), “Política habitacional y calidad de vida: impacto de los nuevos desarrollos habitacionales” </w:t>
      </w:r>
      <w:r>
        <w:rPr>
          <w:spacing w:val="2"/>
        </w:rPr>
        <w:t>en </w:t>
      </w:r>
      <w:r>
        <w:rPr/>
        <w:t>Centro de Estudios Sociales y de  Opinión Pública. Cámara de Diputados / LIX Legislatura. México D. F. pp. 83-104. Foster, HD. (1992), </w:t>
      </w:r>
      <w:r>
        <w:rPr>
          <w:i/>
        </w:rPr>
        <w:t>Health, Disease and the Environment</w:t>
      </w:r>
      <w:r>
        <w:rPr/>
        <w:t>. London, England: Belhaven</w:t>
      </w:r>
      <w:r>
        <w:rPr>
          <w:spacing w:val="-7"/>
        </w:rPr>
        <w:t> </w:t>
      </w:r>
      <w:r>
        <w:rPr/>
        <w:t>Press.</w:t>
      </w:r>
    </w:p>
    <w:p>
      <w:pPr>
        <w:spacing w:line="360" w:lineRule="auto" w:before="2"/>
        <w:ind w:left="102" w:right="0" w:firstLine="0"/>
        <w:jc w:val="left"/>
        <w:rPr>
          <w:sz w:val="24"/>
        </w:rPr>
      </w:pPr>
      <w:r>
        <w:rPr>
          <w:sz w:val="24"/>
        </w:rPr>
        <w:t>Gledhill, John (2010), “El derecho a una vivienda”. </w:t>
      </w:r>
      <w:r>
        <w:rPr>
          <w:i/>
          <w:sz w:val="24"/>
        </w:rPr>
        <w:t>Revista de Antropología Social</w:t>
      </w:r>
      <w:r>
        <w:rPr>
          <w:sz w:val="24"/>
        </w:rPr>
        <w:t>, vol. 19, pp. 103-129.</w:t>
      </w:r>
    </w:p>
    <w:p>
      <w:pPr>
        <w:pStyle w:val="BodyText"/>
        <w:spacing w:line="360" w:lineRule="auto" w:before="5"/>
        <w:ind w:left="102" w:right="2241"/>
      </w:pPr>
      <w:r>
        <w:rPr/>
        <w:t>INEGI (1990) XI Censo General de Población y Vivienda. INEGI (2000) XII Censo General de Población y Vivienda.</w:t>
      </w:r>
    </w:p>
    <w:p>
      <w:pPr>
        <w:pStyle w:val="BodyText"/>
        <w:spacing w:line="360" w:lineRule="auto" w:before="5"/>
        <w:ind w:left="102"/>
      </w:pPr>
      <w:r>
        <w:rPr/>
        <w:t>INEGI (2000), Glosario de términos del XII Censo de Población y Vivienda. Aguascalientes, México.</w:t>
      </w:r>
    </w:p>
    <w:p>
      <w:pPr>
        <w:pStyle w:val="BodyText"/>
        <w:spacing w:before="5"/>
        <w:ind w:left="102"/>
      </w:pPr>
      <w:r>
        <w:rPr/>
        <w:t>INEGI (2010) XIII Censo General de Población y Vivienda.</w:t>
      </w:r>
    </w:p>
    <w:p>
      <w:pPr>
        <w:pStyle w:val="BodyText"/>
        <w:spacing w:line="360" w:lineRule="auto" w:before="137"/>
        <w:ind w:left="102"/>
      </w:pPr>
      <w:r>
        <w:rPr/>
        <w:t>INEGI (2010), Glosario de términos del XIII Censo de Población y Vivienda. Aguascalientes, México.</w:t>
      </w:r>
    </w:p>
    <w:p>
      <w:pPr>
        <w:spacing w:line="362" w:lineRule="auto" w:before="0"/>
        <w:ind w:left="102" w:right="0" w:firstLine="0"/>
        <w:jc w:val="left"/>
        <w:rPr>
          <w:sz w:val="24"/>
        </w:rPr>
      </w:pPr>
      <w:r>
        <w:rPr>
          <w:sz w:val="24"/>
        </w:rPr>
        <w:t>Ineichen B. (1993), </w:t>
      </w:r>
      <w:r>
        <w:rPr>
          <w:i/>
          <w:sz w:val="24"/>
        </w:rPr>
        <w:t>Homes and Health: How Housing and Health Interact</w:t>
      </w:r>
      <w:r>
        <w:rPr>
          <w:sz w:val="24"/>
        </w:rPr>
        <w:t>. London, England: E&amp;FN Spon.</w:t>
      </w:r>
    </w:p>
    <w:p>
      <w:pPr>
        <w:spacing w:line="362" w:lineRule="auto" w:before="0"/>
        <w:ind w:left="102" w:right="0" w:firstLine="0"/>
        <w:jc w:val="left"/>
        <w:rPr>
          <w:sz w:val="24"/>
        </w:rPr>
      </w:pPr>
      <w:r>
        <w:rPr>
          <w:sz w:val="24"/>
        </w:rPr>
        <w:t>Kreiger, J. Higgins, DL. (2002), </w:t>
      </w:r>
      <w:r>
        <w:rPr>
          <w:i/>
          <w:sz w:val="24"/>
        </w:rPr>
        <w:t>Housing and health: Time again for public health </w:t>
      </w:r>
      <w:r>
        <w:rPr>
          <w:i/>
          <w:sz w:val="24"/>
        </w:rPr>
        <w:t>action</w:t>
      </w:r>
      <w:r>
        <w:rPr>
          <w:sz w:val="24"/>
        </w:rPr>
        <w:t>. American Journal of Public Health. May 2002, Vol. 92, No 5, 758-768.</w:t>
      </w:r>
    </w:p>
    <w:p>
      <w:pPr>
        <w:pStyle w:val="BodyText"/>
        <w:spacing w:line="362" w:lineRule="auto"/>
        <w:ind w:left="102"/>
      </w:pPr>
      <w:r>
        <w:rPr/>
        <w:t>Organización Mundial de la Salud (2006), </w:t>
      </w:r>
      <w:r>
        <w:rPr>
          <w:i/>
        </w:rPr>
        <w:t>Vivienda Saludable</w:t>
      </w:r>
      <w:r>
        <w:rPr/>
        <w:t>: Reto del Milenio en los Asentamientos Precarios de América Latina y el Caribe. Caracas, Venezuela.</w:t>
      </w:r>
    </w:p>
    <w:p>
      <w:pPr>
        <w:spacing w:line="360" w:lineRule="auto" w:before="0"/>
        <w:ind w:left="102" w:right="0" w:firstLine="0"/>
        <w:jc w:val="left"/>
        <w:rPr>
          <w:sz w:val="24"/>
        </w:rPr>
      </w:pPr>
      <w:r>
        <w:rPr>
          <w:sz w:val="24"/>
        </w:rPr>
        <w:t>Organización Mundial de la Salud (2007) </w:t>
      </w:r>
      <w:r>
        <w:rPr>
          <w:i/>
          <w:sz w:val="24"/>
        </w:rPr>
        <w:t>Ciudades globales amigables con los </w:t>
      </w:r>
      <w:r>
        <w:rPr>
          <w:i/>
          <w:sz w:val="24"/>
        </w:rPr>
        <w:t>mayores: una guía, </w:t>
      </w:r>
      <w:r>
        <w:rPr>
          <w:sz w:val="24"/>
        </w:rPr>
        <w:t>Ginebra, Suiza, OMS.</w:t>
      </w:r>
    </w:p>
    <w:p>
      <w:pPr>
        <w:spacing w:before="2"/>
        <w:ind w:left="102" w:right="0" w:firstLine="0"/>
        <w:jc w:val="left"/>
        <w:rPr>
          <w:i/>
          <w:sz w:val="24"/>
        </w:rPr>
      </w:pPr>
      <w:r>
        <w:rPr>
          <w:sz w:val="24"/>
        </w:rPr>
        <w:t>Organización Panamericana de la Salud (2009)</w:t>
      </w:r>
      <w:r>
        <w:rPr>
          <w:spacing w:val="50"/>
          <w:sz w:val="24"/>
        </w:rPr>
        <w:t> </w:t>
      </w:r>
      <w:r>
        <w:rPr>
          <w:i/>
          <w:sz w:val="24"/>
        </w:rPr>
        <w:t>Hacia una Vivienda Saludable.</w:t>
      </w:r>
    </w:p>
    <w:p>
      <w:pPr>
        <w:pStyle w:val="BodyText"/>
        <w:spacing w:before="141"/>
        <w:ind w:left="102"/>
      </w:pPr>
      <w:r>
        <w:rPr/>
        <w:t>Guía para el facilitador. OPS, Lima, Perú.</w:t>
      </w:r>
    </w:p>
    <w:p>
      <w:pPr>
        <w:pStyle w:val="BodyText"/>
        <w:spacing w:before="137"/>
        <w:ind w:left="102"/>
      </w:pPr>
      <w:r>
        <w:rPr/>
        <w:t>Pedrotti,   Carolina   (2014),   “La   vivienda,   un   tema   siempre contemporáneo”,</w:t>
      </w:r>
    </w:p>
    <w:p>
      <w:pPr>
        <w:spacing w:before="137"/>
        <w:ind w:left="102" w:right="0" w:firstLine="0"/>
        <w:jc w:val="left"/>
        <w:rPr>
          <w:sz w:val="24"/>
        </w:rPr>
      </w:pPr>
      <w:r>
        <w:rPr>
          <w:i/>
          <w:sz w:val="24"/>
        </w:rPr>
        <w:t>Economía, Sociedad y Territorio. </w:t>
      </w:r>
      <w:r>
        <w:rPr>
          <w:sz w:val="24"/>
        </w:rPr>
        <w:t>vol. XIV, núm. 44, pp. 273-280.</w:t>
      </w:r>
    </w:p>
    <w:p>
      <w:pPr>
        <w:pStyle w:val="BodyText"/>
        <w:spacing w:line="362" w:lineRule="auto" w:before="137"/>
        <w:ind w:left="102"/>
      </w:pPr>
      <w:r>
        <w:rPr/>
        <w:t>Uribe, N. (2010), “Más claro, el derecho humano al agua”. </w:t>
      </w:r>
      <w:r>
        <w:rPr>
          <w:i/>
        </w:rPr>
        <w:t>Tiempo De Paz, </w:t>
      </w:r>
      <w:r>
        <w:rPr/>
        <w:t>vol. 98, pp. 31-37.</w:t>
      </w:r>
    </w:p>
    <w:p>
      <w:pPr>
        <w:spacing w:line="182" w:lineRule="exact" w:before="0"/>
        <w:ind w:left="102" w:right="0" w:firstLine="0"/>
        <w:jc w:val="left"/>
        <w:rPr>
          <w:sz w:val="16"/>
        </w:rPr>
      </w:pPr>
      <w:r>
        <w:rPr>
          <w:w w:val="85"/>
          <w:sz w:val="16"/>
        </w:rPr>
        <w:t>World Health Organization, (2005) </w:t>
      </w:r>
      <w:r>
        <w:rPr>
          <w:i/>
          <w:w w:val="85"/>
          <w:sz w:val="16"/>
        </w:rPr>
        <w:t>Commission on Social Determinants of Health</w:t>
      </w:r>
      <w:r>
        <w:rPr>
          <w:w w:val="85"/>
          <w:sz w:val="16"/>
        </w:rPr>
        <w:t>, Geneva, Switzerland, WHO.</w:t>
      </w:r>
    </w:p>
    <w:p>
      <w:pPr>
        <w:spacing w:after="0" w:line="182" w:lineRule="exact"/>
        <w:jc w:val="left"/>
        <w:rPr>
          <w:sz w:val="16"/>
        </w:rPr>
        <w:sectPr>
          <w:pgSz w:w="12240" w:h="15840"/>
          <w:pgMar w:header="0" w:footer="943" w:top="1360" w:bottom="1200" w:left="1600" w:right="1580"/>
        </w:sectPr>
      </w:pPr>
    </w:p>
    <w:p>
      <w:pPr>
        <w:pStyle w:val="BodyText"/>
        <w:ind w:left="245"/>
        <w:rPr>
          <w:sz w:val="20"/>
        </w:rPr>
      </w:pPr>
      <w:r>
        <w:rPr>
          <w:sz w:val="20"/>
        </w:rPr>
        <w:drawing>
          <wp:inline distT="0" distB="0" distL="0" distR="0">
            <wp:extent cx="5295325" cy="7029450"/>
            <wp:effectExtent l="0" t="0" r="0" b="0"/>
            <wp:docPr id="187" name="image966.jpeg" descr=""/>
            <wp:cNvGraphicFramePr>
              <a:graphicFrameLocks noChangeAspect="1"/>
            </wp:cNvGraphicFramePr>
            <a:graphic>
              <a:graphicData uri="http://schemas.openxmlformats.org/drawingml/2006/picture">
                <pic:pic>
                  <pic:nvPicPr>
                    <pic:cNvPr id="188" name="image966.jpeg"/>
                    <pic:cNvPicPr/>
                  </pic:nvPicPr>
                  <pic:blipFill>
                    <a:blip r:embed="rId1014" cstate="print"/>
                    <a:stretch>
                      <a:fillRect/>
                    </a:stretch>
                  </pic:blipFill>
                  <pic:spPr>
                    <a:xfrm>
                      <a:off x="0" y="0"/>
                      <a:ext cx="5295325" cy="7029450"/>
                    </a:xfrm>
                    <a:prstGeom prst="rect">
                      <a:avLst/>
                    </a:prstGeom>
                  </pic:spPr>
                </pic:pic>
              </a:graphicData>
            </a:graphic>
          </wp:inline>
        </w:drawing>
      </w:r>
      <w:r>
        <w:rPr>
          <w:sz w:val="20"/>
        </w:rPr>
      </w:r>
    </w:p>
    <w:p>
      <w:pPr>
        <w:spacing w:after="0"/>
        <w:rPr>
          <w:sz w:val="20"/>
        </w:rPr>
        <w:sectPr>
          <w:pgSz w:w="12240" w:h="15840"/>
          <w:pgMar w:header="0" w:footer="943" w:top="1420" w:bottom="1140" w:left="1720" w:right="1720"/>
        </w:sectPr>
      </w:pPr>
    </w:p>
    <w:p>
      <w:pPr>
        <w:pStyle w:val="BodyText"/>
        <w:spacing w:line="360" w:lineRule="auto" w:before="54" w:after="7"/>
        <w:ind w:left="102" w:right="140"/>
        <w:jc w:val="both"/>
      </w:pPr>
      <w:r>
        <w:rPr/>
        <w:t>Se envío un artículo científico para su dictaminación y publicación a la Revista Papeles de Población editada por el Centro de Investigación y Estudios  Avanzados en Población de la Universidad Autónoma del Estado de</w:t>
      </w:r>
      <w:r>
        <w:rPr>
          <w:spacing w:val="-27"/>
        </w:rPr>
        <w:t> </w:t>
      </w:r>
      <w:r>
        <w:rPr/>
        <w:t>México.</w:t>
      </w:r>
    </w:p>
    <w:p>
      <w:pPr>
        <w:pStyle w:val="BodyText"/>
        <w:ind w:left="130"/>
        <w:rPr>
          <w:sz w:val="20"/>
        </w:rPr>
      </w:pPr>
      <w:r>
        <w:rPr>
          <w:sz w:val="20"/>
        </w:rPr>
        <w:drawing>
          <wp:inline distT="0" distB="0" distL="0" distR="0">
            <wp:extent cx="5615592" cy="7246620"/>
            <wp:effectExtent l="0" t="0" r="0" b="0"/>
            <wp:docPr id="189" name="image967.jpeg" descr=""/>
            <wp:cNvGraphicFramePr>
              <a:graphicFrameLocks noChangeAspect="1"/>
            </wp:cNvGraphicFramePr>
            <a:graphic>
              <a:graphicData uri="http://schemas.openxmlformats.org/drawingml/2006/picture">
                <pic:pic>
                  <pic:nvPicPr>
                    <pic:cNvPr id="190" name="image967.jpeg"/>
                    <pic:cNvPicPr/>
                  </pic:nvPicPr>
                  <pic:blipFill>
                    <a:blip r:embed="rId1016" cstate="print"/>
                    <a:stretch>
                      <a:fillRect/>
                    </a:stretch>
                  </pic:blipFill>
                  <pic:spPr>
                    <a:xfrm>
                      <a:off x="0" y="0"/>
                      <a:ext cx="5615592" cy="7246620"/>
                    </a:xfrm>
                    <a:prstGeom prst="rect">
                      <a:avLst/>
                    </a:prstGeom>
                  </pic:spPr>
                </pic:pic>
              </a:graphicData>
            </a:graphic>
          </wp:inline>
        </w:drawing>
      </w:r>
      <w:r>
        <w:rPr>
          <w:sz w:val="20"/>
        </w:rPr>
      </w:r>
    </w:p>
    <w:sectPr>
      <w:footerReference w:type="default" r:id="rId1015"/>
      <w:pgSz w:w="12240" w:h="15840"/>
      <w:pgMar w:footer="943" w:header="0" w:top="1360" w:bottom="1140" w:left="1600" w:right="1560"/>
      <w:pgNumType w:start="2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Trebuchet MS">
    <w:altName w:val="Trebuchet MS"/>
    <w:charset w:val="0"/>
    <w:family w:val="swiss"/>
    <w:pitch w:val="variable"/>
  </w:font>
  <w:font w:name="Courier New">
    <w:altName w:val="Courier New"/>
    <w:charset w:val="0"/>
    <w:family w:val="modern"/>
    <w:pitch w:val="fixed"/>
  </w:font>
  <w:font w:name="Wingdings">
    <w:altName w:val="Wingdings"/>
    <w:charset w:val="2"/>
    <w:family w:val="auto"/>
    <w:pitch w:val="variable"/>
  </w:font>
  <w:font w:name="MS Mincho">
    <w:altName w:val="MS Mincho"/>
    <w:charset w:val="0"/>
    <w:family w:val="modern"/>
    <w:pitch w:val="fixed"/>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1.290009pt;margin-top:730.856018pt;width:9.6pt;height:13.05pt;mso-position-horizontal-relative:page;mso-position-vertical-relative:page;z-index:-3364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5</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336232"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3362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336184"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3361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336136"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3361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336088"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3360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336040"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3360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336424"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59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59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59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59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58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58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58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160</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58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170</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58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180</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57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3364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57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200</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57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210</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57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220</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56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230</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295.649994pt;margin-top:730.856018pt;width:20.75pt;height:13.05pt;mso-position-horizontal-relative:page;mso-position-vertical-relative:page;z-index:-3356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243</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295.649994pt;margin-top:730.856018pt;width:20.75pt;height:13.05pt;mso-position-horizontal-relative:page;mso-position-vertical-relative:page;z-index:-3356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259</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56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260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336376"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3363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336328"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3363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336280"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3362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5">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7">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6">
    <w:multiLevelType w:val="hybridMultilevel"/>
    <w:lvl w:ilvl="0">
      <w:start w:val="1"/>
      <w:numFmt w:val="bullet"/>
      <w:lvlText w:val=""/>
      <w:lvlJc w:val="left"/>
      <w:pPr>
        <w:ind w:left="702" w:hanging="360"/>
      </w:pPr>
      <w:rPr>
        <w:rFonts w:hint="default" w:ascii="Wingdings" w:hAnsi="Wingdings" w:eastAsia="Wingdings" w:cs="Wingdings"/>
        <w:w w:val="99"/>
        <w:sz w:val="24"/>
        <w:szCs w:val="24"/>
      </w:rPr>
    </w:lvl>
    <w:lvl w:ilvl="1">
      <w:start w:val="1"/>
      <w:numFmt w:val="bullet"/>
      <w:lvlText w:val=""/>
      <w:lvlJc w:val="left"/>
      <w:pPr>
        <w:ind w:left="822" w:hanging="360"/>
      </w:pPr>
      <w:rPr>
        <w:rFonts w:hint="default" w:ascii="Wingdings" w:hAnsi="Wingdings" w:eastAsia="Wingdings" w:cs="Wingdings"/>
        <w:w w:val="99"/>
        <w:sz w:val="24"/>
        <w:szCs w:val="24"/>
      </w:rPr>
    </w:lvl>
    <w:lvl w:ilvl="2">
      <w:start w:val="1"/>
      <w:numFmt w:val="bullet"/>
      <w:lvlText w:val="•"/>
      <w:lvlJc w:val="left"/>
      <w:pPr>
        <w:ind w:left="1722" w:hanging="360"/>
      </w:pPr>
      <w:rPr>
        <w:rFonts w:hint="default"/>
      </w:rPr>
    </w:lvl>
    <w:lvl w:ilvl="3">
      <w:start w:val="1"/>
      <w:numFmt w:val="bullet"/>
      <w:lvlText w:val="•"/>
      <w:lvlJc w:val="left"/>
      <w:pPr>
        <w:ind w:left="2624" w:hanging="360"/>
      </w:pPr>
      <w:rPr>
        <w:rFonts w:hint="default"/>
      </w:rPr>
    </w:lvl>
    <w:lvl w:ilvl="4">
      <w:start w:val="1"/>
      <w:numFmt w:val="bullet"/>
      <w:lvlText w:val="•"/>
      <w:lvlJc w:val="left"/>
      <w:pPr>
        <w:ind w:left="3526" w:hanging="360"/>
      </w:pPr>
      <w:rPr>
        <w:rFonts w:hint="default"/>
      </w:rPr>
    </w:lvl>
    <w:lvl w:ilvl="5">
      <w:start w:val="1"/>
      <w:numFmt w:val="bullet"/>
      <w:lvlText w:val="•"/>
      <w:lvlJc w:val="left"/>
      <w:pPr>
        <w:ind w:left="4428" w:hanging="360"/>
      </w:pPr>
      <w:rPr>
        <w:rFonts w:hint="default"/>
      </w:rPr>
    </w:lvl>
    <w:lvl w:ilvl="6">
      <w:start w:val="1"/>
      <w:numFmt w:val="bullet"/>
      <w:lvlText w:val="•"/>
      <w:lvlJc w:val="left"/>
      <w:pPr>
        <w:ind w:left="5331" w:hanging="360"/>
      </w:pPr>
      <w:rPr>
        <w:rFonts w:hint="default"/>
      </w:rPr>
    </w:lvl>
    <w:lvl w:ilvl="7">
      <w:start w:val="1"/>
      <w:numFmt w:val="bullet"/>
      <w:lvlText w:val="•"/>
      <w:lvlJc w:val="left"/>
      <w:pPr>
        <w:ind w:left="6233" w:hanging="360"/>
      </w:pPr>
      <w:rPr>
        <w:rFonts w:hint="default"/>
      </w:rPr>
    </w:lvl>
    <w:lvl w:ilvl="8">
      <w:start w:val="1"/>
      <w:numFmt w:val="bullet"/>
      <w:lvlText w:val="•"/>
      <w:lvlJc w:val="left"/>
      <w:pPr>
        <w:ind w:left="7135" w:hanging="360"/>
      </w:pPr>
      <w:rPr>
        <w:rFonts w:hint="default"/>
      </w:rPr>
    </w:lvl>
  </w:abstractNum>
  <w:abstractNum w:abstractNumId="25">
    <w:multiLevelType w:val="hybridMultilevel"/>
    <w:lvl w:ilvl="0">
      <w:start w:val="4"/>
      <w:numFmt w:val="decimal"/>
      <w:lvlText w:val="%1"/>
      <w:lvlJc w:val="left"/>
      <w:pPr>
        <w:ind w:left="526" w:hanging="425"/>
        <w:jc w:val="left"/>
      </w:pPr>
      <w:rPr>
        <w:rFonts w:hint="default"/>
      </w:rPr>
    </w:lvl>
    <w:lvl w:ilvl="1">
      <w:start w:val="1"/>
      <w:numFmt w:val="decimal"/>
      <w:lvlText w:val="%1.%2"/>
      <w:lvlJc w:val="left"/>
      <w:pPr>
        <w:ind w:left="526" w:hanging="425"/>
        <w:jc w:val="left"/>
      </w:pPr>
      <w:rPr>
        <w:rFonts w:hint="default" w:ascii="Cambria" w:hAnsi="Cambria" w:eastAsia="Cambria" w:cs="Cambria"/>
        <w:b/>
        <w:bCs/>
        <w:color w:val="4F81BC"/>
        <w:spacing w:val="-1"/>
        <w:w w:val="99"/>
        <w:sz w:val="26"/>
        <w:szCs w:val="26"/>
      </w:rPr>
    </w:lvl>
    <w:lvl w:ilvl="2">
      <w:start w:val="1"/>
      <w:numFmt w:val="bullet"/>
      <w:lvlText w:val=""/>
      <w:lvlJc w:val="left"/>
      <w:pPr>
        <w:ind w:left="822" w:hanging="360"/>
      </w:pPr>
      <w:rPr>
        <w:rFonts w:hint="default" w:ascii="Wingdings" w:hAnsi="Wingdings" w:eastAsia="Wingdings" w:cs="Wingdings"/>
        <w:w w:val="99"/>
        <w:sz w:val="24"/>
        <w:szCs w:val="24"/>
      </w:rPr>
    </w:lvl>
    <w:lvl w:ilvl="3">
      <w:start w:val="1"/>
      <w:numFmt w:val="bullet"/>
      <w:lvlText w:val="•"/>
      <w:lvlJc w:val="left"/>
      <w:pPr>
        <w:ind w:left="1850" w:hanging="360"/>
      </w:pPr>
      <w:rPr>
        <w:rFonts w:hint="default"/>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24">
    <w:multiLevelType w:val="hybridMultilevel"/>
    <w:lvl w:ilvl="0">
      <w:start w:val="3"/>
      <w:numFmt w:val="decimal"/>
      <w:lvlText w:val="%1"/>
      <w:lvlJc w:val="left"/>
      <w:pPr>
        <w:ind w:left="526" w:hanging="425"/>
        <w:jc w:val="left"/>
      </w:pPr>
      <w:rPr>
        <w:rFonts w:hint="default"/>
      </w:rPr>
    </w:lvl>
    <w:lvl w:ilvl="1">
      <w:start w:val="4"/>
      <w:numFmt w:val="decimal"/>
      <w:lvlText w:val="%1.%2"/>
      <w:lvlJc w:val="left"/>
      <w:pPr>
        <w:ind w:left="526" w:hanging="425"/>
        <w:jc w:val="left"/>
      </w:pPr>
      <w:rPr>
        <w:rFonts w:hint="default" w:ascii="Cambria" w:hAnsi="Cambria" w:eastAsia="Cambria" w:cs="Cambria"/>
        <w:b/>
        <w:bCs/>
        <w:color w:val="4F81BC"/>
        <w:spacing w:val="-1"/>
        <w:w w:val="99"/>
        <w:sz w:val="26"/>
        <w:szCs w:val="26"/>
      </w:rPr>
    </w:lvl>
    <w:lvl w:ilvl="2">
      <w:start w:val="1"/>
      <w:numFmt w:val="decimal"/>
      <w:lvlText w:val="%1.%2.%3"/>
      <w:lvlJc w:val="left"/>
      <w:pPr>
        <w:ind w:left="593" w:hanging="492"/>
        <w:jc w:val="left"/>
      </w:pPr>
      <w:rPr>
        <w:rFonts w:hint="default" w:ascii="Cambria" w:hAnsi="Cambria" w:eastAsia="Cambria" w:cs="Cambria"/>
        <w:b/>
        <w:bCs/>
        <w:color w:val="4F81BC"/>
        <w:spacing w:val="-2"/>
        <w:w w:val="100"/>
        <w:sz w:val="22"/>
        <w:szCs w:val="22"/>
      </w:rPr>
    </w:lvl>
    <w:lvl w:ilvl="3">
      <w:start w:val="1"/>
      <w:numFmt w:val="bullet"/>
      <w:lvlText w:val="•"/>
      <w:lvlJc w:val="left"/>
      <w:pPr>
        <w:ind w:left="2480" w:hanging="492"/>
      </w:pPr>
      <w:rPr>
        <w:rFonts w:hint="default"/>
      </w:rPr>
    </w:lvl>
    <w:lvl w:ilvl="4">
      <w:start w:val="1"/>
      <w:numFmt w:val="bullet"/>
      <w:lvlText w:val="•"/>
      <w:lvlJc w:val="left"/>
      <w:pPr>
        <w:ind w:left="3420" w:hanging="492"/>
      </w:pPr>
      <w:rPr>
        <w:rFonts w:hint="default"/>
      </w:rPr>
    </w:lvl>
    <w:lvl w:ilvl="5">
      <w:start w:val="1"/>
      <w:numFmt w:val="bullet"/>
      <w:lvlText w:val="•"/>
      <w:lvlJc w:val="left"/>
      <w:pPr>
        <w:ind w:left="4360" w:hanging="492"/>
      </w:pPr>
      <w:rPr>
        <w:rFonts w:hint="default"/>
      </w:rPr>
    </w:lvl>
    <w:lvl w:ilvl="6">
      <w:start w:val="1"/>
      <w:numFmt w:val="bullet"/>
      <w:lvlText w:val="•"/>
      <w:lvlJc w:val="left"/>
      <w:pPr>
        <w:ind w:left="5300" w:hanging="492"/>
      </w:pPr>
      <w:rPr>
        <w:rFonts w:hint="default"/>
      </w:rPr>
    </w:lvl>
    <w:lvl w:ilvl="7">
      <w:start w:val="1"/>
      <w:numFmt w:val="bullet"/>
      <w:lvlText w:val="•"/>
      <w:lvlJc w:val="left"/>
      <w:pPr>
        <w:ind w:left="6240" w:hanging="492"/>
      </w:pPr>
      <w:rPr>
        <w:rFonts w:hint="default"/>
      </w:rPr>
    </w:lvl>
    <w:lvl w:ilvl="8">
      <w:start w:val="1"/>
      <w:numFmt w:val="bullet"/>
      <w:lvlText w:val="•"/>
      <w:lvlJc w:val="left"/>
      <w:pPr>
        <w:ind w:left="7180" w:hanging="492"/>
      </w:pPr>
      <w:rPr>
        <w:rFonts w:hint="default"/>
      </w:rPr>
    </w:lvl>
  </w:abstractNum>
  <w:abstractNum w:abstractNumId="23">
    <w:multiLevelType w:val="hybridMultilevel"/>
    <w:lvl w:ilvl="0">
      <w:start w:val="3"/>
      <w:numFmt w:val="decimal"/>
      <w:lvlText w:val="%1"/>
      <w:lvlJc w:val="left"/>
      <w:pPr>
        <w:ind w:left="642" w:hanging="541"/>
        <w:jc w:val="left"/>
      </w:pPr>
      <w:rPr>
        <w:rFonts w:hint="default"/>
      </w:rPr>
    </w:lvl>
    <w:lvl w:ilvl="1">
      <w:start w:val="3"/>
      <w:numFmt w:val="decimal"/>
      <w:lvlText w:val="%1.%2"/>
      <w:lvlJc w:val="left"/>
      <w:pPr>
        <w:ind w:left="642" w:hanging="541"/>
        <w:jc w:val="left"/>
      </w:pPr>
      <w:rPr>
        <w:rFonts w:hint="default"/>
      </w:rPr>
    </w:lvl>
    <w:lvl w:ilvl="2">
      <w:start w:val="9"/>
      <w:numFmt w:val="decimal"/>
      <w:lvlText w:val="%1.%2.%3"/>
      <w:lvlJc w:val="left"/>
      <w:pPr>
        <w:ind w:left="642" w:hanging="541"/>
        <w:jc w:val="left"/>
      </w:pPr>
      <w:rPr>
        <w:rFonts w:hint="default" w:ascii="Cambria" w:hAnsi="Cambria" w:eastAsia="Cambria" w:cs="Cambria"/>
        <w:b/>
        <w:bCs/>
        <w:color w:val="4F81BC"/>
        <w:spacing w:val="-2"/>
        <w:w w:val="100"/>
        <w:sz w:val="22"/>
        <w:szCs w:val="22"/>
      </w:rPr>
    </w:lvl>
    <w:lvl w:ilvl="3">
      <w:start w:val="1"/>
      <w:numFmt w:val="bullet"/>
      <w:lvlText w:val="•"/>
      <w:lvlJc w:val="left"/>
      <w:pPr>
        <w:ind w:left="3172" w:hanging="541"/>
      </w:pPr>
      <w:rPr>
        <w:rFonts w:hint="default"/>
      </w:rPr>
    </w:lvl>
    <w:lvl w:ilvl="4">
      <w:start w:val="1"/>
      <w:numFmt w:val="bullet"/>
      <w:lvlText w:val="•"/>
      <w:lvlJc w:val="left"/>
      <w:pPr>
        <w:ind w:left="4016" w:hanging="541"/>
      </w:pPr>
      <w:rPr>
        <w:rFonts w:hint="default"/>
      </w:rPr>
    </w:lvl>
    <w:lvl w:ilvl="5">
      <w:start w:val="1"/>
      <w:numFmt w:val="bullet"/>
      <w:lvlText w:val="•"/>
      <w:lvlJc w:val="left"/>
      <w:pPr>
        <w:ind w:left="4860" w:hanging="541"/>
      </w:pPr>
      <w:rPr>
        <w:rFonts w:hint="default"/>
      </w:rPr>
    </w:lvl>
    <w:lvl w:ilvl="6">
      <w:start w:val="1"/>
      <w:numFmt w:val="bullet"/>
      <w:lvlText w:val="•"/>
      <w:lvlJc w:val="left"/>
      <w:pPr>
        <w:ind w:left="5704" w:hanging="541"/>
      </w:pPr>
      <w:rPr>
        <w:rFonts w:hint="default"/>
      </w:rPr>
    </w:lvl>
    <w:lvl w:ilvl="7">
      <w:start w:val="1"/>
      <w:numFmt w:val="bullet"/>
      <w:lvlText w:val="•"/>
      <w:lvlJc w:val="left"/>
      <w:pPr>
        <w:ind w:left="6548" w:hanging="541"/>
      </w:pPr>
      <w:rPr>
        <w:rFonts w:hint="default"/>
      </w:rPr>
    </w:lvl>
    <w:lvl w:ilvl="8">
      <w:start w:val="1"/>
      <w:numFmt w:val="bullet"/>
      <w:lvlText w:val="•"/>
      <w:lvlJc w:val="left"/>
      <w:pPr>
        <w:ind w:left="7392" w:hanging="541"/>
      </w:pPr>
      <w:rPr>
        <w:rFonts w:hint="default"/>
      </w:rPr>
    </w:lvl>
  </w:abstractNum>
  <w:abstractNum w:abstractNumId="22">
    <w:multiLevelType w:val="hybridMultilevel"/>
    <w:lvl w:ilvl="0">
      <w:start w:val="3"/>
      <w:numFmt w:val="decimal"/>
      <w:lvlText w:val="%1"/>
      <w:lvlJc w:val="left"/>
      <w:pPr>
        <w:ind w:left="642" w:hanging="540"/>
        <w:jc w:val="left"/>
      </w:pPr>
      <w:rPr>
        <w:rFonts w:hint="default"/>
      </w:rPr>
    </w:lvl>
    <w:lvl w:ilvl="1">
      <w:start w:val="3"/>
      <w:numFmt w:val="decimal"/>
      <w:lvlText w:val="%1.%2"/>
      <w:lvlJc w:val="left"/>
      <w:pPr>
        <w:ind w:left="642" w:hanging="540"/>
        <w:jc w:val="left"/>
      </w:pPr>
      <w:rPr>
        <w:rFonts w:hint="default"/>
      </w:rPr>
    </w:lvl>
    <w:lvl w:ilvl="2">
      <w:start w:val="5"/>
      <w:numFmt w:val="decimal"/>
      <w:lvlText w:val="%1.%2.%3"/>
      <w:lvlJc w:val="left"/>
      <w:pPr>
        <w:ind w:left="642" w:hanging="540"/>
        <w:jc w:val="left"/>
      </w:pPr>
      <w:rPr>
        <w:rFonts w:hint="default" w:ascii="Cambria" w:hAnsi="Cambria" w:eastAsia="Cambria" w:cs="Cambria"/>
        <w:b/>
        <w:bCs/>
        <w:color w:val="4F81BC"/>
        <w:spacing w:val="-2"/>
        <w:w w:val="100"/>
        <w:sz w:val="22"/>
        <w:szCs w:val="22"/>
      </w:rPr>
    </w:lvl>
    <w:lvl w:ilvl="3">
      <w:start w:val="1"/>
      <w:numFmt w:val="bullet"/>
      <w:lvlText w:val="•"/>
      <w:lvlJc w:val="left"/>
      <w:pPr>
        <w:ind w:left="3172" w:hanging="540"/>
      </w:pPr>
      <w:rPr>
        <w:rFonts w:hint="default"/>
      </w:rPr>
    </w:lvl>
    <w:lvl w:ilvl="4">
      <w:start w:val="1"/>
      <w:numFmt w:val="bullet"/>
      <w:lvlText w:val="•"/>
      <w:lvlJc w:val="left"/>
      <w:pPr>
        <w:ind w:left="4016" w:hanging="540"/>
      </w:pPr>
      <w:rPr>
        <w:rFonts w:hint="default"/>
      </w:rPr>
    </w:lvl>
    <w:lvl w:ilvl="5">
      <w:start w:val="1"/>
      <w:numFmt w:val="bullet"/>
      <w:lvlText w:val="•"/>
      <w:lvlJc w:val="left"/>
      <w:pPr>
        <w:ind w:left="4860" w:hanging="540"/>
      </w:pPr>
      <w:rPr>
        <w:rFonts w:hint="default"/>
      </w:rPr>
    </w:lvl>
    <w:lvl w:ilvl="6">
      <w:start w:val="1"/>
      <w:numFmt w:val="bullet"/>
      <w:lvlText w:val="•"/>
      <w:lvlJc w:val="left"/>
      <w:pPr>
        <w:ind w:left="5704" w:hanging="540"/>
      </w:pPr>
      <w:rPr>
        <w:rFonts w:hint="default"/>
      </w:rPr>
    </w:lvl>
    <w:lvl w:ilvl="7">
      <w:start w:val="1"/>
      <w:numFmt w:val="bullet"/>
      <w:lvlText w:val="•"/>
      <w:lvlJc w:val="left"/>
      <w:pPr>
        <w:ind w:left="6548" w:hanging="540"/>
      </w:pPr>
      <w:rPr>
        <w:rFonts w:hint="default"/>
      </w:rPr>
    </w:lvl>
    <w:lvl w:ilvl="8">
      <w:start w:val="1"/>
      <w:numFmt w:val="bullet"/>
      <w:lvlText w:val="•"/>
      <w:lvlJc w:val="left"/>
      <w:pPr>
        <w:ind w:left="7392" w:hanging="540"/>
      </w:pPr>
      <w:rPr>
        <w:rFonts w:hint="default"/>
      </w:rPr>
    </w:lvl>
  </w:abstractNum>
  <w:abstractNum w:abstractNumId="21">
    <w:multiLevelType w:val="hybridMultilevel"/>
    <w:lvl w:ilvl="0">
      <w:start w:val="3"/>
      <w:numFmt w:val="decimal"/>
      <w:lvlText w:val="%1"/>
      <w:lvlJc w:val="left"/>
      <w:pPr>
        <w:ind w:left="642" w:hanging="541"/>
        <w:jc w:val="left"/>
      </w:pPr>
      <w:rPr>
        <w:rFonts w:hint="default"/>
      </w:rPr>
    </w:lvl>
    <w:lvl w:ilvl="1">
      <w:start w:val="3"/>
      <w:numFmt w:val="decimal"/>
      <w:lvlText w:val="%1.%2"/>
      <w:lvlJc w:val="left"/>
      <w:pPr>
        <w:ind w:left="642" w:hanging="541"/>
        <w:jc w:val="left"/>
      </w:pPr>
      <w:rPr>
        <w:rFonts w:hint="default"/>
      </w:rPr>
    </w:lvl>
    <w:lvl w:ilvl="2">
      <w:start w:val="3"/>
      <w:numFmt w:val="decimal"/>
      <w:lvlText w:val="%1.%2.%3"/>
      <w:lvlJc w:val="left"/>
      <w:pPr>
        <w:ind w:left="642" w:hanging="541"/>
        <w:jc w:val="left"/>
      </w:pPr>
      <w:rPr>
        <w:rFonts w:hint="default" w:ascii="Cambria" w:hAnsi="Cambria" w:eastAsia="Cambria" w:cs="Cambria"/>
        <w:b/>
        <w:bCs/>
        <w:color w:val="4F81BC"/>
        <w:spacing w:val="-2"/>
        <w:w w:val="100"/>
        <w:sz w:val="22"/>
        <w:szCs w:val="22"/>
      </w:rPr>
    </w:lvl>
    <w:lvl w:ilvl="3">
      <w:start w:val="1"/>
      <w:numFmt w:val="bullet"/>
      <w:lvlText w:val="•"/>
      <w:lvlJc w:val="left"/>
      <w:pPr>
        <w:ind w:left="3166" w:hanging="541"/>
      </w:pPr>
      <w:rPr>
        <w:rFonts w:hint="default"/>
      </w:rPr>
    </w:lvl>
    <w:lvl w:ilvl="4">
      <w:start w:val="1"/>
      <w:numFmt w:val="bullet"/>
      <w:lvlText w:val="•"/>
      <w:lvlJc w:val="left"/>
      <w:pPr>
        <w:ind w:left="4008" w:hanging="541"/>
      </w:pPr>
      <w:rPr>
        <w:rFonts w:hint="default"/>
      </w:rPr>
    </w:lvl>
    <w:lvl w:ilvl="5">
      <w:start w:val="1"/>
      <w:numFmt w:val="bullet"/>
      <w:lvlText w:val="•"/>
      <w:lvlJc w:val="left"/>
      <w:pPr>
        <w:ind w:left="4850" w:hanging="541"/>
      </w:pPr>
      <w:rPr>
        <w:rFonts w:hint="default"/>
      </w:rPr>
    </w:lvl>
    <w:lvl w:ilvl="6">
      <w:start w:val="1"/>
      <w:numFmt w:val="bullet"/>
      <w:lvlText w:val="•"/>
      <w:lvlJc w:val="left"/>
      <w:pPr>
        <w:ind w:left="5692" w:hanging="541"/>
      </w:pPr>
      <w:rPr>
        <w:rFonts w:hint="default"/>
      </w:rPr>
    </w:lvl>
    <w:lvl w:ilvl="7">
      <w:start w:val="1"/>
      <w:numFmt w:val="bullet"/>
      <w:lvlText w:val="•"/>
      <w:lvlJc w:val="left"/>
      <w:pPr>
        <w:ind w:left="6534" w:hanging="541"/>
      </w:pPr>
      <w:rPr>
        <w:rFonts w:hint="default"/>
      </w:rPr>
    </w:lvl>
    <w:lvl w:ilvl="8">
      <w:start w:val="1"/>
      <w:numFmt w:val="bullet"/>
      <w:lvlText w:val="•"/>
      <w:lvlJc w:val="left"/>
      <w:pPr>
        <w:ind w:left="7376" w:hanging="541"/>
      </w:pPr>
      <w:rPr>
        <w:rFonts w:hint="default"/>
      </w:rPr>
    </w:lvl>
  </w:abstractNum>
  <w:abstractNum w:abstractNumId="20">
    <w:multiLevelType w:val="hybridMultilevel"/>
    <w:lvl w:ilvl="0">
      <w:start w:val="3"/>
      <w:numFmt w:val="decimal"/>
      <w:lvlText w:val="%1"/>
      <w:lvlJc w:val="left"/>
      <w:pPr>
        <w:ind w:left="642" w:hanging="541"/>
        <w:jc w:val="left"/>
      </w:pPr>
      <w:rPr>
        <w:rFonts w:hint="default"/>
      </w:rPr>
    </w:lvl>
    <w:lvl w:ilvl="1">
      <w:start w:val="2"/>
      <w:numFmt w:val="decimal"/>
      <w:lvlText w:val="%1.%2"/>
      <w:lvlJc w:val="left"/>
      <w:pPr>
        <w:ind w:left="642" w:hanging="541"/>
        <w:jc w:val="left"/>
      </w:pPr>
      <w:rPr>
        <w:rFonts w:hint="default"/>
      </w:rPr>
    </w:lvl>
    <w:lvl w:ilvl="2">
      <w:start w:val="3"/>
      <w:numFmt w:val="decimal"/>
      <w:lvlText w:val="%1.%2.%3"/>
      <w:lvlJc w:val="left"/>
      <w:pPr>
        <w:ind w:left="642" w:hanging="541"/>
        <w:jc w:val="left"/>
      </w:pPr>
      <w:rPr>
        <w:rFonts w:hint="default" w:ascii="Cambria" w:hAnsi="Cambria" w:eastAsia="Cambria" w:cs="Cambria"/>
        <w:b/>
        <w:bCs/>
        <w:color w:val="4F81BC"/>
        <w:spacing w:val="-2"/>
        <w:w w:val="100"/>
        <w:sz w:val="22"/>
        <w:szCs w:val="22"/>
      </w:rPr>
    </w:lvl>
    <w:lvl w:ilvl="3">
      <w:start w:val="1"/>
      <w:numFmt w:val="bullet"/>
      <w:lvlText w:val=""/>
      <w:lvlJc w:val="left"/>
      <w:pPr>
        <w:ind w:left="822" w:hanging="360"/>
      </w:pPr>
      <w:rPr>
        <w:rFonts w:hint="default" w:ascii="Symbol" w:hAnsi="Symbol" w:eastAsia="Symbol" w:cs="Symbol"/>
        <w:w w:val="100"/>
        <w:sz w:val="24"/>
        <w:szCs w:val="24"/>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9">
    <w:multiLevelType w:val="hybridMultilevel"/>
    <w:lvl w:ilvl="0">
      <w:start w:val="3"/>
      <w:numFmt w:val="decimal"/>
      <w:lvlText w:val="%1"/>
      <w:lvlJc w:val="left"/>
      <w:pPr>
        <w:ind w:left="586" w:hanging="485"/>
        <w:jc w:val="left"/>
      </w:pPr>
      <w:rPr>
        <w:rFonts w:hint="default"/>
      </w:rPr>
    </w:lvl>
    <w:lvl w:ilvl="1">
      <w:start w:val="2"/>
      <w:numFmt w:val="decimal"/>
      <w:lvlText w:val="%1.%2."/>
      <w:lvlJc w:val="left"/>
      <w:pPr>
        <w:ind w:left="586" w:hanging="485"/>
        <w:jc w:val="left"/>
      </w:pPr>
      <w:rPr>
        <w:rFonts w:hint="default" w:ascii="Cambria" w:hAnsi="Cambria" w:eastAsia="Cambria" w:cs="Cambria"/>
        <w:b/>
        <w:bCs/>
        <w:color w:val="4F81BC"/>
        <w:spacing w:val="-1"/>
        <w:w w:val="99"/>
        <w:sz w:val="26"/>
        <w:szCs w:val="26"/>
      </w:rPr>
    </w:lvl>
    <w:lvl w:ilvl="2">
      <w:start w:val="1"/>
      <w:numFmt w:val="decimal"/>
      <w:lvlText w:val="%1.%2.%3"/>
      <w:lvlJc w:val="left"/>
      <w:pPr>
        <w:ind w:left="642" w:hanging="541"/>
        <w:jc w:val="left"/>
      </w:pPr>
      <w:rPr>
        <w:rFonts w:hint="default" w:ascii="Cambria" w:hAnsi="Cambria" w:eastAsia="Cambria" w:cs="Cambria"/>
        <w:b/>
        <w:bCs/>
        <w:color w:val="4F81BC"/>
        <w:spacing w:val="-2"/>
        <w:w w:val="100"/>
        <w:sz w:val="22"/>
        <w:szCs w:val="22"/>
      </w:rPr>
    </w:lvl>
    <w:lvl w:ilvl="3">
      <w:start w:val="1"/>
      <w:numFmt w:val="bullet"/>
      <w:lvlText w:val="•"/>
      <w:lvlJc w:val="left"/>
      <w:pPr>
        <w:ind w:left="2511" w:hanging="541"/>
      </w:pPr>
      <w:rPr>
        <w:rFonts w:hint="default"/>
      </w:rPr>
    </w:lvl>
    <w:lvl w:ilvl="4">
      <w:start w:val="1"/>
      <w:numFmt w:val="bullet"/>
      <w:lvlText w:val="•"/>
      <w:lvlJc w:val="left"/>
      <w:pPr>
        <w:ind w:left="3446" w:hanging="541"/>
      </w:pPr>
      <w:rPr>
        <w:rFonts w:hint="default"/>
      </w:rPr>
    </w:lvl>
    <w:lvl w:ilvl="5">
      <w:start w:val="1"/>
      <w:numFmt w:val="bullet"/>
      <w:lvlText w:val="•"/>
      <w:lvlJc w:val="left"/>
      <w:pPr>
        <w:ind w:left="4382" w:hanging="541"/>
      </w:pPr>
      <w:rPr>
        <w:rFonts w:hint="default"/>
      </w:rPr>
    </w:lvl>
    <w:lvl w:ilvl="6">
      <w:start w:val="1"/>
      <w:numFmt w:val="bullet"/>
      <w:lvlText w:val="•"/>
      <w:lvlJc w:val="left"/>
      <w:pPr>
        <w:ind w:left="5317" w:hanging="541"/>
      </w:pPr>
      <w:rPr>
        <w:rFonts w:hint="default"/>
      </w:rPr>
    </w:lvl>
    <w:lvl w:ilvl="7">
      <w:start w:val="1"/>
      <w:numFmt w:val="bullet"/>
      <w:lvlText w:val="•"/>
      <w:lvlJc w:val="left"/>
      <w:pPr>
        <w:ind w:left="6253" w:hanging="541"/>
      </w:pPr>
      <w:rPr>
        <w:rFonts w:hint="default"/>
      </w:rPr>
    </w:lvl>
    <w:lvl w:ilvl="8">
      <w:start w:val="1"/>
      <w:numFmt w:val="bullet"/>
      <w:lvlText w:val="•"/>
      <w:lvlJc w:val="left"/>
      <w:pPr>
        <w:ind w:left="7188" w:hanging="541"/>
      </w:pPr>
      <w:rPr>
        <w:rFonts w:hint="default"/>
      </w:rPr>
    </w:lvl>
  </w:abstractNum>
  <w:abstractNum w:abstractNumId="18">
    <w:multiLevelType w:val="hybridMultilevel"/>
    <w:lvl w:ilvl="0">
      <w:start w:val="3"/>
      <w:numFmt w:val="decimal"/>
      <w:lvlText w:val="%1"/>
      <w:lvlJc w:val="left"/>
      <w:pPr>
        <w:ind w:left="642" w:hanging="541"/>
        <w:jc w:val="left"/>
      </w:pPr>
      <w:rPr>
        <w:rFonts w:hint="default"/>
      </w:rPr>
    </w:lvl>
    <w:lvl w:ilvl="1">
      <w:start w:val="1"/>
      <w:numFmt w:val="decimal"/>
      <w:lvlText w:val="%1.%2"/>
      <w:lvlJc w:val="left"/>
      <w:pPr>
        <w:ind w:left="642" w:hanging="541"/>
        <w:jc w:val="left"/>
      </w:pPr>
      <w:rPr>
        <w:rFonts w:hint="default"/>
      </w:rPr>
    </w:lvl>
    <w:lvl w:ilvl="2">
      <w:start w:val="3"/>
      <w:numFmt w:val="decimal"/>
      <w:lvlText w:val="%1.%2.%3"/>
      <w:lvlJc w:val="left"/>
      <w:pPr>
        <w:ind w:left="642" w:hanging="541"/>
        <w:jc w:val="left"/>
      </w:pPr>
      <w:rPr>
        <w:rFonts w:hint="default" w:ascii="Cambria" w:hAnsi="Cambria" w:eastAsia="Cambria" w:cs="Cambria"/>
        <w:b/>
        <w:bCs/>
        <w:color w:val="4F81BC"/>
        <w:spacing w:val="-2"/>
        <w:w w:val="100"/>
        <w:sz w:val="22"/>
        <w:szCs w:val="22"/>
      </w:rPr>
    </w:lvl>
    <w:lvl w:ilvl="3">
      <w:start w:val="1"/>
      <w:numFmt w:val="bullet"/>
      <w:lvlText w:val="•"/>
      <w:lvlJc w:val="left"/>
      <w:pPr>
        <w:ind w:left="3172" w:hanging="541"/>
      </w:pPr>
      <w:rPr>
        <w:rFonts w:hint="default"/>
      </w:rPr>
    </w:lvl>
    <w:lvl w:ilvl="4">
      <w:start w:val="1"/>
      <w:numFmt w:val="bullet"/>
      <w:lvlText w:val="•"/>
      <w:lvlJc w:val="left"/>
      <w:pPr>
        <w:ind w:left="4016" w:hanging="541"/>
      </w:pPr>
      <w:rPr>
        <w:rFonts w:hint="default"/>
      </w:rPr>
    </w:lvl>
    <w:lvl w:ilvl="5">
      <w:start w:val="1"/>
      <w:numFmt w:val="bullet"/>
      <w:lvlText w:val="•"/>
      <w:lvlJc w:val="left"/>
      <w:pPr>
        <w:ind w:left="4860" w:hanging="541"/>
      </w:pPr>
      <w:rPr>
        <w:rFonts w:hint="default"/>
      </w:rPr>
    </w:lvl>
    <w:lvl w:ilvl="6">
      <w:start w:val="1"/>
      <w:numFmt w:val="bullet"/>
      <w:lvlText w:val="•"/>
      <w:lvlJc w:val="left"/>
      <w:pPr>
        <w:ind w:left="5704" w:hanging="541"/>
      </w:pPr>
      <w:rPr>
        <w:rFonts w:hint="default"/>
      </w:rPr>
    </w:lvl>
    <w:lvl w:ilvl="7">
      <w:start w:val="1"/>
      <w:numFmt w:val="bullet"/>
      <w:lvlText w:val="•"/>
      <w:lvlJc w:val="left"/>
      <w:pPr>
        <w:ind w:left="6548" w:hanging="541"/>
      </w:pPr>
      <w:rPr>
        <w:rFonts w:hint="default"/>
      </w:rPr>
    </w:lvl>
    <w:lvl w:ilvl="8">
      <w:start w:val="1"/>
      <w:numFmt w:val="bullet"/>
      <w:lvlText w:val="•"/>
      <w:lvlJc w:val="left"/>
      <w:pPr>
        <w:ind w:left="7392" w:hanging="541"/>
      </w:pPr>
      <w:rPr>
        <w:rFonts w:hint="default"/>
      </w:rPr>
    </w:lvl>
  </w:abstractNum>
  <w:abstractNum w:abstractNumId="17">
    <w:multiLevelType w:val="hybridMultilevel"/>
    <w:lvl w:ilvl="0">
      <w:start w:val="3"/>
      <w:numFmt w:val="decimal"/>
      <w:lvlText w:val="%1"/>
      <w:lvlJc w:val="left"/>
      <w:pPr>
        <w:ind w:left="526" w:hanging="425"/>
        <w:jc w:val="left"/>
      </w:pPr>
      <w:rPr>
        <w:rFonts w:hint="default"/>
      </w:rPr>
    </w:lvl>
    <w:lvl w:ilvl="1">
      <w:start w:val="1"/>
      <w:numFmt w:val="decimal"/>
      <w:lvlText w:val="%1.%2"/>
      <w:lvlJc w:val="left"/>
      <w:pPr>
        <w:ind w:left="526" w:hanging="425"/>
        <w:jc w:val="left"/>
      </w:pPr>
      <w:rPr>
        <w:rFonts w:hint="default" w:ascii="Cambria" w:hAnsi="Cambria" w:eastAsia="Cambria" w:cs="Cambria"/>
        <w:b/>
        <w:bCs/>
        <w:color w:val="4F81BC"/>
        <w:spacing w:val="-1"/>
        <w:w w:val="99"/>
        <w:sz w:val="26"/>
        <w:szCs w:val="26"/>
      </w:rPr>
    </w:lvl>
    <w:lvl w:ilvl="2">
      <w:start w:val="1"/>
      <w:numFmt w:val="decimal"/>
      <w:lvlText w:val="%1.%2.%3"/>
      <w:lvlJc w:val="left"/>
      <w:pPr>
        <w:ind w:left="642" w:hanging="541"/>
        <w:jc w:val="left"/>
      </w:pPr>
      <w:rPr>
        <w:rFonts w:hint="default" w:ascii="Cambria" w:hAnsi="Cambria" w:eastAsia="Cambria" w:cs="Cambria"/>
        <w:b/>
        <w:bCs/>
        <w:color w:val="4F81BC"/>
        <w:spacing w:val="-2"/>
        <w:w w:val="100"/>
        <w:sz w:val="22"/>
        <w:szCs w:val="22"/>
      </w:rPr>
    </w:lvl>
    <w:lvl w:ilvl="3">
      <w:start w:val="1"/>
      <w:numFmt w:val="bullet"/>
      <w:lvlText w:val="•"/>
      <w:lvlJc w:val="left"/>
      <w:pPr>
        <w:ind w:left="2511" w:hanging="541"/>
      </w:pPr>
      <w:rPr>
        <w:rFonts w:hint="default"/>
      </w:rPr>
    </w:lvl>
    <w:lvl w:ilvl="4">
      <w:start w:val="1"/>
      <w:numFmt w:val="bullet"/>
      <w:lvlText w:val="•"/>
      <w:lvlJc w:val="left"/>
      <w:pPr>
        <w:ind w:left="3446" w:hanging="541"/>
      </w:pPr>
      <w:rPr>
        <w:rFonts w:hint="default"/>
      </w:rPr>
    </w:lvl>
    <w:lvl w:ilvl="5">
      <w:start w:val="1"/>
      <w:numFmt w:val="bullet"/>
      <w:lvlText w:val="•"/>
      <w:lvlJc w:val="left"/>
      <w:pPr>
        <w:ind w:left="4382" w:hanging="541"/>
      </w:pPr>
      <w:rPr>
        <w:rFonts w:hint="default"/>
      </w:rPr>
    </w:lvl>
    <w:lvl w:ilvl="6">
      <w:start w:val="1"/>
      <w:numFmt w:val="bullet"/>
      <w:lvlText w:val="•"/>
      <w:lvlJc w:val="left"/>
      <w:pPr>
        <w:ind w:left="5317" w:hanging="541"/>
      </w:pPr>
      <w:rPr>
        <w:rFonts w:hint="default"/>
      </w:rPr>
    </w:lvl>
    <w:lvl w:ilvl="7">
      <w:start w:val="1"/>
      <w:numFmt w:val="bullet"/>
      <w:lvlText w:val="•"/>
      <w:lvlJc w:val="left"/>
      <w:pPr>
        <w:ind w:left="6253" w:hanging="541"/>
      </w:pPr>
      <w:rPr>
        <w:rFonts w:hint="default"/>
      </w:rPr>
    </w:lvl>
    <w:lvl w:ilvl="8">
      <w:start w:val="1"/>
      <w:numFmt w:val="bullet"/>
      <w:lvlText w:val="•"/>
      <w:lvlJc w:val="left"/>
      <w:pPr>
        <w:ind w:left="7188" w:hanging="541"/>
      </w:pPr>
      <w:rPr>
        <w:rFonts w:hint="default"/>
      </w:rPr>
    </w:lvl>
  </w:abstractNum>
  <w:abstractNum w:abstractNumId="16">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4">
    <w:multiLevelType w:val="hybridMultilevel"/>
    <w:lvl w:ilvl="0">
      <w:start w:val="1"/>
      <w:numFmt w:val="bullet"/>
      <w:lvlText w:val="o"/>
      <w:lvlJc w:val="left"/>
      <w:pPr>
        <w:ind w:left="822" w:hanging="360"/>
      </w:pPr>
      <w:rPr>
        <w:rFonts w:hint="default" w:ascii="Courier New" w:hAnsi="Courier New" w:eastAsia="Courier New" w:cs="Courier New"/>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3">
    <w:multiLevelType w:val="hybridMultilevel"/>
    <w:lvl w:ilvl="0">
      <w:start w:val="1"/>
      <w:numFmt w:val="decimal"/>
      <w:lvlText w:val="%1)"/>
      <w:lvlJc w:val="left"/>
      <w:pPr>
        <w:ind w:left="884" w:hanging="360"/>
        <w:jc w:val="left"/>
      </w:pPr>
      <w:rPr>
        <w:rFonts w:hint="default" w:ascii="Arial" w:hAnsi="Arial" w:eastAsia="Arial" w:cs="Arial"/>
        <w:w w:val="99"/>
        <w:sz w:val="24"/>
        <w:szCs w:val="24"/>
      </w:rPr>
    </w:lvl>
    <w:lvl w:ilvl="1">
      <w:start w:val="1"/>
      <w:numFmt w:val="bullet"/>
      <w:lvlText w:val="•"/>
      <w:lvlJc w:val="left"/>
      <w:pPr>
        <w:ind w:left="1698" w:hanging="360"/>
      </w:pPr>
      <w:rPr>
        <w:rFonts w:hint="default"/>
      </w:rPr>
    </w:lvl>
    <w:lvl w:ilvl="2">
      <w:start w:val="1"/>
      <w:numFmt w:val="bullet"/>
      <w:lvlText w:val="•"/>
      <w:lvlJc w:val="left"/>
      <w:pPr>
        <w:ind w:left="2516" w:hanging="360"/>
      </w:pPr>
      <w:rPr>
        <w:rFonts w:hint="default"/>
      </w:rPr>
    </w:lvl>
    <w:lvl w:ilvl="3">
      <w:start w:val="1"/>
      <w:numFmt w:val="bullet"/>
      <w:lvlText w:val="•"/>
      <w:lvlJc w:val="left"/>
      <w:pPr>
        <w:ind w:left="3334" w:hanging="360"/>
      </w:pPr>
      <w:rPr>
        <w:rFonts w:hint="default"/>
      </w:rPr>
    </w:lvl>
    <w:lvl w:ilvl="4">
      <w:start w:val="1"/>
      <w:numFmt w:val="bullet"/>
      <w:lvlText w:val="•"/>
      <w:lvlJc w:val="left"/>
      <w:pPr>
        <w:ind w:left="4152" w:hanging="360"/>
      </w:pPr>
      <w:rPr>
        <w:rFonts w:hint="default"/>
      </w:rPr>
    </w:lvl>
    <w:lvl w:ilvl="5">
      <w:start w:val="1"/>
      <w:numFmt w:val="bullet"/>
      <w:lvlText w:val="•"/>
      <w:lvlJc w:val="left"/>
      <w:pPr>
        <w:ind w:left="4970" w:hanging="360"/>
      </w:pPr>
      <w:rPr>
        <w:rFonts w:hint="default"/>
      </w:rPr>
    </w:lvl>
    <w:lvl w:ilvl="6">
      <w:start w:val="1"/>
      <w:numFmt w:val="bullet"/>
      <w:lvlText w:val="•"/>
      <w:lvlJc w:val="left"/>
      <w:pPr>
        <w:ind w:left="5788" w:hanging="360"/>
      </w:pPr>
      <w:rPr>
        <w:rFonts w:hint="default"/>
      </w:rPr>
    </w:lvl>
    <w:lvl w:ilvl="7">
      <w:start w:val="1"/>
      <w:numFmt w:val="bullet"/>
      <w:lvlText w:val="•"/>
      <w:lvlJc w:val="left"/>
      <w:pPr>
        <w:ind w:left="6606" w:hanging="360"/>
      </w:pPr>
      <w:rPr>
        <w:rFonts w:hint="default"/>
      </w:rPr>
    </w:lvl>
    <w:lvl w:ilvl="8">
      <w:start w:val="1"/>
      <w:numFmt w:val="bullet"/>
      <w:lvlText w:val="•"/>
      <w:lvlJc w:val="left"/>
      <w:pPr>
        <w:ind w:left="7424" w:hanging="360"/>
      </w:pPr>
      <w:rPr>
        <w:rFonts w:hint="default"/>
      </w:rPr>
    </w:lvl>
  </w:abstractNum>
  <w:abstractNum w:abstractNumId="12">
    <w:multiLevelType w:val="hybridMultilevel"/>
    <w:lvl w:ilvl="0">
      <w:start w:val="2"/>
      <w:numFmt w:val="decimal"/>
      <w:lvlText w:val="%1"/>
      <w:lvlJc w:val="left"/>
      <w:pPr>
        <w:ind w:left="526" w:hanging="425"/>
        <w:jc w:val="left"/>
      </w:pPr>
      <w:rPr>
        <w:rFonts w:hint="default"/>
      </w:rPr>
    </w:lvl>
    <w:lvl w:ilvl="1">
      <w:start w:val="1"/>
      <w:numFmt w:val="decimal"/>
      <w:lvlText w:val="%1.%2"/>
      <w:lvlJc w:val="left"/>
      <w:pPr>
        <w:ind w:left="526" w:hanging="425"/>
        <w:jc w:val="left"/>
      </w:pPr>
      <w:rPr>
        <w:rFonts w:hint="default" w:ascii="Cambria" w:hAnsi="Cambria" w:eastAsia="Cambria" w:cs="Cambria"/>
        <w:b/>
        <w:bCs/>
        <w:color w:val="4F81BC"/>
        <w:spacing w:val="-1"/>
        <w:w w:val="99"/>
        <w:sz w:val="26"/>
        <w:szCs w:val="26"/>
      </w:rPr>
    </w:lvl>
    <w:lvl w:ilvl="2">
      <w:start w:val="1"/>
      <w:numFmt w:val="decimal"/>
      <w:lvlText w:val="%3."/>
      <w:lvlJc w:val="left"/>
      <w:pPr>
        <w:ind w:left="822" w:hanging="360"/>
        <w:jc w:val="left"/>
      </w:pPr>
      <w:rPr>
        <w:rFonts w:hint="default" w:ascii="Arial" w:hAnsi="Arial" w:eastAsia="Arial" w:cs="Arial"/>
        <w:spacing w:val="-19"/>
        <w:w w:val="99"/>
        <w:sz w:val="24"/>
        <w:szCs w:val="24"/>
      </w:rPr>
    </w:lvl>
    <w:lvl w:ilvl="3">
      <w:start w:val="1"/>
      <w:numFmt w:val="bullet"/>
      <w:lvlText w:val="•"/>
      <w:lvlJc w:val="left"/>
      <w:pPr>
        <w:ind w:left="3492" w:hanging="360"/>
      </w:pPr>
      <w:rPr>
        <w:rFonts w:hint="default"/>
      </w:rPr>
    </w:lvl>
    <w:lvl w:ilvl="4">
      <w:start w:val="1"/>
      <w:numFmt w:val="bullet"/>
      <w:lvlText w:val="•"/>
      <w:lvlJc w:val="left"/>
      <w:pPr>
        <w:ind w:left="4285" w:hanging="360"/>
      </w:pPr>
      <w:rPr>
        <w:rFonts w:hint="default"/>
      </w:rPr>
    </w:lvl>
    <w:lvl w:ilvl="5">
      <w:start w:val="1"/>
      <w:numFmt w:val="bullet"/>
      <w:lvlText w:val="•"/>
      <w:lvlJc w:val="left"/>
      <w:pPr>
        <w:ind w:left="5077" w:hanging="360"/>
      </w:pPr>
      <w:rPr>
        <w:rFonts w:hint="default"/>
      </w:rPr>
    </w:lvl>
    <w:lvl w:ilvl="6">
      <w:start w:val="1"/>
      <w:numFmt w:val="bullet"/>
      <w:lvlText w:val="•"/>
      <w:lvlJc w:val="left"/>
      <w:pPr>
        <w:ind w:left="5870" w:hanging="360"/>
      </w:pPr>
      <w:rPr>
        <w:rFonts w:hint="default"/>
      </w:rPr>
    </w:lvl>
    <w:lvl w:ilvl="7">
      <w:start w:val="1"/>
      <w:numFmt w:val="bullet"/>
      <w:lvlText w:val="•"/>
      <w:lvlJc w:val="left"/>
      <w:pPr>
        <w:ind w:left="6662" w:hanging="360"/>
      </w:pPr>
      <w:rPr>
        <w:rFonts w:hint="default"/>
      </w:rPr>
    </w:lvl>
    <w:lvl w:ilvl="8">
      <w:start w:val="1"/>
      <w:numFmt w:val="bullet"/>
      <w:lvlText w:val="•"/>
      <w:lvlJc w:val="left"/>
      <w:pPr>
        <w:ind w:left="7455" w:hanging="360"/>
      </w:pPr>
      <w:rPr>
        <w:rFonts w:hint="default"/>
      </w:rPr>
    </w:lvl>
  </w:abstractNum>
  <w:abstractNum w:abstractNumId="11">
    <w:multiLevelType w:val="hybridMultilevel"/>
    <w:lvl w:ilvl="0">
      <w:start w:val="1"/>
      <w:numFmt w:val="decimal"/>
      <w:lvlText w:val="%1"/>
      <w:lvlJc w:val="left"/>
      <w:pPr>
        <w:ind w:left="593" w:hanging="492"/>
        <w:jc w:val="left"/>
      </w:pPr>
      <w:rPr>
        <w:rFonts w:hint="default"/>
      </w:rPr>
    </w:lvl>
    <w:lvl w:ilvl="1">
      <w:start w:val="4"/>
      <w:numFmt w:val="decimal"/>
      <w:lvlText w:val="%1.%2"/>
      <w:lvlJc w:val="left"/>
      <w:pPr>
        <w:ind w:left="593" w:hanging="492"/>
        <w:jc w:val="left"/>
      </w:pPr>
      <w:rPr>
        <w:rFonts w:hint="default"/>
      </w:rPr>
    </w:lvl>
    <w:lvl w:ilvl="2">
      <w:start w:val="1"/>
      <w:numFmt w:val="decimal"/>
      <w:lvlText w:val="%1.%2.%3"/>
      <w:lvlJc w:val="left"/>
      <w:pPr>
        <w:ind w:left="593" w:hanging="492"/>
        <w:jc w:val="left"/>
      </w:pPr>
      <w:rPr>
        <w:rFonts w:hint="default" w:ascii="Cambria" w:hAnsi="Cambria" w:eastAsia="Cambria" w:cs="Cambria"/>
        <w:b/>
        <w:bCs/>
        <w:color w:val="4F81BC"/>
        <w:spacing w:val="-2"/>
        <w:w w:val="100"/>
        <w:sz w:val="22"/>
        <w:szCs w:val="22"/>
      </w:rPr>
    </w:lvl>
    <w:lvl w:ilvl="3">
      <w:start w:val="1"/>
      <w:numFmt w:val="bullet"/>
      <w:lvlText w:val="•"/>
      <w:lvlJc w:val="left"/>
      <w:pPr>
        <w:ind w:left="3138" w:hanging="492"/>
      </w:pPr>
      <w:rPr>
        <w:rFonts w:hint="default"/>
      </w:rPr>
    </w:lvl>
    <w:lvl w:ilvl="4">
      <w:start w:val="1"/>
      <w:numFmt w:val="bullet"/>
      <w:lvlText w:val="•"/>
      <w:lvlJc w:val="left"/>
      <w:pPr>
        <w:ind w:left="3984" w:hanging="492"/>
      </w:pPr>
      <w:rPr>
        <w:rFonts w:hint="default"/>
      </w:rPr>
    </w:lvl>
    <w:lvl w:ilvl="5">
      <w:start w:val="1"/>
      <w:numFmt w:val="bullet"/>
      <w:lvlText w:val="•"/>
      <w:lvlJc w:val="left"/>
      <w:pPr>
        <w:ind w:left="4830" w:hanging="492"/>
      </w:pPr>
      <w:rPr>
        <w:rFonts w:hint="default"/>
      </w:rPr>
    </w:lvl>
    <w:lvl w:ilvl="6">
      <w:start w:val="1"/>
      <w:numFmt w:val="bullet"/>
      <w:lvlText w:val="•"/>
      <w:lvlJc w:val="left"/>
      <w:pPr>
        <w:ind w:left="5676" w:hanging="492"/>
      </w:pPr>
      <w:rPr>
        <w:rFonts w:hint="default"/>
      </w:rPr>
    </w:lvl>
    <w:lvl w:ilvl="7">
      <w:start w:val="1"/>
      <w:numFmt w:val="bullet"/>
      <w:lvlText w:val="•"/>
      <w:lvlJc w:val="left"/>
      <w:pPr>
        <w:ind w:left="6522" w:hanging="492"/>
      </w:pPr>
      <w:rPr>
        <w:rFonts w:hint="default"/>
      </w:rPr>
    </w:lvl>
    <w:lvl w:ilvl="8">
      <w:start w:val="1"/>
      <w:numFmt w:val="bullet"/>
      <w:lvlText w:val="•"/>
      <w:lvlJc w:val="left"/>
      <w:pPr>
        <w:ind w:left="7368" w:hanging="492"/>
      </w:pPr>
      <w:rPr>
        <w:rFonts w:hint="default"/>
      </w:rPr>
    </w:lvl>
  </w:abstractNum>
  <w:abstractNum w:abstractNumId="10">
    <w:multiLevelType w:val="hybridMultilevel"/>
    <w:lvl w:ilvl="0">
      <w:start w:val="1"/>
      <w:numFmt w:val="decimal"/>
      <w:lvlText w:val="%1"/>
      <w:lvlJc w:val="left"/>
      <w:pPr>
        <w:ind w:left="642" w:hanging="540"/>
        <w:jc w:val="left"/>
      </w:pPr>
      <w:rPr>
        <w:rFonts w:hint="default"/>
      </w:rPr>
    </w:lvl>
    <w:lvl w:ilvl="1">
      <w:start w:val="3"/>
      <w:numFmt w:val="decimal"/>
      <w:lvlText w:val="%1.%2"/>
      <w:lvlJc w:val="left"/>
      <w:pPr>
        <w:ind w:left="642" w:hanging="540"/>
        <w:jc w:val="left"/>
      </w:pPr>
      <w:rPr>
        <w:rFonts w:hint="default"/>
      </w:rPr>
    </w:lvl>
    <w:lvl w:ilvl="2">
      <w:start w:val="1"/>
      <w:numFmt w:val="decimal"/>
      <w:lvlText w:val="%1.%2.%3"/>
      <w:lvlJc w:val="left"/>
      <w:pPr>
        <w:ind w:left="642" w:hanging="540"/>
        <w:jc w:val="left"/>
      </w:pPr>
      <w:rPr>
        <w:rFonts w:hint="default" w:ascii="Cambria" w:hAnsi="Cambria" w:eastAsia="Cambria" w:cs="Cambria"/>
        <w:b/>
        <w:bCs/>
        <w:color w:val="4F81BC"/>
        <w:spacing w:val="-2"/>
        <w:w w:val="100"/>
        <w:sz w:val="22"/>
        <w:szCs w:val="22"/>
      </w:rPr>
    </w:lvl>
    <w:lvl w:ilvl="3">
      <w:start w:val="1"/>
      <w:numFmt w:val="bullet"/>
      <w:lvlText w:val="•"/>
      <w:lvlJc w:val="left"/>
      <w:pPr>
        <w:ind w:left="3166" w:hanging="540"/>
      </w:pPr>
      <w:rPr>
        <w:rFonts w:hint="default"/>
      </w:rPr>
    </w:lvl>
    <w:lvl w:ilvl="4">
      <w:start w:val="1"/>
      <w:numFmt w:val="bullet"/>
      <w:lvlText w:val="•"/>
      <w:lvlJc w:val="left"/>
      <w:pPr>
        <w:ind w:left="4008" w:hanging="540"/>
      </w:pPr>
      <w:rPr>
        <w:rFonts w:hint="default"/>
      </w:rPr>
    </w:lvl>
    <w:lvl w:ilvl="5">
      <w:start w:val="1"/>
      <w:numFmt w:val="bullet"/>
      <w:lvlText w:val="•"/>
      <w:lvlJc w:val="left"/>
      <w:pPr>
        <w:ind w:left="4850" w:hanging="540"/>
      </w:pPr>
      <w:rPr>
        <w:rFonts w:hint="default"/>
      </w:rPr>
    </w:lvl>
    <w:lvl w:ilvl="6">
      <w:start w:val="1"/>
      <w:numFmt w:val="bullet"/>
      <w:lvlText w:val="•"/>
      <w:lvlJc w:val="left"/>
      <w:pPr>
        <w:ind w:left="5692" w:hanging="540"/>
      </w:pPr>
      <w:rPr>
        <w:rFonts w:hint="default"/>
      </w:rPr>
    </w:lvl>
    <w:lvl w:ilvl="7">
      <w:start w:val="1"/>
      <w:numFmt w:val="bullet"/>
      <w:lvlText w:val="•"/>
      <w:lvlJc w:val="left"/>
      <w:pPr>
        <w:ind w:left="6534" w:hanging="540"/>
      </w:pPr>
      <w:rPr>
        <w:rFonts w:hint="default"/>
      </w:rPr>
    </w:lvl>
    <w:lvl w:ilvl="8">
      <w:start w:val="1"/>
      <w:numFmt w:val="bullet"/>
      <w:lvlText w:val="•"/>
      <w:lvlJc w:val="left"/>
      <w:pPr>
        <w:ind w:left="7376" w:hanging="540"/>
      </w:pPr>
      <w:rPr>
        <w:rFonts w:hint="default"/>
      </w:rPr>
    </w:lvl>
  </w:abstractNum>
  <w:abstractNum w:abstractNumId="9">
    <w:multiLevelType w:val="hybridMultilevel"/>
    <w:lvl w:ilvl="0">
      <w:start w:val="1"/>
      <w:numFmt w:val="decimal"/>
      <w:lvlText w:val="%1"/>
      <w:lvlJc w:val="left"/>
      <w:pPr>
        <w:ind w:left="526" w:hanging="425"/>
        <w:jc w:val="left"/>
      </w:pPr>
      <w:rPr>
        <w:rFonts w:hint="default"/>
      </w:rPr>
    </w:lvl>
    <w:lvl w:ilvl="1">
      <w:start w:val="2"/>
      <w:numFmt w:val="decimal"/>
      <w:lvlText w:val="%1.%2"/>
      <w:lvlJc w:val="left"/>
      <w:pPr>
        <w:ind w:left="526" w:hanging="425"/>
        <w:jc w:val="left"/>
      </w:pPr>
      <w:rPr>
        <w:rFonts w:hint="default" w:ascii="Cambria" w:hAnsi="Cambria" w:eastAsia="Cambria" w:cs="Cambria"/>
        <w:b/>
        <w:bCs/>
        <w:color w:val="4F81BC"/>
        <w:spacing w:val="-1"/>
        <w:w w:val="99"/>
        <w:sz w:val="26"/>
        <w:szCs w:val="26"/>
      </w:rPr>
    </w:lvl>
    <w:lvl w:ilvl="2">
      <w:start w:val="1"/>
      <w:numFmt w:val="bullet"/>
      <w:lvlText w:val="•"/>
      <w:lvlJc w:val="left"/>
      <w:pPr>
        <w:ind w:left="1575" w:hanging="425"/>
      </w:pPr>
      <w:rPr>
        <w:rFonts w:hint="default"/>
      </w:rPr>
    </w:lvl>
    <w:lvl w:ilvl="3">
      <w:start w:val="1"/>
      <w:numFmt w:val="bullet"/>
      <w:lvlText w:val="•"/>
      <w:lvlJc w:val="left"/>
      <w:pPr>
        <w:ind w:left="2511" w:hanging="425"/>
      </w:pPr>
      <w:rPr>
        <w:rFonts w:hint="default"/>
      </w:rPr>
    </w:lvl>
    <w:lvl w:ilvl="4">
      <w:start w:val="1"/>
      <w:numFmt w:val="bullet"/>
      <w:lvlText w:val="•"/>
      <w:lvlJc w:val="left"/>
      <w:pPr>
        <w:ind w:left="3446" w:hanging="425"/>
      </w:pPr>
      <w:rPr>
        <w:rFonts w:hint="default"/>
      </w:rPr>
    </w:lvl>
    <w:lvl w:ilvl="5">
      <w:start w:val="1"/>
      <w:numFmt w:val="bullet"/>
      <w:lvlText w:val="•"/>
      <w:lvlJc w:val="left"/>
      <w:pPr>
        <w:ind w:left="4382" w:hanging="425"/>
      </w:pPr>
      <w:rPr>
        <w:rFonts w:hint="default"/>
      </w:rPr>
    </w:lvl>
    <w:lvl w:ilvl="6">
      <w:start w:val="1"/>
      <w:numFmt w:val="bullet"/>
      <w:lvlText w:val="•"/>
      <w:lvlJc w:val="left"/>
      <w:pPr>
        <w:ind w:left="5317" w:hanging="425"/>
      </w:pPr>
      <w:rPr>
        <w:rFonts w:hint="default"/>
      </w:rPr>
    </w:lvl>
    <w:lvl w:ilvl="7">
      <w:start w:val="1"/>
      <w:numFmt w:val="bullet"/>
      <w:lvlText w:val="•"/>
      <w:lvlJc w:val="left"/>
      <w:pPr>
        <w:ind w:left="6253" w:hanging="425"/>
      </w:pPr>
      <w:rPr>
        <w:rFonts w:hint="default"/>
      </w:rPr>
    </w:lvl>
    <w:lvl w:ilvl="8">
      <w:start w:val="1"/>
      <w:numFmt w:val="bullet"/>
      <w:lvlText w:val="•"/>
      <w:lvlJc w:val="left"/>
      <w:pPr>
        <w:ind w:left="7188" w:hanging="425"/>
      </w:pPr>
      <w:rPr>
        <w:rFonts w:hint="default"/>
      </w:rPr>
    </w:lvl>
  </w:abstractNum>
  <w:abstractNum w:abstractNumId="8">
    <w:multiLevelType w:val="hybridMultilevel"/>
    <w:lvl w:ilvl="0">
      <w:start w:val="1"/>
      <w:numFmt w:val="decimal"/>
      <w:lvlText w:val="%1"/>
      <w:lvlJc w:val="left"/>
      <w:pPr>
        <w:ind w:left="526" w:hanging="425"/>
        <w:jc w:val="left"/>
      </w:pPr>
      <w:rPr>
        <w:rFonts w:hint="default"/>
      </w:rPr>
    </w:lvl>
    <w:lvl w:ilvl="1">
      <w:start w:val="1"/>
      <w:numFmt w:val="decimal"/>
      <w:lvlText w:val="%1.%2"/>
      <w:lvlJc w:val="left"/>
      <w:pPr>
        <w:ind w:left="526" w:hanging="425"/>
        <w:jc w:val="left"/>
      </w:pPr>
      <w:rPr>
        <w:rFonts w:hint="default" w:ascii="Cambria" w:hAnsi="Cambria" w:eastAsia="Cambria" w:cs="Cambria"/>
        <w:b/>
        <w:bCs/>
        <w:color w:val="4F81BC"/>
        <w:spacing w:val="-1"/>
        <w:w w:val="99"/>
        <w:sz w:val="26"/>
        <w:szCs w:val="26"/>
      </w:rPr>
    </w:lvl>
    <w:lvl w:ilvl="2">
      <w:start w:val="1"/>
      <w:numFmt w:val="decimal"/>
      <w:lvlText w:val="%1.%2.%3"/>
      <w:lvlJc w:val="left"/>
      <w:pPr>
        <w:ind w:left="593" w:hanging="492"/>
        <w:jc w:val="left"/>
      </w:pPr>
      <w:rPr>
        <w:rFonts w:hint="default"/>
        <w:b/>
        <w:bCs/>
        <w:spacing w:val="-2"/>
        <w:w w:val="100"/>
      </w:rPr>
    </w:lvl>
    <w:lvl w:ilvl="3">
      <w:start w:val="1"/>
      <w:numFmt w:val="decimal"/>
      <w:lvlText w:val="%1.%2.%3.%4"/>
      <w:lvlJc w:val="left"/>
      <w:pPr>
        <w:ind w:left="822" w:hanging="721"/>
        <w:jc w:val="left"/>
      </w:pPr>
      <w:rPr>
        <w:rFonts w:hint="default" w:ascii="Cambria" w:hAnsi="Cambria" w:eastAsia="Cambria" w:cs="Cambria"/>
        <w:b/>
        <w:bCs/>
        <w:color w:val="4F81BC"/>
        <w:spacing w:val="-2"/>
        <w:w w:val="100"/>
        <w:sz w:val="22"/>
        <w:szCs w:val="22"/>
      </w:rPr>
    </w:lvl>
    <w:lvl w:ilvl="4">
      <w:start w:val="1"/>
      <w:numFmt w:val="bullet"/>
      <w:lvlText w:val="•"/>
      <w:lvlJc w:val="left"/>
      <w:pPr>
        <w:ind w:left="2875" w:hanging="721"/>
      </w:pPr>
      <w:rPr>
        <w:rFonts w:hint="default"/>
      </w:rPr>
    </w:lvl>
    <w:lvl w:ilvl="5">
      <w:start w:val="1"/>
      <w:numFmt w:val="bullet"/>
      <w:lvlText w:val="•"/>
      <w:lvlJc w:val="left"/>
      <w:pPr>
        <w:ind w:left="3902" w:hanging="721"/>
      </w:pPr>
      <w:rPr>
        <w:rFonts w:hint="default"/>
      </w:rPr>
    </w:lvl>
    <w:lvl w:ilvl="6">
      <w:start w:val="1"/>
      <w:numFmt w:val="bullet"/>
      <w:lvlText w:val="•"/>
      <w:lvlJc w:val="left"/>
      <w:pPr>
        <w:ind w:left="4930" w:hanging="721"/>
      </w:pPr>
      <w:rPr>
        <w:rFonts w:hint="default"/>
      </w:rPr>
    </w:lvl>
    <w:lvl w:ilvl="7">
      <w:start w:val="1"/>
      <w:numFmt w:val="bullet"/>
      <w:lvlText w:val="•"/>
      <w:lvlJc w:val="left"/>
      <w:pPr>
        <w:ind w:left="5957" w:hanging="721"/>
      </w:pPr>
      <w:rPr>
        <w:rFonts w:hint="default"/>
      </w:rPr>
    </w:lvl>
    <w:lvl w:ilvl="8">
      <w:start w:val="1"/>
      <w:numFmt w:val="bullet"/>
      <w:lvlText w:val="•"/>
      <w:lvlJc w:val="left"/>
      <w:pPr>
        <w:ind w:left="6985" w:hanging="721"/>
      </w:pPr>
      <w:rPr>
        <w:rFonts w:hint="default"/>
      </w:rPr>
    </w:lvl>
  </w:abstractNum>
  <w:abstractNum w:abstractNumId="6">
    <w:multiLevelType w:val="hybridMultilevel"/>
    <w:lvl w:ilvl="0">
      <w:start w:val="4"/>
      <w:numFmt w:val="decimal"/>
      <w:lvlText w:val="%1"/>
      <w:lvlJc w:val="left"/>
      <w:pPr>
        <w:ind w:left="764" w:hanging="423"/>
        <w:jc w:val="left"/>
      </w:pPr>
      <w:rPr>
        <w:rFonts w:hint="default"/>
      </w:rPr>
    </w:lvl>
    <w:lvl w:ilvl="1">
      <w:start w:val="1"/>
      <w:numFmt w:val="decimal"/>
      <w:lvlText w:val="%1.%2"/>
      <w:lvlJc w:val="left"/>
      <w:pPr>
        <w:ind w:left="764" w:hanging="423"/>
        <w:jc w:val="left"/>
      </w:pPr>
      <w:rPr>
        <w:rFonts w:hint="default" w:ascii="Times New Roman" w:hAnsi="Times New Roman" w:eastAsia="Times New Roman" w:cs="Times New Roman"/>
        <w:w w:val="100"/>
        <w:sz w:val="28"/>
        <w:szCs w:val="28"/>
      </w:rPr>
    </w:lvl>
    <w:lvl w:ilvl="2">
      <w:start w:val="1"/>
      <w:numFmt w:val="bullet"/>
      <w:lvlText w:val="•"/>
      <w:lvlJc w:val="left"/>
      <w:pPr>
        <w:ind w:left="2416" w:hanging="423"/>
      </w:pPr>
      <w:rPr>
        <w:rFonts w:hint="default"/>
      </w:rPr>
    </w:lvl>
    <w:lvl w:ilvl="3">
      <w:start w:val="1"/>
      <w:numFmt w:val="bullet"/>
      <w:lvlText w:val="•"/>
      <w:lvlJc w:val="left"/>
      <w:pPr>
        <w:ind w:left="3244" w:hanging="423"/>
      </w:pPr>
      <w:rPr>
        <w:rFonts w:hint="default"/>
      </w:rPr>
    </w:lvl>
    <w:lvl w:ilvl="4">
      <w:start w:val="1"/>
      <w:numFmt w:val="bullet"/>
      <w:lvlText w:val="•"/>
      <w:lvlJc w:val="left"/>
      <w:pPr>
        <w:ind w:left="4072" w:hanging="423"/>
      </w:pPr>
      <w:rPr>
        <w:rFonts w:hint="default"/>
      </w:rPr>
    </w:lvl>
    <w:lvl w:ilvl="5">
      <w:start w:val="1"/>
      <w:numFmt w:val="bullet"/>
      <w:lvlText w:val="•"/>
      <w:lvlJc w:val="left"/>
      <w:pPr>
        <w:ind w:left="4900" w:hanging="423"/>
      </w:pPr>
      <w:rPr>
        <w:rFonts w:hint="default"/>
      </w:rPr>
    </w:lvl>
    <w:lvl w:ilvl="6">
      <w:start w:val="1"/>
      <w:numFmt w:val="bullet"/>
      <w:lvlText w:val="•"/>
      <w:lvlJc w:val="left"/>
      <w:pPr>
        <w:ind w:left="5728" w:hanging="423"/>
      </w:pPr>
      <w:rPr>
        <w:rFonts w:hint="default"/>
      </w:rPr>
    </w:lvl>
    <w:lvl w:ilvl="7">
      <w:start w:val="1"/>
      <w:numFmt w:val="bullet"/>
      <w:lvlText w:val="•"/>
      <w:lvlJc w:val="left"/>
      <w:pPr>
        <w:ind w:left="6556" w:hanging="423"/>
      </w:pPr>
      <w:rPr>
        <w:rFonts w:hint="default"/>
      </w:rPr>
    </w:lvl>
    <w:lvl w:ilvl="8">
      <w:start w:val="1"/>
      <w:numFmt w:val="bullet"/>
      <w:lvlText w:val="•"/>
      <w:lvlJc w:val="left"/>
      <w:pPr>
        <w:ind w:left="7384" w:hanging="423"/>
      </w:pPr>
      <w:rPr>
        <w:rFonts w:hint="default"/>
      </w:rPr>
    </w:lvl>
  </w:abstractNum>
  <w:abstractNum w:abstractNumId="5">
    <w:multiLevelType w:val="hybridMultilevel"/>
    <w:lvl w:ilvl="0">
      <w:start w:val="3"/>
      <w:numFmt w:val="decimal"/>
      <w:lvlText w:val="%1"/>
      <w:lvlJc w:val="left"/>
      <w:pPr>
        <w:ind w:left="764" w:hanging="423"/>
        <w:jc w:val="left"/>
      </w:pPr>
      <w:rPr>
        <w:rFonts w:hint="default"/>
      </w:rPr>
    </w:lvl>
    <w:lvl w:ilvl="1">
      <w:start w:val="3"/>
      <w:numFmt w:val="decimal"/>
      <w:lvlText w:val="%1.%2"/>
      <w:lvlJc w:val="left"/>
      <w:pPr>
        <w:ind w:left="764" w:hanging="423"/>
        <w:jc w:val="left"/>
      </w:pPr>
      <w:rPr>
        <w:rFonts w:hint="default" w:ascii="Times New Roman" w:hAnsi="Times New Roman" w:eastAsia="Times New Roman" w:cs="Times New Roman"/>
        <w:w w:val="100"/>
        <w:sz w:val="28"/>
        <w:szCs w:val="28"/>
      </w:rPr>
    </w:lvl>
    <w:lvl w:ilvl="2">
      <w:start w:val="1"/>
      <w:numFmt w:val="decimal"/>
      <w:lvlText w:val="%1.%2.%3"/>
      <w:lvlJc w:val="left"/>
      <w:pPr>
        <w:ind w:left="1122" w:hanging="54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1120" w:hanging="540"/>
      </w:pPr>
      <w:rPr>
        <w:rFonts w:hint="default"/>
      </w:rPr>
    </w:lvl>
    <w:lvl w:ilvl="4">
      <w:start w:val="1"/>
      <w:numFmt w:val="bullet"/>
      <w:lvlText w:val="•"/>
      <w:lvlJc w:val="left"/>
      <w:pPr>
        <w:ind w:left="2251" w:hanging="540"/>
      </w:pPr>
      <w:rPr>
        <w:rFonts w:hint="default"/>
      </w:rPr>
    </w:lvl>
    <w:lvl w:ilvl="5">
      <w:start w:val="1"/>
      <w:numFmt w:val="bullet"/>
      <w:lvlText w:val="•"/>
      <w:lvlJc w:val="left"/>
      <w:pPr>
        <w:ind w:left="3382" w:hanging="540"/>
      </w:pPr>
      <w:rPr>
        <w:rFonts w:hint="default"/>
      </w:rPr>
    </w:lvl>
    <w:lvl w:ilvl="6">
      <w:start w:val="1"/>
      <w:numFmt w:val="bullet"/>
      <w:lvlText w:val="•"/>
      <w:lvlJc w:val="left"/>
      <w:pPr>
        <w:ind w:left="4514" w:hanging="540"/>
      </w:pPr>
      <w:rPr>
        <w:rFonts w:hint="default"/>
      </w:rPr>
    </w:lvl>
    <w:lvl w:ilvl="7">
      <w:start w:val="1"/>
      <w:numFmt w:val="bullet"/>
      <w:lvlText w:val="•"/>
      <w:lvlJc w:val="left"/>
      <w:pPr>
        <w:ind w:left="5645" w:hanging="540"/>
      </w:pPr>
      <w:rPr>
        <w:rFonts w:hint="default"/>
      </w:rPr>
    </w:lvl>
    <w:lvl w:ilvl="8">
      <w:start w:val="1"/>
      <w:numFmt w:val="bullet"/>
      <w:lvlText w:val="•"/>
      <w:lvlJc w:val="left"/>
      <w:pPr>
        <w:ind w:left="6777" w:hanging="540"/>
      </w:pPr>
      <w:rPr>
        <w:rFonts w:hint="default"/>
      </w:rPr>
    </w:lvl>
  </w:abstractNum>
  <w:abstractNum w:abstractNumId="4">
    <w:multiLevelType w:val="hybridMultilevel"/>
    <w:lvl w:ilvl="0">
      <w:start w:val="3"/>
      <w:numFmt w:val="decimal"/>
      <w:lvlText w:val="%1"/>
      <w:lvlJc w:val="left"/>
      <w:pPr>
        <w:ind w:left="834" w:hanging="493"/>
        <w:jc w:val="left"/>
      </w:pPr>
      <w:rPr>
        <w:rFonts w:hint="default"/>
      </w:rPr>
    </w:lvl>
    <w:lvl w:ilvl="1">
      <w:start w:val="2"/>
      <w:numFmt w:val="decimal"/>
      <w:lvlText w:val="%1.%2."/>
      <w:lvlJc w:val="left"/>
      <w:pPr>
        <w:ind w:left="834" w:hanging="493"/>
        <w:jc w:val="left"/>
      </w:pPr>
      <w:rPr>
        <w:rFonts w:hint="default" w:ascii="Times New Roman" w:hAnsi="Times New Roman" w:eastAsia="Times New Roman" w:cs="Times New Roman"/>
        <w:w w:val="100"/>
        <w:sz w:val="28"/>
        <w:szCs w:val="28"/>
      </w:rPr>
    </w:lvl>
    <w:lvl w:ilvl="2">
      <w:start w:val="1"/>
      <w:numFmt w:val="decimal"/>
      <w:lvlText w:val="%1.%2.%3"/>
      <w:lvlJc w:val="left"/>
      <w:pPr>
        <w:ind w:left="1122" w:hanging="54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2880" w:hanging="540"/>
      </w:pPr>
      <w:rPr>
        <w:rFonts w:hint="default"/>
      </w:rPr>
    </w:lvl>
    <w:lvl w:ilvl="4">
      <w:start w:val="1"/>
      <w:numFmt w:val="bullet"/>
      <w:lvlText w:val="•"/>
      <w:lvlJc w:val="left"/>
      <w:pPr>
        <w:ind w:left="3760" w:hanging="540"/>
      </w:pPr>
      <w:rPr>
        <w:rFonts w:hint="default"/>
      </w:rPr>
    </w:lvl>
    <w:lvl w:ilvl="5">
      <w:start w:val="1"/>
      <w:numFmt w:val="bullet"/>
      <w:lvlText w:val="•"/>
      <w:lvlJc w:val="left"/>
      <w:pPr>
        <w:ind w:left="4640" w:hanging="540"/>
      </w:pPr>
      <w:rPr>
        <w:rFonts w:hint="default"/>
      </w:rPr>
    </w:lvl>
    <w:lvl w:ilvl="6">
      <w:start w:val="1"/>
      <w:numFmt w:val="bullet"/>
      <w:lvlText w:val="•"/>
      <w:lvlJc w:val="left"/>
      <w:pPr>
        <w:ind w:left="5520" w:hanging="540"/>
      </w:pPr>
      <w:rPr>
        <w:rFonts w:hint="default"/>
      </w:rPr>
    </w:lvl>
    <w:lvl w:ilvl="7">
      <w:start w:val="1"/>
      <w:numFmt w:val="bullet"/>
      <w:lvlText w:val="•"/>
      <w:lvlJc w:val="left"/>
      <w:pPr>
        <w:ind w:left="6400" w:hanging="540"/>
      </w:pPr>
      <w:rPr>
        <w:rFonts w:hint="default"/>
      </w:rPr>
    </w:lvl>
    <w:lvl w:ilvl="8">
      <w:start w:val="1"/>
      <w:numFmt w:val="bullet"/>
      <w:lvlText w:val="•"/>
      <w:lvlJc w:val="left"/>
      <w:pPr>
        <w:ind w:left="7280" w:hanging="540"/>
      </w:pPr>
      <w:rPr>
        <w:rFonts w:hint="default"/>
      </w:rPr>
    </w:lvl>
  </w:abstractNum>
  <w:abstractNum w:abstractNumId="3">
    <w:multiLevelType w:val="hybridMultilevel"/>
    <w:lvl w:ilvl="0">
      <w:start w:val="3"/>
      <w:numFmt w:val="decimal"/>
      <w:lvlText w:val="%1"/>
      <w:lvlJc w:val="left"/>
      <w:pPr>
        <w:ind w:left="1122" w:hanging="540"/>
        <w:jc w:val="left"/>
      </w:pPr>
      <w:rPr>
        <w:rFonts w:hint="default"/>
      </w:rPr>
    </w:lvl>
    <w:lvl w:ilvl="1">
      <w:start w:val="1"/>
      <w:numFmt w:val="decimal"/>
      <w:lvlText w:val="%1.%2"/>
      <w:lvlJc w:val="left"/>
      <w:pPr>
        <w:ind w:left="1122" w:hanging="540"/>
        <w:jc w:val="left"/>
      </w:pPr>
      <w:rPr>
        <w:rFonts w:hint="default"/>
      </w:rPr>
    </w:lvl>
    <w:lvl w:ilvl="2">
      <w:start w:val="1"/>
      <w:numFmt w:val="decimal"/>
      <w:lvlText w:val="%1.%2.%3"/>
      <w:lvlJc w:val="left"/>
      <w:pPr>
        <w:ind w:left="1122" w:hanging="540"/>
        <w:jc w:val="left"/>
      </w:pPr>
      <w:rPr>
        <w:rFonts w:hint="default" w:ascii="Times New Roman" w:hAnsi="Times New Roman" w:eastAsia="Times New Roman" w:cs="Times New Roman"/>
        <w:spacing w:val="-3"/>
        <w:w w:val="99"/>
        <w:sz w:val="24"/>
        <w:szCs w:val="24"/>
      </w:rPr>
    </w:lvl>
    <w:lvl w:ilvl="3">
      <w:start w:val="1"/>
      <w:numFmt w:val="bullet"/>
      <w:lvlText w:val="•"/>
      <w:lvlJc w:val="left"/>
      <w:pPr>
        <w:ind w:left="3496" w:hanging="540"/>
      </w:pPr>
      <w:rPr>
        <w:rFonts w:hint="default"/>
      </w:rPr>
    </w:lvl>
    <w:lvl w:ilvl="4">
      <w:start w:val="1"/>
      <w:numFmt w:val="bullet"/>
      <w:lvlText w:val="•"/>
      <w:lvlJc w:val="left"/>
      <w:pPr>
        <w:ind w:left="4288" w:hanging="540"/>
      </w:pPr>
      <w:rPr>
        <w:rFonts w:hint="default"/>
      </w:rPr>
    </w:lvl>
    <w:lvl w:ilvl="5">
      <w:start w:val="1"/>
      <w:numFmt w:val="bullet"/>
      <w:lvlText w:val="•"/>
      <w:lvlJc w:val="left"/>
      <w:pPr>
        <w:ind w:left="5080" w:hanging="540"/>
      </w:pPr>
      <w:rPr>
        <w:rFonts w:hint="default"/>
      </w:rPr>
    </w:lvl>
    <w:lvl w:ilvl="6">
      <w:start w:val="1"/>
      <w:numFmt w:val="bullet"/>
      <w:lvlText w:val="•"/>
      <w:lvlJc w:val="left"/>
      <w:pPr>
        <w:ind w:left="5872" w:hanging="540"/>
      </w:pPr>
      <w:rPr>
        <w:rFonts w:hint="default"/>
      </w:rPr>
    </w:lvl>
    <w:lvl w:ilvl="7">
      <w:start w:val="1"/>
      <w:numFmt w:val="bullet"/>
      <w:lvlText w:val="•"/>
      <w:lvlJc w:val="left"/>
      <w:pPr>
        <w:ind w:left="6664" w:hanging="540"/>
      </w:pPr>
      <w:rPr>
        <w:rFonts w:hint="default"/>
      </w:rPr>
    </w:lvl>
    <w:lvl w:ilvl="8">
      <w:start w:val="1"/>
      <w:numFmt w:val="bullet"/>
      <w:lvlText w:val="•"/>
      <w:lvlJc w:val="left"/>
      <w:pPr>
        <w:ind w:left="7456" w:hanging="540"/>
      </w:pPr>
      <w:rPr>
        <w:rFonts w:hint="default"/>
      </w:rPr>
    </w:lvl>
  </w:abstractNum>
  <w:abstractNum w:abstractNumId="2">
    <w:multiLevelType w:val="hybridMultilevel"/>
    <w:lvl w:ilvl="0">
      <w:start w:val="2"/>
      <w:numFmt w:val="decimal"/>
      <w:lvlText w:val="%1"/>
      <w:lvlJc w:val="left"/>
      <w:pPr>
        <w:ind w:left="764" w:hanging="423"/>
        <w:jc w:val="left"/>
      </w:pPr>
      <w:rPr>
        <w:rFonts w:hint="default"/>
      </w:rPr>
    </w:lvl>
    <w:lvl w:ilvl="1">
      <w:start w:val="1"/>
      <w:numFmt w:val="decimal"/>
      <w:lvlText w:val="%1.%2"/>
      <w:lvlJc w:val="left"/>
      <w:pPr>
        <w:ind w:left="764" w:hanging="423"/>
        <w:jc w:val="left"/>
      </w:pPr>
      <w:rPr>
        <w:rFonts w:hint="default" w:ascii="Times New Roman" w:hAnsi="Times New Roman" w:eastAsia="Times New Roman" w:cs="Times New Roman"/>
        <w:w w:val="100"/>
        <w:sz w:val="28"/>
        <w:szCs w:val="28"/>
      </w:rPr>
    </w:lvl>
    <w:lvl w:ilvl="2">
      <w:start w:val="1"/>
      <w:numFmt w:val="bullet"/>
      <w:lvlText w:val="•"/>
      <w:lvlJc w:val="left"/>
      <w:pPr>
        <w:ind w:left="2416" w:hanging="423"/>
      </w:pPr>
      <w:rPr>
        <w:rFonts w:hint="default"/>
      </w:rPr>
    </w:lvl>
    <w:lvl w:ilvl="3">
      <w:start w:val="1"/>
      <w:numFmt w:val="bullet"/>
      <w:lvlText w:val="•"/>
      <w:lvlJc w:val="left"/>
      <w:pPr>
        <w:ind w:left="3244" w:hanging="423"/>
      </w:pPr>
      <w:rPr>
        <w:rFonts w:hint="default"/>
      </w:rPr>
    </w:lvl>
    <w:lvl w:ilvl="4">
      <w:start w:val="1"/>
      <w:numFmt w:val="bullet"/>
      <w:lvlText w:val="•"/>
      <w:lvlJc w:val="left"/>
      <w:pPr>
        <w:ind w:left="4072" w:hanging="423"/>
      </w:pPr>
      <w:rPr>
        <w:rFonts w:hint="default"/>
      </w:rPr>
    </w:lvl>
    <w:lvl w:ilvl="5">
      <w:start w:val="1"/>
      <w:numFmt w:val="bullet"/>
      <w:lvlText w:val="•"/>
      <w:lvlJc w:val="left"/>
      <w:pPr>
        <w:ind w:left="4900" w:hanging="423"/>
      </w:pPr>
      <w:rPr>
        <w:rFonts w:hint="default"/>
      </w:rPr>
    </w:lvl>
    <w:lvl w:ilvl="6">
      <w:start w:val="1"/>
      <w:numFmt w:val="bullet"/>
      <w:lvlText w:val="•"/>
      <w:lvlJc w:val="left"/>
      <w:pPr>
        <w:ind w:left="5728" w:hanging="423"/>
      </w:pPr>
      <w:rPr>
        <w:rFonts w:hint="default"/>
      </w:rPr>
    </w:lvl>
    <w:lvl w:ilvl="7">
      <w:start w:val="1"/>
      <w:numFmt w:val="bullet"/>
      <w:lvlText w:val="•"/>
      <w:lvlJc w:val="left"/>
      <w:pPr>
        <w:ind w:left="6556" w:hanging="423"/>
      </w:pPr>
      <w:rPr>
        <w:rFonts w:hint="default"/>
      </w:rPr>
    </w:lvl>
    <w:lvl w:ilvl="8">
      <w:start w:val="1"/>
      <w:numFmt w:val="bullet"/>
      <w:lvlText w:val="•"/>
      <w:lvlJc w:val="left"/>
      <w:pPr>
        <w:ind w:left="7384" w:hanging="423"/>
      </w:pPr>
      <w:rPr>
        <w:rFonts w:hint="default"/>
      </w:rPr>
    </w:lvl>
  </w:abstractNum>
  <w:abstractNum w:abstractNumId="1">
    <w:multiLevelType w:val="hybridMultilevel"/>
    <w:lvl w:ilvl="0">
      <w:start w:val="1"/>
      <w:numFmt w:val="decimal"/>
      <w:lvlText w:val="%1"/>
      <w:lvlJc w:val="left"/>
      <w:pPr>
        <w:ind w:left="764" w:hanging="423"/>
        <w:jc w:val="left"/>
      </w:pPr>
      <w:rPr>
        <w:rFonts w:hint="default"/>
      </w:rPr>
    </w:lvl>
    <w:lvl w:ilvl="1">
      <w:start w:val="2"/>
      <w:numFmt w:val="decimal"/>
      <w:lvlText w:val="%1.%2"/>
      <w:lvlJc w:val="left"/>
      <w:pPr>
        <w:ind w:left="764" w:hanging="423"/>
        <w:jc w:val="left"/>
      </w:pPr>
      <w:rPr>
        <w:rFonts w:hint="default" w:ascii="Times New Roman" w:hAnsi="Times New Roman" w:eastAsia="Times New Roman" w:cs="Times New Roman"/>
        <w:w w:val="100"/>
        <w:sz w:val="28"/>
        <w:szCs w:val="28"/>
      </w:rPr>
    </w:lvl>
    <w:lvl w:ilvl="2">
      <w:start w:val="1"/>
      <w:numFmt w:val="decimal"/>
      <w:lvlText w:val="%1.%2.%3"/>
      <w:lvlJc w:val="left"/>
      <w:pPr>
        <w:ind w:left="1122" w:hanging="54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2110" w:hanging="540"/>
      </w:pPr>
      <w:rPr>
        <w:rFonts w:hint="default"/>
      </w:rPr>
    </w:lvl>
    <w:lvl w:ilvl="4">
      <w:start w:val="1"/>
      <w:numFmt w:val="bullet"/>
      <w:lvlText w:val="•"/>
      <w:lvlJc w:val="left"/>
      <w:pPr>
        <w:ind w:left="3100" w:hanging="540"/>
      </w:pPr>
      <w:rPr>
        <w:rFonts w:hint="default"/>
      </w:rPr>
    </w:lvl>
    <w:lvl w:ilvl="5">
      <w:start w:val="1"/>
      <w:numFmt w:val="bullet"/>
      <w:lvlText w:val="•"/>
      <w:lvlJc w:val="left"/>
      <w:pPr>
        <w:ind w:left="4090" w:hanging="540"/>
      </w:pPr>
      <w:rPr>
        <w:rFonts w:hint="default"/>
      </w:rPr>
    </w:lvl>
    <w:lvl w:ilvl="6">
      <w:start w:val="1"/>
      <w:numFmt w:val="bullet"/>
      <w:lvlText w:val="•"/>
      <w:lvlJc w:val="left"/>
      <w:pPr>
        <w:ind w:left="5080" w:hanging="540"/>
      </w:pPr>
      <w:rPr>
        <w:rFonts w:hint="default"/>
      </w:rPr>
    </w:lvl>
    <w:lvl w:ilvl="7">
      <w:start w:val="1"/>
      <w:numFmt w:val="bullet"/>
      <w:lvlText w:val="•"/>
      <w:lvlJc w:val="left"/>
      <w:pPr>
        <w:ind w:left="6070" w:hanging="540"/>
      </w:pPr>
      <w:rPr>
        <w:rFonts w:hint="default"/>
      </w:rPr>
    </w:lvl>
    <w:lvl w:ilvl="8">
      <w:start w:val="1"/>
      <w:numFmt w:val="bullet"/>
      <w:lvlText w:val="•"/>
      <w:lvlJc w:val="left"/>
      <w:pPr>
        <w:ind w:left="7060" w:hanging="540"/>
      </w:pPr>
      <w:rPr>
        <w:rFonts w:hint="default"/>
      </w:rPr>
    </w:lvl>
  </w:abstractNum>
  <w:abstractNum w:abstractNumId="0">
    <w:multiLevelType w:val="hybridMultilevel"/>
    <w:lvl w:ilvl="0">
      <w:start w:val="1"/>
      <w:numFmt w:val="decimal"/>
      <w:lvlText w:val="%1"/>
      <w:lvlJc w:val="left"/>
      <w:pPr>
        <w:ind w:left="764" w:hanging="423"/>
        <w:jc w:val="left"/>
      </w:pPr>
      <w:rPr>
        <w:rFonts w:hint="default"/>
      </w:rPr>
    </w:lvl>
    <w:lvl w:ilvl="1">
      <w:start w:val="1"/>
      <w:numFmt w:val="decimal"/>
      <w:lvlText w:val="%1.%2"/>
      <w:lvlJc w:val="left"/>
      <w:pPr>
        <w:ind w:left="764" w:hanging="423"/>
        <w:jc w:val="left"/>
      </w:pPr>
      <w:rPr>
        <w:rFonts w:hint="default" w:ascii="Times New Roman" w:hAnsi="Times New Roman" w:eastAsia="Times New Roman" w:cs="Times New Roman"/>
        <w:w w:val="100"/>
        <w:sz w:val="28"/>
        <w:szCs w:val="28"/>
      </w:rPr>
    </w:lvl>
    <w:lvl w:ilvl="2">
      <w:start w:val="1"/>
      <w:numFmt w:val="decimal"/>
      <w:lvlText w:val="%1.%2.%3"/>
      <w:lvlJc w:val="left"/>
      <w:pPr>
        <w:ind w:left="1063" w:hanging="481"/>
        <w:jc w:val="right"/>
      </w:pPr>
      <w:rPr>
        <w:rFonts w:hint="default"/>
        <w:spacing w:val="-2"/>
        <w:w w:val="99"/>
      </w:rPr>
    </w:lvl>
    <w:lvl w:ilvl="3">
      <w:start w:val="1"/>
      <w:numFmt w:val="decimal"/>
      <w:lvlText w:val="%1.%2.%3.%4"/>
      <w:lvlJc w:val="left"/>
      <w:pPr>
        <w:ind w:left="1302" w:hanging="720"/>
        <w:jc w:val="left"/>
      </w:pPr>
      <w:rPr>
        <w:rFonts w:hint="default" w:ascii="Times New Roman" w:hAnsi="Times New Roman" w:eastAsia="Times New Roman" w:cs="Times New Roman"/>
        <w:spacing w:val="-1"/>
        <w:w w:val="100"/>
        <w:sz w:val="24"/>
        <w:szCs w:val="24"/>
      </w:rPr>
    </w:lvl>
    <w:lvl w:ilvl="4">
      <w:start w:val="1"/>
      <w:numFmt w:val="bullet"/>
      <w:lvlText w:val="•"/>
      <w:lvlJc w:val="left"/>
      <w:pPr>
        <w:ind w:left="3235" w:hanging="720"/>
      </w:pPr>
      <w:rPr>
        <w:rFonts w:hint="default"/>
      </w:rPr>
    </w:lvl>
    <w:lvl w:ilvl="5">
      <w:start w:val="1"/>
      <w:numFmt w:val="bullet"/>
      <w:lvlText w:val="•"/>
      <w:lvlJc w:val="left"/>
      <w:pPr>
        <w:ind w:left="4202" w:hanging="720"/>
      </w:pPr>
      <w:rPr>
        <w:rFonts w:hint="default"/>
      </w:rPr>
    </w:lvl>
    <w:lvl w:ilvl="6">
      <w:start w:val="1"/>
      <w:numFmt w:val="bullet"/>
      <w:lvlText w:val="•"/>
      <w:lvlJc w:val="left"/>
      <w:pPr>
        <w:ind w:left="5170" w:hanging="720"/>
      </w:pPr>
      <w:rPr>
        <w:rFonts w:hint="default"/>
      </w:rPr>
    </w:lvl>
    <w:lvl w:ilvl="7">
      <w:start w:val="1"/>
      <w:numFmt w:val="bullet"/>
      <w:lvlText w:val="•"/>
      <w:lvlJc w:val="left"/>
      <w:pPr>
        <w:ind w:left="6137" w:hanging="720"/>
      </w:pPr>
      <w:rPr>
        <w:rFonts w:hint="default"/>
      </w:rPr>
    </w:lvl>
    <w:lvl w:ilvl="8">
      <w:start w:val="1"/>
      <w:numFmt w:val="bullet"/>
      <w:lvlText w:val="•"/>
      <w:lvlJc w:val="left"/>
      <w:pPr>
        <w:ind w:left="7105" w:hanging="720"/>
      </w:pPr>
      <w:rPr>
        <w:rFonts w:hint="default"/>
      </w:rPr>
    </w:lvl>
  </w:abstractNum>
  <w:num w:numId="16">
    <w:abstractNumId w:val="15"/>
  </w:num>
  <w:num w:numId="8">
    <w:abstractNumId w:val="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74"/>
      <w:ind w:left="102"/>
    </w:pPr>
    <w:rPr>
      <w:rFonts w:ascii="Times New Roman" w:hAnsi="Times New Roman" w:eastAsia="Times New Roman" w:cs="Times New Roman"/>
      <w:b/>
      <w:bCs/>
      <w:i/>
      <w:sz w:val="32"/>
      <w:szCs w:val="32"/>
    </w:rPr>
  </w:style>
  <w:style w:styleId="TOC2" w:type="paragraph">
    <w:name w:val="TOC 2"/>
    <w:basedOn w:val="Normal"/>
    <w:uiPriority w:val="1"/>
    <w:qFormat/>
    <w:pPr>
      <w:spacing w:before="167"/>
      <w:ind w:left="764" w:hanging="422"/>
    </w:pPr>
    <w:rPr>
      <w:rFonts w:ascii="Times New Roman" w:hAnsi="Times New Roman" w:eastAsia="Times New Roman" w:cs="Times New Roman"/>
      <w:sz w:val="28"/>
      <w:szCs w:val="28"/>
    </w:rPr>
  </w:style>
  <w:style w:styleId="TOC3" w:type="paragraph">
    <w:name w:val="TOC 3"/>
    <w:basedOn w:val="Normal"/>
    <w:uiPriority w:val="1"/>
    <w:qFormat/>
    <w:pPr>
      <w:spacing w:before="41"/>
      <w:ind w:left="1122" w:hanging="540"/>
    </w:pPr>
    <w:rPr>
      <w:rFonts w:ascii="Times New Roman" w:hAnsi="Times New Roman" w:eastAsia="Times New Roman" w:cs="Times New Roman"/>
      <w:sz w:val="24"/>
      <w:szCs w:val="24"/>
    </w:rPr>
  </w:style>
  <w:style w:styleId="TOC4" w:type="paragraph">
    <w:name w:val="TOC 4"/>
    <w:basedOn w:val="Normal"/>
    <w:uiPriority w:val="1"/>
    <w:qFormat/>
    <w:pPr>
      <w:spacing w:before="41"/>
      <w:ind w:left="620"/>
    </w:pPr>
    <w:rPr>
      <w:rFonts w:ascii="Times New Roman" w:hAnsi="Times New Roman" w:eastAsia="Times New Roman" w:cs="Times New Roman"/>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line="328" w:lineRule="exact"/>
      <w:ind w:left="242"/>
      <w:outlineLvl w:val="1"/>
    </w:pPr>
    <w:rPr>
      <w:rFonts w:ascii="Calibri" w:hAnsi="Calibri" w:eastAsia="Calibri" w:cs="Calibri"/>
      <w:b/>
      <w:bCs/>
      <w:sz w:val="30"/>
      <w:szCs w:val="30"/>
    </w:rPr>
  </w:style>
  <w:style w:styleId="Heading2" w:type="paragraph">
    <w:name w:val="Heading 2"/>
    <w:basedOn w:val="Normal"/>
    <w:uiPriority w:val="1"/>
    <w:qFormat/>
    <w:pPr>
      <w:spacing w:before="62"/>
      <w:ind w:left="102"/>
      <w:outlineLvl w:val="2"/>
    </w:pPr>
    <w:rPr>
      <w:rFonts w:ascii="Cambria" w:hAnsi="Cambria" w:eastAsia="Cambria" w:cs="Cambria"/>
      <w:b/>
      <w:bCs/>
      <w:sz w:val="28"/>
      <w:szCs w:val="28"/>
    </w:rPr>
  </w:style>
  <w:style w:styleId="Heading3" w:type="paragraph">
    <w:name w:val="Heading 3"/>
    <w:basedOn w:val="Normal"/>
    <w:uiPriority w:val="1"/>
    <w:qFormat/>
    <w:pPr>
      <w:spacing w:before="36"/>
      <w:ind w:left="526" w:hanging="424"/>
      <w:jc w:val="both"/>
      <w:outlineLvl w:val="3"/>
    </w:pPr>
    <w:rPr>
      <w:rFonts w:ascii="Cambria" w:hAnsi="Cambria" w:eastAsia="Cambria" w:cs="Cambria"/>
      <w:b/>
      <w:bCs/>
      <w:sz w:val="26"/>
      <w:szCs w:val="26"/>
    </w:rPr>
  </w:style>
  <w:style w:styleId="Heading4" w:type="paragraph">
    <w:name w:val="Heading 4"/>
    <w:basedOn w:val="Normal"/>
    <w:uiPriority w:val="1"/>
    <w:qFormat/>
    <w:pPr>
      <w:spacing w:before="54"/>
      <w:ind w:left="102"/>
      <w:jc w:val="both"/>
      <w:outlineLvl w:val="4"/>
    </w:pPr>
    <w:rPr>
      <w:rFonts w:ascii="Arial" w:hAnsi="Arial" w:eastAsia="Arial" w:cs="Arial"/>
      <w:b/>
      <w:bCs/>
      <w:sz w:val="24"/>
      <w:szCs w:val="24"/>
    </w:rPr>
  </w:style>
  <w:style w:styleId="ListParagraph" w:type="paragraph">
    <w:name w:val="List Paragraph"/>
    <w:basedOn w:val="Normal"/>
    <w:uiPriority w:val="1"/>
    <w:qFormat/>
    <w:pPr>
      <w:spacing w:before="41"/>
      <w:ind w:left="822" w:hanging="540"/>
      <w:jc w:val="both"/>
    </w:pPr>
    <w:rPr>
      <w:rFonts w:ascii="Arial" w:hAnsi="Arial" w:eastAsia="Arial" w:cs="Arial"/>
    </w:rPr>
  </w:style>
  <w:style w:styleId="TableParagraph" w:type="paragraph">
    <w:name w:val="Table Paragraph"/>
    <w:basedOn w:val="Normal"/>
    <w:uiPriority w:val="1"/>
    <w:qFormat/>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jpeg"/><Relationship Id="rId11" Type="http://schemas.openxmlformats.org/officeDocument/2006/relationships/image" Target="media/image7.jpeg"/><Relationship Id="rId12" Type="http://schemas.openxmlformats.org/officeDocument/2006/relationships/image" Target="media/image8.jpeg"/><Relationship Id="rId13" Type="http://schemas.openxmlformats.org/officeDocument/2006/relationships/image" Target="media/image9.jpeg"/><Relationship Id="rId14" Type="http://schemas.openxmlformats.org/officeDocument/2006/relationships/image" Target="media/image10.jpeg"/><Relationship Id="rId15" Type="http://schemas.openxmlformats.org/officeDocument/2006/relationships/footer" Target="footer1.xml"/><Relationship Id="rId16" Type="http://schemas.openxmlformats.org/officeDocument/2006/relationships/footer" Target="footer2.xml"/><Relationship Id="rId17" Type="http://schemas.openxmlformats.org/officeDocument/2006/relationships/footer" Target="footer3.xml"/><Relationship Id="rId18" Type="http://schemas.openxmlformats.org/officeDocument/2006/relationships/footer" Target="footer4.xml"/><Relationship Id="rId19" Type="http://schemas.openxmlformats.org/officeDocument/2006/relationships/footer" Target="footer5.xml"/><Relationship Id="rId20" Type="http://schemas.openxmlformats.org/officeDocument/2006/relationships/footer" Target="footer6.xml"/><Relationship Id="rId21" Type="http://schemas.openxmlformats.org/officeDocument/2006/relationships/footer" Target="footer7.xml"/><Relationship Id="rId22" Type="http://schemas.openxmlformats.org/officeDocument/2006/relationships/image" Target="media/image11.png"/><Relationship Id="rId23" Type="http://schemas.openxmlformats.org/officeDocument/2006/relationships/image" Target="media/image12.png"/><Relationship Id="rId24" Type="http://schemas.openxmlformats.org/officeDocument/2006/relationships/footer" Target="footer8.xml"/><Relationship Id="rId25" Type="http://schemas.openxmlformats.org/officeDocument/2006/relationships/footer" Target="footer9.xml"/><Relationship Id="rId26" Type="http://schemas.openxmlformats.org/officeDocument/2006/relationships/image" Target="media/image13.png"/><Relationship Id="rId27" Type="http://schemas.openxmlformats.org/officeDocument/2006/relationships/image" Target="media/image14.png"/><Relationship Id="rId28" Type="http://schemas.openxmlformats.org/officeDocument/2006/relationships/image" Target="media/image15.png"/><Relationship Id="rId29" Type="http://schemas.openxmlformats.org/officeDocument/2006/relationships/image" Target="media/image16.png"/><Relationship Id="rId30" Type="http://schemas.openxmlformats.org/officeDocument/2006/relationships/image" Target="media/image17.png"/><Relationship Id="rId31" Type="http://schemas.openxmlformats.org/officeDocument/2006/relationships/image" Target="media/image18.png"/><Relationship Id="rId32" Type="http://schemas.openxmlformats.org/officeDocument/2006/relationships/image" Target="media/image19.png"/><Relationship Id="rId33" Type="http://schemas.openxmlformats.org/officeDocument/2006/relationships/footer" Target="footer10.xml"/><Relationship Id="rId34" Type="http://schemas.openxmlformats.org/officeDocument/2006/relationships/footer" Target="footer11.xml"/><Relationship Id="rId35" Type="http://schemas.openxmlformats.org/officeDocument/2006/relationships/footer" Target="footer12.xml"/><Relationship Id="rId36" Type="http://schemas.openxmlformats.org/officeDocument/2006/relationships/footer" Target="footer13.xml"/><Relationship Id="rId37" Type="http://schemas.openxmlformats.org/officeDocument/2006/relationships/footer" Target="footer14.xml"/><Relationship Id="rId38" Type="http://schemas.openxmlformats.org/officeDocument/2006/relationships/footer" Target="footer15.xml"/><Relationship Id="rId39" Type="http://schemas.openxmlformats.org/officeDocument/2006/relationships/footer" Target="footer16.xml"/><Relationship Id="rId40" Type="http://schemas.openxmlformats.org/officeDocument/2006/relationships/footer" Target="footer17.xml"/><Relationship Id="rId41" Type="http://schemas.openxmlformats.org/officeDocument/2006/relationships/image" Target="media/image20.jpeg"/><Relationship Id="rId42" Type="http://schemas.openxmlformats.org/officeDocument/2006/relationships/footer" Target="footer18.xml"/><Relationship Id="rId43" Type="http://schemas.openxmlformats.org/officeDocument/2006/relationships/footer" Target="footer19.xml"/><Relationship Id="rId44" Type="http://schemas.openxmlformats.org/officeDocument/2006/relationships/footer" Target="footer20.xml"/><Relationship Id="rId45" Type="http://schemas.openxmlformats.org/officeDocument/2006/relationships/footer" Target="footer21.xml"/><Relationship Id="rId46" Type="http://schemas.openxmlformats.org/officeDocument/2006/relationships/image" Target="media/image21.png"/><Relationship Id="rId47" Type="http://schemas.openxmlformats.org/officeDocument/2006/relationships/image" Target="media/image22.png"/><Relationship Id="rId48" Type="http://schemas.openxmlformats.org/officeDocument/2006/relationships/image" Target="media/image23.png"/><Relationship Id="rId49" Type="http://schemas.openxmlformats.org/officeDocument/2006/relationships/image" Target="media/image24.png"/><Relationship Id="rId50" Type="http://schemas.openxmlformats.org/officeDocument/2006/relationships/image" Target="media/image25.png"/><Relationship Id="rId51" Type="http://schemas.openxmlformats.org/officeDocument/2006/relationships/image" Target="media/image26.png"/><Relationship Id="rId52" Type="http://schemas.openxmlformats.org/officeDocument/2006/relationships/image" Target="media/image27.png"/><Relationship Id="rId53" Type="http://schemas.openxmlformats.org/officeDocument/2006/relationships/image" Target="media/image28.png"/><Relationship Id="rId54" Type="http://schemas.openxmlformats.org/officeDocument/2006/relationships/image" Target="media/image29.png"/><Relationship Id="rId55" Type="http://schemas.openxmlformats.org/officeDocument/2006/relationships/image" Target="media/image30.png"/><Relationship Id="rId56" Type="http://schemas.openxmlformats.org/officeDocument/2006/relationships/image" Target="media/image31.png"/><Relationship Id="rId57" Type="http://schemas.openxmlformats.org/officeDocument/2006/relationships/image" Target="media/image32.png"/><Relationship Id="rId58" Type="http://schemas.openxmlformats.org/officeDocument/2006/relationships/image" Target="media/image33.png"/><Relationship Id="rId59" Type="http://schemas.openxmlformats.org/officeDocument/2006/relationships/image" Target="media/image34.jpeg"/><Relationship Id="rId60" Type="http://schemas.openxmlformats.org/officeDocument/2006/relationships/image" Target="media/image35.png"/><Relationship Id="rId61" Type="http://schemas.openxmlformats.org/officeDocument/2006/relationships/image" Target="media/image36.png"/><Relationship Id="rId62" Type="http://schemas.openxmlformats.org/officeDocument/2006/relationships/image" Target="media/image37.png"/><Relationship Id="rId63" Type="http://schemas.openxmlformats.org/officeDocument/2006/relationships/image" Target="media/image38.png"/><Relationship Id="rId64" Type="http://schemas.openxmlformats.org/officeDocument/2006/relationships/image" Target="media/image39.png"/><Relationship Id="rId65" Type="http://schemas.openxmlformats.org/officeDocument/2006/relationships/image" Target="media/image40.png"/><Relationship Id="rId66" Type="http://schemas.openxmlformats.org/officeDocument/2006/relationships/image" Target="media/image41.png"/><Relationship Id="rId67" Type="http://schemas.openxmlformats.org/officeDocument/2006/relationships/footer" Target="footer22.xml"/><Relationship Id="rId68" Type="http://schemas.openxmlformats.org/officeDocument/2006/relationships/image" Target="media/image42.jpeg"/><Relationship Id="rId69" Type="http://schemas.openxmlformats.org/officeDocument/2006/relationships/image" Target="media/image43.jpeg"/><Relationship Id="rId70" Type="http://schemas.openxmlformats.org/officeDocument/2006/relationships/image" Target="media/image44.jpeg"/><Relationship Id="rId71" Type="http://schemas.openxmlformats.org/officeDocument/2006/relationships/image" Target="media/image45.png"/><Relationship Id="rId72" Type="http://schemas.openxmlformats.org/officeDocument/2006/relationships/image" Target="media/image46.png"/><Relationship Id="rId73" Type="http://schemas.openxmlformats.org/officeDocument/2006/relationships/image" Target="media/image47.png"/><Relationship Id="rId74" Type="http://schemas.openxmlformats.org/officeDocument/2006/relationships/image" Target="media/image48.png"/><Relationship Id="rId75" Type="http://schemas.openxmlformats.org/officeDocument/2006/relationships/image" Target="media/image49.png"/><Relationship Id="rId76" Type="http://schemas.openxmlformats.org/officeDocument/2006/relationships/image" Target="media/image50.png"/><Relationship Id="rId77" Type="http://schemas.openxmlformats.org/officeDocument/2006/relationships/image" Target="media/image51.png"/><Relationship Id="rId78" Type="http://schemas.openxmlformats.org/officeDocument/2006/relationships/image" Target="media/image52.png"/><Relationship Id="rId79" Type="http://schemas.openxmlformats.org/officeDocument/2006/relationships/image" Target="media/image53.png"/><Relationship Id="rId80" Type="http://schemas.openxmlformats.org/officeDocument/2006/relationships/image" Target="media/image54.png"/><Relationship Id="rId81" Type="http://schemas.openxmlformats.org/officeDocument/2006/relationships/image" Target="media/image55.png"/><Relationship Id="rId82" Type="http://schemas.openxmlformats.org/officeDocument/2006/relationships/image" Target="media/image56.png"/><Relationship Id="rId83" Type="http://schemas.openxmlformats.org/officeDocument/2006/relationships/image" Target="media/image57.png"/><Relationship Id="rId84" Type="http://schemas.openxmlformats.org/officeDocument/2006/relationships/image" Target="media/image58.png"/><Relationship Id="rId85" Type="http://schemas.openxmlformats.org/officeDocument/2006/relationships/image" Target="media/image59.png"/><Relationship Id="rId86" Type="http://schemas.openxmlformats.org/officeDocument/2006/relationships/image" Target="media/image60.png"/><Relationship Id="rId87" Type="http://schemas.openxmlformats.org/officeDocument/2006/relationships/image" Target="media/image61.png"/><Relationship Id="rId88" Type="http://schemas.openxmlformats.org/officeDocument/2006/relationships/image" Target="media/image62.png"/><Relationship Id="rId89" Type="http://schemas.openxmlformats.org/officeDocument/2006/relationships/image" Target="media/image63.png"/><Relationship Id="rId90" Type="http://schemas.openxmlformats.org/officeDocument/2006/relationships/image" Target="media/image64.png"/><Relationship Id="rId91" Type="http://schemas.openxmlformats.org/officeDocument/2006/relationships/image" Target="media/image65.png"/><Relationship Id="rId92" Type="http://schemas.openxmlformats.org/officeDocument/2006/relationships/image" Target="media/image66.png"/><Relationship Id="rId93" Type="http://schemas.openxmlformats.org/officeDocument/2006/relationships/image" Target="media/image67.png"/><Relationship Id="rId94" Type="http://schemas.openxmlformats.org/officeDocument/2006/relationships/image" Target="media/image68.png"/><Relationship Id="rId95" Type="http://schemas.openxmlformats.org/officeDocument/2006/relationships/image" Target="media/image69.png"/><Relationship Id="rId96" Type="http://schemas.openxmlformats.org/officeDocument/2006/relationships/image" Target="media/image70.png"/><Relationship Id="rId97" Type="http://schemas.openxmlformats.org/officeDocument/2006/relationships/image" Target="media/image71.png"/><Relationship Id="rId98" Type="http://schemas.openxmlformats.org/officeDocument/2006/relationships/image" Target="media/image72.png"/><Relationship Id="rId99" Type="http://schemas.openxmlformats.org/officeDocument/2006/relationships/image" Target="media/image73.png"/><Relationship Id="rId100" Type="http://schemas.openxmlformats.org/officeDocument/2006/relationships/image" Target="media/image74.png"/><Relationship Id="rId101" Type="http://schemas.openxmlformats.org/officeDocument/2006/relationships/image" Target="media/image75.png"/><Relationship Id="rId102" Type="http://schemas.openxmlformats.org/officeDocument/2006/relationships/image" Target="media/image76.png"/><Relationship Id="rId103" Type="http://schemas.openxmlformats.org/officeDocument/2006/relationships/image" Target="media/image77.png"/><Relationship Id="rId104" Type="http://schemas.openxmlformats.org/officeDocument/2006/relationships/image" Target="media/image78.png"/><Relationship Id="rId105" Type="http://schemas.openxmlformats.org/officeDocument/2006/relationships/image" Target="media/image79.png"/><Relationship Id="rId106" Type="http://schemas.openxmlformats.org/officeDocument/2006/relationships/image" Target="media/image80.png"/><Relationship Id="rId107" Type="http://schemas.openxmlformats.org/officeDocument/2006/relationships/image" Target="media/image81.png"/><Relationship Id="rId108" Type="http://schemas.openxmlformats.org/officeDocument/2006/relationships/image" Target="media/image82.png"/><Relationship Id="rId109" Type="http://schemas.openxmlformats.org/officeDocument/2006/relationships/image" Target="media/image83.png"/><Relationship Id="rId110" Type="http://schemas.openxmlformats.org/officeDocument/2006/relationships/image" Target="media/image84.png"/><Relationship Id="rId111" Type="http://schemas.openxmlformats.org/officeDocument/2006/relationships/image" Target="media/image85.png"/><Relationship Id="rId112" Type="http://schemas.openxmlformats.org/officeDocument/2006/relationships/image" Target="media/image86.png"/><Relationship Id="rId113" Type="http://schemas.openxmlformats.org/officeDocument/2006/relationships/image" Target="media/image87.png"/><Relationship Id="rId114" Type="http://schemas.openxmlformats.org/officeDocument/2006/relationships/image" Target="media/image88.png"/><Relationship Id="rId115" Type="http://schemas.openxmlformats.org/officeDocument/2006/relationships/image" Target="media/image89.png"/><Relationship Id="rId116" Type="http://schemas.openxmlformats.org/officeDocument/2006/relationships/image" Target="media/image90.png"/><Relationship Id="rId117" Type="http://schemas.openxmlformats.org/officeDocument/2006/relationships/image" Target="media/image91.png"/><Relationship Id="rId118" Type="http://schemas.openxmlformats.org/officeDocument/2006/relationships/image" Target="media/image92.png"/><Relationship Id="rId119" Type="http://schemas.openxmlformats.org/officeDocument/2006/relationships/image" Target="media/image93.png"/><Relationship Id="rId120" Type="http://schemas.openxmlformats.org/officeDocument/2006/relationships/image" Target="media/image94.png"/><Relationship Id="rId121" Type="http://schemas.openxmlformats.org/officeDocument/2006/relationships/image" Target="media/image95.png"/><Relationship Id="rId122" Type="http://schemas.openxmlformats.org/officeDocument/2006/relationships/image" Target="media/image96.png"/><Relationship Id="rId123" Type="http://schemas.openxmlformats.org/officeDocument/2006/relationships/image" Target="media/image97.png"/><Relationship Id="rId124" Type="http://schemas.openxmlformats.org/officeDocument/2006/relationships/image" Target="media/image98.png"/><Relationship Id="rId125" Type="http://schemas.openxmlformats.org/officeDocument/2006/relationships/image" Target="media/image99.png"/><Relationship Id="rId126" Type="http://schemas.openxmlformats.org/officeDocument/2006/relationships/image" Target="media/image100.png"/><Relationship Id="rId127" Type="http://schemas.openxmlformats.org/officeDocument/2006/relationships/image" Target="media/image101.png"/><Relationship Id="rId128" Type="http://schemas.openxmlformats.org/officeDocument/2006/relationships/image" Target="media/image102.png"/><Relationship Id="rId129" Type="http://schemas.openxmlformats.org/officeDocument/2006/relationships/image" Target="media/image103.png"/><Relationship Id="rId130" Type="http://schemas.openxmlformats.org/officeDocument/2006/relationships/image" Target="media/image104.png"/><Relationship Id="rId131" Type="http://schemas.openxmlformats.org/officeDocument/2006/relationships/image" Target="media/image105.png"/><Relationship Id="rId132" Type="http://schemas.openxmlformats.org/officeDocument/2006/relationships/image" Target="media/image106.png"/><Relationship Id="rId133" Type="http://schemas.openxmlformats.org/officeDocument/2006/relationships/image" Target="media/image107.png"/><Relationship Id="rId134" Type="http://schemas.openxmlformats.org/officeDocument/2006/relationships/image" Target="media/image108.png"/><Relationship Id="rId135" Type="http://schemas.openxmlformats.org/officeDocument/2006/relationships/image" Target="media/image109.png"/><Relationship Id="rId136" Type="http://schemas.openxmlformats.org/officeDocument/2006/relationships/image" Target="media/image110.png"/><Relationship Id="rId137" Type="http://schemas.openxmlformats.org/officeDocument/2006/relationships/image" Target="media/image111.png"/><Relationship Id="rId138" Type="http://schemas.openxmlformats.org/officeDocument/2006/relationships/image" Target="media/image112.png"/><Relationship Id="rId139" Type="http://schemas.openxmlformats.org/officeDocument/2006/relationships/image" Target="media/image113.png"/><Relationship Id="rId140" Type="http://schemas.openxmlformats.org/officeDocument/2006/relationships/footer" Target="footer23.xml"/><Relationship Id="rId141" Type="http://schemas.openxmlformats.org/officeDocument/2006/relationships/image" Target="media/image114.jpeg"/><Relationship Id="rId142" Type="http://schemas.openxmlformats.org/officeDocument/2006/relationships/image" Target="media/image115.png"/><Relationship Id="rId143" Type="http://schemas.openxmlformats.org/officeDocument/2006/relationships/image" Target="media/image116.png"/><Relationship Id="rId144" Type="http://schemas.openxmlformats.org/officeDocument/2006/relationships/image" Target="media/image117.png"/><Relationship Id="rId145" Type="http://schemas.openxmlformats.org/officeDocument/2006/relationships/image" Target="media/image118.png"/><Relationship Id="rId146" Type="http://schemas.openxmlformats.org/officeDocument/2006/relationships/image" Target="media/image119.png"/><Relationship Id="rId147" Type="http://schemas.openxmlformats.org/officeDocument/2006/relationships/image" Target="media/image120.png"/><Relationship Id="rId148" Type="http://schemas.openxmlformats.org/officeDocument/2006/relationships/image" Target="media/image121.png"/><Relationship Id="rId149" Type="http://schemas.openxmlformats.org/officeDocument/2006/relationships/image" Target="media/image122.png"/><Relationship Id="rId150" Type="http://schemas.openxmlformats.org/officeDocument/2006/relationships/image" Target="media/image123.png"/><Relationship Id="rId151" Type="http://schemas.openxmlformats.org/officeDocument/2006/relationships/image" Target="media/image124.png"/><Relationship Id="rId152" Type="http://schemas.openxmlformats.org/officeDocument/2006/relationships/image" Target="media/image125.jpeg"/><Relationship Id="rId153" Type="http://schemas.openxmlformats.org/officeDocument/2006/relationships/image" Target="media/image126.png"/><Relationship Id="rId154" Type="http://schemas.openxmlformats.org/officeDocument/2006/relationships/image" Target="media/image127.png"/><Relationship Id="rId155" Type="http://schemas.openxmlformats.org/officeDocument/2006/relationships/image" Target="media/image128.png"/><Relationship Id="rId156" Type="http://schemas.openxmlformats.org/officeDocument/2006/relationships/image" Target="media/image129.png"/><Relationship Id="rId157" Type="http://schemas.openxmlformats.org/officeDocument/2006/relationships/image" Target="media/image130.png"/><Relationship Id="rId158" Type="http://schemas.openxmlformats.org/officeDocument/2006/relationships/image" Target="media/image131.png"/><Relationship Id="rId159" Type="http://schemas.openxmlformats.org/officeDocument/2006/relationships/image" Target="media/image132.png"/><Relationship Id="rId160" Type="http://schemas.openxmlformats.org/officeDocument/2006/relationships/image" Target="media/image133.png"/><Relationship Id="rId161" Type="http://schemas.openxmlformats.org/officeDocument/2006/relationships/image" Target="media/image134.png"/><Relationship Id="rId162" Type="http://schemas.openxmlformats.org/officeDocument/2006/relationships/image" Target="media/image135.png"/><Relationship Id="rId163" Type="http://schemas.openxmlformats.org/officeDocument/2006/relationships/image" Target="media/image136.png"/><Relationship Id="rId164" Type="http://schemas.openxmlformats.org/officeDocument/2006/relationships/image" Target="media/image137.png"/><Relationship Id="rId165" Type="http://schemas.openxmlformats.org/officeDocument/2006/relationships/image" Target="media/image138.png"/><Relationship Id="rId166" Type="http://schemas.openxmlformats.org/officeDocument/2006/relationships/image" Target="media/image139.png"/><Relationship Id="rId167" Type="http://schemas.openxmlformats.org/officeDocument/2006/relationships/image" Target="media/image140.png"/><Relationship Id="rId168" Type="http://schemas.openxmlformats.org/officeDocument/2006/relationships/image" Target="media/image141.png"/><Relationship Id="rId169" Type="http://schemas.openxmlformats.org/officeDocument/2006/relationships/image" Target="media/image142.png"/><Relationship Id="rId170" Type="http://schemas.openxmlformats.org/officeDocument/2006/relationships/image" Target="media/image143.png"/><Relationship Id="rId171" Type="http://schemas.openxmlformats.org/officeDocument/2006/relationships/image" Target="media/image144.png"/><Relationship Id="rId172" Type="http://schemas.openxmlformats.org/officeDocument/2006/relationships/image" Target="media/image145.png"/><Relationship Id="rId173" Type="http://schemas.openxmlformats.org/officeDocument/2006/relationships/image" Target="media/image146.png"/><Relationship Id="rId174" Type="http://schemas.openxmlformats.org/officeDocument/2006/relationships/image" Target="media/image147.png"/><Relationship Id="rId175" Type="http://schemas.openxmlformats.org/officeDocument/2006/relationships/image" Target="media/image148.png"/><Relationship Id="rId176" Type="http://schemas.openxmlformats.org/officeDocument/2006/relationships/image" Target="media/image149.png"/><Relationship Id="rId177" Type="http://schemas.openxmlformats.org/officeDocument/2006/relationships/image" Target="media/image150.png"/><Relationship Id="rId178" Type="http://schemas.openxmlformats.org/officeDocument/2006/relationships/image" Target="media/image151.png"/><Relationship Id="rId179" Type="http://schemas.openxmlformats.org/officeDocument/2006/relationships/image" Target="media/image152.png"/><Relationship Id="rId180" Type="http://schemas.openxmlformats.org/officeDocument/2006/relationships/image" Target="media/image153.png"/><Relationship Id="rId181" Type="http://schemas.openxmlformats.org/officeDocument/2006/relationships/image" Target="media/image154.png"/><Relationship Id="rId182" Type="http://schemas.openxmlformats.org/officeDocument/2006/relationships/image" Target="media/image155.png"/><Relationship Id="rId183" Type="http://schemas.openxmlformats.org/officeDocument/2006/relationships/image" Target="media/image156.png"/><Relationship Id="rId184" Type="http://schemas.openxmlformats.org/officeDocument/2006/relationships/image" Target="media/image157.png"/><Relationship Id="rId185" Type="http://schemas.openxmlformats.org/officeDocument/2006/relationships/image" Target="media/image158.png"/><Relationship Id="rId186" Type="http://schemas.openxmlformats.org/officeDocument/2006/relationships/image" Target="media/image159.png"/><Relationship Id="rId187" Type="http://schemas.openxmlformats.org/officeDocument/2006/relationships/image" Target="media/image160.png"/><Relationship Id="rId188" Type="http://schemas.openxmlformats.org/officeDocument/2006/relationships/image" Target="media/image161.png"/><Relationship Id="rId189" Type="http://schemas.openxmlformats.org/officeDocument/2006/relationships/image" Target="media/image162.png"/><Relationship Id="rId190" Type="http://schemas.openxmlformats.org/officeDocument/2006/relationships/image" Target="media/image163.png"/><Relationship Id="rId191" Type="http://schemas.openxmlformats.org/officeDocument/2006/relationships/image" Target="media/image164.png"/><Relationship Id="rId192" Type="http://schemas.openxmlformats.org/officeDocument/2006/relationships/image" Target="media/image165.png"/><Relationship Id="rId193" Type="http://schemas.openxmlformats.org/officeDocument/2006/relationships/image" Target="media/image166.png"/><Relationship Id="rId194" Type="http://schemas.openxmlformats.org/officeDocument/2006/relationships/image" Target="media/image167.png"/><Relationship Id="rId195" Type="http://schemas.openxmlformats.org/officeDocument/2006/relationships/image" Target="media/image168.png"/><Relationship Id="rId196" Type="http://schemas.openxmlformats.org/officeDocument/2006/relationships/image" Target="media/image169.png"/><Relationship Id="rId197" Type="http://schemas.openxmlformats.org/officeDocument/2006/relationships/image" Target="media/image170.png"/><Relationship Id="rId198" Type="http://schemas.openxmlformats.org/officeDocument/2006/relationships/image" Target="media/image171.png"/><Relationship Id="rId199" Type="http://schemas.openxmlformats.org/officeDocument/2006/relationships/image" Target="media/image172.png"/><Relationship Id="rId200" Type="http://schemas.openxmlformats.org/officeDocument/2006/relationships/image" Target="media/image173.png"/><Relationship Id="rId201" Type="http://schemas.openxmlformats.org/officeDocument/2006/relationships/image" Target="media/image174.png"/><Relationship Id="rId202" Type="http://schemas.openxmlformats.org/officeDocument/2006/relationships/image" Target="media/image175.png"/><Relationship Id="rId203" Type="http://schemas.openxmlformats.org/officeDocument/2006/relationships/image" Target="media/image176.png"/><Relationship Id="rId204" Type="http://schemas.openxmlformats.org/officeDocument/2006/relationships/image" Target="media/image177.png"/><Relationship Id="rId205" Type="http://schemas.openxmlformats.org/officeDocument/2006/relationships/image" Target="media/image178.png"/><Relationship Id="rId206" Type="http://schemas.openxmlformats.org/officeDocument/2006/relationships/image" Target="media/image179.png"/><Relationship Id="rId207" Type="http://schemas.openxmlformats.org/officeDocument/2006/relationships/image" Target="media/image180.png"/><Relationship Id="rId208" Type="http://schemas.openxmlformats.org/officeDocument/2006/relationships/image" Target="media/image181.png"/><Relationship Id="rId209" Type="http://schemas.openxmlformats.org/officeDocument/2006/relationships/image" Target="media/image182.png"/><Relationship Id="rId210" Type="http://schemas.openxmlformats.org/officeDocument/2006/relationships/image" Target="media/image183.png"/><Relationship Id="rId211" Type="http://schemas.openxmlformats.org/officeDocument/2006/relationships/image" Target="media/image184.png"/><Relationship Id="rId212" Type="http://schemas.openxmlformats.org/officeDocument/2006/relationships/image" Target="media/image185.png"/><Relationship Id="rId213" Type="http://schemas.openxmlformats.org/officeDocument/2006/relationships/image" Target="media/image186.png"/><Relationship Id="rId214" Type="http://schemas.openxmlformats.org/officeDocument/2006/relationships/image" Target="media/image187.png"/><Relationship Id="rId215" Type="http://schemas.openxmlformats.org/officeDocument/2006/relationships/image" Target="media/image188.png"/><Relationship Id="rId216" Type="http://schemas.openxmlformats.org/officeDocument/2006/relationships/image" Target="media/image189.png"/><Relationship Id="rId217" Type="http://schemas.openxmlformats.org/officeDocument/2006/relationships/image" Target="media/image190.png"/><Relationship Id="rId218" Type="http://schemas.openxmlformats.org/officeDocument/2006/relationships/image" Target="media/image191.png"/><Relationship Id="rId219" Type="http://schemas.openxmlformats.org/officeDocument/2006/relationships/image" Target="media/image192.png"/><Relationship Id="rId220" Type="http://schemas.openxmlformats.org/officeDocument/2006/relationships/image" Target="media/image193.png"/><Relationship Id="rId221" Type="http://schemas.openxmlformats.org/officeDocument/2006/relationships/image" Target="media/image194.png"/><Relationship Id="rId222" Type="http://schemas.openxmlformats.org/officeDocument/2006/relationships/image" Target="media/image195.png"/><Relationship Id="rId223" Type="http://schemas.openxmlformats.org/officeDocument/2006/relationships/image" Target="media/image196.png"/><Relationship Id="rId224" Type="http://schemas.openxmlformats.org/officeDocument/2006/relationships/image" Target="media/image197.png"/><Relationship Id="rId225" Type="http://schemas.openxmlformats.org/officeDocument/2006/relationships/image" Target="media/image198.png"/><Relationship Id="rId226" Type="http://schemas.openxmlformats.org/officeDocument/2006/relationships/image" Target="media/image199.png"/><Relationship Id="rId227" Type="http://schemas.openxmlformats.org/officeDocument/2006/relationships/image" Target="media/image200.png"/><Relationship Id="rId228" Type="http://schemas.openxmlformats.org/officeDocument/2006/relationships/image" Target="media/image201.png"/><Relationship Id="rId229" Type="http://schemas.openxmlformats.org/officeDocument/2006/relationships/image" Target="media/image202.png"/><Relationship Id="rId230" Type="http://schemas.openxmlformats.org/officeDocument/2006/relationships/image" Target="media/image203.png"/><Relationship Id="rId231" Type="http://schemas.openxmlformats.org/officeDocument/2006/relationships/image" Target="media/image204.png"/><Relationship Id="rId232" Type="http://schemas.openxmlformats.org/officeDocument/2006/relationships/image" Target="media/image205.png"/><Relationship Id="rId233" Type="http://schemas.openxmlformats.org/officeDocument/2006/relationships/image" Target="media/image206.png"/><Relationship Id="rId234" Type="http://schemas.openxmlformats.org/officeDocument/2006/relationships/image" Target="media/image207.png"/><Relationship Id="rId235" Type="http://schemas.openxmlformats.org/officeDocument/2006/relationships/image" Target="media/image208.png"/><Relationship Id="rId236" Type="http://schemas.openxmlformats.org/officeDocument/2006/relationships/image" Target="media/image209.png"/><Relationship Id="rId237" Type="http://schemas.openxmlformats.org/officeDocument/2006/relationships/image" Target="media/image210.png"/><Relationship Id="rId238" Type="http://schemas.openxmlformats.org/officeDocument/2006/relationships/image" Target="media/image211.png"/><Relationship Id="rId239" Type="http://schemas.openxmlformats.org/officeDocument/2006/relationships/image" Target="media/image212.png"/><Relationship Id="rId240" Type="http://schemas.openxmlformats.org/officeDocument/2006/relationships/image" Target="media/image213.png"/><Relationship Id="rId241" Type="http://schemas.openxmlformats.org/officeDocument/2006/relationships/image" Target="media/image214.png"/><Relationship Id="rId242" Type="http://schemas.openxmlformats.org/officeDocument/2006/relationships/image" Target="media/image215.png"/><Relationship Id="rId243" Type="http://schemas.openxmlformats.org/officeDocument/2006/relationships/image" Target="media/image216.png"/><Relationship Id="rId244" Type="http://schemas.openxmlformats.org/officeDocument/2006/relationships/image" Target="media/image217.png"/><Relationship Id="rId245" Type="http://schemas.openxmlformats.org/officeDocument/2006/relationships/image" Target="media/image218.png"/><Relationship Id="rId246" Type="http://schemas.openxmlformats.org/officeDocument/2006/relationships/image" Target="media/image219.png"/><Relationship Id="rId247" Type="http://schemas.openxmlformats.org/officeDocument/2006/relationships/image" Target="media/image220.png"/><Relationship Id="rId248" Type="http://schemas.openxmlformats.org/officeDocument/2006/relationships/image" Target="media/image221.png"/><Relationship Id="rId249" Type="http://schemas.openxmlformats.org/officeDocument/2006/relationships/image" Target="media/image222.png"/><Relationship Id="rId250" Type="http://schemas.openxmlformats.org/officeDocument/2006/relationships/image" Target="media/image223.png"/><Relationship Id="rId251" Type="http://schemas.openxmlformats.org/officeDocument/2006/relationships/image" Target="media/image224.png"/><Relationship Id="rId252" Type="http://schemas.openxmlformats.org/officeDocument/2006/relationships/image" Target="media/image225.jpeg"/><Relationship Id="rId253" Type="http://schemas.openxmlformats.org/officeDocument/2006/relationships/image" Target="media/image226.png"/><Relationship Id="rId254" Type="http://schemas.openxmlformats.org/officeDocument/2006/relationships/image" Target="media/image227.png"/><Relationship Id="rId255" Type="http://schemas.openxmlformats.org/officeDocument/2006/relationships/image" Target="media/image228.png"/><Relationship Id="rId256" Type="http://schemas.openxmlformats.org/officeDocument/2006/relationships/image" Target="media/image229.png"/><Relationship Id="rId257" Type="http://schemas.openxmlformats.org/officeDocument/2006/relationships/image" Target="media/image230.png"/><Relationship Id="rId258" Type="http://schemas.openxmlformats.org/officeDocument/2006/relationships/image" Target="media/image231.png"/><Relationship Id="rId259" Type="http://schemas.openxmlformats.org/officeDocument/2006/relationships/image" Target="media/image232.png"/><Relationship Id="rId260" Type="http://schemas.openxmlformats.org/officeDocument/2006/relationships/image" Target="media/image233.png"/><Relationship Id="rId261" Type="http://schemas.openxmlformats.org/officeDocument/2006/relationships/image" Target="media/image234.png"/><Relationship Id="rId262" Type="http://schemas.openxmlformats.org/officeDocument/2006/relationships/image" Target="media/image235.png"/><Relationship Id="rId263" Type="http://schemas.openxmlformats.org/officeDocument/2006/relationships/image" Target="media/image236.png"/><Relationship Id="rId264" Type="http://schemas.openxmlformats.org/officeDocument/2006/relationships/image" Target="media/image237.png"/><Relationship Id="rId265" Type="http://schemas.openxmlformats.org/officeDocument/2006/relationships/image" Target="media/image238.jpeg"/><Relationship Id="rId266" Type="http://schemas.openxmlformats.org/officeDocument/2006/relationships/footer" Target="footer24.xml"/><Relationship Id="rId267" Type="http://schemas.openxmlformats.org/officeDocument/2006/relationships/image" Target="media/image239.png"/><Relationship Id="rId268" Type="http://schemas.openxmlformats.org/officeDocument/2006/relationships/image" Target="media/image240.png"/><Relationship Id="rId269" Type="http://schemas.openxmlformats.org/officeDocument/2006/relationships/image" Target="media/image241.png"/><Relationship Id="rId270" Type="http://schemas.openxmlformats.org/officeDocument/2006/relationships/image" Target="media/image242.png"/><Relationship Id="rId271" Type="http://schemas.openxmlformats.org/officeDocument/2006/relationships/image" Target="media/image243.png"/><Relationship Id="rId272" Type="http://schemas.openxmlformats.org/officeDocument/2006/relationships/image" Target="media/image244.png"/><Relationship Id="rId273" Type="http://schemas.openxmlformats.org/officeDocument/2006/relationships/image" Target="media/image245.png"/><Relationship Id="rId274" Type="http://schemas.openxmlformats.org/officeDocument/2006/relationships/image" Target="media/image246.png"/><Relationship Id="rId275" Type="http://schemas.openxmlformats.org/officeDocument/2006/relationships/image" Target="media/image247.png"/><Relationship Id="rId276" Type="http://schemas.openxmlformats.org/officeDocument/2006/relationships/image" Target="media/image248.png"/><Relationship Id="rId277" Type="http://schemas.openxmlformats.org/officeDocument/2006/relationships/image" Target="media/image249.png"/><Relationship Id="rId278" Type="http://schemas.openxmlformats.org/officeDocument/2006/relationships/image" Target="media/image250.png"/><Relationship Id="rId279" Type="http://schemas.openxmlformats.org/officeDocument/2006/relationships/image" Target="media/image251.png"/><Relationship Id="rId280" Type="http://schemas.openxmlformats.org/officeDocument/2006/relationships/image" Target="media/image252.png"/><Relationship Id="rId281" Type="http://schemas.openxmlformats.org/officeDocument/2006/relationships/image" Target="media/image253.png"/><Relationship Id="rId282" Type="http://schemas.openxmlformats.org/officeDocument/2006/relationships/image" Target="media/image254.png"/><Relationship Id="rId283" Type="http://schemas.openxmlformats.org/officeDocument/2006/relationships/image" Target="media/image255.png"/><Relationship Id="rId284" Type="http://schemas.openxmlformats.org/officeDocument/2006/relationships/image" Target="media/image256.png"/><Relationship Id="rId285" Type="http://schemas.openxmlformats.org/officeDocument/2006/relationships/image" Target="media/image257.png"/><Relationship Id="rId286" Type="http://schemas.openxmlformats.org/officeDocument/2006/relationships/image" Target="media/image258.png"/><Relationship Id="rId287" Type="http://schemas.openxmlformats.org/officeDocument/2006/relationships/image" Target="media/image259.png"/><Relationship Id="rId288" Type="http://schemas.openxmlformats.org/officeDocument/2006/relationships/image" Target="media/image260.png"/><Relationship Id="rId289" Type="http://schemas.openxmlformats.org/officeDocument/2006/relationships/image" Target="media/image261.png"/><Relationship Id="rId290" Type="http://schemas.openxmlformats.org/officeDocument/2006/relationships/image" Target="media/image262.png"/><Relationship Id="rId291" Type="http://schemas.openxmlformats.org/officeDocument/2006/relationships/image" Target="media/image263.png"/><Relationship Id="rId292" Type="http://schemas.openxmlformats.org/officeDocument/2006/relationships/image" Target="media/image264.png"/><Relationship Id="rId293" Type="http://schemas.openxmlformats.org/officeDocument/2006/relationships/image" Target="media/image265.png"/><Relationship Id="rId294" Type="http://schemas.openxmlformats.org/officeDocument/2006/relationships/image" Target="media/image266.png"/><Relationship Id="rId295" Type="http://schemas.openxmlformats.org/officeDocument/2006/relationships/image" Target="media/image267.png"/><Relationship Id="rId296" Type="http://schemas.openxmlformats.org/officeDocument/2006/relationships/image" Target="media/image268.png"/><Relationship Id="rId297" Type="http://schemas.openxmlformats.org/officeDocument/2006/relationships/image" Target="media/image269.png"/><Relationship Id="rId298" Type="http://schemas.openxmlformats.org/officeDocument/2006/relationships/image" Target="media/image270.png"/><Relationship Id="rId299" Type="http://schemas.openxmlformats.org/officeDocument/2006/relationships/image" Target="media/image271.png"/><Relationship Id="rId300" Type="http://schemas.openxmlformats.org/officeDocument/2006/relationships/image" Target="media/image272.png"/><Relationship Id="rId301" Type="http://schemas.openxmlformats.org/officeDocument/2006/relationships/image" Target="media/image273.png"/><Relationship Id="rId302" Type="http://schemas.openxmlformats.org/officeDocument/2006/relationships/image" Target="media/image274.png"/><Relationship Id="rId303" Type="http://schemas.openxmlformats.org/officeDocument/2006/relationships/image" Target="media/image275.png"/><Relationship Id="rId304" Type="http://schemas.openxmlformats.org/officeDocument/2006/relationships/image" Target="media/image276.png"/><Relationship Id="rId305" Type="http://schemas.openxmlformats.org/officeDocument/2006/relationships/image" Target="media/image277.png"/><Relationship Id="rId306" Type="http://schemas.openxmlformats.org/officeDocument/2006/relationships/image" Target="media/image278.png"/><Relationship Id="rId307" Type="http://schemas.openxmlformats.org/officeDocument/2006/relationships/image" Target="media/image279.png"/><Relationship Id="rId308" Type="http://schemas.openxmlformats.org/officeDocument/2006/relationships/image" Target="media/image280.png"/><Relationship Id="rId309" Type="http://schemas.openxmlformats.org/officeDocument/2006/relationships/image" Target="media/image281.png"/><Relationship Id="rId310" Type="http://schemas.openxmlformats.org/officeDocument/2006/relationships/image" Target="media/image282.png"/><Relationship Id="rId311" Type="http://schemas.openxmlformats.org/officeDocument/2006/relationships/image" Target="media/image283.png"/><Relationship Id="rId312" Type="http://schemas.openxmlformats.org/officeDocument/2006/relationships/image" Target="media/image284.png"/><Relationship Id="rId313" Type="http://schemas.openxmlformats.org/officeDocument/2006/relationships/image" Target="media/image285.png"/><Relationship Id="rId314" Type="http://schemas.openxmlformats.org/officeDocument/2006/relationships/image" Target="media/image286.png"/><Relationship Id="rId315" Type="http://schemas.openxmlformats.org/officeDocument/2006/relationships/image" Target="media/image287.png"/><Relationship Id="rId316" Type="http://schemas.openxmlformats.org/officeDocument/2006/relationships/image" Target="media/image288.png"/><Relationship Id="rId317" Type="http://schemas.openxmlformats.org/officeDocument/2006/relationships/image" Target="media/image289.png"/><Relationship Id="rId318" Type="http://schemas.openxmlformats.org/officeDocument/2006/relationships/image" Target="media/image290.png"/><Relationship Id="rId319" Type="http://schemas.openxmlformats.org/officeDocument/2006/relationships/image" Target="media/image291.png"/><Relationship Id="rId320" Type="http://schemas.openxmlformats.org/officeDocument/2006/relationships/image" Target="media/image292.png"/><Relationship Id="rId321" Type="http://schemas.openxmlformats.org/officeDocument/2006/relationships/image" Target="media/image293.png"/><Relationship Id="rId322" Type="http://schemas.openxmlformats.org/officeDocument/2006/relationships/image" Target="media/image294.png"/><Relationship Id="rId323" Type="http://schemas.openxmlformats.org/officeDocument/2006/relationships/image" Target="media/image295.png"/><Relationship Id="rId324" Type="http://schemas.openxmlformats.org/officeDocument/2006/relationships/image" Target="media/image296.png"/><Relationship Id="rId325" Type="http://schemas.openxmlformats.org/officeDocument/2006/relationships/image" Target="media/image297.png"/><Relationship Id="rId326" Type="http://schemas.openxmlformats.org/officeDocument/2006/relationships/image" Target="media/image298.png"/><Relationship Id="rId327" Type="http://schemas.openxmlformats.org/officeDocument/2006/relationships/image" Target="media/image299.png"/><Relationship Id="rId328" Type="http://schemas.openxmlformats.org/officeDocument/2006/relationships/image" Target="media/image300.png"/><Relationship Id="rId329" Type="http://schemas.openxmlformats.org/officeDocument/2006/relationships/image" Target="media/image301.png"/><Relationship Id="rId330" Type="http://schemas.openxmlformats.org/officeDocument/2006/relationships/image" Target="media/image302.png"/><Relationship Id="rId331" Type="http://schemas.openxmlformats.org/officeDocument/2006/relationships/image" Target="media/image303.png"/><Relationship Id="rId332" Type="http://schemas.openxmlformats.org/officeDocument/2006/relationships/image" Target="media/image304.png"/><Relationship Id="rId333" Type="http://schemas.openxmlformats.org/officeDocument/2006/relationships/image" Target="media/image305.png"/><Relationship Id="rId334" Type="http://schemas.openxmlformats.org/officeDocument/2006/relationships/image" Target="media/image306.png"/><Relationship Id="rId335" Type="http://schemas.openxmlformats.org/officeDocument/2006/relationships/image" Target="media/image307.png"/><Relationship Id="rId336" Type="http://schemas.openxmlformats.org/officeDocument/2006/relationships/image" Target="media/image308.png"/><Relationship Id="rId337" Type="http://schemas.openxmlformats.org/officeDocument/2006/relationships/image" Target="media/image309.png"/><Relationship Id="rId338" Type="http://schemas.openxmlformats.org/officeDocument/2006/relationships/image" Target="media/image310.png"/><Relationship Id="rId339" Type="http://schemas.openxmlformats.org/officeDocument/2006/relationships/image" Target="media/image311.png"/><Relationship Id="rId340" Type="http://schemas.openxmlformats.org/officeDocument/2006/relationships/image" Target="media/image312.png"/><Relationship Id="rId341" Type="http://schemas.openxmlformats.org/officeDocument/2006/relationships/image" Target="media/image313.png"/><Relationship Id="rId342" Type="http://schemas.openxmlformats.org/officeDocument/2006/relationships/image" Target="media/image314.png"/><Relationship Id="rId343" Type="http://schemas.openxmlformats.org/officeDocument/2006/relationships/image" Target="media/image315.png"/><Relationship Id="rId344" Type="http://schemas.openxmlformats.org/officeDocument/2006/relationships/image" Target="media/image316.png"/><Relationship Id="rId345" Type="http://schemas.openxmlformats.org/officeDocument/2006/relationships/image" Target="media/image317.png"/><Relationship Id="rId346" Type="http://schemas.openxmlformats.org/officeDocument/2006/relationships/image" Target="media/image318.png"/><Relationship Id="rId347" Type="http://schemas.openxmlformats.org/officeDocument/2006/relationships/image" Target="media/image319.png"/><Relationship Id="rId348" Type="http://schemas.openxmlformats.org/officeDocument/2006/relationships/image" Target="media/image320.png"/><Relationship Id="rId349" Type="http://schemas.openxmlformats.org/officeDocument/2006/relationships/image" Target="media/image321.png"/><Relationship Id="rId350" Type="http://schemas.openxmlformats.org/officeDocument/2006/relationships/image" Target="media/image322.png"/><Relationship Id="rId351" Type="http://schemas.openxmlformats.org/officeDocument/2006/relationships/image" Target="media/image323.png"/><Relationship Id="rId352" Type="http://schemas.openxmlformats.org/officeDocument/2006/relationships/image" Target="media/image324.png"/><Relationship Id="rId353" Type="http://schemas.openxmlformats.org/officeDocument/2006/relationships/image" Target="media/image325.png"/><Relationship Id="rId354" Type="http://schemas.openxmlformats.org/officeDocument/2006/relationships/image" Target="media/image326.png"/><Relationship Id="rId355" Type="http://schemas.openxmlformats.org/officeDocument/2006/relationships/image" Target="media/image327.png"/><Relationship Id="rId356" Type="http://schemas.openxmlformats.org/officeDocument/2006/relationships/image" Target="media/image328.png"/><Relationship Id="rId357" Type="http://schemas.openxmlformats.org/officeDocument/2006/relationships/image" Target="media/image329.png"/><Relationship Id="rId358" Type="http://schemas.openxmlformats.org/officeDocument/2006/relationships/image" Target="media/image330.png"/><Relationship Id="rId359" Type="http://schemas.openxmlformats.org/officeDocument/2006/relationships/image" Target="media/image331.png"/><Relationship Id="rId360" Type="http://schemas.openxmlformats.org/officeDocument/2006/relationships/image" Target="media/image332.png"/><Relationship Id="rId361" Type="http://schemas.openxmlformats.org/officeDocument/2006/relationships/image" Target="media/image333.png"/><Relationship Id="rId362" Type="http://schemas.openxmlformats.org/officeDocument/2006/relationships/image" Target="media/image334.png"/><Relationship Id="rId363" Type="http://schemas.openxmlformats.org/officeDocument/2006/relationships/image" Target="media/image335.png"/><Relationship Id="rId364" Type="http://schemas.openxmlformats.org/officeDocument/2006/relationships/image" Target="media/image336.png"/><Relationship Id="rId365" Type="http://schemas.openxmlformats.org/officeDocument/2006/relationships/image" Target="media/image337.png"/><Relationship Id="rId366" Type="http://schemas.openxmlformats.org/officeDocument/2006/relationships/image" Target="media/image338.png"/><Relationship Id="rId367" Type="http://schemas.openxmlformats.org/officeDocument/2006/relationships/image" Target="media/image339.png"/><Relationship Id="rId368" Type="http://schemas.openxmlformats.org/officeDocument/2006/relationships/image" Target="media/image340.png"/><Relationship Id="rId369" Type="http://schemas.openxmlformats.org/officeDocument/2006/relationships/image" Target="media/image341.png"/><Relationship Id="rId370" Type="http://schemas.openxmlformats.org/officeDocument/2006/relationships/image" Target="media/image342.png"/><Relationship Id="rId371" Type="http://schemas.openxmlformats.org/officeDocument/2006/relationships/image" Target="media/image343.png"/><Relationship Id="rId372" Type="http://schemas.openxmlformats.org/officeDocument/2006/relationships/image" Target="media/image344.png"/><Relationship Id="rId373" Type="http://schemas.openxmlformats.org/officeDocument/2006/relationships/image" Target="media/image345.png"/><Relationship Id="rId374" Type="http://schemas.openxmlformats.org/officeDocument/2006/relationships/image" Target="media/image346.png"/><Relationship Id="rId375" Type="http://schemas.openxmlformats.org/officeDocument/2006/relationships/image" Target="media/image347.png"/><Relationship Id="rId376" Type="http://schemas.openxmlformats.org/officeDocument/2006/relationships/image" Target="media/image348.png"/><Relationship Id="rId377" Type="http://schemas.openxmlformats.org/officeDocument/2006/relationships/image" Target="media/image349.png"/><Relationship Id="rId378" Type="http://schemas.openxmlformats.org/officeDocument/2006/relationships/image" Target="media/image350.png"/><Relationship Id="rId379" Type="http://schemas.openxmlformats.org/officeDocument/2006/relationships/image" Target="media/image351.png"/><Relationship Id="rId380" Type="http://schemas.openxmlformats.org/officeDocument/2006/relationships/image" Target="media/image352.png"/><Relationship Id="rId381" Type="http://schemas.openxmlformats.org/officeDocument/2006/relationships/image" Target="media/image353.png"/><Relationship Id="rId382" Type="http://schemas.openxmlformats.org/officeDocument/2006/relationships/image" Target="media/image354.png"/><Relationship Id="rId383" Type="http://schemas.openxmlformats.org/officeDocument/2006/relationships/image" Target="media/image355.png"/><Relationship Id="rId384" Type="http://schemas.openxmlformats.org/officeDocument/2006/relationships/image" Target="media/image356.png"/><Relationship Id="rId385" Type="http://schemas.openxmlformats.org/officeDocument/2006/relationships/image" Target="media/image357.png"/><Relationship Id="rId386" Type="http://schemas.openxmlformats.org/officeDocument/2006/relationships/image" Target="media/image358.png"/><Relationship Id="rId387" Type="http://schemas.openxmlformats.org/officeDocument/2006/relationships/image" Target="media/image359.png"/><Relationship Id="rId388" Type="http://schemas.openxmlformats.org/officeDocument/2006/relationships/image" Target="media/image360.png"/><Relationship Id="rId389" Type="http://schemas.openxmlformats.org/officeDocument/2006/relationships/image" Target="media/image361.png"/><Relationship Id="rId390" Type="http://schemas.openxmlformats.org/officeDocument/2006/relationships/image" Target="media/image362.png"/><Relationship Id="rId391" Type="http://schemas.openxmlformats.org/officeDocument/2006/relationships/image" Target="media/image363.png"/><Relationship Id="rId392" Type="http://schemas.openxmlformats.org/officeDocument/2006/relationships/image" Target="media/image364.png"/><Relationship Id="rId393" Type="http://schemas.openxmlformats.org/officeDocument/2006/relationships/image" Target="media/image365.png"/><Relationship Id="rId394" Type="http://schemas.openxmlformats.org/officeDocument/2006/relationships/image" Target="media/image366.png"/><Relationship Id="rId395" Type="http://schemas.openxmlformats.org/officeDocument/2006/relationships/image" Target="media/image367.png"/><Relationship Id="rId396" Type="http://schemas.openxmlformats.org/officeDocument/2006/relationships/image" Target="media/image368.png"/><Relationship Id="rId397" Type="http://schemas.openxmlformats.org/officeDocument/2006/relationships/image" Target="media/image369.png"/><Relationship Id="rId398" Type="http://schemas.openxmlformats.org/officeDocument/2006/relationships/image" Target="media/image370.png"/><Relationship Id="rId399" Type="http://schemas.openxmlformats.org/officeDocument/2006/relationships/image" Target="media/image371.png"/><Relationship Id="rId400" Type="http://schemas.openxmlformats.org/officeDocument/2006/relationships/image" Target="media/image372.png"/><Relationship Id="rId401" Type="http://schemas.openxmlformats.org/officeDocument/2006/relationships/image" Target="media/image373.png"/><Relationship Id="rId402" Type="http://schemas.openxmlformats.org/officeDocument/2006/relationships/image" Target="media/image374.png"/><Relationship Id="rId403" Type="http://schemas.openxmlformats.org/officeDocument/2006/relationships/image" Target="media/image375.png"/><Relationship Id="rId404" Type="http://schemas.openxmlformats.org/officeDocument/2006/relationships/image" Target="media/image376.png"/><Relationship Id="rId405" Type="http://schemas.openxmlformats.org/officeDocument/2006/relationships/image" Target="media/image377.png"/><Relationship Id="rId406" Type="http://schemas.openxmlformats.org/officeDocument/2006/relationships/image" Target="media/image378.png"/><Relationship Id="rId407" Type="http://schemas.openxmlformats.org/officeDocument/2006/relationships/image" Target="media/image379.png"/><Relationship Id="rId408" Type="http://schemas.openxmlformats.org/officeDocument/2006/relationships/image" Target="media/image380.png"/><Relationship Id="rId409" Type="http://schemas.openxmlformats.org/officeDocument/2006/relationships/image" Target="media/image381.png"/><Relationship Id="rId410" Type="http://schemas.openxmlformats.org/officeDocument/2006/relationships/image" Target="media/image382.png"/><Relationship Id="rId411" Type="http://schemas.openxmlformats.org/officeDocument/2006/relationships/image" Target="media/image383.png"/><Relationship Id="rId412" Type="http://schemas.openxmlformats.org/officeDocument/2006/relationships/image" Target="media/image384.png"/><Relationship Id="rId413" Type="http://schemas.openxmlformats.org/officeDocument/2006/relationships/image" Target="media/image385.png"/><Relationship Id="rId414" Type="http://schemas.openxmlformats.org/officeDocument/2006/relationships/image" Target="media/image386.png"/><Relationship Id="rId415" Type="http://schemas.openxmlformats.org/officeDocument/2006/relationships/image" Target="media/image387.png"/><Relationship Id="rId416" Type="http://schemas.openxmlformats.org/officeDocument/2006/relationships/image" Target="media/image388.png"/><Relationship Id="rId417" Type="http://schemas.openxmlformats.org/officeDocument/2006/relationships/image" Target="media/image389.png"/><Relationship Id="rId418" Type="http://schemas.openxmlformats.org/officeDocument/2006/relationships/image" Target="media/image390.png"/><Relationship Id="rId419" Type="http://schemas.openxmlformats.org/officeDocument/2006/relationships/image" Target="media/image391.png"/><Relationship Id="rId420" Type="http://schemas.openxmlformats.org/officeDocument/2006/relationships/image" Target="media/image392.png"/><Relationship Id="rId421" Type="http://schemas.openxmlformats.org/officeDocument/2006/relationships/image" Target="media/image393.png"/><Relationship Id="rId422" Type="http://schemas.openxmlformats.org/officeDocument/2006/relationships/image" Target="media/image394.png"/><Relationship Id="rId423" Type="http://schemas.openxmlformats.org/officeDocument/2006/relationships/image" Target="media/image395.png"/><Relationship Id="rId424" Type="http://schemas.openxmlformats.org/officeDocument/2006/relationships/image" Target="media/image396.png"/><Relationship Id="rId425" Type="http://schemas.openxmlformats.org/officeDocument/2006/relationships/image" Target="media/image397.png"/><Relationship Id="rId426" Type="http://schemas.openxmlformats.org/officeDocument/2006/relationships/image" Target="media/image398.png"/><Relationship Id="rId427" Type="http://schemas.openxmlformats.org/officeDocument/2006/relationships/image" Target="media/image399.png"/><Relationship Id="rId428" Type="http://schemas.openxmlformats.org/officeDocument/2006/relationships/image" Target="media/image400.png"/><Relationship Id="rId429" Type="http://schemas.openxmlformats.org/officeDocument/2006/relationships/image" Target="media/image401.png"/><Relationship Id="rId430" Type="http://schemas.openxmlformats.org/officeDocument/2006/relationships/image" Target="media/image402.png"/><Relationship Id="rId431" Type="http://schemas.openxmlformats.org/officeDocument/2006/relationships/image" Target="media/image403.png"/><Relationship Id="rId432" Type="http://schemas.openxmlformats.org/officeDocument/2006/relationships/image" Target="media/image404.png"/><Relationship Id="rId433" Type="http://schemas.openxmlformats.org/officeDocument/2006/relationships/image" Target="media/image405.png"/><Relationship Id="rId434" Type="http://schemas.openxmlformats.org/officeDocument/2006/relationships/image" Target="media/image406.png"/><Relationship Id="rId435" Type="http://schemas.openxmlformats.org/officeDocument/2006/relationships/image" Target="media/image407.png"/><Relationship Id="rId436" Type="http://schemas.openxmlformats.org/officeDocument/2006/relationships/image" Target="media/image408.png"/><Relationship Id="rId437" Type="http://schemas.openxmlformats.org/officeDocument/2006/relationships/image" Target="media/image409.png"/><Relationship Id="rId438" Type="http://schemas.openxmlformats.org/officeDocument/2006/relationships/image" Target="media/image410.png"/><Relationship Id="rId439" Type="http://schemas.openxmlformats.org/officeDocument/2006/relationships/image" Target="media/image411.png"/><Relationship Id="rId440" Type="http://schemas.openxmlformats.org/officeDocument/2006/relationships/image" Target="media/image412.png"/><Relationship Id="rId441" Type="http://schemas.openxmlformats.org/officeDocument/2006/relationships/image" Target="media/image413.png"/><Relationship Id="rId442" Type="http://schemas.openxmlformats.org/officeDocument/2006/relationships/image" Target="media/image414.png"/><Relationship Id="rId443" Type="http://schemas.openxmlformats.org/officeDocument/2006/relationships/image" Target="media/image415.png"/><Relationship Id="rId444" Type="http://schemas.openxmlformats.org/officeDocument/2006/relationships/image" Target="media/image416.png"/><Relationship Id="rId445" Type="http://schemas.openxmlformats.org/officeDocument/2006/relationships/image" Target="media/image417.png"/><Relationship Id="rId446" Type="http://schemas.openxmlformats.org/officeDocument/2006/relationships/image" Target="media/image418.png"/><Relationship Id="rId447" Type="http://schemas.openxmlformats.org/officeDocument/2006/relationships/image" Target="media/image419.png"/><Relationship Id="rId448" Type="http://schemas.openxmlformats.org/officeDocument/2006/relationships/image" Target="media/image420.png"/><Relationship Id="rId449" Type="http://schemas.openxmlformats.org/officeDocument/2006/relationships/image" Target="media/image421.png"/><Relationship Id="rId450" Type="http://schemas.openxmlformats.org/officeDocument/2006/relationships/image" Target="media/image422.png"/><Relationship Id="rId451" Type="http://schemas.openxmlformats.org/officeDocument/2006/relationships/image" Target="media/image423.jpeg"/><Relationship Id="rId452" Type="http://schemas.openxmlformats.org/officeDocument/2006/relationships/image" Target="media/image424.png"/><Relationship Id="rId453" Type="http://schemas.openxmlformats.org/officeDocument/2006/relationships/image" Target="media/image425.png"/><Relationship Id="rId454" Type="http://schemas.openxmlformats.org/officeDocument/2006/relationships/image" Target="media/image426.png"/><Relationship Id="rId455" Type="http://schemas.openxmlformats.org/officeDocument/2006/relationships/image" Target="media/image427.png"/><Relationship Id="rId456" Type="http://schemas.openxmlformats.org/officeDocument/2006/relationships/image" Target="media/image428.png"/><Relationship Id="rId457" Type="http://schemas.openxmlformats.org/officeDocument/2006/relationships/image" Target="media/image429.png"/><Relationship Id="rId458" Type="http://schemas.openxmlformats.org/officeDocument/2006/relationships/image" Target="media/image430.png"/><Relationship Id="rId459" Type="http://schemas.openxmlformats.org/officeDocument/2006/relationships/image" Target="media/image431.png"/><Relationship Id="rId460" Type="http://schemas.openxmlformats.org/officeDocument/2006/relationships/image" Target="media/image432.png"/><Relationship Id="rId461" Type="http://schemas.openxmlformats.org/officeDocument/2006/relationships/image" Target="media/image433.png"/><Relationship Id="rId462" Type="http://schemas.openxmlformats.org/officeDocument/2006/relationships/image" Target="media/image434.png"/><Relationship Id="rId463" Type="http://schemas.openxmlformats.org/officeDocument/2006/relationships/image" Target="media/image435.png"/><Relationship Id="rId464" Type="http://schemas.openxmlformats.org/officeDocument/2006/relationships/image" Target="media/image436.png"/><Relationship Id="rId465" Type="http://schemas.openxmlformats.org/officeDocument/2006/relationships/image" Target="media/image437.png"/><Relationship Id="rId466" Type="http://schemas.openxmlformats.org/officeDocument/2006/relationships/image" Target="media/image438.png"/><Relationship Id="rId467" Type="http://schemas.openxmlformats.org/officeDocument/2006/relationships/image" Target="media/image439.png"/><Relationship Id="rId468" Type="http://schemas.openxmlformats.org/officeDocument/2006/relationships/image" Target="media/image440.png"/><Relationship Id="rId469" Type="http://schemas.openxmlformats.org/officeDocument/2006/relationships/image" Target="media/image441.png"/><Relationship Id="rId470" Type="http://schemas.openxmlformats.org/officeDocument/2006/relationships/image" Target="media/image442.png"/><Relationship Id="rId471" Type="http://schemas.openxmlformats.org/officeDocument/2006/relationships/image" Target="media/image443.png"/><Relationship Id="rId472" Type="http://schemas.openxmlformats.org/officeDocument/2006/relationships/image" Target="media/image444.png"/><Relationship Id="rId473" Type="http://schemas.openxmlformats.org/officeDocument/2006/relationships/image" Target="media/image445.png"/><Relationship Id="rId474" Type="http://schemas.openxmlformats.org/officeDocument/2006/relationships/image" Target="media/image446.png"/><Relationship Id="rId475" Type="http://schemas.openxmlformats.org/officeDocument/2006/relationships/image" Target="media/image447.png"/><Relationship Id="rId476" Type="http://schemas.openxmlformats.org/officeDocument/2006/relationships/image" Target="media/image448.png"/><Relationship Id="rId477" Type="http://schemas.openxmlformats.org/officeDocument/2006/relationships/image" Target="media/image449.png"/><Relationship Id="rId478" Type="http://schemas.openxmlformats.org/officeDocument/2006/relationships/image" Target="media/image450.png"/><Relationship Id="rId479" Type="http://schemas.openxmlformats.org/officeDocument/2006/relationships/image" Target="media/image451.png"/><Relationship Id="rId480" Type="http://schemas.openxmlformats.org/officeDocument/2006/relationships/image" Target="media/image452.png"/><Relationship Id="rId481" Type="http://schemas.openxmlformats.org/officeDocument/2006/relationships/image" Target="media/image453.png"/><Relationship Id="rId482" Type="http://schemas.openxmlformats.org/officeDocument/2006/relationships/image" Target="media/image454.png"/><Relationship Id="rId483" Type="http://schemas.openxmlformats.org/officeDocument/2006/relationships/image" Target="media/image455.png"/><Relationship Id="rId484" Type="http://schemas.openxmlformats.org/officeDocument/2006/relationships/image" Target="media/image456.png"/><Relationship Id="rId485" Type="http://schemas.openxmlformats.org/officeDocument/2006/relationships/image" Target="media/image457.png"/><Relationship Id="rId486" Type="http://schemas.openxmlformats.org/officeDocument/2006/relationships/image" Target="media/image458.png"/><Relationship Id="rId487" Type="http://schemas.openxmlformats.org/officeDocument/2006/relationships/image" Target="media/image459.png"/><Relationship Id="rId488" Type="http://schemas.openxmlformats.org/officeDocument/2006/relationships/image" Target="media/image460.png"/><Relationship Id="rId489" Type="http://schemas.openxmlformats.org/officeDocument/2006/relationships/image" Target="media/image461.png"/><Relationship Id="rId490" Type="http://schemas.openxmlformats.org/officeDocument/2006/relationships/image" Target="media/image462.png"/><Relationship Id="rId491" Type="http://schemas.openxmlformats.org/officeDocument/2006/relationships/image" Target="media/image463.png"/><Relationship Id="rId492" Type="http://schemas.openxmlformats.org/officeDocument/2006/relationships/image" Target="media/image464.png"/><Relationship Id="rId493" Type="http://schemas.openxmlformats.org/officeDocument/2006/relationships/image" Target="media/image465.png"/><Relationship Id="rId494" Type="http://schemas.openxmlformats.org/officeDocument/2006/relationships/image" Target="media/image466.png"/><Relationship Id="rId495" Type="http://schemas.openxmlformats.org/officeDocument/2006/relationships/image" Target="media/image467.png"/><Relationship Id="rId496" Type="http://schemas.openxmlformats.org/officeDocument/2006/relationships/image" Target="media/image468.png"/><Relationship Id="rId497" Type="http://schemas.openxmlformats.org/officeDocument/2006/relationships/image" Target="media/image469.png"/><Relationship Id="rId498" Type="http://schemas.openxmlformats.org/officeDocument/2006/relationships/image" Target="media/image470.png"/><Relationship Id="rId499" Type="http://schemas.openxmlformats.org/officeDocument/2006/relationships/image" Target="media/image471.png"/><Relationship Id="rId500" Type="http://schemas.openxmlformats.org/officeDocument/2006/relationships/image" Target="media/image472.png"/><Relationship Id="rId501" Type="http://schemas.openxmlformats.org/officeDocument/2006/relationships/image" Target="media/image473.png"/><Relationship Id="rId502" Type="http://schemas.openxmlformats.org/officeDocument/2006/relationships/image" Target="media/image474.png"/><Relationship Id="rId503" Type="http://schemas.openxmlformats.org/officeDocument/2006/relationships/image" Target="media/image475.png"/><Relationship Id="rId504" Type="http://schemas.openxmlformats.org/officeDocument/2006/relationships/image" Target="media/image476.png"/><Relationship Id="rId505" Type="http://schemas.openxmlformats.org/officeDocument/2006/relationships/image" Target="media/image477.png"/><Relationship Id="rId506" Type="http://schemas.openxmlformats.org/officeDocument/2006/relationships/image" Target="media/image478.png"/><Relationship Id="rId507" Type="http://schemas.openxmlformats.org/officeDocument/2006/relationships/image" Target="media/image479.png"/><Relationship Id="rId508" Type="http://schemas.openxmlformats.org/officeDocument/2006/relationships/image" Target="media/image480.png"/><Relationship Id="rId509" Type="http://schemas.openxmlformats.org/officeDocument/2006/relationships/image" Target="media/image481.png"/><Relationship Id="rId510" Type="http://schemas.openxmlformats.org/officeDocument/2006/relationships/image" Target="media/image482.png"/><Relationship Id="rId511" Type="http://schemas.openxmlformats.org/officeDocument/2006/relationships/image" Target="media/image483.png"/><Relationship Id="rId512" Type="http://schemas.openxmlformats.org/officeDocument/2006/relationships/image" Target="media/image484.png"/><Relationship Id="rId513" Type="http://schemas.openxmlformats.org/officeDocument/2006/relationships/image" Target="media/image485.png"/><Relationship Id="rId514" Type="http://schemas.openxmlformats.org/officeDocument/2006/relationships/image" Target="media/image486.png"/><Relationship Id="rId515" Type="http://schemas.openxmlformats.org/officeDocument/2006/relationships/image" Target="media/image487.jpeg"/><Relationship Id="rId516" Type="http://schemas.openxmlformats.org/officeDocument/2006/relationships/footer" Target="footer25.xml"/><Relationship Id="rId517" Type="http://schemas.openxmlformats.org/officeDocument/2006/relationships/image" Target="media/image488.png"/><Relationship Id="rId518" Type="http://schemas.openxmlformats.org/officeDocument/2006/relationships/image" Target="media/image489.png"/><Relationship Id="rId519" Type="http://schemas.openxmlformats.org/officeDocument/2006/relationships/image" Target="media/image490.png"/><Relationship Id="rId520" Type="http://schemas.openxmlformats.org/officeDocument/2006/relationships/image" Target="media/image491.png"/><Relationship Id="rId521" Type="http://schemas.openxmlformats.org/officeDocument/2006/relationships/image" Target="media/image492.png"/><Relationship Id="rId522" Type="http://schemas.openxmlformats.org/officeDocument/2006/relationships/image" Target="media/image493.png"/><Relationship Id="rId523" Type="http://schemas.openxmlformats.org/officeDocument/2006/relationships/image" Target="media/image494.png"/><Relationship Id="rId524" Type="http://schemas.openxmlformats.org/officeDocument/2006/relationships/image" Target="media/image495.png"/><Relationship Id="rId525" Type="http://schemas.openxmlformats.org/officeDocument/2006/relationships/image" Target="media/image496.png"/><Relationship Id="rId526" Type="http://schemas.openxmlformats.org/officeDocument/2006/relationships/image" Target="media/image497.png"/><Relationship Id="rId527" Type="http://schemas.openxmlformats.org/officeDocument/2006/relationships/image" Target="media/image498.png"/><Relationship Id="rId528" Type="http://schemas.openxmlformats.org/officeDocument/2006/relationships/image" Target="media/image499.png"/><Relationship Id="rId529" Type="http://schemas.openxmlformats.org/officeDocument/2006/relationships/image" Target="media/image500.png"/><Relationship Id="rId530" Type="http://schemas.openxmlformats.org/officeDocument/2006/relationships/image" Target="media/image501.png"/><Relationship Id="rId531" Type="http://schemas.openxmlformats.org/officeDocument/2006/relationships/image" Target="media/image502.png"/><Relationship Id="rId532" Type="http://schemas.openxmlformats.org/officeDocument/2006/relationships/image" Target="media/image503.png"/><Relationship Id="rId533" Type="http://schemas.openxmlformats.org/officeDocument/2006/relationships/image" Target="media/image504.png"/><Relationship Id="rId534" Type="http://schemas.openxmlformats.org/officeDocument/2006/relationships/image" Target="media/image505.png"/><Relationship Id="rId535" Type="http://schemas.openxmlformats.org/officeDocument/2006/relationships/image" Target="media/image506.png"/><Relationship Id="rId536" Type="http://schemas.openxmlformats.org/officeDocument/2006/relationships/image" Target="media/image507.png"/><Relationship Id="rId537" Type="http://schemas.openxmlformats.org/officeDocument/2006/relationships/image" Target="media/image508.png"/><Relationship Id="rId538" Type="http://schemas.openxmlformats.org/officeDocument/2006/relationships/image" Target="media/image509.png"/><Relationship Id="rId539" Type="http://schemas.openxmlformats.org/officeDocument/2006/relationships/image" Target="media/image510.png"/><Relationship Id="rId540" Type="http://schemas.openxmlformats.org/officeDocument/2006/relationships/image" Target="media/image511.png"/><Relationship Id="rId541" Type="http://schemas.openxmlformats.org/officeDocument/2006/relationships/image" Target="media/image512.png"/><Relationship Id="rId542" Type="http://schemas.openxmlformats.org/officeDocument/2006/relationships/image" Target="media/image513.png"/><Relationship Id="rId543" Type="http://schemas.openxmlformats.org/officeDocument/2006/relationships/image" Target="media/image514.png"/><Relationship Id="rId544" Type="http://schemas.openxmlformats.org/officeDocument/2006/relationships/image" Target="media/image515.png"/><Relationship Id="rId545" Type="http://schemas.openxmlformats.org/officeDocument/2006/relationships/image" Target="media/image516.png"/><Relationship Id="rId546" Type="http://schemas.openxmlformats.org/officeDocument/2006/relationships/image" Target="media/image517.png"/><Relationship Id="rId547" Type="http://schemas.openxmlformats.org/officeDocument/2006/relationships/image" Target="media/image518.png"/><Relationship Id="rId548" Type="http://schemas.openxmlformats.org/officeDocument/2006/relationships/image" Target="media/image519.png"/><Relationship Id="rId549" Type="http://schemas.openxmlformats.org/officeDocument/2006/relationships/image" Target="media/image520.png"/><Relationship Id="rId550" Type="http://schemas.openxmlformats.org/officeDocument/2006/relationships/image" Target="media/image521.png"/><Relationship Id="rId551" Type="http://schemas.openxmlformats.org/officeDocument/2006/relationships/image" Target="media/image522.png"/><Relationship Id="rId552" Type="http://schemas.openxmlformats.org/officeDocument/2006/relationships/image" Target="media/image523.png"/><Relationship Id="rId553" Type="http://schemas.openxmlformats.org/officeDocument/2006/relationships/image" Target="media/image524.png"/><Relationship Id="rId554" Type="http://schemas.openxmlformats.org/officeDocument/2006/relationships/image" Target="media/image525.png"/><Relationship Id="rId555" Type="http://schemas.openxmlformats.org/officeDocument/2006/relationships/image" Target="media/image526.png"/><Relationship Id="rId556" Type="http://schemas.openxmlformats.org/officeDocument/2006/relationships/image" Target="media/image527.png"/><Relationship Id="rId557" Type="http://schemas.openxmlformats.org/officeDocument/2006/relationships/image" Target="media/image528.png"/><Relationship Id="rId558" Type="http://schemas.openxmlformats.org/officeDocument/2006/relationships/image" Target="media/image529.png"/><Relationship Id="rId559" Type="http://schemas.openxmlformats.org/officeDocument/2006/relationships/image" Target="media/image530.png"/><Relationship Id="rId560" Type="http://schemas.openxmlformats.org/officeDocument/2006/relationships/image" Target="media/image531.png"/><Relationship Id="rId561" Type="http://schemas.openxmlformats.org/officeDocument/2006/relationships/image" Target="media/image532.png"/><Relationship Id="rId562" Type="http://schemas.openxmlformats.org/officeDocument/2006/relationships/image" Target="media/image533.png"/><Relationship Id="rId563" Type="http://schemas.openxmlformats.org/officeDocument/2006/relationships/image" Target="media/image534.png"/><Relationship Id="rId564" Type="http://schemas.openxmlformats.org/officeDocument/2006/relationships/image" Target="media/image535.png"/><Relationship Id="rId565" Type="http://schemas.openxmlformats.org/officeDocument/2006/relationships/image" Target="media/image536.png"/><Relationship Id="rId566" Type="http://schemas.openxmlformats.org/officeDocument/2006/relationships/image" Target="media/image537.png"/><Relationship Id="rId567" Type="http://schemas.openxmlformats.org/officeDocument/2006/relationships/image" Target="media/image538.png"/><Relationship Id="rId568" Type="http://schemas.openxmlformats.org/officeDocument/2006/relationships/image" Target="media/image539.png"/><Relationship Id="rId569" Type="http://schemas.openxmlformats.org/officeDocument/2006/relationships/image" Target="media/image540.png"/><Relationship Id="rId570" Type="http://schemas.openxmlformats.org/officeDocument/2006/relationships/image" Target="media/image541.png"/><Relationship Id="rId571" Type="http://schemas.openxmlformats.org/officeDocument/2006/relationships/image" Target="media/image542.png"/><Relationship Id="rId572" Type="http://schemas.openxmlformats.org/officeDocument/2006/relationships/image" Target="media/image543.png"/><Relationship Id="rId573" Type="http://schemas.openxmlformats.org/officeDocument/2006/relationships/image" Target="media/image544.png"/><Relationship Id="rId574" Type="http://schemas.openxmlformats.org/officeDocument/2006/relationships/image" Target="media/image545.png"/><Relationship Id="rId575" Type="http://schemas.openxmlformats.org/officeDocument/2006/relationships/image" Target="media/image546.png"/><Relationship Id="rId576" Type="http://schemas.openxmlformats.org/officeDocument/2006/relationships/image" Target="media/image547.png"/><Relationship Id="rId577" Type="http://schemas.openxmlformats.org/officeDocument/2006/relationships/image" Target="media/image548.png"/><Relationship Id="rId578" Type="http://schemas.openxmlformats.org/officeDocument/2006/relationships/image" Target="media/image549.png"/><Relationship Id="rId579" Type="http://schemas.openxmlformats.org/officeDocument/2006/relationships/image" Target="media/image550.png"/><Relationship Id="rId580" Type="http://schemas.openxmlformats.org/officeDocument/2006/relationships/image" Target="media/image551.png"/><Relationship Id="rId581" Type="http://schemas.openxmlformats.org/officeDocument/2006/relationships/image" Target="media/image552.png"/><Relationship Id="rId582" Type="http://schemas.openxmlformats.org/officeDocument/2006/relationships/image" Target="media/image553.png"/><Relationship Id="rId583" Type="http://schemas.openxmlformats.org/officeDocument/2006/relationships/image" Target="media/image554.png"/><Relationship Id="rId584" Type="http://schemas.openxmlformats.org/officeDocument/2006/relationships/image" Target="media/image555.png"/><Relationship Id="rId585" Type="http://schemas.openxmlformats.org/officeDocument/2006/relationships/image" Target="media/image556.png"/><Relationship Id="rId586" Type="http://schemas.openxmlformats.org/officeDocument/2006/relationships/image" Target="media/image557.png"/><Relationship Id="rId587" Type="http://schemas.openxmlformats.org/officeDocument/2006/relationships/image" Target="media/image558.png"/><Relationship Id="rId588" Type="http://schemas.openxmlformats.org/officeDocument/2006/relationships/image" Target="media/image559.png"/><Relationship Id="rId589" Type="http://schemas.openxmlformats.org/officeDocument/2006/relationships/image" Target="media/image560.png"/><Relationship Id="rId590" Type="http://schemas.openxmlformats.org/officeDocument/2006/relationships/image" Target="media/image561.png"/><Relationship Id="rId591" Type="http://schemas.openxmlformats.org/officeDocument/2006/relationships/image" Target="media/image562.png"/><Relationship Id="rId592" Type="http://schemas.openxmlformats.org/officeDocument/2006/relationships/image" Target="media/image563.png"/><Relationship Id="rId593" Type="http://schemas.openxmlformats.org/officeDocument/2006/relationships/image" Target="media/image564.png"/><Relationship Id="rId594" Type="http://schemas.openxmlformats.org/officeDocument/2006/relationships/image" Target="media/image565.png"/><Relationship Id="rId595" Type="http://schemas.openxmlformats.org/officeDocument/2006/relationships/image" Target="media/image566.png"/><Relationship Id="rId596" Type="http://schemas.openxmlformats.org/officeDocument/2006/relationships/image" Target="media/image567.png"/><Relationship Id="rId597" Type="http://schemas.openxmlformats.org/officeDocument/2006/relationships/image" Target="media/image568.png"/><Relationship Id="rId598" Type="http://schemas.openxmlformats.org/officeDocument/2006/relationships/image" Target="media/image569.png"/><Relationship Id="rId599" Type="http://schemas.openxmlformats.org/officeDocument/2006/relationships/image" Target="media/image570.png"/><Relationship Id="rId600" Type="http://schemas.openxmlformats.org/officeDocument/2006/relationships/image" Target="media/image571.png"/><Relationship Id="rId601" Type="http://schemas.openxmlformats.org/officeDocument/2006/relationships/image" Target="media/image572.png"/><Relationship Id="rId602" Type="http://schemas.openxmlformats.org/officeDocument/2006/relationships/image" Target="media/image573.png"/><Relationship Id="rId603" Type="http://schemas.openxmlformats.org/officeDocument/2006/relationships/image" Target="media/image574.png"/><Relationship Id="rId604" Type="http://schemas.openxmlformats.org/officeDocument/2006/relationships/image" Target="media/image575.png"/><Relationship Id="rId605" Type="http://schemas.openxmlformats.org/officeDocument/2006/relationships/image" Target="media/image576.png"/><Relationship Id="rId606" Type="http://schemas.openxmlformats.org/officeDocument/2006/relationships/image" Target="media/image577.png"/><Relationship Id="rId607" Type="http://schemas.openxmlformats.org/officeDocument/2006/relationships/image" Target="media/image578.png"/><Relationship Id="rId608" Type="http://schemas.openxmlformats.org/officeDocument/2006/relationships/image" Target="media/image579.png"/><Relationship Id="rId609" Type="http://schemas.openxmlformats.org/officeDocument/2006/relationships/image" Target="media/image580.png"/><Relationship Id="rId610" Type="http://schemas.openxmlformats.org/officeDocument/2006/relationships/image" Target="media/image581.png"/><Relationship Id="rId611" Type="http://schemas.openxmlformats.org/officeDocument/2006/relationships/image" Target="media/image582.png"/><Relationship Id="rId612" Type="http://schemas.openxmlformats.org/officeDocument/2006/relationships/image" Target="media/image583.png"/><Relationship Id="rId613" Type="http://schemas.openxmlformats.org/officeDocument/2006/relationships/image" Target="media/image584.png"/><Relationship Id="rId614" Type="http://schemas.openxmlformats.org/officeDocument/2006/relationships/image" Target="media/image585.png"/><Relationship Id="rId615" Type="http://schemas.openxmlformats.org/officeDocument/2006/relationships/image" Target="media/image586.png"/><Relationship Id="rId616" Type="http://schemas.openxmlformats.org/officeDocument/2006/relationships/image" Target="media/image587.png"/><Relationship Id="rId617" Type="http://schemas.openxmlformats.org/officeDocument/2006/relationships/image" Target="media/image588.png"/><Relationship Id="rId618" Type="http://schemas.openxmlformats.org/officeDocument/2006/relationships/image" Target="media/image589.png"/><Relationship Id="rId619" Type="http://schemas.openxmlformats.org/officeDocument/2006/relationships/image" Target="media/image590.png"/><Relationship Id="rId620" Type="http://schemas.openxmlformats.org/officeDocument/2006/relationships/image" Target="media/image591.png"/><Relationship Id="rId621" Type="http://schemas.openxmlformats.org/officeDocument/2006/relationships/image" Target="media/image592.png"/><Relationship Id="rId622" Type="http://schemas.openxmlformats.org/officeDocument/2006/relationships/image" Target="media/image593.jpeg"/><Relationship Id="rId623" Type="http://schemas.openxmlformats.org/officeDocument/2006/relationships/image" Target="media/image594.png"/><Relationship Id="rId624" Type="http://schemas.openxmlformats.org/officeDocument/2006/relationships/image" Target="media/image595.png"/><Relationship Id="rId625" Type="http://schemas.openxmlformats.org/officeDocument/2006/relationships/image" Target="media/image596.png"/><Relationship Id="rId626" Type="http://schemas.openxmlformats.org/officeDocument/2006/relationships/image" Target="media/image597.png"/><Relationship Id="rId627" Type="http://schemas.openxmlformats.org/officeDocument/2006/relationships/image" Target="media/image598.png"/><Relationship Id="rId628" Type="http://schemas.openxmlformats.org/officeDocument/2006/relationships/image" Target="media/image599.png"/><Relationship Id="rId629" Type="http://schemas.openxmlformats.org/officeDocument/2006/relationships/image" Target="media/image600.png"/><Relationship Id="rId630" Type="http://schemas.openxmlformats.org/officeDocument/2006/relationships/image" Target="media/image601.png"/><Relationship Id="rId631" Type="http://schemas.openxmlformats.org/officeDocument/2006/relationships/image" Target="media/image602.png"/><Relationship Id="rId632" Type="http://schemas.openxmlformats.org/officeDocument/2006/relationships/image" Target="media/image603.png"/><Relationship Id="rId633" Type="http://schemas.openxmlformats.org/officeDocument/2006/relationships/image" Target="media/image604.png"/><Relationship Id="rId634" Type="http://schemas.openxmlformats.org/officeDocument/2006/relationships/image" Target="media/image605.png"/><Relationship Id="rId635" Type="http://schemas.openxmlformats.org/officeDocument/2006/relationships/image" Target="media/image606.png"/><Relationship Id="rId636" Type="http://schemas.openxmlformats.org/officeDocument/2006/relationships/image" Target="media/image607.png"/><Relationship Id="rId637" Type="http://schemas.openxmlformats.org/officeDocument/2006/relationships/image" Target="media/image608.png"/><Relationship Id="rId638" Type="http://schemas.openxmlformats.org/officeDocument/2006/relationships/image" Target="media/image609.png"/><Relationship Id="rId639" Type="http://schemas.openxmlformats.org/officeDocument/2006/relationships/image" Target="media/image610.png"/><Relationship Id="rId640" Type="http://schemas.openxmlformats.org/officeDocument/2006/relationships/image" Target="media/image611.png"/><Relationship Id="rId641" Type="http://schemas.openxmlformats.org/officeDocument/2006/relationships/image" Target="media/image612.png"/><Relationship Id="rId642" Type="http://schemas.openxmlformats.org/officeDocument/2006/relationships/image" Target="media/image613.png"/><Relationship Id="rId643" Type="http://schemas.openxmlformats.org/officeDocument/2006/relationships/image" Target="media/image614.png"/><Relationship Id="rId644" Type="http://schemas.openxmlformats.org/officeDocument/2006/relationships/image" Target="media/image615.png"/><Relationship Id="rId645" Type="http://schemas.openxmlformats.org/officeDocument/2006/relationships/image" Target="media/image616.png"/><Relationship Id="rId646" Type="http://schemas.openxmlformats.org/officeDocument/2006/relationships/image" Target="media/image617.png"/><Relationship Id="rId647" Type="http://schemas.openxmlformats.org/officeDocument/2006/relationships/image" Target="media/image618.png"/><Relationship Id="rId648" Type="http://schemas.openxmlformats.org/officeDocument/2006/relationships/image" Target="media/image619.png"/><Relationship Id="rId649" Type="http://schemas.openxmlformats.org/officeDocument/2006/relationships/image" Target="media/image620.png"/><Relationship Id="rId650" Type="http://schemas.openxmlformats.org/officeDocument/2006/relationships/image" Target="media/image621.png"/><Relationship Id="rId651" Type="http://schemas.openxmlformats.org/officeDocument/2006/relationships/image" Target="media/image622.png"/><Relationship Id="rId652" Type="http://schemas.openxmlformats.org/officeDocument/2006/relationships/image" Target="media/image623.png"/><Relationship Id="rId653" Type="http://schemas.openxmlformats.org/officeDocument/2006/relationships/image" Target="media/image624.png"/><Relationship Id="rId654" Type="http://schemas.openxmlformats.org/officeDocument/2006/relationships/image" Target="media/image625.png"/><Relationship Id="rId655" Type="http://schemas.openxmlformats.org/officeDocument/2006/relationships/image" Target="media/image626.png"/><Relationship Id="rId656" Type="http://schemas.openxmlformats.org/officeDocument/2006/relationships/image" Target="media/image627.png"/><Relationship Id="rId657" Type="http://schemas.openxmlformats.org/officeDocument/2006/relationships/image" Target="media/image628.png"/><Relationship Id="rId658" Type="http://schemas.openxmlformats.org/officeDocument/2006/relationships/image" Target="media/image629.png"/><Relationship Id="rId659" Type="http://schemas.openxmlformats.org/officeDocument/2006/relationships/image" Target="media/image630.png"/><Relationship Id="rId660" Type="http://schemas.openxmlformats.org/officeDocument/2006/relationships/image" Target="media/image631.png"/><Relationship Id="rId661" Type="http://schemas.openxmlformats.org/officeDocument/2006/relationships/image" Target="media/image632.png"/><Relationship Id="rId662" Type="http://schemas.openxmlformats.org/officeDocument/2006/relationships/image" Target="media/image633.png"/><Relationship Id="rId663" Type="http://schemas.openxmlformats.org/officeDocument/2006/relationships/image" Target="media/image634.png"/><Relationship Id="rId664" Type="http://schemas.openxmlformats.org/officeDocument/2006/relationships/image" Target="media/image635.png"/><Relationship Id="rId665" Type="http://schemas.openxmlformats.org/officeDocument/2006/relationships/image" Target="media/image636.png"/><Relationship Id="rId666" Type="http://schemas.openxmlformats.org/officeDocument/2006/relationships/image" Target="media/image637.png"/><Relationship Id="rId667" Type="http://schemas.openxmlformats.org/officeDocument/2006/relationships/image" Target="media/image638.png"/><Relationship Id="rId668" Type="http://schemas.openxmlformats.org/officeDocument/2006/relationships/image" Target="media/image639.png"/><Relationship Id="rId669" Type="http://schemas.openxmlformats.org/officeDocument/2006/relationships/image" Target="media/image640.png"/><Relationship Id="rId670" Type="http://schemas.openxmlformats.org/officeDocument/2006/relationships/image" Target="media/image641.png"/><Relationship Id="rId671" Type="http://schemas.openxmlformats.org/officeDocument/2006/relationships/image" Target="media/image642.png"/><Relationship Id="rId672" Type="http://schemas.openxmlformats.org/officeDocument/2006/relationships/image" Target="media/image643.png"/><Relationship Id="rId673" Type="http://schemas.openxmlformats.org/officeDocument/2006/relationships/image" Target="media/image644.png"/><Relationship Id="rId674" Type="http://schemas.openxmlformats.org/officeDocument/2006/relationships/image" Target="media/image645.png"/><Relationship Id="rId675" Type="http://schemas.openxmlformats.org/officeDocument/2006/relationships/image" Target="media/image646.png"/><Relationship Id="rId676" Type="http://schemas.openxmlformats.org/officeDocument/2006/relationships/image" Target="media/image647.png"/><Relationship Id="rId677" Type="http://schemas.openxmlformats.org/officeDocument/2006/relationships/image" Target="media/image648.png"/><Relationship Id="rId678" Type="http://schemas.openxmlformats.org/officeDocument/2006/relationships/image" Target="media/image649.png"/><Relationship Id="rId679" Type="http://schemas.openxmlformats.org/officeDocument/2006/relationships/image" Target="media/image650.png"/><Relationship Id="rId680" Type="http://schemas.openxmlformats.org/officeDocument/2006/relationships/image" Target="media/image651.png"/><Relationship Id="rId681" Type="http://schemas.openxmlformats.org/officeDocument/2006/relationships/image" Target="media/image652.png"/><Relationship Id="rId682" Type="http://schemas.openxmlformats.org/officeDocument/2006/relationships/image" Target="media/image653.png"/><Relationship Id="rId683" Type="http://schemas.openxmlformats.org/officeDocument/2006/relationships/image" Target="media/image654.png"/><Relationship Id="rId684" Type="http://schemas.openxmlformats.org/officeDocument/2006/relationships/image" Target="media/image655.png"/><Relationship Id="rId685" Type="http://schemas.openxmlformats.org/officeDocument/2006/relationships/image" Target="media/image656.jpeg"/><Relationship Id="rId686" Type="http://schemas.openxmlformats.org/officeDocument/2006/relationships/image" Target="media/image657.png"/><Relationship Id="rId687" Type="http://schemas.openxmlformats.org/officeDocument/2006/relationships/image" Target="media/image658.png"/><Relationship Id="rId688" Type="http://schemas.openxmlformats.org/officeDocument/2006/relationships/image" Target="media/image659.png"/><Relationship Id="rId689" Type="http://schemas.openxmlformats.org/officeDocument/2006/relationships/image" Target="media/image660.png"/><Relationship Id="rId690" Type="http://schemas.openxmlformats.org/officeDocument/2006/relationships/image" Target="media/image661.png"/><Relationship Id="rId691" Type="http://schemas.openxmlformats.org/officeDocument/2006/relationships/image" Target="media/image662.png"/><Relationship Id="rId692" Type="http://schemas.openxmlformats.org/officeDocument/2006/relationships/image" Target="media/image663.png"/><Relationship Id="rId693" Type="http://schemas.openxmlformats.org/officeDocument/2006/relationships/image" Target="media/image664.png"/><Relationship Id="rId694" Type="http://schemas.openxmlformats.org/officeDocument/2006/relationships/image" Target="media/image665.png"/><Relationship Id="rId695" Type="http://schemas.openxmlformats.org/officeDocument/2006/relationships/image" Target="media/image666.png"/><Relationship Id="rId696" Type="http://schemas.openxmlformats.org/officeDocument/2006/relationships/image" Target="media/image667.png"/><Relationship Id="rId697" Type="http://schemas.openxmlformats.org/officeDocument/2006/relationships/image" Target="media/image668.png"/><Relationship Id="rId698" Type="http://schemas.openxmlformats.org/officeDocument/2006/relationships/image" Target="media/image669.png"/><Relationship Id="rId699" Type="http://schemas.openxmlformats.org/officeDocument/2006/relationships/image" Target="media/image670.png"/><Relationship Id="rId700" Type="http://schemas.openxmlformats.org/officeDocument/2006/relationships/image" Target="media/image671.png"/><Relationship Id="rId701" Type="http://schemas.openxmlformats.org/officeDocument/2006/relationships/image" Target="media/image672.png"/><Relationship Id="rId702" Type="http://schemas.openxmlformats.org/officeDocument/2006/relationships/image" Target="media/image673.png"/><Relationship Id="rId703" Type="http://schemas.openxmlformats.org/officeDocument/2006/relationships/image" Target="media/image674.png"/><Relationship Id="rId704" Type="http://schemas.openxmlformats.org/officeDocument/2006/relationships/image" Target="media/image675.png"/><Relationship Id="rId705" Type="http://schemas.openxmlformats.org/officeDocument/2006/relationships/image" Target="media/image676.png"/><Relationship Id="rId706" Type="http://schemas.openxmlformats.org/officeDocument/2006/relationships/image" Target="media/image677.png"/><Relationship Id="rId707" Type="http://schemas.openxmlformats.org/officeDocument/2006/relationships/image" Target="media/image678.png"/><Relationship Id="rId708" Type="http://schemas.openxmlformats.org/officeDocument/2006/relationships/image" Target="media/image679.png"/><Relationship Id="rId709" Type="http://schemas.openxmlformats.org/officeDocument/2006/relationships/image" Target="media/image680.png"/><Relationship Id="rId710" Type="http://schemas.openxmlformats.org/officeDocument/2006/relationships/image" Target="media/image681.png"/><Relationship Id="rId711" Type="http://schemas.openxmlformats.org/officeDocument/2006/relationships/image" Target="media/image682.png"/><Relationship Id="rId712" Type="http://schemas.openxmlformats.org/officeDocument/2006/relationships/image" Target="media/image683.png"/><Relationship Id="rId713" Type="http://schemas.openxmlformats.org/officeDocument/2006/relationships/image" Target="media/image684.png"/><Relationship Id="rId714" Type="http://schemas.openxmlformats.org/officeDocument/2006/relationships/image" Target="media/image685.png"/><Relationship Id="rId715" Type="http://schemas.openxmlformats.org/officeDocument/2006/relationships/image" Target="media/image686.png"/><Relationship Id="rId716" Type="http://schemas.openxmlformats.org/officeDocument/2006/relationships/image" Target="media/image687.png"/><Relationship Id="rId717" Type="http://schemas.openxmlformats.org/officeDocument/2006/relationships/image" Target="media/image688.png"/><Relationship Id="rId718" Type="http://schemas.openxmlformats.org/officeDocument/2006/relationships/image" Target="media/image689.png"/><Relationship Id="rId719" Type="http://schemas.openxmlformats.org/officeDocument/2006/relationships/image" Target="media/image690.png"/><Relationship Id="rId720" Type="http://schemas.openxmlformats.org/officeDocument/2006/relationships/image" Target="media/image691.png"/><Relationship Id="rId721" Type="http://schemas.openxmlformats.org/officeDocument/2006/relationships/image" Target="media/image692.png"/><Relationship Id="rId722" Type="http://schemas.openxmlformats.org/officeDocument/2006/relationships/image" Target="media/image693.png"/><Relationship Id="rId723" Type="http://schemas.openxmlformats.org/officeDocument/2006/relationships/image" Target="media/image694.png"/><Relationship Id="rId724" Type="http://schemas.openxmlformats.org/officeDocument/2006/relationships/image" Target="media/image695.png"/><Relationship Id="rId725" Type="http://schemas.openxmlformats.org/officeDocument/2006/relationships/image" Target="media/image696.png"/><Relationship Id="rId726" Type="http://schemas.openxmlformats.org/officeDocument/2006/relationships/image" Target="media/image697.png"/><Relationship Id="rId727" Type="http://schemas.openxmlformats.org/officeDocument/2006/relationships/image" Target="media/image698.png"/><Relationship Id="rId728" Type="http://schemas.openxmlformats.org/officeDocument/2006/relationships/image" Target="media/image699.png"/><Relationship Id="rId729" Type="http://schemas.openxmlformats.org/officeDocument/2006/relationships/image" Target="media/image700.png"/><Relationship Id="rId730" Type="http://schemas.openxmlformats.org/officeDocument/2006/relationships/image" Target="media/image701.png"/><Relationship Id="rId731" Type="http://schemas.openxmlformats.org/officeDocument/2006/relationships/image" Target="media/image702.png"/><Relationship Id="rId732" Type="http://schemas.openxmlformats.org/officeDocument/2006/relationships/image" Target="media/image703.png"/><Relationship Id="rId733" Type="http://schemas.openxmlformats.org/officeDocument/2006/relationships/image" Target="media/image704.png"/><Relationship Id="rId734" Type="http://schemas.openxmlformats.org/officeDocument/2006/relationships/image" Target="media/image705.png"/><Relationship Id="rId735" Type="http://schemas.openxmlformats.org/officeDocument/2006/relationships/image" Target="media/image706.png"/><Relationship Id="rId736" Type="http://schemas.openxmlformats.org/officeDocument/2006/relationships/image" Target="media/image707.png"/><Relationship Id="rId737" Type="http://schemas.openxmlformats.org/officeDocument/2006/relationships/image" Target="media/image708.png"/><Relationship Id="rId738" Type="http://schemas.openxmlformats.org/officeDocument/2006/relationships/image" Target="media/image709.png"/><Relationship Id="rId739" Type="http://schemas.openxmlformats.org/officeDocument/2006/relationships/image" Target="media/image710.png"/><Relationship Id="rId740" Type="http://schemas.openxmlformats.org/officeDocument/2006/relationships/image" Target="media/image711.png"/><Relationship Id="rId741" Type="http://schemas.openxmlformats.org/officeDocument/2006/relationships/image" Target="media/image712.png"/><Relationship Id="rId742" Type="http://schemas.openxmlformats.org/officeDocument/2006/relationships/image" Target="media/image713.png"/><Relationship Id="rId743" Type="http://schemas.openxmlformats.org/officeDocument/2006/relationships/image" Target="media/image714.png"/><Relationship Id="rId744" Type="http://schemas.openxmlformats.org/officeDocument/2006/relationships/image" Target="media/image715.png"/><Relationship Id="rId745" Type="http://schemas.openxmlformats.org/officeDocument/2006/relationships/image" Target="media/image716.png"/><Relationship Id="rId746" Type="http://schemas.openxmlformats.org/officeDocument/2006/relationships/image" Target="media/image717.png"/><Relationship Id="rId747" Type="http://schemas.openxmlformats.org/officeDocument/2006/relationships/image" Target="media/image718.png"/><Relationship Id="rId748" Type="http://schemas.openxmlformats.org/officeDocument/2006/relationships/image" Target="media/image719.png"/><Relationship Id="rId749" Type="http://schemas.openxmlformats.org/officeDocument/2006/relationships/image" Target="media/image720.png"/><Relationship Id="rId750" Type="http://schemas.openxmlformats.org/officeDocument/2006/relationships/image" Target="media/image721.png"/><Relationship Id="rId751" Type="http://schemas.openxmlformats.org/officeDocument/2006/relationships/image" Target="media/image722.png"/><Relationship Id="rId752" Type="http://schemas.openxmlformats.org/officeDocument/2006/relationships/image" Target="media/image723.png"/><Relationship Id="rId753" Type="http://schemas.openxmlformats.org/officeDocument/2006/relationships/image" Target="media/image724.png"/><Relationship Id="rId754" Type="http://schemas.openxmlformats.org/officeDocument/2006/relationships/image" Target="media/image725.jpeg"/><Relationship Id="rId755" Type="http://schemas.openxmlformats.org/officeDocument/2006/relationships/image" Target="media/image726.png"/><Relationship Id="rId756" Type="http://schemas.openxmlformats.org/officeDocument/2006/relationships/image" Target="media/image727.png"/><Relationship Id="rId757" Type="http://schemas.openxmlformats.org/officeDocument/2006/relationships/image" Target="media/image728.png"/><Relationship Id="rId758" Type="http://schemas.openxmlformats.org/officeDocument/2006/relationships/image" Target="media/image729.png"/><Relationship Id="rId759" Type="http://schemas.openxmlformats.org/officeDocument/2006/relationships/image" Target="media/image730.png"/><Relationship Id="rId760" Type="http://schemas.openxmlformats.org/officeDocument/2006/relationships/image" Target="media/image731.png"/><Relationship Id="rId761" Type="http://schemas.openxmlformats.org/officeDocument/2006/relationships/image" Target="media/image732.png"/><Relationship Id="rId762" Type="http://schemas.openxmlformats.org/officeDocument/2006/relationships/image" Target="media/image733.png"/><Relationship Id="rId763" Type="http://schemas.openxmlformats.org/officeDocument/2006/relationships/image" Target="media/image734.png"/><Relationship Id="rId764" Type="http://schemas.openxmlformats.org/officeDocument/2006/relationships/image" Target="media/image735.png"/><Relationship Id="rId765" Type="http://schemas.openxmlformats.org/officeDocument/2006/relationships/image" Target="media/image736.png"/><Relationship Id="rId766" Type="http://schemas.openxmlformats.org/officeDocument/2006/relationships/image" Target="media/image737.png"/><Relationship Id="rId767" Type="http://schemas.openxmlformats.org/officeDocument/2006/relationships/image" Target="media/image738.png"/><Relationship Id="rId768" Type="http://schemas.openxmlformats.org/officeDocument/2006/relationships/image" Target="media/image739.png"/><Relationship Id="rId769" Type="http://schemas.openxmlformats.org/officeDocument/2006/relationships/image" Target="media/image740.png"/><Relationship Id="rId770" Type="http://schemas.openxmlformats.org/officeDocument/2006/relationships/image" Target="media/image741.png"/><Relationship Id="rId771" Type="http://schemas.openxmlformats.org/officeDocument/2006/relationships/image" Target="media/image742.png"/><Relationship Id="rId772" Type="http://schemas.openxmlformats.org/officeDocument/2006/relationships/image" Target="media/image743.png"/><Relationship Id="rId773" Type="http://schemas.openxmlformats.org/officeDocument/2006/relationships/image" Target="media/image744.png"/><Relationship Id="rId774" Type="http://schemas.openxmlformats.org/officeDocument/2006/relationships/image" Target="media/image745.png"/><Relationship Id="rId775" Type="http://schemas.openxmlformats.org/officeDocument/2006/relationships/image" Target="media/image746.png"/><Relationship Id="rId776" Type="http://schemas.openxmlformats.org/officeDocument/2006/relationships/image" Target="media/image747.png"/><Relationship Id="rId777" Type="http://schemas.openxmlformats.org/officeDocument/2006/relationships/image" Target="media/image748.png"/><Relationship Id="rId778" Type="http://schemas.openxmlformats.org/officeDocument/2006/relationships/image" Target="media/image749.png"/><Relationship Id="rId779" Type="http://schemas.openxmlformats.org/officeDocument/2006/relationships/image" Target="media/image750.png"/><Relationship Id="rId780" Type="http://schemas.openxmlformats.org/officeDocument/2006/relationships/image" Target="media/image751.png"/><Relationship Id="rId781" Type="http://schemas.openxmlformats.org/officeDocument/2006/relationships/image" Target="media/image752.png"/><Relationship Id="rId782" Type="http://schemas.openxmlformats.org/officeDocument/2006/relationships/image" Target="media/image753.png"/><Relationship Id="rId783" Type="http://schemas.openxmlformats.org/officeDocument/2006/relationships/image" Target="media/image754.png"/><Relationship Id="rId784" Type="http://schemas.openxmlformats.org/officeDocument/2006/relationships/image" Target="media/image755.png"/><Relationship Id="rId785" Type="http://schemas.openxmlformats.org/officeDocument/2006/relationships/image" Target="media/image756.png"/><Relationship Id="rId786" Type="http://schemas.openxmlformats.org/officeDocument/2006/relationships/image" Target="media/image757.png"/><Relationship Id="rId787" Type="http://schemas.openxmlformats.org/officeDocument/2006/relationships/image" Target="media/image758.png"/><Relationship Id="rId788" Type="http://schemas.openxmlformats.org/officeDocument/2006/relationships/image" Target="media/image759.png"/><Relationship Id="rId789" Type="http://schemas.openxmlformats.org/officeDocument/2006/relationships/image" Target="media/image760.png"/><Relationship Id="rId790" Type="http://schemas.openxmlformats.org/officeDocument/2006/relationships/image" Target="media/image761.png"/><Relationship Id="rId791" Type="http://schemas.openxmlformats.org/officeDocument/2006/relationships/image" Target="media/image762.png"/><Relationship Id="rId792" Type="http://schemas.openxmlformats.org/officeDocument/2006/relationships/image" Target="media/image763.png"/><Relationship Id="rId793" Type="http://schemas.openxmlformats.org/officeDocument/2006/relationships/image" Target="media/image764.png"/><Relationship Id="rId794" Type="http://schemas.openxmlformats.org/officeDocument/2006/relationships/image" Target="media/image765.png"/><Relationship Id="rId795" Type="http://schemas.openxmlformats.org/officeDocument/2006/relationships/image" Target="media/image766.jpeg"/><Relationship Id="rId796" Type="http://schemas.openxmlformats.org/officeDocument/2006/relationships/footer" Target="footer26.xml"/><Relationship Id="rId797" Type="http://schemas.openxmlformats.org/officeDocument/2006/relationships/image" Target="media/image767.png"/><Relationship Id="rId798" Type="http://schemas.openxmlformats.org/officeDocument/2006/relationships/image" Target="media/image768.png"/><Relationship Id="rId799" Type="http://schemas.openxmlformats.org/officeDocument/2006/relationships/image" Target="media/image769.png"/><Relationship Id="rId800" Type="http://schemas.openxmlformats.org/officeDocument/2006/relationships/image" Target="media/image770.png"/><Relationship Id="rId801" Type="http://schemas.openxmlformats.org/officeDocument/2006/relationships/image" Target="media/image771.png"/><Relationship Id="rId802" Type="http://schemas.openxmlformats.org/officeDocument/2006/relationships/image" Target="media/image772.png"/><Relationship Id="rId803" Type="http://schemas.openxmlformats.org/officeDocument/2006/relationships/image" Target="media/image773.png"/><Relationship Id="rId804" Type="http://schemas.openxmlformats.org/officeDocument/2006/relationships/image" Target="media/image774.png"/><Relationship Id="rId805" Type="http://schemas.openxmlformats.org/officeDocument/2006/relationships/image" Target="media/image775.png"/><Relationship Id="rId806" Type="http://schemas.openxmlformats.org/officeDocument/2006/relationships/image" Target="media/image776.png"/><Relationship Id="rId807" Type="http://schemas.openxmlformats.org/officeDocument/2006/relationships/image" Target="media/image777.png"/><Relationship Id="rId808" Type="http://schemas.openxmlformats.org/officeDocument/2006/relationships/image" Target="media/image778.png"/><Relationship Id="rId809" Type="http://schemas.openxmlformats.org/officeDocument/2006/relationships/image" Target="media/image779.png"/><Relationship Id="rId810" Type="http://schemas.openxmlformats.org/officeDocument/2006/relationships/image" Target="media/image780.png"/><Relationship Id="rId811" Type="http://schemas.openxmlformats.org/officeDocument/2006/relationships/image" Target="media/image781.png"/><Relationship Id="rId812" Type="http://schemas.openxmlformats.org/officeDocument/2006/relationships/image" Target="media/image782.png"/><Relationship Id="rId813" Type="http://schemas.openxmlformats.org/officeDocument/2006/relationships/image" Target="media/image783.png"/><Relationship Id="rId814" Type="http://schemas.openxmlformats.org/officeDocument/2006/relationships/image" Target="media/image784.png"/><Relationship Id="rId815" Type="http://schemas.openxmlformats.org/officeDocument/2006/relationships/image" Target="media/image785.png"/><Relationship Id="rId816" Type="http://schemas.openxmlformats.org/officeDocument/2006/relationships/image" Target="media/image786.png"/><Relationship Id="rId817" Type="http://schemas.openxmlformats.org/officeDocument/2006/relationships/image" Target="media/image787.png"/><Relationship Id="rId818" Type="http://schemas.openxmlformats.org/officeDocument/2006/relationships/image" Target="media/image788.png"/><Relationship Id="rId819" Type="http://schemas.openxmlformats.org/officeDocument/2006/relationships/image" Target="media/image789.png"/><Relationship Id="rId820" Type="http://schemas.openxmlformats.org/officeDocument/2006/relationships/image" Target="media/image790.png"/><Relationship Id="rId821" Type="http://schemas.openxmlformats.org/officeDocument/2006/relationships/image" Target="media/image791.png"/><Relationship Id="rId822" Type="http://schemas.openxmlformats.org/officeDocument/2006/relationships/image" Target="media/image792.png"/><Relationship Id="rId823" Type="http://schemas.openxmlformats.org/officeDocument/2006/relationships/image" Target="media/image793.png"/><Relationship Id="rId824" Type="http://schemas.openxmlformats.org/officeDocument/2006/relationships/image" Target="media/image794.png"/><Relationship Id="rId825" Type="http://schemas.openxmlformats.org/officeDocument/2006/relationships/image" Target="media/image795.png"/><Relationship Id="rId826" Type="http://schemas.openxmlformats.org/officeDocument/2006/relationships/image" Target="media/image796.png"/><Relationship Id="rId827" Type="http://schemas.openxmlformats.org/officeDocument/2006/relationships/image" Target="media/image797.png"/><Relationship Id="rId828" Type="http://schemas.openxmlformats.org/officeDocument/2006/relationships/image" Target="media/image798.png"/><Relationship Id="rId829" Type="http://schemas.openxmlformats.org/officeDocument/2006/relationships/image" Target="media/image799.png"/><Relationship Id="rId830" Type="http://schemas.openxmlformats.org/officeDocument/2006/relationships/image" Target="media/image800.png"/><Relationship Id="rId831" Type="http://schemas.openxmlformats.org/officeDocument/2006/relationships/image" Target="media/image801.png"/><Relationship Id="rId832" Type="http://schemas.openxmlformats.org/officeDocument/2006/relationships/image" Target="media/image802.png"/><Relationship Id="rId833" Type="http://schemas.openxmlformats.org/officeDocument/2006/relationships/image" Target="media/image803.png"/><Relationship Id="rId834" Type="http://schemas.openxmlformats.org/officeDocument/2006/relationships/image" Target="media/image804.png"/><Relationship Id="rId835" Type="http://schemas.openxmlformats.org/officeDocument/2006/relationships/image" Target="media/image805.png"/><Relationship Id="rId836" Type="http://schemas.openxmlformats.org/officeDocument/2006/relationships/image" Target="media/image806.png"/><Relationship Id="rId837" Type="http://schemas.openxmlformats.org/officeDocument/2006/relationships/image" Target="media/image807.png"/><Relationship Id="rId838" Type="http://schemas.openxmlformats.org/officeDocument/2006/relationships/image" Target="media/image808.jpeg"/><Relationship Id="rId839" Type="http://schemas.openxmlformats.org/officeDocument/2006/relationships/image" Target="media/image809.png"/><Relationship Id="rId840" Type="http://schemas.openxmlformats.org/officeDocument/2006/relationships/image" Target="media/image810.png"/><Relationship Id="rId841" Type="http://schemas.openxmlformats.org/officeDocument/2006/relationships/image" Target="media/image811.png"/><Relationship Id="rId842" Type="http://schemas.openxmlformats.org/officeDocument/2006/relationships/image" Target="media/image812.png"/><Relationship Id="rId843" Type="http://schemas.openxmlformats.org/officeDocument/2006/relationships/image" Target="media/image813.png"/><Relationship Id="rId844" Type="http://schemas.openxmlformats.org/officeDocument/2006/relationships/image" Target="media/image814.png"/><Relationship Id="rId845" Type="http://schemas.openxmlformats.org/officeDocument/2006/relationships/image" Target="media/image815.png"/><Relationship Id="rId846" Type="http://schemas.openxmlformats.org/officeDocument/2006/relationships/image" Target="media/image816.png"/><Relationship Id="rId847" Type="http://schemas.openxmlformats.org/officeDocument/2006/relationships/image" Target="media/image817.png"/><Relationship Id="rId848" Type="http://schemas.openxmlformats.org/officeDocument/2006/relationships/image" Target="media/image818.png"/><Relationship Id="rId849" Type="http://schemas.openxmlformats.org/officeDocument/2006/relationships/image" Target="media/image819.png"/><Relationship Id="rId850" Type="http://schemas.openxmlformats.org/officeDocument/2006/relationships/image" Target="media/image820.png"/><Relationship Id="rId851" Type="http://schemas.openxmlformats.org/officeDocument/2006/relationships/image" Target="media/image821.png"/><Relationship Id="rId852" Type="http://schemas.openxmlformats.org/officeDocument/2006/relationships/image" Target="media/image822.png"/><Relationship Id="rId853" Type="http://schemas.openxmlformats.org/officeDocument/2006/relationships/image" Target="media/image823.png"/><Relationship Id="rId854" Type="http://schemas.openxmlformats.org/officeDocument/2006/relationships/image" Target="media/image824.png"/><Relationship Id="rId855" Type="http://schemas.openxmlformats.org/officeDocument/2006/relationships/image" Target="media/image825.png"/><Relationship Id="rId856" Type="http://schemas.openxmlformats.org/officeDocument/2006/relationships/image" Target="media/image826.png"/><Relationship Id="rId857" Type="http://schemas.openxmlformats.org/officeDocument/2006/relationships/image" Target="media/image827.png"/><Relationship Id="rId858" Type="http://schemas.openxmlformats.org/officeDocument/2006/relationships/image" Target="media/image828.png"/><Relationship Id="rId859" Type="http://schemas.openxmlformats.org/officeDocument/2006/relationships/image" Target="media/image829.png"/><Relationship Id="rId860" Type="http://schemas.openxmlformats.org/officeDocument/2006/relationships/image" Target="media/image830.png"/><Relationship Id="rId861" Type="http://schemas.openxmlformats.org/officeDocument/2006/relationships/image" Target="media/image831.png"/><Relationship Id="rId862" Type="http://schemas.openxmlformats.org/officeDocument/2006/relationships/image" Target="media/image832.png"/><Relationship Id="rId863" Type="http://schemas.openxmlformats.org/officeDocument/2006/relationships/image" Target="media/image833.png"/><Relationship Id="rId864" Type="http://schemas.openxmlformats.org/officeDocument/2006/relationships/image" Target="media/image834.png"/><Relationship Id="rId865" Type="http://schemas.openxmlformats.org/officeDocument/2006/relationships/image" Target="media/image835.png"/><Relationship Id="rId866" Type="http://schemas.openxmlformats.org/officeDocument/2006/relationships/image" Target="media/image836.png"/><Relationship Id="rId867" Type="http://schemas.openxmlformats.org/officeDocument/2006/relationships/image" Target="media/image837.png"/><Relationship Id="rId868" Type="http://schemas.openxmlformats.org/officeDocument/2006/relationships/image" Target="media/image838.png"/><Relationship Id="rId869" Type="http://schemas.openxmlformats.org/officeDocument/2006/relationships/image" Target="media/image839.png"/><Relationship Id="rId870" Type="http://schemas.openxmlformats.org/officeDocument/2006/relationships/image" Target="media/image840.png"/><Relationship Id="rId871" Type="http://schemas.openxmlformats.org/officeDocument/2006/relationships/image" Target="media/image841.png"/><Relationship Id="rId872" Type="http://schemas.openxmlformats.org/officeDocument/2006/relationships/image" Target="media/image842.png"/><Relationship Id="rId873" Type="http://schemas.openxmlformats.org/officeDocument/2006/relationships/image" Target="media/image843.png"/><Relationship Id="rId874" Type="http://schemas.openxmlformats.org/officeDocument/2006/relationships/image" Target="media/image844.png"/><Relationship Id="rId875" Type="http://schemas.openxmlformats.org/officeDocument/2006/relationships/image" Target="media/image845.png"/><Relationship Id="rId876" Type="http://schemas.openxmlformats.org/officeDocument/2006/relationships/image" Target="media/image846.png"/><Relationship Id="rId877" Type="http://schemas.openxmlformats.org/officeDocument/2006/relationships/image" Target="media/image847.png"/><Relationship Id="rId878" Type="http://schemas.openxmlformats.org/officeDocument/2006/relationships/image" Target="media/image848.png"/><Relationship Id="rId879" Type="http://schemas.openxmlformats.org/officeDocument/2006/relationships/image" Target="media/image849.png"/><Relationship Id="rId880" Type="http://schemas.openxmlformats.org/officeDocument/2006/relationships/image" Target="media/image850.png"/><Relationship Id="rId881" Type="http://schemas.openxmlformats.org/officeDocument/2006/relationships/image" Target="media/image851.png"/><Relationship Id="rId882" Type="http://schemas.openxmlformats.org/officeDocument/2006/relationships/image" Target="media/image852.png"/><Relationship Id="rId883" Type="http://schemas.openxmlformats.org/officeDocument/2006/relationships/image" Target="media/image853.png"/><Relationship Id="rId884" Type="http://schemas.openxmlformats.org/officeDocument/2006/relationships/image" Target="media/image854.png"/><Relationship Id="rId885" Type="http://schemas.openxmlformats.org/officeDocument/2006/relationships/image" Target="media/image855.png"/><Relationship Id="rId886" Type="http://schemas.openxmlformats.org/officeDocument/2006/relationships/image" Target="media/image856.png"/><Relationship Id="rId887" Type="http://schemas.openxmlformats.org/officeDocument/2006/relationships/image" Target="media/image857.png"/><Relationship Id="rId888" Type="http://schemas.openxmlformats.org/officeDocument/2006/relationships/image" Target="media/image858.png"/><Relationship Id="rId889" Type="http://schemas.openxmlformats.org/officeDocument/2006/relationships/image" Target="media/image859.png"/><Relationship Id="rId890" Type="http://schemas.openxmlformats.org/officeDocument/2006/relationships/image" Target="media/image860.png"/><Relationship Id="rId891" Type="http://schemas.openxmlformats.org/officeDocument/2006/relationships/image" Target="media/image861.png"/><Relationship Id="rId892" Type="http://schemas.openxmlformats.org/officeDocument/2006/relationships/image" Target="media/image862.png"/><Relationship Id="rId893" Type="http://schemas.openxmlformats.org/officeDocument/2006/relationships/image" Target="media/image863.png"/><Relationship Id="rId894" Type="http://schemas.openxmlformats.org/officeDocument/2006/relationships/image" Target="media/image864.png"/><Relationship Id="rId895" Type="http://schemas.openxmlformats.org/officeDocument/2006/relationships/image" Target="media/image865.png"/><Relationship Id="rId896" Type="http://schemas.openxmlformats.org/officeDocument/2006/relationships/image" Target="media/image866.png"/><Relationship Id="rId897" Type="http://schemas.openxmlformats.org/officeDocument/2006/relationships/image" Target="media/image867.png"/><Relationship Id="rId898" Type="http://schemas.openxmlformats.org/officeDocument/2006/relationships/image" Target="media/image868.png"/><Relationship Id="rId899" Type="http://schemas.openxmlformats.org/officeDocument/2006/relationships/image" Target="media/image869.png"/><Relationship Id="rId900" Type="http://schemas.openxmlformats.org/officeDocument/2006/relationships/image" Target="media/image870.png"/><Relationship Id="rId901" Type="http://schemas.openxmlformats.org/officeDocument/2006/relationships/image" Target="media/image871.png"/><Relationship Id="rId902" Type="http://schemas.openxmlformats.org/officeDocument/2006/relationships/image" Target="media/image872.png"/><Relationship Id="rId903" Type="http://schemas.openxmlformats.org/officeDocument/2006/relationships/image" Target="media/image873.png"/><Relationship Id="rId904" Type="http://schemas.openxmlformats.org/officeDocument/2006/relationships/image" Target="media/image874.png"/><Relationship Id="rId905" Type="http://schemas.openxmlformats.org/officeDocument/2006/relationships/image" Target="media/image875.png"/><Relationship Id="rId906" Type="http://schemas.openxmlformats.org/officeDocument/2006/relationships/image" Target="media/image876.png"/><Relationship Id="rId907" Type="http://schemas.openxmlformats.org/officeDocument/2006/relationships/image" Target="media/image877.png"/><Relationship Id="rId908" Type="http://schemas.openxmlformats.org/officeDocument/2006/relationships/image" Target="media/image878.jpeg"/><Relationship Id="rId909" Type="http://schemas.openxmlformats.org/officeDocument/2006/relationships/image" Target="media/image879.png"/><Relationship Id="rId910" Type="http://schemas.openxmlformats.org/officeDocument/2006/relationships/image" Target="media/image880.png"/><Relationship Id="rId911" Type="http://schemas.openxmlformats.org/officeDocument/2006/relationships/image" Target="media/image881.png"/><Relationship Id="rId912" Type="http://schemas.openxmlformats.org/officeDocument/2006/relationships/image" Target="media/image882.png"/><Relationship Id="rId913" Type="http://schemas.openxmlformats.org/officeDocument/2006/relationships/image" Target="media/image883.png"/><Relationship Id="rId914" Type="http://schemas.openxmlformats.org/officeDocument/2006/relationships/image" Target="media/image884.png"/><Relationship Id="rId915" Type="http://schemas.openxmlformats.org/officeDocument/2006/relationships/image" Target="media/image885.png"/><Relationship Id="rId916" Type="http://schemas.openxmlformats.org/officeDocument/2006/relationships/image" Target="media/image886.png"/><Relationship Id="rId917" Type="http://schemas.openxmlformats.org/officeDocument/2006/relationships/image" Target="media/image887.png"/><Relationship Id="rId918" Type="http://schemas.openxmlformats.org/officeDocument/2006/relationships/image" Target="media/image888.png"/><Relationship Id="rId919" Type="http://schemas.openxmlformats.org/officeDocument/2006/relationships/image" Target="media/image889.png"/><Relationship Id="rId920" Type="http://schemas.openxmlformats.org/officeDocument/2006/relationships/image" Target="media/image890.png"/><Relationship Id="rId921" Type="http://schemas.openxmlformats.org/officeDocument/2006/relationships/image" Target="media/image891.png"/><Relationship Id="rId922" Type="http://schemas.openxmlformats.org/officeDocument/2006/relationships/image" Target="media/image892.png"/><Relationship Id="rId923" Type="http://schemas.openxmlformats.org/officeDocument/2006/relationships/image" Target="media/image893.png"/><Relationship Id="rId924" Type="http://schemas.openxmlformats.org/officeDocument/2006/relationships/image" Target="media/image894.png"/><Relationship Id="rId925" Type="http://schemas.openxmlformats.org/officeDocument/2006/relationships/image" Target="media/image895.png"/><Relationship Id="rId926" Type="http://schemas.openxmlformats.org/officeDocument/2006/relationships/image" Target="media/image896.png"/><Relationship Id="rId927" Type="http://schemas.openxmlformats.org/officeDocument/2006/relationships/image" Target="media/image897.png"/><Relationship Id="rId928" Type="http://schemas.openxmlformats.org/officeDocument/2006/relationships/image" Target="media/image898.png"/><Relationship Id="rId929" Type="http://schemas.openxmlformats.org/officeDocument/2006/relationships/image" Target="media/image899.png"/><Relationship Id="rId930" Type="http://schemas.openxmlformats.org/officeDocument/2006/relationships/image" Target="media/image900.png"/><Relationship Id="rId931" Type="http://schemas.openxmlformats.org/officeDocument/2006/relationships/image" Target="media/image901.png"/><Relationship Id="rId932" Type="http://schemas.openxmlformats.org/officeDocument/2006/relationships/image" Target="media/image902.png"/><Relationship Id="rId933" Type="http://schemas.openxmlformats.org/officeDocument/2006/relationships/image" Target="media/image903.png"/><Relationship Id="rId934" Type="http://schemas.openxmlformats.org/officeDocument/2006/relationships/image" Target="media/image904.png"/><Relationship Id="rId935" Type="http://schemas.openxmlformats.org/officeDocument/2006/relationships/image" Target="media/image905.png"/><Relationship Id="rId936" Type="http://schemas.openxmlformats.org/officeDocument/2006/relationships/image" Target="media/image906.png"/><Relationship Id="rId937" Type="http://schemas.openxmlformats.org/officeDocument/2006/relationships/image" Target="media/image907.png"/><Relationship Id="rId938" Type="http://schemas.openxmlformats.org/officeDocument/2006/relationships/image" Target="media/image908.png"/><Relationship Id="rId939" Type="http://schemas.openxmlformats.org/officeDocument/2006/relationships/image" Target="media/image909.png"/><Relationship Id="rId940" Type="http://schemas.openxmlformats.org/officeDocument/2006/relationships/image" Target="media/image910.png"/><Relationship Id="rId941" Type="http://schemas.openxmlformats.org/officeDocument/2006/relationships/image" Target="media/image911.png"/><Relationship Id="rId942" Type="http://schemas.openxmlformats.org/officeDocument/2006/relationships/image" Target="media/image912.png"/><Relationship Id="rId943" Type="http://schemas.openxmlformats.org/officeDocument/2006/relationships/image" Target="media/image913.png"/><Relationship Id="rId944" Type="http://schemas.openxmlformats.org/officeDocument/2006/relationships/image" Target="media/image914.png"/><Relationship Id="rId945" Type="http://schemas.openxmlformats.org/officeDocument/2006/relationships/image" Target="media/image915.jpeg"/><Relationship Id="rId946" Type="http://schemas.openxmlformats.org/officeDocument/2006/relationships/image" Target="media/image916.png"/><Relationship Id="rId947" Type="http://schemas.openxmlformats.org/officeDocument/2006/relationships/image" Target="media/image917.png"/><Relationship Id="rId948" Type="http://schemas.openxmlformats.org/officeDocument/2006/relationships/image" Target="media/image918.png"/><Relationship Id="rId949" Type="http://schemas.openxmlformats.org/officeDocument/2006/relationships/image" Target="media/image919.png"/><Relationship Id="rId950" Type="http://schemas.openxmlformats.org/officeDocument/2006/relationships/image" Target="media/image920.png"/><Relationship Id="rId951" Type="http://schemas.openxmlformats.org/officeDocument/2006/relationships/image" Target="media/image921.png"/><Relationship Id="rId952" Type="http://schemas.openxmlformats.org/officeDocument/2006/relationships/image" Target="media/image922.png"/><Relationship Id="rId953" Type="http://schemas.openxmlformats.org/officeDocument/2006/relationships/image" Target="media/image923.png"/><Relationship Id="rId954" Type="http://schemas.openxmlformats.org/officeDocument/2006/relationships/image" Target="media/image924.png"/><Relationship Id="rId955" Type="http://schemas.openxmlformats.org/officeDocument/2006/relationships/image" Target="media/image925.png"/><Relationship Id="rId956" Type="http://schemas.openxmlformats.org/officeDocument/2006/relationships/image" Target="media/image926.png"/><Relationship Id="rId957" Type="http://schemas.openxmlformats.org/officeDocument/2006/relationships/image" Target="media/image927.png"/><Relationship Id="rId958" Type="http://schemas.openxmlformats.org/officeDocument/2006/relationships/image" Target="media/image928.png"/><Relationship Id="rId959" Type="http://schemas.openxmlformats.org/officeDocument/2006/relationships/image" Target="media/image929.png"/><Relationship Id="rId960" Type="http://schemas.openxmlformats.org/officeDocument/2006/relationships/image" Target="media/image930.png"/><Relationship Id="rId961" Type="http://schemas.openxmlformats.org/officeDocument/2006/relationships/image" Target="media/image931.png"/><Relationship Id="rId962" Type="http://schemas.openxmlformats.org/officeDocument/2006/relationships/image" Target="media/image932.png"/><Relationship Id="rId963" Type="http://schemas.openxmlformats.org/officeDocument/2006/relationships/image" Target="media/image933.png"/><Relationship Id="rId964" Type="http://schemas.openxmlformats.org/officeDocument/2006/relationships/image" Target="media/image934.png"/><Relationship Id="rId965" Type="http://schemas.openxmlformats.org/officeDocument/2006/relationships/image" Target="media/image935.png"/><Relationship Id="rId966" Type="http://schemas.openxmlformats.org/officeDocument/2006/relationships/image" Target="media/image936.png"/><Relationship Id="rId967" Type="http://schemas.openxmlformats.org/officeDocument/2006/relationships/image" Target="media/image937.png"/><Relationship Id="rId968" Type="http://schemas.openxmlformats.org/officeDocument/2006/relationships/image" Target="media/image938.png"/><Relationship Id="rId969" Type="http://schemas.openxmlformats.org/officeDocument/2006/relationships/image" Target="media/image939.png"/><Relationship Id="rId970" Type="http://schemas.openxmlformats.org/officeDocument/2006/relationships/image" Target="media/image940.png"/><Relationship Id="rId971" Type="http://schemas.openxmlformats.org/officeDocument/2006/relationships/image" Target="media/image941.png"/><Relationship Id="rId972" Type="http://schemas.openxmlformats.org/officeDocument/2006/relationships/image" Target="media/image942.png"/><Relationship Id="rId973" Type="http://schemas.openxmlformats.org/officeDocument/2006/relationships/image" Target="media/image943.png"/><Relationship Id="rId974" Type="http://schemas.openxmlformats.org/officeDocument/2006/relationships/image" Target="media/image944.png"/><Relationship Id="rId975" Type="http://schemas.openxmlformats.org/officeDocument/2006/relationships/image" Target="media/image945.png"/><Relationship Id="rId976" Type="http://schemas.openxmlformats.org/officeDocument/2006/relationships/image" Target="media/image946.png"/><Relationship Id="rId977" Type="http://schemas.openxmlformats.org/officeDocument/2006/relationships/image" Target="media/image947.png"/><Relationship Id="rId978" Type="http://schemas.openxmlformats.org/officeDocument/2006/relationships/image" Target="media/image948.png"/><Relationship Id="rId979" Type="http://schemas.openxmlformats.org/officeDocument/2006/relationships/image" Target="media/image949.png"/><Relationship Id="rId980" Type="http://schemas.openxmlformats.org/officeDocument/2006/relationships/image" Target="media/image950.png"/><Relationship Id="rId981" Type="http://schemas.openxmlformats.org/officeDocument/2006/relationships/image" Target="media/image951.png"/><Relationship Id="rId982" Type="http://schemas.openxmlformats.org/officeDocument/2006/relationships/footer" Target="footer27.xml"/><Relationship Id="rId983" Type="http://schemas.openxmlformats.org/officeDocument/2006/relationships/image" Target="media/image952.jpeg"/><Relationship Id="rId984" Type="http://schemas.openxmlformats.org/officeDocument/2006/relationships/image" Target="media/image953.jpeg"/><Relationship Id="rId985" Type="http://schemas.openxmlformats.org/officeDocument/2006/relationships/footer" Target="footer28.xml"/><Relationship Id="rId986" Type="http://schemas.openxmlformats.org/officeDocument/2006/relationships/image" Target="media/image954.jpeg"/><Relationship Id="rId987" Type="http://schemas.openxmlformats.org/officeDocument/2006/relationships/image" Target="media/image955.jpeg"/><Relationship Id="rId988" Type="http://schemas.openxmlformats.org/officeDocument/2006/relationships/footer" Target="footer29.xml"/><Relationship Id="rId989" Type="http://schemas.openxmlformats.org/officeDocument/2006/relationships/image" Target="media/image956.jpeg"/><Relationship Id="rId990" Type="http://schemas.openxmlformats.org/officeDocument/2006/relationships/image" Target="media/image957.jpeg"/><Relationship Id="rId991" Type="http://schemas.openxmlformats.org/officeDocument/2006/relationships/image" Target="media/image958.jpeg"/><Relationship Id="rId992" Type="http://schemas.openxmlformats.org/officeDocument/2006/relationships/footer" Target="footer30.xml"/><Relationship Id="rId993" Type="http://schemas.openxmlformats.org/officeDocument/2006/relationships/image" Target="media/image959.jpeg"/><Relationship Id="rId994" Type="http://schemas.openxmlformats.org/officeDocument/2006/relationships/image" Target="media/image960.jpeg"/><Relationship Id="rId995" Type="http://schemas.openxmlformats.org/officeDocument/2006/relationships/image" Target="media/image961.jpeg"/><Relationship Id="rId996" Type="http://schemas.openxmlformats.org/officeDocument/2006/relationships/footer" Target="footer31.xml"/><Relationship Id="rId997" Type="http://schemas.openxmlformats.org/officeDocument/2006/relationships/image" Target="media/image962.jpeg"/><Relationship Id="rId998" Type="http://schemas.openxmlformats.org/officeDocument/2006/relationships/footer" Target="footer32.xml"/><Relationship Id="rId999" Type="http://schemas.openxmlformats.org/officeDocument/2006/relationships/footer" Target="footer33.xml"/><Relationship Id="rId1000" Type="http://schemas.openxmlformats.org/officeDocument/2006/relationships/hyperlink" Target="http://ocw.mit.edu/nr/rdonlyres/Urban-Studies-and-Planing/11-469Spring-2007/Assignments/brand.pdf" TargetMode="External"/><Relationship Id="rId1001" Type="http://schemas.openxmlformats.org/officeDocument/2006/relationships/hyperlink" Target="http://www.h-net.org/announce/show.cgi?ID=155684" TargetMode="External"/><Relationship Id="rId1002" Type="http://schemas.openxmlformats.org/officeDocument/2006/relationships/hyperlink" Target="http://www.adoc.org.mx/2007congreso/figg01.pdf" TargetMode="External"/><Relationship Id="rId1003" Type="http://schemas.openxmlformats.org/officeDocument/2006/relationships/hyperlink" Target="http://www.ohchr.org/Documents/Publications/FS21_rev_1_Housing_sp.pdf" TargetMode="External"/><Relationship Id="rId1004" Type="http://schemas.openxmlformats.org/officeDocument/2006/relationships/hyperlink" Target="http://www.bvsde.paho.org/texcom/cd045364/vivsal.pdf" TargetMode="External"/><Relationship Id="rId1005" Type="http://schemas.openxmlformats.org/officeDocument/2006/relationships/footer" Target="footer34.xml"/><Relationship Id="rId1006" Type="http://schemas.openxmlformats.org/officeDocument/2006/relationships/hyperlink" Target="http://www.seduvi.df.gob.mx/portal/index.php/acerca-de-la-seduvi/e-" TargetMode="External"/><Relationship Id="rId1007" Type="http://schemas.openxmlformats.org/officeDocument/2006/relationships/image" Target="media/image963.jpeg"/><Relationship Id="rId1008" Type="http://schemas.openxmlformats.org/officeDocument/2006/relationships/image" Target="media/image964.jpeg"/><Relationship Id="rId1009" Type="http://schemas.openxmlformats.org/officeDocument/2006/relationships/hyperlink" Target="mailto:afomar_1@hotmail.com" TargetMode="External"/><Relationship Id="rId1010" Type="http://schemas.openxmlformats.org/officeDocument/2006/relationships/hyperlink" Target="mailto:cgarrocho@cmq.edu.mx" TargetMode="External"/><Relationship Id="rId1011" Type="http://schemas.openxmlformats.org/officeDocument/2006/relationships/hyperlink" Target="mailto:huvic100@hotmail.com" TargetMode="External"/><Relationship Id="rId1012" Type="http://schemas.openxmlformats.org/officeDocument/2006/relationships/footer" Target="footer35.xml"/><Relationship Id="rId1013" Type="http://schemas.openxmlformats.org/officeDocument/2006/relationships/image" Target="media/image965.png"/><Relationship Id="rId1014" Type="http://schemas.openxmlformats.org/officeDocument/2006/relationships/image" Target="media/image966.jpeg"/><Relationship Id="rId1015" Type="http://schemas.openxmlformats.org/officeDocument/2006/relationships/footer" Target="footer36.xml"/><Relationship Id="rId1016" Type="http://schemas.openxmlformats.org/officeDocument/2006/relationships/image" Target="media/image967.jpeg"/><Relationship Id="rId101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2017-05-24T01:23:57Z</dcterms:created>
  <dcterms:modified xsi:type="dcterms:W3CDTF">2017-05-24T01:23:57Z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2017-05-23T00:00:00Z</vt:filetime>
  </property>
</Properties>
</file>