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1571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366;top:5966;width:5330;height:4332" type="#_x0000_t75" stroked="false">
              <v:imagedata r:id="rId10" o:title="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Heading1"/>
        <w:numPr>
          <w:ilvl w:val="0"/>
          <w:numId w:val="1"/>
        </w:numPr>
        <w:tabs>
          <w:tab w:pos="535" w:val="left" w:leader="none"/>
          <w:tab w:pos="6551" w:val="left" w:leader="none"/>
        </w:tabs>
        <w:spacing w:line="240" w:lineRule="auto" w:before="128" w:after="0"/>
        <w:ind w:left="534" w:right="0" w:hanging="430"/>
        <w:jc w:val="left"/>
        <w:rPr>
          <w:rFonts w:ascii="Wingdings"/>
          <w:color w:val="0AD0D9"/>
          <w:sz w:val="49"/>
        </w:rPr>
      </w:pPr>
      <w:r>
        <w:rPr/>
        <w:t>UNIDAD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COMPETENCIA</w:t>
        <w:tab/>
        <w:t>VI</w:t>
      </w:r>
    </w:p>
    <w:p>
      <w:pPr>
        <w:pStyle w:val="Heading7"/>
        <w:numPr>
          <w:ilvl w:val="1"/>
          <w:numId w:val="1"/>
        </w:numPr>
        <w:tabs>
          <w:tab w:pos="1113" w:val="left" w:leader="none"/>
        </w:tabs>
        <w:spacing w:line="240" w:lineRule="auto" w:before="86" w:after="0"/>
        <w:ind w:left="1112" w:right="8989" w:hanging="389"/>
        <w:jc w:val="center"/>
        <w:rPr>
          <w:rFonts w:ascii="Wingdings" w:hAnsi="Wingdings"/>
          <w:color w:val="0E6EC5"/>
          <w:sz w:val="34"/>
        </w:rPr>
      </w:pPr>
      <w:r>
        <w:rPr/>
        <w:t>Amortización</w:t>
      </w:r>
    </w:p>
    <w:p>
      <w:pPr>
        <w:pStyle w:val="ListParagraph"/>
        <w:numPr>
          <w:ilvl w:val="2"/>
          <w:numId w:val="1"/>
        </w:numPr>
        <w:tabs>
          <w:tab w:pos="388" w:val="left" w:leader="none"/>
          <w:tab w:pos="1545" w:val="left" w:leader="none"/>
        </w:tabs>
        <w:spacing w:line="240" w:lineRule="auto" w:before="75" w:after="0"/>
        <w:ind w:left="1544" w:right="8880" w:hanging="389"/>
        <w:jc w:val="center"/>
        <w:rPr>
          <w:rFonts w:ascii="Wingdings" w:hAnsi="Wingdings"/>
          <w:b/>
          <w:color w:val="009DD9"/>
          <w:sz w:val="23"/>
        </w:rPr>
      </w:pPr>
      <w:r>
        <w:rPr>
          <w:b/>
          <w:sz w:val="34"/>
        </w:rPr>
        <w:t>Propósito:</w:t>
      </w:r>
    </w:p>
    <w:p>
      <w:pPr>
        <w:pStyle w:val="ListParagraph"/>
        <w:numPr>
          <w:ilvl w:val="3"/>
          <w:numId w:val="1"/>
        </w:numPr>
        <w:tabs>
          <w:tab w:pos="1974" w:val="left" w:leader="none"/>
        </w:tabs>
        <w:spacing w:line="456" w:lineRule="exact" w:before="79" w:after="0"/>
        <w:ind w:left="1974" w:right="260" w:hanging="329"/>
        <w:jc w:val="both"/>
        <w:rPr>
          <w:rFonts w:ascii="Wingdings" w:hAnsi="Wingdings"/>
          <w:color w:val="0AD0D9"/>
          <w:sz w:val="24"/>
        </w:rPr>
      </w:pPr>
      <w:r>
        <w:rPr>
          <w:sz w:val="38"/>
        </w:rPr>
        <w:t>Genera información económica útil </w:t>
      </w:r>
      <w:r>
        <w:rPr>
          <w:spacing w:val="-3"/>
          <w:sz w:val="38"/>
        </w:rPr>
        <w:t>para </w:t>
      </w:r>
      <w:r>
        <w:rPr>
          <w:sz w:val="38"/>
        </w:rPr>
        <w:t>la toma de decisiones a </w:t>
      </w:r>
      <w:r>
        <w:rPr>
          <w:spacing w:val="-4"/>
          <w:sz w:val="38"/>
        </w:rPr>
        <w:t>través </w:t>
      </w:r>
      <w:r>
        <w:rPr>
          <w:sz w:val="38"/>
        </w:rPr>
        <w:t>de la determinación de los </w:t>
      </w:r>
      <w:r>
        <w:rPr>
          <w:spacing w:val="-3"/>
          <w:sz w:val="38"/>
        </w:rPr>
        <w:t>costos </w:t>
      </w:r>
      <w:r>
        <w:rPr>
          <w:sz w:val="38"/>
        </w:rPr>
        <w:t>de capital, de operación y utilitarios mediante el </w:t>
      </w:r>
      <w:r>
        <w:rPr>
          <w:spacing w:val="-3"/>
          <w:sz w:val="38"/>
        </w:rPr>
        <w:t>control </w:t>
      </w:r>
      <w:r>
        <w:rPr>
          <w:sz w:val="38"/>
        </w:rPr>
        <w:t>adecuado de los elementos de la empresa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</w:p>
    <w:p>
      <w:pPr>
        <w:spacing w:before="0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</w:t>
      </w:r>
    </w:p>
    <w:p>
      <w:pPr>
        <w:spacing w:after="0"/>
        <w:jc w:val="right"/>
        <w:rPr>
          <w:rFonts w:ascii="Constantia"/>
          <w:sz w:val="24"/>
        </w:rPr>
        <w:sectPr>
          <w:type w:val="continuous"/>
          <w:pgSz w:w="14400" w:h="10800" w:orient="landscape"/>
          <w:pgMar w:top="1000" w:bottom="0" w:left="760" w:right="600"/>
        </w:sectPr>
      </w:pPr>
    </w:p>
    <w:p>
      <w:pPr>
        <w:pStyle w:val="ListParagraph"/>
        <w:numPr>
          <w:ilvl w:val="0"/>
          <w:numId w:val="1"/>
        </w:numPr>
        <w:tabs>
          <w:tab w:pos="535" w:val="left" w:leader="none"/>
        </w:tabs>
        <w:spacing w:line="189" w:lineRule="auto" w:before="74" w:after="0"/>
        <w:ind w:left="534" w:right="248" w:hanging="430"/>
        <w:jc w:val="both"/>
        <w:rPr>
          <w:rFonts w:ascii="Wingdings" w:hAnsi="Wingdings"/>
          <w:color w:val="0AD0D9"/>
          <w:sz w:val="45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1568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8278;top:7582;width:4202;height:2782" type="#_x0000_t75" stroked="false">
              <v:imagedata r:id="rId11" o:title=""/>
            </v:shape>
            <w10:wrap type="none"/>
          </v:group>
        </w:pict>
      </w:r>
      <w:r>
        <w:rPr>
          <w:b/>
          <w:sz w:val="48"/>
        </w:rPr>
        <w:t>Amortización. </w:t>
      </w:r>
      <w:r>
        <w:rPr>
          <w:spacing w:val="-3"/>
          <w:sz w:val="48"/>
        </w:rPr>
        <w:t>P</w:t>
      </w:r>
      <w:r>
        <w:rPr>
          <w:rFonts w:ascii="Constantia" w:hAnsi="Constantia"/>
          <w:spacing w:val="-3"/>
          <w:sz w:val="48"/>
        </w:rPr>
        <w:t>roceso</w:t>
      </w:r>
      <w:r>
        <w:rPr>
          <w:rFonts w:ascii="Constantia" w:hAnsi="Constantia"/>
          <w:spacing w:val="114"/>
          <w:sz w:val="48"/>
        </w:rPr>
        <w:t> </w:t>
      </w:r>
      <w:r>
        <w:rPr>
          <w:rFonts w:ascii="Constantia" w:hAnsi="Constantia"/>
          <w:sz w:val="48"/>
        </w:rPr>
        <w:t>financiero mediante el cual se liquida una deuda por medio de </w:t>
      </w:r>
      <w:r>
        <w:rPr>
          <w:rFonts w:ascii="Constantia" w:hAnsi="Constantia"/>
          <w:spacing w:val="-3"/>
          <w:sz w:val="48"/>
        </w:rPr>
        <w:t>pagos </w:t>
      </w:r>
      <w:r>
        <w:rPr>
          <w:rFonts w:ascii="Constantia" w:hAnsi="Constantia"/>
          <w:sz w:val="48"/>
        </w:rPr>
        <w:t>periódicos, que pueden</w:t>
      </w:r>
      <w:r>
        <w:rPr>
          <w:rFonts w:ascii="Constantia" w:hAnsi="Constantia"/>
          <w:spacing w:val="-25"/>
          <w:sz w:val="48"/>
        </w:rPr>
        <w:t> </w:t>
      </w:r>
      <w:r>
        <w:rPr>
          <w:rFonts w:ascii="Constantia" w:hAnsi="Constantia"/>
          <w:sz w:val="48"/>
        </w:rPr>
        <w:t>ser</w:t>
      </w:r>
      <w:r>
        <w:rPr>
          <w:rFonts w:ascii="Constantia" w:hAnsi="Constantia"/>
          <w:spacing w:val="-23"/>
          <w:sz w:val="48"/>
        </w:rPr>
        <w:t> </w:t>
      </w:r>
      <w:r>
        <w:rPr>
          <w:rFonts w:ascii="Constantia" w:hAnsi="Constantia"/>
          <w:sz w:val="48"/>
        </w:rPr>
        <w:t>iguales</w:t>
      </w:r>
      <w:r>
        <w:rPr>
          <w:rFonts w:ascii="Constantia" w:hAnsi="Constantia"/>
          <w:spacing w:val="-26"/>
          <w:sz w:val="48"/>
        </w:rPr>
        <w:t> </w:t>
      </w:r>
      <w:r>
        <w:rPr>
          <w:rFonts w:ascii="Constantia" w:hAnsi="Constantia"/>
          <w:sz w:val="48"/>
        </w:rPr>
        <w:t>o</w:t>
      </w:r>
      <w:r>
        <w:rPr>
          <w:rFonts w:ascii="Constantia" w:hAnsi="Constantia"/>
          <w:spacing w:val="-31"/>
          <w:sz w:val="48"/>
        </w:rPr>
        <w:t> </w:t>
      </w:r>
      <w:r>
        <w:rPr>
          <w:rFonts w:ascii="Constantia" w:hAnsi="Constantia"/>
          <w:sz w:val="48"/>
        </w:rPr>
        <w:t>diferentes</w:t>
      </w:r>
    </w:p>
    <w:p>
      <w:pPr>
        <w:pStyle w:val="BodyText"/>
        <w:spacing w:before="7"/>
        <w:rPr>
          <w:rFonts w:ascii="Constantia"/>
          <w:sz w:val="48"/>
        </w:rPr>
      </w:pP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189" w:lineRule="auto" w:before="0" w:after="0"/>
        <w:ind w:left="1112" w:right="900" w:hanging="389"/>
        <w:jc w:val="left"/>
        <w:rPr>
          <w:rFonts w:ascii="Wingdings" w:hAnsi="Wingdings"/>
          <w:b/>
          <w:color w:val="0E6EC5"/>
          <w:sz w:val="41"/>
        </w:rPr>
      </w:pPr>
      <w:r>
        <w:rPr>
          <w:b/>
          <w:sz w:val="48"/>
        </w:rPr>
        <w:t>Los préstamos se pueden clasificar conforme su plan</w:t>
      </w:r>
      <w:r>
        <w:rPr>
          <w:b/>
          <w:spacing w:val="-54"/>
          <w:sz w:val="48"/>
        </w:rPr>
        <w:t> </w:t>
      </w:r>
      <w:r>
        <w:rPr>
          <w:b/>
          <w:sz w:val="48"/>
        </w:rPr>
        <w:t>de pagos</w:t>
      </w:r>
    </w:p>
    <w:p>
      <w:pPr>
        <w:pStyle w:val="ListParagraph"/>
        <w:numPr>
          <w:ilvl w:val="2"/>
          <w:numId w:val="1"/>
        </w:numPr>
        <w:tabs>
          <w:tab w:pos="1544" w:val="left" w:leader="none"/>
          <w:tab w:pos="1545" w:val="left" w:leader="none"/>
        </w:tabs>
        <w:spacing w:line="240" w:lineRule="auto" w:before="17" w:after="0"/>
        <w:ind w:left="1544" w:right="0" w:hanging="389"/>
        <w:jc w:val="left"/>
        <w:rPr>
          <w:rFonts w:ascii="Wingdings"/>
          <w:color w:val="009DD9"/>
          <w:sz w:val="33"/>
        </w:rPr>
      </w:pPr>
      <w:r>
        <w:rPr>
          <w:spacing w:val="-3"/>
          <w:sz w:val="48"/>
        </w:rPr>
        <w:t>Ajustarse </w:t>
      </w:r>
      <w:r>
        <w:rPr>
          <w:sz w:val="48"/>
        </w:rPr>
        <w:t>a la capacidad de pago del</w:t>
      </w:r>
      <w:r>
        <w:rPr>
          <w:spacing w:val="-30"/>
          <w:sz w:val="48"/>
        </w:rPr>
        <w:t> </w:t>
      </w:r>
      <w:r>
        <w:rPr>
          <w:sz w:val="48"/>
        </w:rPr>
        <w:t>solicitante</w:t>
      </w:r>
    </w:p>
    <w:p>
      <w:pPr>
        <w:pStyle w:val="BodyText"/>
        <w:spacing w:before="6"/>
        <w:rPr>
          <w:sz w:val="38"/>
        </w:rPr>
      </w:pP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581" w:lineRule="exact" w:before="0" w:after="0"/>
        <w:ind w:left="1112" w:right="0" w:hanging="389"/>
        <w:jc w:val="left"/>
        <w:rPr>
          <w:rFonts w:ascii="Wingdings"/>
          <w:b/>
          <w:color w:val="0E6EC5"/>
          <w:sz w:val="40"/>
        </w:rPr>
      </w:pPr>
      <w:r>
        <w:rPr>
          <w:b/>
          <w:sz w:val="48"/>
        </w:rPr>
        <w:t>Opciones:</w:t>
      </w:r>
    </w:p>
    <w:p>
      <w:pPr>
        <w:pStyle w:val="ListParagraph"/>
        <w:numPr>
          <w:ilvl w:val="2"/>
          <w:numId w:val="1"/>
        </w:numPr>
        <w:tabs>
          <w:tab w:pos="1544" w:val="left" w:leader="none"/>
          <w:tab w:pos="1545" w:val="left" w:leader="none"/>
        </w:tabs>
        <w:spacing w:line="576" w:lineRule="exact" w:before="0" w:after="0"/>
        <w:ind w:left="1544" w:right="0" w:hanging="389"/>
        <w:jc w:val="left"/>
        <w:rPr>
          <w:rFonts w:ascii="Wingdings" w:hAnsi="Wingdings"/>
          <w:b/>
          <w:color w:val="009DD9"/>
          <w:sz w:val="33"/>
        </w:rPr>
      </w:pPr>
      <w:r>
        <w:rPr>
          <w:b/>
          <w:sz w:val="48"/>
        </w:rPr>
        <w:t>Liquidación del </w:t>
      </w:r>
      <w:r>
        <w:rPr>
          <w:b/>
          <w:spacing w:val="-3"/>
          <w:sz w:val="48"/>
        </w:rPr>
        <w:t>préstamo </w:t>
      </w:r>
      <w:r>
        <w:rPr>
          <w:b/>
          <w:sz w:val="48"/>
        </w:rPr>
        <w:t>mediante un solo</w:t>
      </w:r>
      <w:r>
        <w:rPr>
          <w:b/>
          <w:spacing w:val="-26"/>
          <w:sz w:val="48"/>
        </w:rPr>
        <w:t> </w:t>
      </w:r>
      <w:r>
        <w:rPr>
          <w:b/>
          <w:sz w:val="48"/>
        </w:rPr>
        <w:t>pago:</w:t>
      </w:r>
    </w:p>
    <w:p>
      <w:pPr>
        <w:pStyle w:val="Heading8"/>
        <w:numPr>
          <w:ilvl w:val="3"/>
          <w:numId w:val="1"/>
        </w:numPr>
        <w:tabs>
          <w:tab w:pos="1974" w:val="left" w:leader="none"/>
        </w:tabs>
        <w:spacing w:line="189" w:lineRule="auto" w:before="74" w:after="0"/>
        <w:ind w:left="1974" w:right="258" w:hanging="329"/>
        <w:jc w:val="both"/>
        <w:rPr>
          <w:rFonts w:ascii="Wingdings" w:hAnsi="Wingdings"/>
          <w:color w:val="0AD0D9"/>
          <w:sz w:val="26"/>
        </w:rPr>
      </w:pPr>
      <w:r>
        <w:rPr>
          <w:spacing w:val="-3"/>
        </w:rPr>
        <w:t>Préstamo </w:t>
      </w:r>
      <w:r>
        <w:rPr/>
        <w:t>liquidable en un solo </w:t>
      </w:r>
      <w:r>
        <w:rPr>
          <w:spacing w:val="-3"/>
        </w:rPr>
        <w:t>pago, </w:t>
      </w:r>
      <w:r>
        <w:rPr/>
        <w:t>implicará que el principal de la deuda más intereses habrán de </w:t>
      </w:r>
      <w:r>
        <w:rPr>
          <w:spacing w:val="-3"/>
        </w:rPr>
        <w:t>pagarse </w:t>
      </w:r>
      <w:r>
        <w:rPr/>
        <w:t>en una suma </w:t>
      </w:r>
      <w:r>
        <w:rPr>
          <w:spacing w:val="-3"/>
        </w:rPr>
        <w:t>total </w:t>
      </w:r>
      <w:r>
        <w:rPr/>
        <w:t>cuando </w:t>
      </w:r>
      <w:r>
        <w:rPr>
          <w:spacing w:val="-3"/>
        </w:rPr>
        <w:t>venza </w:t>
      </w:r>
      <w:r>
        <w:rPr/>
        <w:t>el</w:t>
      </w:r>
      <w:r>
        <w:rPr>
          <w:spacing w:val="15"/>
        </w:rPr>
        <w:t> </w:t>
      </w:r>
      <w:r>
        <w:rPr>
          <w:spacing w:val="-3"/>
        </w:rPr>
        <w:t>préstamo</w:t>
      </w:r>
    </w:p>
    <w:p>
      <w:pPr>
        <w:pStyle w:val="BodyText"/>
        <w:rPr>
          <w:sz w:val="40"/>
        </w:rPr>
      </w:pPr>
    </w:p>
    <w:p>
      <w:pPr>
        <w:pStyle w:val="BodyText"/>
        <w:spacing w:before="8"/>
        <w:rPr>
          <w:sz w:val="47"/>
        </w:rPr>
      </w:pPr>
    </w:p>
    <w:p>
      <w:pPr>
        <w:spacing w:line="436" w:lineRule="exact" w:before="0"/>
        <w:ind w:left="1453" w:right="0" w:firstLine="0"/>
        <w:jc w:val="left"/>
        <w:rPr>
          <w:b/>
          <w:sz w:val="40"/>
        </w:rPr>
      </w:pPr>
      <w:r>
        <w:rPr>
          <w:b/>
          <w:sz w:val="40"/>
        </w:rPr>
        <w:t>Ejemplo:</w:t>
      </w:r>
    </w:p>
    <w:p>
      <w:pPr>
        <w:tabs>
          <w:tab w:pos="1803" w:val="left" w:leader="none"/>
        </w:tabs>
        <w:spacing w:line="436" w:lineRule="exact" w:before="0"/>
        <w:ind w:left="1443" w:right="0" w:firstLine="0"/>
        <w:jc w:val="left"/>
        <w:rPr>
          <w:sz w:val="40"/>
        </w:rPr>
      </w:pPr>
      <w:r>
        <w:rPr>
          <w:rFonts w:ascii="Wingdings" w:hAnsi="Wingdings"/>
          <w:color w:val="0AD0D9"/>
          <w:w w:val="95"/>
          <w:sz w:val="26"/>
        </w:rPr>
        <w:t></w:t>
      </w:r>
      <w:r>
        <w:rPr>
          <w:rFonts w:ascii="Times New Roman" w:hAnsi="Times New Roman"/>
          <w:color w:val="0AD0D9"/>
          <w:w w:val="95"/>
          <w:sz w:val="26"/>
        </w:rPr>
        <w:tab/>
      </w:r>
      <w:r>
        <w:rPr>
          <w:spacing w:val="-3"/>
          <w:sz w:val="40"/>
        </w:rPr>
        <w:t>Préstamos </w:t>
      </w:r>
      <w:r>
        <w:rPr>
          <w:sz w:val="40"/>
        </w:rPr>
        <w:t>a corto</w:t>
      </w:r>
      <w:r>
        <w:rPr>
          <w:spacing w:val="14"/>
          <w:sz w:val="40"/>
        </w:rPr>
        <w:t> </w:t>
      </w:r>
      <w:r>
        <w:rPr>
          <w:spacing w:val="-3"/>
          <w:sz w:val="40"/>
        </w:rPr>
        <w:t>plazo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before="0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960" w:bottom="0" w:left="760" w:right="600"/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1566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5400;top:5626;width:3749;height:4440" type="#_x0000_t75" stroked="false">
              <v:imagedata r:id="rId12" o:title=""/>
            </v:shape>
            <w10:wrap type="none"/>
          </v:group>
        </w:pict>
      </w:r>
    </w:p>
    <w:p>
      <w:pPr>
        <w:pStyle w:val="BodyText"/>
        <w:rPr>
          <w:rFonts w:ascii="Constantia"/>
          <w:sz w:val="20"/>
        </w:rPr>
      </w:pPr>
    </w:p>
    <w:p>
      <w:pPr>
        <w:pStyle w:val="Heading4"/>
        <w:numPr>
          <w:ilvl w:val="0"/>
          <w:numId w:val="1"/>
        </w:numPr>
        <w:tabs>
          <w:tab w:pos="535" w:val="left" w:leader="none"/>
        </w:tabs>
        <w:spacing w:line="189" w:lineRule="auto" w:before="235" w:after="0"/>
        <w:ind w:left="534" w:right="260" w:hanging="430"/>
        <w:jc w:val="both"/>
        <w:rPr>
          <w:rFonts w:ascii="Wingdings" w:hAnsi="Wingdings"/>
          <w:color w:val="0AD0D9"/>
          <w:sz w:val="45"/>
        </w:rPr>
      </w:pPr>
      <w:r>
        <w:rPr/>
        <w:t>Algunos </w:t>
      </w:r>
      <w:r>
        <w:rPr>
          <w:spacing w:val="-3"/>
        </w:rPr>
        <w:t>préstamos </w:t>
      </w:r>
      <w:r>
        <w:rPr/>
        <w:t>a mediano </w:t>
      </w:r>
      <w:r>
        <w:rPr>
          <w:spacing w:val="-3"/>
        </w:rPr>
        <w:t>plazo podrán </w:t>
      </w:r>
      <w:r>
        <w:rPr/>
        <w:t>requerir tan sólo el pago anual de intereses, debiendo </w:t>
      </w:r>
      <w:r>
        <w:rPr>
          <w:spacing w:val="-3"/>
        </w:rPr>
        <w:t>pagarse </w:t>
      </w:r>
      <w:r>
        <w:rPr/>
        <w:t>la totalidad del principal de la deuda al vencimiento de</w:t>
      </w:r>
      <w:r>
        <w:rPr>
          <w:spacing w:val="-30"/>
        </w:rPr>
        <w:t> </w:t>
      </w:r>
      <w:r>
        <w:rPr>
          <w:spacing w:val="-3"/>
        </w:rPr>
        <w:t>esta</w:t>
      </w:r>
    </w:p>
    <w:p>
      <w:pPr>
        <w:pStyle w:val="BodyText"/>
        <w:spacing w:before="5"/>
        <w:rPr>
          <w:sz w:val="56"/>
        </w:rPr>
      </w:pPr>
    </w:p>
    <w:p>
      <w:pPr>
        <w:pStyle w:val="ListParagraph"/>
        <w:numPr>
          <w:ilvl w:val="1"/>
          <w:numId w:val="1"/>
        </w:numPr>
        <w:tabs>
          <w:tab w:pos="1545" w:val="left" w:leader="none"/>
        </w:tabs>
        <w:spacing w:line="189" w:lineRule="auto" w:before="1" w:after="0"/>
        <w:ind w:left="1544" w:right="260" w:hanging="389"/>
        <w:jc w:val="both"/>
        <w:rPr>
          <w:rFonts w:ascii="Wingdings" w:hAnsi="Wingdings"/>
          <w:color w:val="009DD9"/>
          <w:sz w:val="33"/>
        </w:rPr>
      </w:pPr>
      <w:r>
        <w:rPr>
          <w:sz w:val="48"/>
        </w:rPr>
        <w:t>Planeación del flujo de </w:t>
      </w:r>
      <w:r>
        <w:rPr>
          <w:spacing w:val="-3"/>
          <w:sz w:val="48"/>
        </w:rPr>
        <w:t>efectivo para </w:t>
      </w:r>
      <w:r>
        <w:rPr>
          <w:spacing w:val="-4"/>
          <w:sz w:val="48"/>
        </w:rPr>
        <w:t>garantizar </w:t>
      </w:r>
      <w:r>
        <w:rPr>
          <w:sz w:val="48"/>
        </w:rPr>
        <w:t>que se </w:t>
      </w:r>
      <w:r>
        <w:rPr>
          <w:spacing w:val="-3"/>
          <w:sz w:val="48"/>
        </w:rPr>
        <w:t>habrá </w:t>
      </w:r>
      <w:r>
        <w:rPr>
          <w:sz w:val="48"/>
        </w:rPr>
        <w:t>de tener disponible suficiente </w:t>
      </w:r>
      <w:r>
        <w:rPr>
          <w:spacing w:val="-3"/>
          <w:sz w:val="48"/>
        </w:rPr>
        <w:t>efectivo </w:t>
      </w:r>
      <w:r>
        <w:rPr>
          <w:sz w:val="48"/>
        </w:rPr>
        <w:t>cuando </w:t>
      </w:r>
      <w:r>
        <w:rPr>
          <w:spacing w:val="-3"/>
          <w:sz w:val="48"/>
        </w:rPr>
        <w:t>venza </w:t>
      </w:r>
      <w:r>
        <w:rPr>
          <w:sz w:val="48"/>
        </w:rPr>
        <w:t>el</w:t>
      </w:r>
      <w:r>
        <w:rPr>
          <w:spacing w:val="8"/>
          <w:sz w:val="48"/>
        </w:rPr>
        <w:t> </w:t>
      </w:r>
      <w:r>
        <w:rPr>
          <w:spacing w:val="-3"/>
          <w:sz w:val="48"/>
        </w:rPr>
        <w:t>plazo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3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Heading1"/>
        <w:spacing w:before="82"/>
        <w:ind w:left="100" w:firstLine="0"/>
      </w:pPr>
      <w:r>
        <w:rPr/>
        <w:pict>
          <v:group style="position:absolute;margin-left:-.069398pt;margin-top:-.000061pt;width:720.15pt;height:540pt;mso-position-horizontal-relative:page;mso-position-vertical-relative:page;z-index:-1564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3487;top:6300;width:8131;height:4066" type="#_x0000_t75" stroked="false">
              <v:imagedata r:id="rId13" o:title=""/>
            </v:shape>
            <w10:wrap type="none"/>
          </v:group>
        </w:pict>
      </w:r>
      <w:r>
        <w:rPr/>
        <w:t>Liquidación con amortizaciones periódicas:</w:t>
      </w:r>
    </w:p>
    <w:p>
      <w:pPr>
        <w:pStyle w:val="Heading8"/>
        <w:numPr>
          <w:ilvl w:val="0"/>
          <w:numId w:val="1"/>
        </w:numPr>
        <w:tabs>
          <w:tab w:pos="529" w:val="left" w:leader="none"/>
          <w:tab w:pos="530" w:val="left" w:leader="none"/>
        </w:tabs>
        <w:spacing w:line="480" w:lineRule="exact" w:before="83" w:after="0"/>
        <w:ind w:left="529" w:right="117" w:hanging="429"/>
        <w:jc w:val="left"/>
        <w:rPr>
          <w:rFonts w:ascii="Wingdings" w:hAnsi="Wingdings"/>
          <w:color w:val="0AD0D9"/>
          <w:sz w:val="38"/>
        </w:rPr>
      </w:pPr>
      <w:r>
        <w:rPr/>
        <w:t>Un </w:t>
      </w:r>
      <w:r>
        <w:rPr>
          <w:spacing w:val="-3"/>
        </w:rPr>
        <w:t>préstamo </w:t>
      </w:r>
      <w:r>
        <w:rPr/>
        <w:t>de </w:t>
      </w:r>
      <w:r>
        <w:rPr>
          <w:spacing w:val="-3"/>
        </w:rPr>
        <w:t>este </w:t>
      </w:r>
      <w:r>
        <w:rPr/>
        <w:t>tipo es aquel en el cual se van efectuando pagos periódicos </w:t>
      </w:r>
      <w:r>
        <w:rPr>
          <w:spacing w:val="-3"/>
        </w:rPr>
        <w:t>para </w:t>
      </w:r>
      <w:r>
        <w:rPr/>
        <w:t>cubrir intereses y amortización de la</w:t>
      </w:r>
      <w:r>
        <w:rPr>
          <w:spacing w:val="-17"/>
        </w:rPr>
        <w:t> </w:t>
      </w:r>
      <w:r>
        <w:rPr/>
        <w:t>deuda</w:t>
      </w:r>
    </w:p>
    <w:p>
      <w:pPr>
        <w:pStyle w:val="BodyText"/>
        <w:spacing w:before="4"/>
        <w:rPr>
          <w:sz w:val="55"/>
        </w:rPr>
      </w:pPr>
    </w:p>
    <w:p>
      <w:pPr>
        <w:spacing w:line="484" w:lineRule="exact" w:before="0"/>
        <w:ind w:left="529" w:right="0" w:firstLine="0"/>
        <w:jc w:val="left"/>
        <w:rPr>
          <w:b/>
          <w:sz w:val="40"/>
        </w:rPr>
      </w:pPr>
      <w:r>
        <w:rPr>
          <w:b/>
          <w:sz w:val="40"/>
        </w:rPr>
        <w:t>Ejemplo:</w:t>
      </w:r>
    </w:p>
    <w:p>
      <w:pPr>
        <w:spacing w:line="235" w:lineRule="auto" w:before="3"/>
        <w:ind w:left="529" w:right="0" w:firstLine="0"/>
        <w:jc w:val="left"/>
        <w:rPr>
          <w:sz w:val="40"/>
        </w:rPr>
      </w:pPr>
      <w:r>
        <w:rPr>
          <w:sz w:val="40"/>
        </w:rPr>
        <w:t>Los préstamos a plazos en los cuales se estipulan pagos mensuales habrán de constituir préstamos amortizables</w:t>
      </w:r>
    </w:p>
    <w:p>
      <w:pPr>
        <w:pStyle w:val="ListParagraph"/>
        <w:numPr>
          <w:ilvl w:val="1"/>
          <w:numId w:val="1"/>
        </w:numPr>
        <w:tabs>
          <w:tab w:pos="1989" w:val="left" w:leader="none"/>
          <w:tab w:pos="1990" w:val="left" w:leader="none"/>
        </w:tabs>
        <w:spacing w:line="240" w:lineRule="auto" w:before="90" w:after="0"/>
        <w:ind w:left="1989" w:right="0" w:hanging="449"/>
        <w:jc w:val="left"/>
        <w:rPr>
          <w:rFonts w:ascii="Wingdings"/>
          <w:color w:val="009DD9"/>
          <w:sz w:val="28"/>
        </w:rPr>
      </w:pPr>
      <w:r>
        <w:rPr>
          <w:sz w:val="40"/>
        </w:rPr>
        <w:t>Mediano</w:t>
      </w:r>
    </w:p>
    <w:p>
      <w:pPr>
        <w:pStyle w:val="ListParagraph"/>
        <w:numPr>
          <w:ilvl w:val="1"/>
          <w:numId w:val="1"/>
        </w:numPr>
        <w:tabs>
          <w:tab w:pos="1900" w:val="left" w:leader="none"/>
          <w:tab w:pos="1901" w:val="left" w:leader="none"/>
        </w:tabs>
        <w:spacing w:line="240" w:lineRule="auto" w:before="87" w:after="0"/>
        <w:ind w:left="1900" w:right="0" w:hanging="360"/>
        <w:jc w:val="left"/>
        <w:rPr>
          <w:rFonts w:ascii="Wingdings"/>
          <w:color w:val="009DD9"/>
          <w:sz w:val="28"/>
        </w:rPr>
      </w:pPr>
      <w:r>
        <w:rPr>
          <w:spacing w:val="-3"/>
          <w:sz w:val="40"/>
        </w:rPr>
        <w:t>Largo</w:t>
      </w:r>
      <w:r>
        <w:rPr>
          <w:spacing w:val="6"/>
          <w:sz w:val="40"/>
        </w:rPr>
        <w:t> </w:t>
      </w:r>
      <w:r>
        <w:rPr>
          <w:spacing w:val="-3"/>
          <w:sz w:val="40"/>
        </w:rPr>
        <w:t>plazo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4"/>
        </w:rPr>
      </w:pPr>
    </w:p>
    <w:p>
      <w:pPr>
        <w:spacing w:before="52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4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620" w:right="600"/>
        </w:sectPr>
      </w:pPr>
    </w:p>
    <w:p>
      <w:pPr>
        <w:pStyle w:val="BodyText"/>
        <w:spacing w:before="8"/>
        <w:rPr>
          <w:rFonts w:ascii="Constantia"/>
          <w:sz w:val="16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1561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1488;top:6648;width:11424;height:3312" type="#_x0000_t75" stroked="false">
              <v:imagedata r:id="rId14" o:title=""/>
            </v:shape>
            <w10:wrap type="none"/>
          </v:group>
        </w:pict>
      </w:r>
    </w:p>
    <w:p>
      <w:pPr>
        <w:pStyle w:val="ListParagraph"/>
        <w:numPr>
          <w:ilvl w:val="0"/>
          <w:numId w:val="1"/>
        </w:numPr>
        <w:tabs>
          <w:tab w:pos="535" w:val="left" w:leader="none"/>
        </w:tabs>
        <w:spacing w:line="240" w:lineRule="auto" w:before="8" w:after="0"/>
        <w:ind w:left="534" w:right="0" w:hanging="430"/>
        <w:jc w:val="left"/>
        <w:rPr>
          <w:rFonts w:ascii="Wingdings" w:hAnsi="Wingdings"/>
          <w:b/>
          <w:color w:val="0AD0D9"/>
          <w:sz w:val="45"/>
        </w:rPr>
      </w:pPr>
      <w:r>
        <w:rPr>
          <w:b/>
          <w:sz w:val="48"/>
        </w:rPr>
        <w:t>Dos tipos </w:t>
      </w:r>
      <w:r>
        <w:rPr>
          <w:b/>
          <w:spacing w:val="-3"/>
          <w:sz w:val="48"/>
        </w:rPr>
        <w:t>diferentes </w:t>
      </w:r>
      <w:r>
        <w:rPr>
          <w:b/>
          <w:sz w:val="48"/>
        </w:rPr>
        <w:t>de</w:t>
      </w:r>
      <w:r>
        <w:rPr>
          <w:b/>
          <w:spacing w:val="-15"/>
          <w:sz w:val="48"/>
        </w:rPr>
        <w:t> </w:t>
      </w:r>
      <w:r>
        <w:rPr>
          <w:b/>
          <w:sz w:val="48"/>
        </w:rPr>
        <w:t>préstamos:</w:t>
      </w:r>
    </w:p>
    <w:p>
      <w:pPr>
        <w:pStyle w:val="Heading6"/>
        <w:numPr>
          <w:ilvl w:val="1"/>
          <w:numId w:val="1"/>
        </w:numPr>
        <w:tabs>
          <w:tab w:pos="1113" w:val="left" w:leader="none"/>
        </w:tabs>
        <w:spacing w:line="240" w:lineRule="auto" w:before="45" w:after="0"/>
        <w:ind w:left="1112" w:right="0" w:hanging="389"/>
        <w:jc w:val="left"/>
        <w:rPr>
          <w:rFonts w:ascii="Wingdings" w:hAnsi="Wingdings"/>
          <w:color w:val="0E6EC5"/>
          <w:sz w:val="37"/>
        </w:rPr>
      </w:pPr>
      <w:r>
        <w:rPr/>
        <w:t>Préstamos </w:t>
      </w:r>
      <w:r>
        <w:rPr>
          <w:spacing w:val="-3"/>
        </w:rPr>
        <w:t>con </w:t>
      </w:r>
      <w:r>
        <w:rPr/>
        <w:t>amortización periódica</w:t>
      </w:r>
      <w:r>
        <w:rPr>
          <w:spacing w:val="-32"/>
        </w:rPr>
        <w:t> </w:t>
      </w:r>
      <w:r>
        <w:rPr>
          <w:spacing w:val="-4"/>
        </w:rPr>
        <w:t>constante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44" w:after="0"/>
        <w:ind w:left="1112" w:right="0" w:hanging="389"/>
        <w:jc w:val="left"/>
        <w:rPr>
          <w:rFonts w:ascii="Wingdings"/>
          <w:color w:val="0E6EC5"/>
          <w:sz w:val="37"/>
        </w:rPr>
      </w:pPr>
      <w:r>
        <w:rPr>
          <w:sz w:val="44"/>
        </w:rPr>
        <w:t>Prestamos con pagos</w:t>
      </w:r>
      <w:r>
        <w:rPr>
          <w:spacing w:val="-34"/>
          <w:sz w:val="44"/>
        </w:rPr>
        <w:t> </w:t>
      </w:r>
      <w:r>
        <w:rPr>
          <w:sz w:val="44"/>
        </w:rPr>
        <w:t>iguales</w:t>
      </w:r>
    </w:p>
    <w:p>
      <w:pPr>
        <w:pStyle w:val="BodyText"/>
        <w:spacing w:before="3"/>
        <w:rPr>
          <w:sz w:val="55"/>
        </w:rPr>
      </w:pPr>
    </w:p>
    <w:p>
      <w:pPr>
        <w:pStyle w:val="ListParagraph"/>
        <w:numPr>
          <w:ilvl w:val="2"/>
          <w:numId w:val="1"/>
        </w:numPr>
        <w:tabs>
          <w:tab w:pos="1544" w:val="left" w:leader="none"/>
          <w:tab w:pos="1545" w:val="left" w:leader="none"/>
        </w:tabs>
        <w:spacing w:line="240" w:lineRule="auto" w:before="0" w:after="0"/>
        <w:ind w:left="1544" w:right="0" w:hanging="389"/>
        <w:jc w:val="left"/>
        <w:rPr>
          <w:rFonts w:ascii="Wingdings" w:hAnsi="Wingdings"/>
          <w:b/>
          <w:color w:val="009DD9"/>
          <w:sz w:val="29"/>
        </w:rPr>
      </w:pPr>
      <w:r>
        <w:rPr>
          <w:b/>
          <w:spacing w:val="-3"/>
          <w:sz w:val="42"/>
        </w:rPr>
        <w:t>Préstamo </w:t>
      </w:r>
      <w:r>
        <w:rPr>
          <w:b/>
          <w:sz w:val="42"/>
        </w:rPr>
        <w:t>con amortizaciones periódicas</w:t>
      </w:r>
      <w:r>
        <w:rPr>
          <w:b/>
          <w:spacing w:val="-9"/>
          <w:sz w:val="42"/>
        </w:rPr>
        <w:t> </w:t>
      </w:r>
      <w:r>
        <w:rPr>
          <w:b/>
          <w:spacing w:val="-3"/>
          <w:sz w:val="42"/>
        </w:rPr>
        <w:t>constantes:</w:t>
      </w:r>
    </w:p>
    <w:p>
      <w:pPr>
        <w:pStyle w:val="ListParagraph"/>
        <w:numPr>
          <w:ilvl w:val="3"/>
          <w:numId w:val="1"/>
        </w:numPr>
        <w:tabs>
          <w:tab w:pos="1974" w:val="left" w:leader="none"/>
        </w:tabs>
        <w:spacing w:line="213" w:lineRule="auto" w:before="92" w:after="0"/>
        <w:ind w:left="1974" w:right="263" w:hanging="329"/>
        <w:jc w:val="both"/>
        <w:rPr>
          <w:rFonts w:ascii="Wingdings" w:hAnsi="Wingdings"/>
          <w:color w:val="0AD0D9"/>
          <w:sz w:val="30"/>
        </w:rPr>
      </w:pPr>
      <w:r>
        <w:rPr>
          <w:spacing w:val="-3"/>
          <w:sz w:val="46"/>
        </w:rPr>
        <w:t>Habrán </w:t>
      </w:r>
      <w:r>
        <w:rPr>
          <w:sz w:val="46"/>
        </w:rPr>
        <w:t>de comprender pagos periódicos que incluyan amortizaciones </w:t>
      </w:r>
      <w:r>
        <w:rPr>
          <w:spacing w:val="-3"/>
          <w:sz w:val="46"/>
        </w:rPr>
        <w:t>constantes </w:t>
      </w:r>
      <w:r>
        <w:rPr>
          <w:sz w:val="46"/>
        </w:rPr>
        <w:t>del capital más intereses que se cubrirán </w:t>
      </w:r>
      <w:r>
        <w:rPr>
          <w:spacing w:val="-3"/>
          <w:sz w:val="46"/>
        </w:rPr>
        <w:t>sobre </w:t>
      </w:r>
      <w:r>
        <w:rPr>
          <w:sz w:val="46"/>
        </w:rPr>
        <w:t>el saldo</w:t>
      </w:r>
      <w:r>
        <w:rPr>
          <w:spacing w:val="-3"/>
          <w:sz w:val="46"/>
        </w:rPr>
        <w:t> </w:t>
      </w:r>
      <w:r>
        <w:rPr>
          <w:sz w:val="46"/>
        </w:rPr>
        <w:t>insoluto</w:t>
      </w:r>
    </w:p>
    <w:p>
      <w:pPr>
        <w:spacing w:before="62"/>
        <w:ind w:left="2077" w:right="0" w:firstLine="0"/>
        <w:jc w:val="left"/>
        <w:rPr>
          <w:sz w:val="48"/>
        </w:rPr>
      </w:pPr>
      <w:r>
        <w:rPr>
          <w:rFonts w:ascii="Wingdings" w:hAnsi="Wingdings"/>
          <w:color w:val="0FCF9B"/>
          <w:w w:val="95"/>
          <w:sz w:val="31"/>
        </w:rPr>
        <w:t></w:t>
      </w:r>
      <w:r>
        <w:rPr>
          <w:rFonts w:ascii="Times New Roman" w:hAnsi="Times New Roman"/>
          <w:color w:val="0FCF9B"/>
          <w:w w:val="95"/>
          <w:sz w:val="31"/>
        </w:rPr>
        <w:t> </w:t>
      </w:r>
      <w:r>
        <w:rPr>
          <w:sz w:val="48"/>
        </w:rPr>
        <w:t>Periodos de</w:t>
      </w:r>
      <w:r>
        <w:rPr>
          <w:spacing w:val="-61"/>
          <w:sz w:val="48"/>
        </w:rPr>
        <w:t> </w:t>
      </w:r>
      <w:r>
        <w:rPr>
          <w:sz w:val="48"/>
        </w:rPr>
        <w:t>gracia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spacing w:before="51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5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Heading4"/>
        <w:spacing w:line="570" w:lineRule="exact"/>
        <w:ind w:left="104"/>
      </w:pPr>
      <w:r>
        <w:rPr/>
        <w:pict>
          <v:group style="position:absolute;margin-left:-.069398pt;margin-top:-.000061pt;width:720.15pt;height:540pt;mso-position-horizontal-relative:page;mso-position-vertical-relative:page;z-index:-1559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  <w:r>
        <w:rPr/>
        <w:t>Ejemplo:</w:t>
      </w:r>
    </w:p>
    <w:p>
      <w:pPr>
        <w:pStyle w:val="ListParagraph"/>
        <w:numPr>
          <w:ilvl w:val="0"/>
          <w:numId w:val="1"/>
        </w:numPr>
        <w:tabs>
          <w:tab w:pos="535" w:val="left" w:leader="none"/>
        </w:tabs>
        <w:spacing w:line="213" w:lineRule="auto" w:before="98" w:after="0"/>
        <w:ind w:left="534" w:right="262" w:hanging="430"/>
        <w:jc w:val="both"/>
        <w:rPr>
          <w:rFonts w:ascii="Wingdings" w:hAnsi="Wingdings"/>
          <w:color w:val="0AD0D9"/>
          <w:sz w:val="45"/>
        </w:rPr>
      </w:pPr>
      <w:r>
        <w:rPr>
          <w:sz w:val="48"/>
        </w:rPr>
        <w:t>Se tiene un crédito de 115 mil pesos a un </w:t>
      </w:r>
      <w:r>
        <w:rPr>
          <w:spacing w:val="-3"/>
          <w:sz w:val="48"/>
        </w:rPr>
        <w:t>plazo </w:t>
      </w:r>
      <w:r>
        <w:rPr>
          <w:sz w:val="48"/>
        </w:rPr>
        <w:t>de tres años, incluido un periodo de gracia y una tasa de </w:t>
      </w:r>
      <w:r>
        <w:rPr>
          <w:spacing w:val="-3"/>
          <w:sz w:val="48"/>
        </w:rPr>
        <w:t>interés </w:t>
      </w:r>
      <w:r>
        <w:rPr>
          <w:sz w:val="48"/>
        </w:rPr>
        <w:t>del 10% anual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84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81"/>
        <w:gridCol w:w="2676"/>
        <w:gridCol w:w="2035"/>
        <w:gridCol w:w="2311"/>
        <w:gridCol w:w="2222"/>
      </w:tblGrid>
      <w:tr>
        <w:trPr>
          <w:trHeight w:val="988" w:hRule="exact"/>
        </w:trPr>
        <w:tc>
          <w:tcPr>
            <w:tcW w:w="1881" w:type="dxa"/>
          </w:tcPr>
          <w:p>
            <w:pPr>
              <w:pStyle w:val="TableParagraph"/>
              <w:spacing w:line="409" w:lineRule="exact"/>
              <w:ind w:left="200"/>
              <w:jc w:val="left"/>
              <w:rPr>
                <w:b/>
                <w:sz w:val="40"/>
              </w:rPr>
            </w:pPr>
            <w:r>
              <w:rPr>
                <w:b/>
                <w:sz w:val="40"/>
              </w:rPr>
              <w:t>Periodo</w:t>
            </w:r>
          </w:p>
        </w:tc>
        <w:tc>
          <w:tcPr>
            <w:tcW w:w="2676" w:type="dxa"/>
          </w:tcPr>
          <w:p>
            <w:pPr>
              <w:pStyle w:val="TableParagraph"/>
              <w:spacing w:line="409" w:lineRule="exact"/>
              <w:ind w:right="266"/>
              <w:rPr>
                <w:b/>
                <w:sz w:val="40"/>
              </w:rPr>
            </w:pPr>
            <w:r>
              <w:rPr>
                <w:b/>
                <w:sz w:val="40"/>
              </w:rPr>
              <w:t>Amortización</w:t>
            </w:r>
          </w:p>
        </w:tc>
        <w:tc>
          <w:tcPr>
            <w:tcW w:w="2035" w:type="dxa"/>
          </w:tcPr>
          <w:p>
            <w:pPr>
              <w:pStyle w:val="TableParagraph"/>
              <w:spacing w:line="409" w:lineRule="exact"/>
              <w:ind w:left="268"/>
              <w:jc w:val="left"/>
              <w:rPr>
                <w:b/>
                <w:sz w:val="40"/>
              </w:rPr>
            </w:pPr>
            <w:r>
              <w:rPr>
                <w:b/>
                <w:sz w:val="40"/>
              </w:rPr>
              <w:t>Interés</w:t>
            </w:r>
          </w:p>
        </w:tc>
        <w:tc>
          <w:tcPr>
            <w:tcW w:w="2311" w:type="dxa"/>
          </w:tcPr>
          <w:p>
            <w:pPr>
              <w:pStyle w:val="TableParagraph"/>
              <w:spacing w:line="409" w:lineRule="exact"/>
              <w:ind w:left="166"/>
              <w:jc w:val="left"/>
              <w:rPr>
                <w:b/>
                <w:sz w:val="40"/>
              </w:rPr>
            </w:pPr>
            <w:r>
              <w:rPr>
                <w:b/>
                <w:sz w:val="40"/>
              </w:rPr>
              <w:t>Pago total</w:t>
            </w:r>
          </w:p>
        </w:tc>
        <w:tc>
          <w:tcPr>
            <w:tcW w:w="2222" w:type="dxa"/>
          </w:tcPr>
          <w:p>
            <w:pPr>
              <w:pStyle w:val="TableParagraph"/>
              <w:spacing w:line="409" w:lineRule="exact"/>
              <w:ind w:left="269" w:right="556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>Saldo</w:t>
            </w:r>
          </w:p>
          <w:p>
            <w:pPr>
              <w:pStyle w:val="TableParagraph"/>
              <w:spacing w:before="20"/>
              <w:ind w:left="269" w:right="556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>insoluto</w:t>
            </w:r>
          </w:p>
        </w:tc>
      </w:tr>
      <w:tr>
        <w:trPr>
          <w:trHeight w:val="856" w:hRule="exact"/>
        </w:trPr>
        <w:tc>
          <w:tcPr>
            <w:tcW w:w="1881" w:type="dxa"/>
          </w:tcPr>
          <w:p>
            <w:pPr>
              <w:pStyle w:val="TableParagraph"/>
              <w:spacing w:before="56"/>
              <w:ind w:right="70"/>
              <w:rPr>
                <w:sz w:val="40"/>
              </w:rPr>
            </w:pPr>
            <w:r>
              <w:rPr>
                <w:w w:val="100"/>
                <w:sz w:val="40"/>
              </w:rPr>
              <w:t>0</w:t>
            </w:r>
          </w:p>
        </w:tc>
        <w:tc>
          <w:tcPr>
            <w:tcW w:w="2676" w:type="dxa"/>
          </w:tcPr>
          <w:p>
            <w:pPr>
              <w:pStyle w:val="TableParagraph"/>
              <w:spacing w:before="56"/>
              <w:ind w:left="638"/>
              <w:jc w:val="left"/>
              <w:rPr>
                <w:sz w:val="40"/>
              </w:rPr>
            </w:pPr>
            <w:r>
              <w:rPr>
                <w:sz w:val="40"/>
              </w:rPr>
              <w:t>---------</w:t>
            </w:r>
          </w:p>
        </w:tc>
        <w:tc>
          <w:tcPr>
            <w:tcW w:w="2035" w:type="dxa"/>
          </w:tcPr>
          <w:p>
            <w:pPr>
              <w:pStyle w:val="TableParagraph"/>
              <w:spacing w:before="56"/>
              <w:ind w:left="321"/>
              <w:jc w:val="left"/>
              <w:rPr>
                <w:sz w:val="40"/>
              </w:rPr>
            </w:pPr>
            <w:r>
              <w:rPr>
                <w:sz w:val="40"/>
              </w:rPr>
              <w:t>---------</w:t>
            </w:r>
          </w:p>
        </w:tc>
        <w:tc>
          <w:tcPr>
            <w:tcW w:w="2311" w:type="dxa"/>
          </w:tcPr>
          <w:p>
            <w:pPr>
              <w:pStyle w:val="TableParagraph"/>
              <w:spacing w:before="56"/>
              <w:ind w:left="480"/>
              <w:jc w:val="left"/>
              <w:rPr>
                <w:sz w:val="40"/>
              </w:rPr>
            </w:pPr>
            <w:r>
              <w:rPr>
                <w:sz w:val="40"/>
              </w:rPr>
              <w:t>---------</w:t>
            </w:r>
          </w:p>
        </w:tc>
        <w:tc>
          <w:tcPr>
            <w:tcW w:w="2222" w:type="dxa"/>
          </w:tcPr>
          <w:p>
            <w:pPr>
              <w:pStyle w:val="TableParagraph"/>
              <w:spacing w:before="56"/>
              <w:ind w:right="198"/>
              <w:rPr>
                <w:sz w:val="40"/>
              </w:rPr>
            </w:pPr>
            <w:r>
              <w:rPr>
                <w:sz w:val="40"/>
              </w:rPr>
              <w:t>115,000.00</w:t>
            </w:r>
          </w:p>
        </w:tc>
      </w:tr>
      <w:tr>
        <w:trPr>
          <w:trHeight w:val="1097" w:hRule="exact"/>
        </w:trPr>
        <w:tc>
          <w:tcPr>
            <w:tcW w:w="1881" w:type="dxa"/>
          </w:tcPr>
          <w:p>
            <w:pPr>
              <w:pStyle w:val="TableParagraph"/>
              <w:spacing w:before="297"/>
              <w:ind w:right="70"/>
              <w:rPr>
                <w:sz w:val="40"/>
              </w:rPr>
            </w:pPr>
            <w:r>
              <w:rPr>
                <w:w w:val="100"/>
                <w:sz w:val="40"/>
              </w:rPr>
              <w:t>1</w:t>
            </w:r>
          </w:p>
        </w:tc>
        <w:tc>
          <w:tcPr>
            <w:tcW w:w="2676" w:type="dxa"/>
          </w:tcPr>
          <w:p>
            <w:pPr/>
          </w:p>
        </w:tc>
        <w:tc>
          <w:tcPr>
            <w:tcW w:w="2035" w:type="dxa"/>
          </w:tcPr>
          <w:p>
            <w:pPr>
              <w:pStyle w:val="TableParagraph"/>
              <w:spacing w:before="297"/>
              <w:ind w:right="164"/>
              <w:rPr>
                <w:sz w:val="40"/>
              </w:rPr>
            </w:pPr>
            <w:r>
              <w:rPr>
                <w:sz w:val="40"/>
              </w:rPr>
              <w:t>11,500.00</w:t>
            </w:r>
          </w:p>
        </w:tc>
        <w:tc>
          <w:tcPr>
            <w:tcW w:w="2311" w:type="dxa"/>
          </w:tcPr>
          <w:p>
            <w:pPr>
              <w:pStyle w:val="TableParagraph"/>
              <w:spacing w:before="297"/>
              <w:ind w:right="226"/>
              <w:rPr>
                <w:sz w:val="40"/>
              </w:rPr>
            </w:pPr>
            <w:r>
              <w:rPr>
                <w:sz w:val="40"/>
              </w:rPr>
              <w:t>11,500.00</w:t>
            </w:r>
          </w:p>
        </w:tc>
        <w:tc>
          <w:tcPr>
            <w:tcW w:w="2222" w:type="dxa"/>
          </w:tcPr>
          <w:p>
            <w:pPr>
              <w:pStyle w:val="TableParagraph"/>
              <w:spacing w:before="297"/>
              <w:ind w:right="198"/>
              <w:rPr>
                <w:sz w:val="40"/>
              </w:rPr>
            </w:pPr>
            <w:r>
              <w:rPr>
                <w:sz w:val="40"/>
              </w:rPr>
              <w:t>115,000.00</w:t>
            </w:r>
          </w:p>
        </w:tc>
      </w:tr>
      <w:tr>
        <w:trPr>
          <w:trHeight w:val="1095" w:hRule="exact"/>
        </w:trPr>
        <w:tc>
          <w:tcPr>
            <w:tcW w:w="1881" w:type="dxa"/>
          </w:tcPr>
          <w:p>
            <w:pPr>
              <w:pStyle w:val="TableParagraph"/>
              <w:spacing w:before="296"/>
              <w:ind w:right="70"/>
              <w:rPr>
                <w:sz w:val="40"/>
              </w:rPr>
            </w:pPr>
            <w:r>
              <w:rPr>
                <w:w w:val="100"/>
                <w:sz w:val="40"/>
              </w:rPr>
              <w:t>2</w:t>
            </w:r>
          </w:p>
        </w:tc>
        <w:tc>
          <w:tcPr>
            <w:tcW w:w="2676" w:type="dxa"/>
          </w:tcPr>
          <w:p>
            <w:pPr>
              <w:pStyle w:val="TableParagraph"/>
              <w:spacing w:before="296"/>
              <w:ind w:right="268"/>
              <w:rPr>
                <w:sz w:val="40"/>
              </w:rPr>
            </w:pPr>
            <w:r>
              <w:rPr>
                <w:sz w:val="40"/>
              </w:rPr>
              <w:t>57,500.00</w:t>
            </w:r>
          </w:p>
        </w:tc>
        <w:tc>
          <w:tcPr>
            <w:tcW w:w="2035" w:type="dxa"/>
          </w:tcPr>
          <w:p>
            <w:pPr>
              <w:pStyle w:val="TableParagraph"/>
              <w:spacing w:before="296"/>
              <w:ind w:right="164"/>
              <w:rPr>
                <w:sz w:val="40"/>
              </w:rPr>
            </w:pPr>
            <w:r>
              <w:rPr>
                <w:sz w:val="40"/>
              </w:rPr>
              <w:t>11,500.00</w:t>
            </w:r>
          </w:p>
        </w:tc>
        <w:tc>
          <w:tcPr>
            <w:tcW w:w="2311" w:type="dxa"/>
          </w:tcPr>
          <w:p>
            <w:pPr>
              <w:pStyle w:val="TableParagraph"/>
              <w:spacing w:before="296"/>
              <w:ind w:right="228"/>
              <w:rPr>
                <w:sz w:val="40"/>
              </w:rPr>
            </w:pPr>
            <w:r>
              <w:rPr>
                <w:sz w:val="40"/>
              </w:rPr>
              <w:t>69,000.00</w:t>
            </w:r>
          </w:p>
        </w:tc>
        <w:tc>
          <w:tcPr>
            <w:tcW w:w="2222" w:type="dxa"/>
          </w:tcPr>
          <w:p>
            <w:pPr>
              <w:pStyle w:val="TableParagraph"/>
              <w:spacing w:before="296"/>
              <w:ind w:right="199"/>
              <w:rPr>
                <w:sz w:val="40"/>
              </w:rPr>
            </w:pPr>
            <w:r>
              <w:rPr>
                <w:sz w:val="40"/>
              </w:rPr>
              <w:t>57,500.00</w:t>
            </w:r>
          </w:p>
        </w:tc>
      </w:tr>
      <w:tr>
        <w:trPr>
          <w:trHeight w:val="748" w:hRule="exact"/>
        </w:trPr>
        <w:tc>
          <w:tcPr>
            <w:tcW w:w="1881" w:type="dxa"/>
          </w:tcPr>
          <w:p>
            <w:pPr>
              <w:pStyle w:val="TableParagraph"/>
              <w:spacing w:before="296"/>
              <w:ind w:right="70"/>
              <w:rPr>
                <w:sz w:val="40"/>
              </w:rPr>
            </w:pPr>
            <w:r>
              <w:rPr>
                <w:w w:val="100"/>
                <w:sz w:val="40"/>
              </w:rPr>
              <w:t>3</w:t>
            </w:r>
          </w:p>
        </w:tc>
        <w:tc>
          <w:tcPr>
            <w:tcW w:w="2676" w:type="dxa"/>
          </w:tcPr>
          <w:p>
            <w:pPr>
              <w:pStyle w:val="TableParagraph"/>
              <w:spacing w:before="296"/>
              <w:ind w:right="268"/>
              <w:rPr>
                <w:sz w:val="40"/>
              </w:rPr>
            </w:pPr>
            <w:r>
              <w:rPr>
                <w:sz w:val="40"/>
              </w:rPr>
              <w:t>57,500.00</w:t>
            </w:r>
          </w:p>
        </w:tc>
        <w:tc>
          <w:tcPr>
            <w:tcW w:w="2035" w:type="dxa"/>
          </w:tcPr>
          <w:p>
            <w:pPr>
              <w:pStyle w:val="TableParagraph"/>
              <w:spacing w:before="296"/>
              <w:ind w:right="164"/>
              <w:rPr>
                <w:sz w:val="40"/>
              </w:rPr>
            </w:pPr>
            <w:r>
              <w:rPr>
                <w:sz w:val="40"/>
              </w:rPr>
              <w:t>5,750.00</w:t>
            </w:r>
          </w:p>
        </w:tc>
        <w:tc>
          <w:tcPr>
            <w:tcW w:w="2311" w:type="dxa"/>
          </w:tcPr>
          <w:p>
            <w:pPr>
              <w:pStyle w:val="TableParagraph"/>
              <w:spacing w:before="296"/>
              <w:ind w:right="228"/>
              <w:rPr>
                <w:sz w:val="40"/>
              </w:rPr>
            </w:pPr>
            <w:r>
              <w:rPr>
                <w:sz w:val="40"/>
              </w:rPr>
              <w:t>63,250.00</w:t>
            </w:r>
          </w:p>
        </w:tc>
        <w:tc>
          <w:tcPr>
            <w:tcW w:w="2222" w:type="dxa"/>
          </w:tcPr>
          <w:p>
            <w:pPr>
              <w:pStyle w:val="TableParagraph"/>
              <w:spacing w:before="296"/>
              <w:ind w:right="201"/>
              <w:rPr>
                <w:sz w:val="40"/>
              </w:rPr>
            </w:pPr>
            <w:r>
              <w:rPr>
                <w:sz w:val="40"/>
              </w:rPr>
              <w:t>0.00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spacing w:before="52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6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9"/>
        <w:rPr>
          <w:rFonts w:ascii="Constantia"/>
          <w:sz w:val="21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1556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7987;top:6187;width:5626;height:4164" type="#_x0000_t75" stroked="false">
              <v:imagedata r:id="rId15" o:title=""/>
            </v:shape>
            <w10:wrap type="none"/>
          </v:group>
        </w:pict>
      </w:r>
    </w:p>
    <w:p>
      <w:pPr>
        <w:pStyle w:val="Heading3"/>
        <w:spacing w:before="3"/>
        <w:ind w:left="723" w:firstLine="0"/>
      </w:pPr>
      <w:r>
        <w:rPr>
          <w:rFonts w:ascii="Wingdings" w:hAnsi="Wingdings"/>
          <w:b w:val="0"/>
          <w:color w:val="0E6EC5"/>
          <w:w w:val="95"/>
          <w:sz w:val="40"/>
        </w:rPr>
        <w:t></w:t>
      </w:r>
      <w:r>
        <w:rPr>
          <w:rFonts w:ascii="Times New Roman" w:hAnsi="Times New Roman"/>
          <w:b w:val="0"/>
          <w:color w:val="0E6EC5"/>
          <w:w w:val="95"/>
          <w:sz w:val="40"/>
        </w:rPr>
        <w:t> </w:t>
      </w:r>
      <w:r>
        <w:rPr/>
        <w:t>Préstamo con pagos iguales:</w:t>
      </w:r>
    </w:p>
    <w:p>
      <w:pPr>
        <w:tabs>
          <w:tab w:pos="1544" w:val="left" w:leader="none"/>
        </w:tabs>
        <w:spacing w:line="509" w:lineRule="exact" w:before="92"/>
        <w:ind w:left="1155" w:right="0" w:firstLine="0"/>
        <w:jc w:val="left"/>
        <w:rPr>
          <w:sz w:val="42"/>
        </w:rPr>
      </w:pPr>
      <w:r>
        <w:rPr>
          <w:rFonts w:ascii="Wingdings" w:hAnsi="Wingdings"/>
          <w:color w:val="009DD9"/>
          <w:w w:val="95"/>
          <w:sz w:val="29"/>
        </w:rPr>
        <w:t></w:t>
      </w:r>
      <w:r>
        <w:rPr>
          <w:rFonts w:ascii="Times New Roman" w:hAnsi="Times New Roman"/>
          <w:color w:val="009DD9"/>
          <w:w w:val="95"/>
          <w:sz w:val="29"/>
        </w:rPr>
        <w:tab/>
      </w:r>
      <w:r>
        <w:rPr>
          <w:sz w:val="42"/>
        </w:rPr>
        <w:t>En </w:t>
      </w:r>
      <w:r>
        <w:rPr>
          <w:spacing w:val="-3"/>
          <w:sz w:val="42"/>
        </w:rPr>
        <w:t>este </w:t>
      </w:r>
      <w:r>
        <w:rPr>
          <w:sz w:val="42"/>
        </w:rPr>
        <w:t>tipo de préstamo los pagos son iguales </w:t>
      </w:r>
      <w:r>
        <w:rPr>
          <w:spacing w:val="-3"/>
          <w:sz w:val="42"/>
        </w:rPr>
        <w:t>para </w:t>
      </w:r>
      <w:r>
        <w:rPr>
          <w:sz w:val="42"/>
        </w:rPr>
        <w:t>cada</w:t>
      </w:r>
      <w:r>
        <w:rPr>
          <w:spacing w:val="1"/>
          <w:sz w:val="42"/>
        </w:rPr>
        <w:t> </w:t>
      </w:r>
      <w:r>
        <w:rPr>
          <w:sz w:val="42"/>
        </w:rPr>
        <w:t>periodo,</w:t>
      </w:r>
    </w:p>
    <w:p>
      <w:pPr>
        <w:spacing w:line="509" w:lineRule="exact" w:before="0"/>
        <w:ind w:left="1544" w:right="0" w:firstLine="0"/>
        <w:jc w:val="left"/>
        <w:rPr>
          <w:sz w:val="42"/>
        </w:rPr>
      </w:pPr>
      <w:r>
        <w:rPr>
          <w:sz w:val="42"/>
        </w:rPr>
        <w:t>incluyendo capital más intereses</w:t>
      </w:r>
    </w:p>
    <w:p>
      <w:pPr>
        <w:spacing w:before="114"/>
        <w:ind w:left="104" w:right="0" w:firstLine="0"/>
        <w:jc w:val="left"/>
        <w:rPr>
          <w:b/>
          <w:sz w:val="52"/>
        </w:rPr>
      </w:pPr>
      <w:r>
        <w:rPr>
          <w:b/>
          <w:sz w:val="52"/>
        </w:rPr>
        <w:t>Ejemplo:</w:t>
      </w:r>
    </w:p>
    <w:p>
      <w:pPr>
        <w:pStyle w:val="ListParagraph"/>
        <w:numPr>
          <w:ilvl w:val="0"/>
          <w:numId w:val="1"/>
        </w:numPr>
        <w:tabs>
          <w:tab w:pos="535" w:val="left" w:leader="none"/>
        </w:tabs>
        <w:spacing w:line="630" w:lineRule="exact" w:before="114" w:after="0"/>
        <w:ind w:left="534" w:right="0" w:hanging="430"/>
        <w:jc w:val="left"/>
        <w:rPr>
          <w:rFonts w:ascii="Wingdings" w:hAnsi="Wingdings"/>
          <w:color w:val="0AD0D9"/>
          <w:sz w:val="49"/>
        </w:rPr>
      </w:pPr>
      <w:r>
        <w:rPr>
          <w:sz w:val="52"/>
        </w:rPr>
        <w:t>Se</w:t>
      </w:r>
      <w:r>
        <w:rPr>
          <w:spacing w:val="65"/>
          <w:sz w:val="52"/>
        </w:rPr>
        <w:t> </w:t>
      </w:r>
      <w:r>
        <w:rPr>
          <w:sz w:val="52"/>
        </w:rPr>
        <w:t>tiene</w:t>
      </w:r>
      <w:r>
        <w:rPr>
          <w:spacing w:val="64"/>
          <w:sz w:val="52"/>
        </w:rPr>
        <w:t> </w:t>
      </w:r>
      <w:r>
        <w:rPr>
          <w:sz w:val="52"/>
        </w:rPr>
        <w:t>un</w:t>
      </w:r>
      <w:r>
        <w:rPr>
          <w:spacing w:val="65"/>
          <w:sz w:val="52"/>
        </w:rPr>
        <w:t> </w:t>
      </w:r>
      <w:r>
        <w:rPr>
          <w:spacing w:val="-3"/>
          <w:sz w:val="52"/>
        </w:rPr>
        <w:t>préstamo</w:t>
      </w:r>
      <w:r>
        <w:rPr>
          <w:spacing w:val="61"/>
          <w:sz w:val="52"/>
        </w:rPr>
        <w:t> </w:t>
      </w:r>
      <w:r>
        <w:rPr>
          <w:sz w:val="52"/>
        </w:rPr>
        <w:t>por</w:t>
      </w:r>
      <w:r>
        <w:rPr>
          <w:spacing w:val="67"/>
          <w:sz w:val="52"/>
        </w:rPr>
        <w:t> </w:t>
      </w:r>
      <w:r>
        <w:rPr>
          <w:sz w:val="52"/>
        </w:rPr>
        <w:t>10,000.00</w:t>
      </w:r>
      <w:r>
        <w:rPr>
          <w:spacing w:val="65"/>
          <w:sz w:val="52"/>
        </w:rPr>
        <w:t> </w:t>
      </w:r>
      <w:r>
        <w:rPr>
          <w:sz w:val="52"/>
        </w:rPr>
        <w:t>a</w:t>
      </w:r>
      <w:r>
        <w:rPr>
          <w:spacing w:val="65"/>
          <w:sz w:val="52"/>
        </w:rPr>
        <w:t> </w:t>
      </w:r>
      <w:r>
        <w:rPr>
          <w:sz w:val="52"/>
        </w:rPr>
        <w:t>un</w:t>
      </w:r>
      <w:r>
        <w:rPr>
          <w:spacing w:val="62"/>
          <w:sz w:val="52"/>
        </w:rPr>
        <w:t> </w:t>
      </w:r>
      <w:r>
        <w:rPr>
          <w:spacing w:val="-3"/>
          <w:sz w:val="52"/>
        </w:rPr>
        <w:t>plazo</w:t>
      </w:r>
      <w:r>
        <w:rPr>
          <w:spacing w:val="63"/>
          <w:sz w:val="52"/>
        </w:rPr>
        <w:t> </w:t>
      </w:r>
      <w:r>
        <w:rPr>
          <w:sz w:val="52"/>
        </w:rPr>
        <w:t>de</w:t>
      </w:r>
      <w:r>
        <w:rPr>
          <w:spacing w:val="65"/>
          <w:sz w:val="52"/>
        </w:rPr>
        <w:t> </w:t>
      </w:r>
      <w:r>
        <w:rPr>
          <w:spacing w:val="-3"/>
          <w:sz w:val="52"/>
        </w:rPr>
        <w:t>siete</w:t>
      </w:r>
    </w:p>
    <w:p>
      <w:pPr>
        <w:spacing w:line="630" w:lineRule="exact" w:before="0"/>
        <w:ind w:left="534" w:right="0" w:firstLine="0"/>
        <w:jc w:val="left"/>
        <w:rPr>
          <w:sz w:val="52"/>
        </w:rPr>
      </w:pPr>
      <w:r>
        <w:rPr>
          <w:sz w:val="52"/>
        </w:rPr>
        <w:t>años y una tasa anual de 5%</w:t>
      </w:r>
    </w:p>
    <w:p>
      <w:pPr>
        <w:pStyle w:val="ListParagraph"/>
        <w:numPr>
          <w:ilvl w:val="1"/>
          <w:numId w:val="1"/>
        </w:numPr>
        <w:tabs>
          <w:tab w:pos="1544" w:val="left" w:leader="none"/>
          <w:tab w:pos="1545" w:val="left" w:leader="none"/>
        </w:tabs>
        <w:spacing w:line="240" w:lineRule="auto" w:before="91" w:after="0"/>
        <w:ind w:left="1544" w:right="0" w:hanging="389"/>
        <w:jc w:val="left"/>
        <w:rPr>
          <w:rFonts w:ascii="Wingdings"/>
          <w:color w:val="009DD9"/>
          <w:sz w:val="29"/>
        </w:rPr>
      </w:pPr>
      <w:r>
        <w:rPr>
          <w:sz w:val="42"/>
        </w:rPr>
        <w:t>La </w:t>
      </w:r>
      <w:r>
        <w:rPr>
          <w:spacing w:val="-3"/>
          <w:sz w:val="42"/>
        </w:rPr>
        <w:t>formula para </w:t>
      </w:r>
      <w:r>
        <w:rPr>
          <w:sz w:val="42"/>
        </w:rPr>
        <w:t>obtener la anualidad es la</w:t>
      </w:r>
      <w:r>
        <w:rPr>
          <w:spacing w:val="-21"/>
          <w:sz w:val="42"/>
        </w:rPr>
        <w:t> </w:t>
      </w:r>
      <w:r>
        <w:rPr>
          <w:sz w:val="42"/>
        </w:rPr>
        <w:t>siguiente:</w:t>
      </w:r>
    </w:p>
    <w:p>
      <w:pPr>
        <w:pStyle w:val="BodyText"/>
        <w:spacing w:before="9"/>
        <w:rPr>
          <w:sz w:val="55"/>
        </w:rPr>
      </w:pPr>
    </w:p>
    <w:p>
      <w:pPr>
        <w:spacing w:line="581" w:lineRule="exact" w:before="0"/>
        <w:ind w:left="2909" w:right="0" w:firstLine="0"/>
        <w:jc w:val="left"/>
        <w:rPr>
          <w:rFonts w:ascii="Constantia"/>
          <w:sz w:val="48"/>
        </w:rPr>
      </w:pPr>
      <w:r>
        <w:rPr>
          <w:rFonts w:ascii="Constantia"/>
          <w:sz w:val="48"/>
        </w:rPr>
        <w:t>P</w:t>
      </w:r>
    </w:p>
    <w:p>
      <w:pPr>
        <w:tabs>
          <w:tab w:pos="1052" w:val="left" w:leader="none"/>
          <w:tab w:pos="1555" w:val="left" w:leader="none"/>
        </w:tabs>
        <w:spacing w:line="576" w:lineRule="exact" w:before="0"/>
        <w:ind w:left="509" w:right="0" w:firstLine="0"/>
        <w:jc w:val="left"/>
        <w:rPr>
          <w:rFonts w:ascii="Constantia"/>
          <w:sz w:val="48"/>
        </w:rPr>
      </w:pPr>
      <w:r>
        <w:rPr>
          <w:rFonts w:ascii="Constantia"/>
          <w:sz w:val="48"/>
        </w:rPr>
        <w:t>R</w:t>
        <w:tab/>
        <w:t>=</w:t>
        <w:tab/>
        <w:t>--------------------</w:t>
      </w:r>
    </w:p>
    <w:p>
      <w:pPr>
        <w:spacing w:line="581" w:lineRule="exact" w:before="0"/>
        <w:ind w:left="0" w:right="3405" w:firstLine="0"/>
        <w:jc w:val="center"/>
        <w:rPr>
          <w:rFonts w:ascii="Constantia"/>
          <w:sz w:val="48"/>
        </w:rPr>
      </w:pPr>
      <w:r>
        <w:rPr>
          <w:rFonts w:ascii="Constantia"/>
          <w:sz w:val="48"/>
        </w:rPr>
        <w:t>-n</w:t>
      </w:r>
    </w:p>
    <w:p>
      <w:pPr>
        <w:tabs>
          <w:tab w:pos="508" w:val="left" w:leader="none"/>
          <w:tab w:pos="921" w:val="left" w:leader="none"/>
        </w:tabs>
        <w:spacing w:line="571" w:lineRule="exact" w:before="0"/>
        <w:ind w:left="0" w:right="6684" w:firstLine="0"/>
        <w:jc w:val="center"/>
        <w:rPr>
          <w:rFonts w:ascii="Constantia"/>
          <w:sz w:val="48"/>
        </w:rPr>
      </w:pPr>
      <w:r>
        <w:rPr>
          <w:rFonts w:ascii="Constantia"/>
          <w:sz w:val="48"/>
        </w:rPr>
        <w:t>1</w:t>
        <w:tab/>
        <w:t>-</w:t>
        <w:tab/>
        <w:t>( 1+ r</w:t>
      </w:r>
      <w:r>
        <w:rPr>
          <w:rFonts w:ascii="Constantia"/>
          <w:spacing w:val="-24"/>
          <w:sz w:val="48"/>
        </w:rPr>
        <w:t> </w:t>
      </w:r>
      <w:r>
        <w:rPr>
          <w:rFonts w:ascii="Constantia"/>
          <w:sz w:val="48"/>
        </w:rPr>
        <w:t>)</w:t>
      </w:r>
    </w:p>
    <w:p>
      <w:pPr>
        <w:spacing w:line="576" w:lineRule="exact" w:before="0"/>
        <w:ind w:left="0" w:right="6375" w:firstLine="0"/>
        <w:jc w:val="center"/>
        <w:rPr>
          <w:rFonts w:ascii="Constantia"/>
          <w:sz w:val="48"/>
        </w:rPr>
      </w:pPr>
      <w:r>
        <w:rPr>
          <w:rFonts w:ascii="Constantia"/>
          <w:sz w:val="48"/>
        </w:rPr>
        <w:t>----------------</w:t>
      </w:r>
    </w:p>
    <w:p>
      <w:pPr>
        <w:spacing w:line="581" w:lineRule="exact" w:before="0"/>
        <w:ind w:left="0" w:right="6569" w:firstLine="0"/>
        <w:jc w:val="center"/>
        <w:rPr>
          <w:rFonts w:ascii="Constantia"/>
          <w:sz w:val="48"/>
        </w:rPr>
      </w:pPr>
      <w:r>
        <w:rPr>
          <w:rFonts w:ascii="Constantia"/>
          <w:sz w:val="48"/>
        </w:rPr>
        <w:t>r</w:t>
      </w:r>
    </w:p>
    <w:p>
      <w:pPr>
        <w:pStyle w:val="BodyText"/>
        <w:rPr>
          <w:rFonts w:ascii="Constantia"/>
          <w:sz w:val="20"/>
        </w:rPr>
      </w:pPr>
    </w:p>
    <w:p>
      <w:pPr>
        <w:spacing w:before="213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7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Heading8"/>
        <w:spacing w:before="43"/>
        <w:ind w:left="106" w:firstLine="0"/>
      </w:pPr>
      <w:r>
        <w:rPr/>
        <w:pict>
          <v:group style="position:absolute;margin-left:-.069398pt;margin-top:-.000061pt;width:720.15pt;height:540pt;mso-position-horizontal-relative:page;mso-position-vertical-relative:page;z-index:-1554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  <w:r>
        <w:rPr/>
        <w:t>Donde:</w:t>
      </w:r>
    </w:p>
    <w:p>
      <w:pPr>
        <w:pStyle w:val="ListParagraph"/>
        <w:numPr>
          <w:ilvl w:val="0"/>
          <w:numId w:val="2"/>
        </w:numPr>
        <w:tabs>
          <w:tab w:pos="536" w:val="left" w:leader="none"/>
          <w:tab w:pos="537" w:val="left" w:leader="none"/>
        </w:tabs>
        <w:spacing w:line="240" w:lineRule="auto" w:before="87" w:after="0"/>
        <w:ind w:left="536" w:right="0" w:hanging="430"/>
        <w:jc w:val="left"/>
        <w:rPr>
          <w:sz w:val="40"/>
        </w:rPr>
      </w:pPr>
      <w:r>
        <w:rPr>
          <w:sz w:val="40"/>
        </w:rPr>
        <w:t>R  =</w:t>
      </w:r>
      <w:r>
        <w:rPr>
          <w:spacing w:val="-5"/>
          <w:sz w:val="40"/>
        </w:rPr>
        <w:t> </w:t>
      </w:r>
      <w:r>
        <w:rPr>
          <w:sz w:val="40"/>
        </w:rPr>
        <w:t>Anualidad</w:t>
      </w:r>
    </w:p>
    <w:p>
      <w:pPr>
        <w:pStyle w:val="ListParagraph"/>
        <w:numPr>
          <w:ilvl w:val="0"/>
          <w:numId w:val="2"/>
        </w:numPr>
        <w:tabs>
          <w:tab w:pos="536" w:val="left" w:leader="none"/>
          <w:tab w:pos="537" w:val="left" w:leader="none"/>
        </w:tabs>
        <w:spacing w:line="240" w:lineRule="auto" w:before="88" w:after="0"/>
        <w:ind w:left="536" w:right="0" w:hanging="430"/>
        <w:jc w:val="left"/>
        <w:rPr>
          <w:sz w:val="40"/>
        </w:rPr>
      </w:pPr>
      <w:r>
        <w:rPr>
          <w:sz w:val="40"/>
        </w:rPr>
        <w:t>P  =</w:t>
      </w:r>
      <w:r>
        <w:rPr>
          <w:spacing w:val="-1"/>
          <w:sz w:val="40"/>
        </w:rPr>
        <w:t> </w:t>
      </w:r>
      <w:r>
        <w:rPr>
          <w:sz w:val="40"/>
        </w:rPr>
        <w:t>Principal</w:t>
      </w:r>
    </w:p>
    <w:p>
      <w:pPr>
        <w:pStyle w:val="ListParagraph"/>
        <w:numPr>
          <w:ilvl w:val="0"/>
          <w:numId w:val="2"/>
        </w:numPr>
        <w:tabs>
          <w:tab w:pos="536" w:val="left" w:leader="none"/>
          <w:tab w:pos="537" w:val="left" w:leader="none"/>
        </w:tabs>
        <w:spacing w:line="240" w:lineRule="auto" w:before="87" w:after="0"/>
        <w:ind w:left="536" w:right="0" w:hanging="430"/>
        <w:jc w:val="left"/>
        <w:rPr>
          <w:sz w:val="40"/>
        </w:rPr>
      </w:pPr>
      <w:r>
        <w:rPr>
          <w:sz w:val="40"/>
        </w:rPr>
        <w:t>r  = </w:t>
      </w:r>
      <w:r>
        <w:rPr>
          <w:spacing w:val="-8"/>
          <w:sz w:val="40"/>
        </w:rPr>
        <w:t>Tasa </w:t>
      </w:r>
      <w:r>
        <w:rPr>
          <w:sz w:val="40"/>
        </w:rPr>
        <w:t>de</w:t>
      </w:r>
      <w:r>
        <w:rPr>
          <w:spacing w:val="16"/>
          <w:sz w:val="40"/>
        </w:rPr>
        <w:t> </w:t>
      </w:r>
      <w:r>
        <w:rPr>
          <w:spacing w:val="-3"/>
          <w:sz w:val="40"/>
        </w:rPr>
        <w:t>interés</w:t>
      </w:r>
    </w:p>
    <w:p>
      <w:pPr>
        <w:pStyle w:val="ListParagraph"/>
        <w:numPr>
          <w:ilvl w:val="0"/>
          <w:numId w:val="2"/>
        </w:numPr>
        <w:tabs>
          <w:tab w:pos="536" w:val="left" w:leader="none"/>
          <w:tab w:pos="537" w:val="left" w:leader="none"/>
        </w:tabs>
        <w:spacing w:line="240" w:lineRule="auto" w:before="87" w:after="0"/>
        <w:ind w:left="536" w:right="0" w:hanging="430"/>
        <w:jc w:val="left"/>
        <w:rPr>
          <w:sz w:val="40"/>
        </w:rPr>
      </w:pPr>
      <w:r>
        <w:rPr>
          <w:sz w:val="40"/>
        </w:rPr>
        <w:t>n  = Número de</w:t>
      </w:r>
      <w:r>
        <w:rPr>
          <w:spacing w:val="-13"/>
          <w:sz w:val="40"/>
        </w:rPr>
        <w:t> </w:t>
      </w:r>
      <w:r>
        <w:rPr>
          <w:sz w:val="40"/>
        </w:rPr>
        <w:t>periodos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0"/>
        </w:rPr>
      </w:pPr>
    </w:p>
    <w:tbl>
      <w:tblPr>
        <w:tblW w:w="0" w:type="auto"/>
        <w:jc w:val="left"/>
        <w:tblInd w:w="153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41"/>
        <w:gridCol w:w="2375"/>
        <w:gridCol w:w="2015"/>
        <w:gridCol w:w="2169"/>
        <w:gridCol w:w="2066"/>
      </w:tblGrid>
      <w:tr>
        <w:trPr>
          <w:trHeight w:val="1148" w:hRule="exact"/>
        </w:trPr>
        <w:tc>
          <w:tcPr>
            <w:tcW w:w="1941" w:type="dxa"/>
          </w:tcPr>
          <w:p>
            <w:pPr>
              <w:pStyle w:val="TableParagraph"/>
              <w:spacing w:line="368" w:lineRule="exact"/>
              <w:ind w:left="182" w:right="518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Periodo</w:t>
            </w:r>
          </w:p>
        </w:tc>
        <w:tc>
          <w:tcPr>
            <w:tcW w:w="2375" w:type="dxa"/>
          </w:tcPr>
          <w:p>
            <w:pPr>
              <w:pStyle w:val="TableParagraph"/>
              <w:spacing w:line="368" w:lineRule="exact"/>
              <w:ind w:left="1180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Pago</w:t>
            </w:r>
          </w:p>
        </w:tc>
        <w:tc>
          <w:tcPr>
            <w:tcW w:w="2015" w:type="dxa"/>
          </w:tcPr>
          <w:p>
            <w:pPr>
              <w:pStyle w:val="TableParagraph"/>
              <w:spacing w:line="368" w:lineRule="exact"/>
              <w:ind w:left="434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Intereses</w:t>
            </w:r>
          </w:p>
        </w:tc>
        <w:tc>
          <w:tcPr>
            <w:tcW w:w="2169" w:type="dxa"/>
          </w:tcPr>
          <w:p>
            <w:pPr>
              <w:pStyle w:val="TableParagraph"/>
              <w:spacing w:line="368" w:lineRule="exact"/>
              <w:ind w:left="188" w:right="200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Aportación</w:t>
            </w:r>
          </w:p>
          <w:p>
            <w:pPr>
              <w:pStyle w:val="TableParagraph"/>
              <w:spacing w:before="18"/>
              <w:ind w:left="188" w:right="186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al capital</w:t>
            </w:r>
          </w:p>
        </w:tc>
        <w:tc>
          <w:tcPr>
            <w:tcW w:w="2066" w:type="dxa"/>
          </w:tcPr>
          <w:p>
            <w:pPr>
              <w:pStyle w:val="TableParagraph"/>
              <w:spacing w:line="368" w:lineRule="exact"/>
              <w:ind w:left="539" w:right="179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Saldo</w:t>
            </w:r>
          </w:p>
          <w:p>
            <w:pPr>
              <w:pStyle w:val="TableParagraph"/>
              <w:spacing w:before="18"/>
              <w:ind w:left="626" w:right="179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insoluto</w:t>
            </w:r>
          </w:p>
        </w:tc>
      </w:tr>
      <w:tr>
        <w:trPr>
          <w:trHeight w:val="995" w:hRule="exact"/>
        </w:trPr>
        <w:tc>
          <w:tcPr>
            <w:tcW w:w="1941" w:type="dxa"/>
          </w:tcPr>
          <w:p>
            <w:pPr>
              <w:pStyle w:val="TableParagraph"/>
              <w:spacing w:before="309"/>
              <w:ind w:right="335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0</w:t>
            </w:r>
          </w:p>
        </w:tc>
        <w:tc>
          <w:tcPr>
            <w:tcW w:w="2375" w:type="dxa"/>
          </w:tcPr>
          <w:p>
            <w:pPr>
              <w:pStyle w:val="TableParagraph"/>
              <w:spacing w:before="309"/>
              <w:ind w:left="538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--------</w:t>
            </w:r>
          </w:p>
        </w:tc>
        <w:tc>
          <w:tcPr>
            <w:tcW w:w="2015" w:type="dxa"/>
          </w:tcPr>
          <w:p>
            <w:pPr>
              <w:pStyle w:val="TableParagraph"/>
              <w:spacing w:before="309"/>
              <w:ind w:left="475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-------</w:t>
            </w:r>
          </w:p>
        </w:tc>
        <w:tc>
          <w:tcPr>
            <w:tcW w:w="2169" w:type="dxa"/>
          </w:tcPr>
          <w:p>
            <w:pPr>
              <w:pStyle w:val="TableParagraph"/>
              <w:spacing w:before="309"/>
              <w:ind w:left="188" w:right="186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------</w:t>
            </w:r>
          </w:p>
        </w:tc>
        <w:tc>
          <w:tcPr>
            <w:tcW w:w="2066" w:type="dxa"/>
          </w:tcPr>
          <w:p>
            <w:pPr>
              <w:pStyle w:val="TableParagraph"/>
              <w:spacing w:before="309"/>
              <w:ind w:left="221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10,000.00</w:t>
            </w:r>
          </w:p>
        </w:tc>
      </w:tr>
      <w:tr>
        <w:trPr>
          <w:trHeight w:val="689" w:hRule="exact"/>
        </w:trPr>
        <w:tc>
          <w:tcPr>
            <w:tcW w:w="1941" w:type="dxa"/>
          </w:tcPr>
          <w:p>
            <w:pPr>
              <w:pStyle w:val="TableParagraph"/>
              <w:spacing w:before="233"/>
              <w:ind w:right="335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1</w:t>
            </w:r>
          </w:p>
        </w:tc>
        <w:tc>
          <w:tcPr>
            <w:tcW w:w="2375" w:type="dxa"/>
          </w:tcPr>
          <w:p>
            <w:pPr/>
          </w:p>
        </w:tc>
        <w:tc>
          <w:tcPr>
            <w:tcW w:w="2015" w:type="dxa"/>
          </w:tcPr>
          <w:p>
            <w:pPr/>
          </w:p>
        </w:tc>
        <w:tc>
          <w:tcPr>
            <w:tcW w:w="2169" w:type="dxa"/>
          </w:tcPr>
          <w:p>
            <w:pPr/>
          </w:p>
        </w:tc>
        <w:tc>
          <w:tcPr>
            <w:tcW w:w="2066" w:type="dxa"/>
          </w:tcPr>
          <w:p>
            <w:pPr/>
          </w:p>
        </w:tc>
      </w:tr>
      <w:tr>
        <w:trPr>
          <w:trHeight w:val="459" w:hRule="exact"/>
        </w:trPr>
        <w:tc>
          <w:tcPr>
            <w:tcW w:w="1941" w:type="dxa"/>
          </w:tcPr>
          <w:p>
            <w:pPr>
              <w:pStyle w:val="TableParagraph"/>
              <w:spacing w:before="3"/>
              <w:ind w:right="335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2</w:t>
            </w:r>
          </w:p>
        </w:tc>
        <w:tc>
          <w:tcPr>
            <w:tcW w:w="2375" w:type="dxa"/>
          </w:tcPr>
          <w:p>
            <w:pPr/>
          </w:p>
        </w:tc>
        <w:tc>
          <w:tcPr>
            <w:tcW w:w="2015" w:type="dxa"/>
          </w:tcPr>
          <w:p>
            <w:pPr/>
          </w:p>
        </w:tc>
        <w:tc>
          <w:tcPr>
            <w:tcW w:w="2169" w:type="dxa"/>
          </w:tcPr>
          <w:p>
            <w:pPr/>
          </w:p>
        </w:tc>
        <w:tc>
          <w:tcPr>
            <w:tcW w:w="2066" w:type="dxa"/>
          </w:tcPr>
          <w:p>
            <w:pPr/>
          </w:p>
        </w:tc>
      </w:tr>
      <w:tr>
        <w:trPr>
          <w:trHeight w:val="458" w:hRule="exact"/>
        </w:trPr>
        <w:tc>
          <w:tcPr>
            <w:tcW w:w="1941" w:type="dxa"/>
          </w:tcPr>
          <w:p>
            <w:pPr>
              <w:pStyle w:val="TableParagraph"/>
              <w:spacing w:before="2"/>
              <w:ind w:right="335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3</w:t>
            </w:r>
          </w:p>
        </w:tc>
        <w:tc>
          <w:tcPr>
            <w:tcW w:w="2375" w:type="dxa"/>
          </w:tcPr>
          <w:p>
            <w:pPr/>
          </w:p>
        </w:tc>
        <w:tc>
          <w:tcPr>
            <w:tcW w:w="2015" w:type="dxa"/>
          </w:tcPr>
          <w:p>
            <w:pPr/>
          </w:p>
        </w:tc>
        <w:tc>
          <w:tcPr>
            <w:tcW w:w="2169" w:type="dxa"/>
          </w:tcPr>
          <w:p>
            <w:pPr/>
          </w:p>
        </w:tc>
        <w:tc>
          <w:tcPr>
            <w:tcW w:w="2066" w:type="dxa"/>
          </w:tcPr>
          <w:p>
            <w:pPr/>
          </w:p>
        </w:tc>
      </w:tr>
      <w:tr>
        <w:trPr>
          <w:trHeight w:val="459" w:hRule="exact"/>
        </w:trPr>
        <w:tc>
          <w:tcPr>
            <w:tcW w:w="1941" w:type="dxa"/>
          </w:tcPr>
          <w:p>
            <w:pPr>
              <w:pStyle w:val="TableParagraph"/>
              <w:spacing w:before="3"/>
              <w:ind w:right="335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4</w:t>
            </w:r>
          </w:p>
        </w:tc>
        <w:tc>
          <w:tcPr>
            <w:tcW w:w="2375" w:type="dxa"/>
          </w:tcPr>
          <w:p>
            <w:pPr/>
          </w:p>
        </w:tc>
        <w:tc>
          <w:tcPr>
            <w:tcW w:w="2015" w:type="dxa"/>
          </w:tcPr>
          <w:p>
            <w:pPr/>
          </w:p>
        </w:tc>
        <w:tc>
          <w:tcPr>
            <w:tcW w:w="2169" w:type="dxa"/>
          </w:tcPr>
          <w:p>
            <w:pPr/>
          </w:p>
        </w:tc>
        <w:tc>
          <w:tcPr>
            <w:tcW w:w="2066" w:type="dxa"/>
          </w:tcPr>
          <w:p>
            <w:pPr/>
          </w:p>
        </w:tc>
      </w:tr>
      <w:tr>
        <w:trPr>
          <w:trHeight w:val="459" w:hRule="exact"/>
        </w:trPr>
        <w:tc>
          <w:tcPr>
            <w:tcW w:w="1941" w:type="dxa"/>
          </w:tcPr>
          <w:p>
            <w:pPr>
              <w:pStyle w:val="TableParagraph"/>
              <w:spacing w:before="3"/>
              <w:ind w:right="335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5</w:t>
            </w:r>
          </w:p>
        </w:tc>
        <w:tc>
          <w:tcPr>
            <w:tcW w:w="2375" w:type="dxa"/>
          </w:tcPr>
          <w:p>
            <w:pPr/>
          </w:p>
        </w:tc>
        <w:tc>
          <w:tcPr>
            <w:tcW w:w="2015" w:type="dxa"/>
          </w:tcPr>
          <w:p>
            <w:pPr/>
          </w:p>
        </w:tc>
        <w:tc>
          <w:tcPr>
            <w:tcW w:w="2169" w:type="dxa"/>
          </w:tcPr>
          <w:p>
            <w:pPr/>
          </w:p>
        </w:tc>
        <w:tc>
          <w:tcPr>
            <w:tcW w:w="2066" w:type="dxa"/>
          </w:tcPr>
          <w:p>
            <w:pPr/>
          </w:p>
        </w:tc>
      </w:tr>
      <w:tr>
        <w:trPr>
          <w:trHeight w:val="460" w:hRule="exact"/>
        </w:trPr>
        <w:tc>
          <w:tcPr>
            <w:tcW w:w="1941" w:type="dxa"/>
          </w:tcPr>
          <w:p>
            <w:pPr>
              <w:pStyle w:val="TableParagraph"/>
              <w:spacing w:before="3"/>
              <w:ind w:right="335"/>
              <w:jc w:val="center"/>
              <w:rPr>
                <w:b/>
                <w:sz w:val="36"/>
              </w:rPr>
            </w:pPr>
            <w:r>
              <w:rPr>
                <w:b/>
                <w:w w:val="100"/>
                <w:sz w:val="36"/>
              </w:rPr>
              <w:t>6</w:t>
            </w:r>
          </w:p>
        </w:tc>
        <w:tc>
          <w:tcPr>
            <w:tcW w:w="2375" w:type="dxa"/>
          </w:tcPr>
          <w:p>
            <w:pPr/>
          </w:p>
        </w:tc>
        <w:tc>
          <w:tcPr>
            <w:tcW w:w="2015" w:type="dxa"/>
          </w:tcPr>
          <w:p>
            <w:pPr/>
          </w:p>
        </w:tc>
        <w:tc>
          <w:tcPr>
            <w:tcW w:w="2169" w:type="dxa"/>
          </w:tcPr>
          <w:p>
            <w:pPr/>
          </w:p>
        </w:tc>
        <w:tc>
          <w:tcPr>
            <w:tcW w:w="2066" w:type="dxa"/>
          </w:tcPr>
          <w:p>
            <w:pPr/>
          </w:p>
        </w:tc>
      </w:tr>
      <w:tr>
        <w:trPr>
          <w:trHeight w:val="410" w:hRule="exact"/>
        </w:trPr>
        <w:tc>
          <w:tcPr>
            <w:tcW w:w="1941" w:type="dxa"/>
          </w:tcPr>
          <w:p>
            <w:pPr>
              <w:pStyle w:val="TableParagraph"/>
              <w:spacing w:before="3"/>
              <w:ind w:right="335"/>
              <w:jc w:val="center"/>
              <w:rPr>
                <w:b/>
                <w:sz w:val="36"/>
              </w:rPr>
            </w:pPr>
            <w:r>
              <w:rPr>
                <w:b/>
                <w:sz w:val="36"/>
              </w:rPr>
              <w:t>7</w:t>
            </w:r>
          </w:p>
        </w:tc>
        <w:tc>
          <w:tcPr>
            <w:tcW w:w="2375" w:type="dxa"/>
          </w:tcPr>
          <w:p>
            <w:pPr/>
          </w:p>
        </w:tc>
        <w:tc>
          <w:tcPr>
            <w:tcW w:w="2015" w:type="dxa"/>
          </w:tcPr>
          <w:p>
            <w:pPr/>
          </w:p>
        </w:tc>
        <w:tc>
          <w:tcPr>
            <w:tcW w:w="2169" w:type="dxa"/>
          </w:tcPr>
          <w:p>
            <w:pPr/>
          </w:p>
        </w:tc>
        <w:tc>
          <w:tcPr>
            <w:tcW w:w="2066" w:type="dxa"/>
          </w:tcPr>
          <w:p>
            <w:pPr/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8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660" w:right="600"/>
        </w:sectPr>
      </w:pPr>
    </w:p>
    <w:p>
      <w:pPr>
        <w:pStyle w:val="BodyText"/>
        <w:rPr>
          <w:rFonts w:ascii="Constantia"/>
          <w:sz w:val="22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1552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3262;top:5513;width:7426;height:4241" type="#_x0000_t75" stroked="false">
              <v:imagedata r:id="rId16" o:title=""/>
            </v:shape>
            <w10:wrap type="none"/>
          </v:group>
        </w:pict>
      </w:r>
    </w:p>
    <w:p>
      <w:pPr>
        <w:pStyle w:val="Heading1"/>
        <w:numPr>
          <w:ilvl w:val="0"/>
          <w:numId w:val="3"/>
        </w:numPr>
        <w:tabs>
          <w:tab w:pos="535" w:val="left" w:leader="none"/>
        </w:tabs>
        <w:spacing w:line="240" w:lineRule="auto" w:before="0" w:after="0"/>
        <w:ind w:left="534" w:right="0" w:hanging="430"/>
        <w:jc w:val="left"/>
        <w:rPr>
          <w:rFonts w:ascii="Wingdings"/>
          <w:color w:val="0AD0D9"/>
          <w:sz w:val="49"/>
        </w:rPr>
      </w:pPr>
      <w:r>
        <w:rPr>
          <w:spacing w:val="-3"/>
        </w:rPr>
        <w:t>ACTIVIDADES </w:t>
      </w:r>
      <w:r>
        <w:rPr/>
        <w:t>DE</w:t>
      </w:r>
      <w:r>
        <w:rPr>
          <w:spacing w:val="7"/>
        </w:rPr>
        <w:t> </w:t>
      </w:r>
      <w:r>
        <w:rPr>
          <w:spacing w:val="-7"/>
        </w:rPr>
        <w:t>APOYO:</w:t>
      </w:r>
    </w:p>
    <w:p>
      <w:pPr>
        <w:pStyle w:val="BodyText"/>
        <w:spacing w:before="10"/>
        <w:rPr>
          <w:b/>
          <w:sz w:val="64"/>
        </w:rPr>
      </w:pPr>
    </w:p>
    <w:p>
      <w:pPr>
        <w:pStyle w:val="Heading4"/>
        <w:numPr>
          <w:ilvl w:val="1"/>
          <w:numId w:val="3"/>
        </w:numPr>
        <w:tabs>
          <w:tab w:pos="1113" w:val="left" w:leader="none"/>
        </w:tabs>
        <w:spacing w:line="576" w:lineRule="exact" w:before="1" w:after="0"/>
        <w:ind w:left="1112" w:right="259" w:hanging="389"/>
        <w:jc w:val="both"/>
        <w:rPr>
          <w:rFonts w:ascii="Wingdings" w:hAnsi="Wingdings"/>
          <w:color w:val="0E6EC5"/>
          <w:sz w:val="41"/>
        </w:rPr>
      </w:pPr>
      <w:r>
        <w:rPr/>
        <w:t>El discente </w:t>
      </w:r>
      <w:r>
        <w:rPr>
          <w:spacing w:val="-3"/>
        </w:rPr>
        <w:t>construirá </w:t>
      </w:r>
      <w:r>
        <w:rPr/>
        <w:t>los </w:t>
      </w:r>
      <w:r>
        <w:rPr>
          <w:spacing w:val="-3"/>
        </w:rPr>
        <w:t>programas </w:t>
      </w:r>
      <w:r>
        <w:rPr/>
        <w:t>de amortización de los créditos </w:t>
      </w:r>
      <w:r>
        <w:rPr>
          <w:spacing w:val="-4"/>
        </w:rPr>
        <w:t>contratados para </w:t>
      </w:r>
      <w:r>
        <w:rPr/>
        <w:t>iniciar actividades con la empresa a</w:t>
      </w:r>
      <w:r>
        <w:rPr>
          <w:spacing w:val="-14"/>
        </w:rPr>
        <w:t> </w:t>
      </w:r>
      <w:r>
        <w:rPr/>
        <w:t>estructurar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9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rPr>
          <w:rFonts w:ascii="Constantia"/>
          <w:sz w:val="20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1549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</w:p>
    <w:p>
      <w:pPr>
        <w:pStyle w:val="BodyText"/>
        <w:spacing w:before="2"/>
        <w:rPr>
          <w:rFonts w:ascii="Constantia"/>
          <w:sz w:val="29"/>
        </w:rPr>
      </w:pPr>
    </w:p>
    <w:p>
      <w:pPr>
        <w:pStyle w:val="Heading1"/>
        <w:numPr>
          <w:ilvl w:val="0"/>
          <w:numId w:val="3"/>
        </w:numPr>
        <w:tabs>
          <w:tab w:pos="535" w:val="left" w:leader="none"/>
        </w:tabs>
        <w:spacing w:line="240" w:lineRule="auto" w:before="1" w:after="0"/>
        <w:ind w:left="534" w:right="6316" w:hanging="430"/>
        <w:jc w:val="center"/>
        <w:rPr>
          <w:rFonts w:ascii="Wingdings" w:hAnsi="Wingdings"/>
          <w:color w:val="0AD0D9"/>
          <w:sz w:val="49"/>
        </w:rPr>
      </w:pPr>
      <w:r>
        <w:rPr>
          <w:spacing w:val="-3"/>
        </w:rPr>
        <w:t>Verificación </w:t>
      </w:r>
      <w:r>
        <w:rPr/>
        <w:t>del</w:t>
      </w:r>
      <w:r>
        <w:rPr>
          <w:spacing w:val="-16"/>
        </w:rPr>
        <w:t> </w:t>
      </w:r>
      <w:r>
        <w:rPr/>
        <w:t>aprendizaje:</w:t>
      </w:r>
    </w:p>
    <w:p>
      <w:pPr>
        <w:pStyle w:val="Heading5"/>
        <w:numPr>
          <w:ilvl w:val="1"/>
          <w:numId w:val="3"/>
        </w:numPr>
        <w:tabs>
          <w:tab w:pos="1113" w:val="left" w:leader="none"/>
        </w:tabs>
        <w:spacing w:line="240" w:lineRule="auto" w:before="96" w:after="0"/>
        <w:ind w:left="1112" w:right="0" w:hanging="389"/>
        <w:jc w:val="left"/>
        <w:rPr>
          <w:rFonts w:ascii="Wingdings" w:hAnsi="Wingdings"/>
          <w:color w:val="0E6EC5"/>
          <w:sz w:val="37"/>
        </w:rPr>
      </w:pPr>
      <w:r>
        <w:rPr/>
        <w:t>Forma de</w:t>
      </w:r>
      <w:r>
        <w:rPr>
          <w:spacing w:val="-21"/>
        </w:rPr>
        <w:t> </w:t>
      </w:r>
      <w:r>
        <w:rPr/>
        <w:t>evaluación:</w:t>
      </w:r>
    </w:p>
    <w:p>
      <w:pPr>
        <w:pStyle w:val="ListParagraph"/>
        <w:numPr>
          <w:ilvl w:val="2"/>
          <w:numId w:val="3"/>
        </w:numPr>
        <w:tabs>
          <w:tab w:pos="1544" w:val="left" w:leader="none"/>
          <w:tab w:pos="1545" w:val="left" w:leader="none"/>
        </w:tabs>
        <w:spacing w:line="432" w:lineRule="exact" w:before="74" w:after="0"/>
        <w:ind w:left="1544" w:right="258" w:hanging="389"/>
        <w:jc w:val="left"/>
        <w:rPr>
          <w:rFonts w:ascii="Constantia" w:hAnsi="Constantia"/>
          <w:sz w:val="36"/>
        </w:rPr>
      </w:pPr>
      <w:r>
        <w:rPr>
          <w:rFonts w:ascii="Constantia" w:hAnsi="Constantia"/>
          <w:sz w:val="36"/>
        </w:rPr>
        <w:t>Exposición de tipos de créditos y programas de amortización en función de cada empresa</w:t>
      </w:r>
      <w:r>
        <w:rPr>
          <w:rFonts w:ascii="Constantia" w:hAnsi="Constantia"/>
          <w:spacing w:val="-61"/>
          <w:sz w:val="36"/>
        </w:rPr>
        <w:t> </w:t>
      </w:r>
      <w:r>
        <w:rPr>
          <w:rFonts w:ascii="Constantia" w:hAnsi="Constantia"/>
          <w:sz w:val="36"/>
        </w:rPr>
        <w:t>planeada</w:t>
      </w:r>
    </w:p>
    <w:p>
      <w:pPr>
        <w:pStyle w:val="ListParagraph"/>
        <w:numPr>
          <w:ilvl w:val="2"/>
          <w:numId w:val="3"/>
        </w:numPr>
        <w:tabs>
          <w:tab w:pos="1544" w:val="left" w:leader="none"/>
          <w:tab w:pos="1545" w:val="left" w:leader="none"/>
        </w:tabs>
        <w:spacing w:line="240" w:lineRule="auto" w:before="89" w:after="0"/>
        <w:ind w:left="1544" w:right="0" w:hanging="389"/>
        <w:jc w:val="left"/>
        <w:rPr>
          <w:rFonts w:ascii="Constantia" w:hAnsi="Constantia"/>
          <w:sz w:val="36"/>
        </w:rPr>
      </w:pPr>
      <w:r>
        <w:rPr>
          <w:rFonts w:ascii="Constantia" w:hAnsi="Constantia"/>
          <w:sz w:val="36"/>
        </w:rPr>
        <w:t>Discusión</w:t>
      </w:r>
      <w:r>
        <w:rPr>
          <w:rFonts w:ascii="Constantia" w:hAnsi="Constantia"/>
          <w:spacing w:val="-17"/>
          <w:sz w:val="36"/>
        </w:rPr>
        <w:t> </w:t>
      </w:r>
      <w:r>
        <w:rPr>
          <w:rFonts w:ascii="Constantia" w:hAnsi="Constantia"/>
          <w:sz w:val="36"/>
        </w:rPr>
        <w:t>y</w:t>
      </w:r>
      <w:r>
        <w:rPr>
          <w:rFonts w:ascii="Constantia" w:hAnsi="Constantia"/>
          <w:spacing w:val="-21"/>
          <w:sz w:val="36"/>
        </w:rPr>
        <w:t> </w:t>
      </w:r>
      <w:r>
        <w:rPr>
          <w:rFonts w:ascii="Constantia" w:hAnsi="Constantia"/>
          <w:sz w:val="36"/>
        </w:rPr>
        <w:t>análisis</w:t>
      </w:r>
      <w:r>
        <w:rPr>
          <w:rFonts w:ascii="Constantia" w:hAnsi="Constantia"/>
          <w:spacing w:val="-18"/>
          <w:sz w:val="36"/>
        </w:rPr>
        <w:t> </w:t>
      </w:r>
      <w:r>
        <w:rPr>
          <w:rFonts w:ascii="Constantia" w:hAnsi="Constantia"/>
          <w:sz w:val="36"/>
        </w:rPr>
        <w:t>a</w:t>
      </w:r>
      <w:r>
        <w:rPr>
          <w:rFonts w:ascii="Constantia" w:hAnsi="Constantia"/>
          <w:spacing w:val="-16"/>
          <w:sz w:val="36"/>
        </w:rPr>
        <w:t> </w:t>
      </w:r>
      <w:r>
        <w:rPr>
          <w:rFonts w:ascii="Constantia" w:hAnsi="Constantia"/>
          <w:spacing w:val="-5"/>
          <w:sz w:val="36"/>
        </w:rPr>
        <w:t>través</w:t>
      </w:r>
      <w:r>
        <w:rPr>
          <w:rFonts w:ascii="Constantia" w:hAnsi="Constantia"/>
          <w:spacing w:val="-17"/>
          <w:sz w:val="36"/>
        </w:rPr>
        <w:t> </w:t>
      </w:r>
      <w:r>
        <w:rPr>
          <w:rFonts w:ascii="Constantia" w:hAnsi="Constantia"/>
          <w:sz w:val="36"/>
        </w:rPr>
        <w:t>de</w:t>
      </w:r>
      <w:r>
        <w:rPr>
          <w:rFonts w:ascii="Constantia" w:hAnsi="Constantia"/>
          <w:spacing w:val="-18"/>
          <w:sz w:val="36"/>
        </w:rPr>
        <w:t> </w:t>
      </w:r>
      <w:r>
        <w:rPr>
          <w:rFonts w:ascii="Constantia" w:hAnsi="Constantia"/>
          <w:sz w:val="36"/>
        </w:rPr>
        <w:t>casos</w:t>
      </w:r>
      <w:r>
        <w:rPr>
          <w:rFonts w:ascii="Constantia" w:hAnsi="Constantia"/>
          <w:spacing w:val="-20"/>
          <w:sz w:val="36"/>
        </w:rPr>
        <w:t> </w:t>
      </w:r>
      <w:r>
        <w:rPr>
          <w:rFonts w:ascii="Constantia" w:hAnsi="Constantia"/>
          <w:sz w:val="36"/>
        </w:rPr>
        <w:t>específicos</w:t>
      </w:r>
    </w:p>
    <w:p>
      <w:pPr>
        <w:pStyle w:val="ListParagraph"/>
        <w:numPr>
          <w:ilvl w:val="3"/>
          <w:numId w:val="3"/>
        </w:numPr>
        <w:tabs>
          <w:tab w:pos="1973" w:val="left" w:leader="none"/>
          <w:tab w:pos="1974" w:val="left" w:leader="none"/>
        </w:tabs>
        <w:spacing w:line="240" w:lineRule="auto" w:before="71" w:after="0"/>
        <w:ind w:left="1974" w:right="0" w:hanging="329"/>
        <w:jc w:val="left"/>
        <w:rPr>
          <w:rFonts w:ascii="Constantia" w:hAnsi="Constantia"/>
          <w:sz w:val="32"/>
        </w:rPr>
      </w:pPr>
      <w:r>
        <w:rPr>
          <w:rFonts w:ascii="Constantia" w:hAnsi="Constantia"/>
          <w:sz w:val="32"/>
        </w:rPr>
        <w:t>Coevaluación</w:t>
      </w:r>
    </w:p>
    <w:p>
      <w:pPr>
        <w:pStyle w:val="Heading5"/>
        <w:numPr>
          <w:ilvl w:val="1"/>
          <w:numId w:val="3"/>
        </w:numPr>
        <w:tabs>
          <w:tab w:pos="1113" w:val="left" w:leader="none"/>
        </w:tabs>
        <w:spacing w:line="240" w:lineRule="auto" w:before="97" w:after="0"/>
        <w:ind w:left="1112" w:right="0" w:hanging="389"/>
        <w:jc w:val="left"/>
        <w:rPr>
          <w:rFonts w:ascii="Wingdings" w:hAnsi="Wingdings"/>
          <w:color w:val="0E6EC5"/>
          <w:sz w:val="37"/>
        </w:rPr>
      </w:pPr>
      <w:r>
        <w:rPr/>
        <w:t>Criterios de</w:t>
      </w:r>
      <w:r>
        <w:rPr>
          <w:spacing w:val="-17"/>
        </w:rPr>
        <w:t> </w:t>
      </w:r>
      <w:r>
        <w:rPr/>
        <w:t>desempeño</w:t>
      </w:r>
    </w:p>
    <w:p>
      <w:pPr>
        <w:pStyle w:val="ListParagraph"/>
        <w:numPr>
          <w:ilvl w:val="2"/>
          <w:numId w:val="3"/>
        </w:numPr>
        <w:tabs>
          <w:tab w:pos="1544" w:val="left" w:leader="none"/>
          <w:tab w:pos="1545" w:val="left" w:leader="none"/>
        </w:tabs>
        <w:spacing w:line="240" w:lineRule="auto" w:before="76" w:after="0"/>
        <w:ind w:left="1544" w:right="0" w:hanging="389"/>
        <w:jc w:val="left"/>
        <w:rPr>
          <w:rFonts w:ascii="Constantia" w:hAnsi="Constantia"/>
          <w:sz w:val="36"/>
        </w:rPr>
      </w:pPr>
      <w:r>
        <w:rPr>
          <w:rFonts w:ascii="Constantia" w:hAnsi="Constantia"/>
          <w:sz w:val="36"/>
        </w:rPr>
        <w:t>Suficiencia  de la</w:t>
      </w:r>
      <w:r>
        <w:rPr>
          <w:rFonts w:ascii="Constantia" w:hAnsi="Constantia"/>
          <w:spacing w:val="-47"/>
          <w:sz w:val="36"/>
        </w:rPr>
        <w:t> </w:t>
      </w:r>
      <w:r>
        <w:rPr>
          <w:rFonts w:ascii="Constantia" w:hAnsi="Constantia"/>
          <w:sz w:val="36"/>
        </w:rPr>
        <w:t>información</w:t>
      </w:r>
    </w:p>
    <w:p>
      <w:pPr>
        <w:pStyle w:val="ListParagraph"/>
        <w:numPr>
          <w:ilvl w:val="2"/>
          <w:numId w:val="3"/>
        </w:numPr>
        <w:tabs>
          <w:tab w:pos="1544" w:val="left" w:leader="none"/>
          <w:tab w:pos="1545" w:val="left" w:leader="none"/>
        </w:tabs>
        <w:spacing w:line="240" w:lineRule="auto" w:before="79" w:after="0"/>
        <w:ind w:left="1544" w:right="0" w:hanging="389"/>
        <w:jc w:val="left"/>
        <w:rPr>
          <w:rFonts w:ascii="Constantia" w:hAnsi="Constantia"/>
          <w:sz w:val="36"/>
        </w:rPr>
      </w:pPr>
      <w:r>
        <w:rPr>
          <w:rFonts w:ascii="Constantia" w:hAnsi="Constantia"/>
          <w:spacing w:val="-4"/>
          <w:sz w:val="36"/>
        </w:rPr>
        <w:t>Apoyos</w:t>
      </w:r>
      <w:r>
        <w:rPr>
          <w:rFonts w:ascii="Constantia" w:hAnsi="Constantia"/>
          <w:spacing w:val="-21"/>
          <w:sz w:val="36"/>
        </w:rPr>
        <w:t> </w:t>
      </w:r>
      <w:r>
        <w:rPr>
          <w:rFonts w:ascii="Constantia" w:hAnsi="Constantia"/>
          <w:sz w:val="36"/>
        </w:rPr>
        <w:t>audiovisuales</w:t>
      </w:r>
      <w:r>
        <w:rPr>
          <w:rFonts w:ascii="Constantia" w:hAnsi="Constantia"/>
          <w:spacing w:val="-13"/>
          <w:sz w:val="36"/>
        </w:rPr>
        <w:t> </w:t>
      </w:r>
      <w:r>
        <w:rPr>
          <w:rFonts w:ascii="Constantia" w:hAnsi="Constantia"/>
          <w:sz w:val="36"/>
        </w:rPr>
        <w:t>utilizados</w:t>
      </w:r>
      <w:r>
        <w:rPr>
          <w:rFonts w:ascii="Constantia" w:hAnsi="Constantia"/>
          <w:spacing w:val="-18"/>
          <w:sz w:val="36"/>
        </w:rPr>
        <w:t> </w:t>
      </w:r>
      <w:r>
        <w:rPr>
          <w:rFonts w:ascii="Constantia" w:hAnsi="Constantia"/>
          <w:sz w:val="36"/>
        </w:rPr>
        <w:t>en</w:t>
      </w:r>
      <w:r>
        <w:rPr>
          <w:rFonts w:ascii="Constantia" w:hAnsi="Constantia"/>
          <w:spacing w:val="-10"/>
          <w:sz w:val="36"/>
        </w:rPr>
        <w:t> </w:t>
      </w:r>
      <w:r>
        <w:rPr>
          <w:rFonts w:ascii="Constantia" w:hAnsi="Constantia"/>
          <w:sz w:val="36"/>
        </w:rPr>
        <w:t>la</w:t>
      </w:r>
      <w:r>
        <w:rPr>
          <w:rFonts w:ascii="Constantia" w:hAnsi="Constantia"/>
          <w:spacing w:val="-23"/>
          <w:sz w:val="36"/>
        </w:rPr>
        <w:t> </w:t>
      </w:r>
      <w:r>
        <w:rPr>
          <w:rFonts w:ascii="Constantia" w:hAnsi="Constantia"/>
          <w:sz w:val="36"/>
        </w:rPr>
        <w:t>exposición</w:t>
      </w:r>
    </w:p>
    <w:p>
      <w:pPr>
        <w:pStyle w:val="ListParagraph"/>
        <w:numPr>
          <w:ilvl w:val="1"/>
          <w:numId w:val="3"/>
        </w:numPr>
        <w:tabs>
          <w:tab w:pos="1113" w:val="left" w:leader="none"/>
        </w:tabs>
        <w:spacing w:line="240" w:lineRule="auto" w:before="99" w:after="0"/>
        <w:ind w:left="1112" w:right="0" w:hanging="389"/>
        <w:jc w:val="left"/>
        <w:rPr>
          <w:rFonts w:ascii="Wingdings"/>
          <w:b/>
          <w:color w:val="0E6EC5"/>
          <w:sz w:val="37"/>
        </w:rPr>
      </w:pPr>
      <w:r>
        <w:rPr>
          <w:b/>
          <w:sz w:val="44"/>
        </w:rPr>
        <w:t>Productos</w:t>
      </w:r>
    </w:p>
    <w:p>
      <w:pPr>
        <w:tabs>
          <w:tab w:pos="1544" w:val="left" w:leader="none"/>
        </w:tabs>
        <w:spacing w:before="76"/>
        <w:ind w:left="1155" w:right="0" w:firstLine="0"/>
        <w:jc w:val="left"/>
        <w:rPr>
          <w:sz w:val="36"/>
        </w:rPr>
      </w:pPr>
      <w:r>
        <w:rPr>
          <w:rFonts w:ascii="Wingdings" w:hAnsi="Wingdings"/>
          <w:color w:val="009DD9"/>
          <w:w w:val="95"/>
          <w:sz w:val="25"/>
        </w:rPr>
        <w:t></w:t>
      </w:r>
      <w:r>
        <w:rPr>
          <w:rFonts w:ascii="Times New Roman" w:hAnsi="Times New Roman"/>
          <w:color w:val="009DD9"/>
          <w:w w:val="95"/>
          <w:sz w:val="25"/>
        </w:rPr>
        <w:tab/>
      </w:r>
      <w:r>
        <w:rPr>
          <w:sz w:val="36"/>
        </w:rPr>
        <w:t>Programas de amortización de los créditos </w:t>
      </w:r>
      <w:r>
        <w:rPr>
          <w:spacing w:val="-3"/>
          <w:sz w:val="36"/>
        </w:rPr>
        <w:t>contratados </w:t>
      </w:r>
      <w:r>
        <w:rPr>
          <w:sz w:val="36"/>
        </w:rPr>
        <w:t>por</w:t>
      </w:r>
      <w:r>
        <w:rPr>
          <w:spacing w:val="-27"/>
          <w:sz w:val="36"/>
        </w:rPr>
        <w:t> </w:t>
      </w:r>
      <w:r>
        <w:rPr>
          <w:sz w:val="36"/>
        </w:rPr>
        <w:t>empresa</w:t>
      </w:r>
    </w:p>
    <w:p>
      <w:pPr>
        <w:pStyle w:val="ListParagraph"/>
        <w:numPr>
          <w:ilvl w:val="1"/>
          <w:numId w:val="3"/>
        </w:numPr>
        <w:tabs>
          <w:tab w:pos="1113" w:val="left" w:leader="none"/>
        </w:tabs>
        <w:spacing w:line="240" w:lineRule="auto" w:before="98" w:after="0"/>
        <w:ind w:left="1112" w:right="0" w:hanging="389"/>
        <w:jc w:val="left"/>
        <w:rPr>
          <w:rFonts w:ascii="Wingdings" w:hAnsi="Wingdings"/>
          <w:b/>
          <w:color w:val="0E6EC5"/>
          <w:sz w:val="37"/>
        </w:rPr>
      </w:pPr>
      <w:r>
        <w:rPr>
          <w:b/>
          <w:spacing w:val="-3"/>
          <w:sz w:val="44"/>
        </w:rPr>
        <w:t>Herramienta </w:t>
      </w:r>
      <w:r>
        <w:rPr>
          <w:b/>
          <w:sz w:val="44"/>
        </w:rPr>
        <w:t>de</w:t>
      </w:r>
      <w:r>
        <w:rPr>
          <w:b/>
          <w:spacing w:val="4"/>
          <w:sz w:val="44"/>
        </w:rPr>
        <w:t> </w:t>
      </w:r>
      <w:r>
        <w:rPr>
          <w:b/>
          <w:sz w:val="44"/>
        </w:rPr>
        <w:t>calificación</w:t>
      </w:r>
    </w:p>
    <w:p>
      <w:pPr>
        <w:pStyle w:val="ListParagraph"/>
        <w:numPr>
          <w:ilvl w:val="2"/>
          <w:numId w:val="3"/>
        </w:numPr>
        <w:tabs>
          <w:tab w:pos="1544" w:val="left" w:leader="none"/>
          <w:tab w:pos="1545" w:val="left" w:leader="none"/>
        </w:tabs>
        <w:spacing w:line="240" w:lineRule="auto" w:before="76" w:after="0"/>
        <w:ind w:left="1544" w:right="0" w:hanging="389"/>
        <w:jc w:val="left"/>
        <w:rPr>
          <w:rFonts w:ascii="Constantia"/>
          <w:sz w:val="36"/>
        </w:rPr>
      </w:pPr>
      <w:r>
        <w:rPr>
          <w:rFonts w:ascii="Constantia"/>
          <w:sz w:val="36"/>
        </w:rPr>
        <w:t>Rubrica</w:t>
      </w:r>
    </w:p>
    <w:p>
      <w:pPr>
        <w:pStyle w:val="ListParagraph"/>
        <w:numPr>
          <w:ilvl w:val="1"/>
          <w:numId w:val="3"/>
        </w:numPr>
        <w:tabs>
          <w:tab w:pos="1113" w:val="left" w:leader="none"/>
        </w:tabs>
        <w:spacing w:line="240" w:lineRule="auto" w:before="99" w:after="0"/>
        <w:ind w:left="1112" w:right="0" w:hanging="389"/>
        <w:jc w:val="left"/>
        <w:rPr>
          <w:rFonts w:ascii="Wingdings"/>
          <w:b/>
          <w:color w:val="0E6EC5"/>
          <w:sz w:val="37"/>
        </w:rPr>
      </w:pPr>
      <w:r>
        <w:rPr>
          <w:b/>
          <w:sz w:val="44"/>
        </w:rPr>
        <w:t>Nivel de</w:t>
      </w:r>
      <w:r>
        <w:rPr>
          <w:b/>
          <w:spacing w:val="-14"/>
          <w:sz w:val="44"/>
        </w:rPr>
        <w:t> </w:t>
      </w:r>
      <w:r>
        <w:rPr>
          <w:b/>
          <w:sz w:val="44"/>
        </w:rPr>
        <w:t>logro</w:t>
      </w:r>
    </w:p>
    <w:p>
      <w:pPr>
        <w:pStyle w:val="ListParagraph"/>
        <w:numPr>
          <w:ilvl w:val="2"/>
          <w:numId w:val="3"/>
        </w:numPr>
        <w:tabs>
          <w:tab w:pos="1544" w:val="left" w:leader="none"/>
          <w:tab w:pos="1545" w:val="left" w:leader="none"/>
          <w:tab w:pos="6550" w:val="left" w:leader="none"/>
          <w:tab w:pos="6826" w:val="left" w:leader="none"/>
          <w:tab w:pos="12144" w:val="left" w:leader="none"/>
        </w:tabs>
        <w:spacing w:line="240" w:lineRule="auto" w:before="76" w:after="0"/>
        <w:ind w:left="1544" w:right="0" w:hanging="389"/>
        <w:jc w:val="left"/>
        <w:rPr>
          <w:rFonts w:ascii="Constantia"/>
          <w:sz w:val="36"/>
        </w:rPr>
      </w:pPr>
      <w:r>
        <w:rPr>
          <w:rFonts w:ascii="Constantia"/>
          <w:sz w:val="36"/>
        </w:rPr>
        <w:t>Competencia</w:t>
      </w:r>
      <w:r>
        <w:rPr>
          <w:rFonts w:ascii="Constantia"/>
          <w:spacing w:val="-12"/>
          <w:sz w:val="36"/>
        </w:rPr>
        <w:t> </w:t>
      </w:r>
      <w:r>
        <w:rPr>
          <w:rFonts w:ascii="Constantia"/>
          <w:sz w:val="36"/>
        </w:rPr>
        <w:t>Lograda</w:t>
      </w:r>
      <w:r>
        <w:rPr>
          <w:rFonts w:ascii="Constantia"/>
          <w:sz w:val="36"/>
          <w:u w:val="single"/>
        </w:rPr>
        <w:t> </w:t>
        <w:tab/>
      </w:r>
      <w:r>
        <w:rPr>
          <w:rFonts w:ascii="Constantia"/>
          <w:sz w:val="36"/>
        </w:rPr>
        <w:tab/>
        <w:t>Competencia en</w:t>
      </w:r>
      <w:r>
        <w:rPr>
          <w:rFonts w:ascii="Constantia"/>
          <w:spacing w:val="-52"/>
          <w:sz w:val="36"/>
        </w:rPr>
        <w:t> </w:t>
      </w:r>
      <w:r>
        <w:rPr>
          <w:rFonts w:ascii="Constantia"/>
          <w:sz w:val="36"/>
        </w:rPr>
        <w:t>proceso</w:t>
      </w:r>
      <w:r>
        <w:rPr>
          <w:rFonts w:ascii="Constantia"/>
          <w:sz w:val="36"/>
          <w:u w:val="single"/>
        </w:rPr>
        <w:t> </w:t>
        <w:tab/>
      </w:r>
    </w:p>
    <w:p>
      <w:pPr>
        <w:pStyle w:val="BodyText"/>
        <w:spacing w:before="2"/>
        <w:rPr>
          <w:rFonts w:ascii="Constantia"/>
          <w:sz w:val="26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10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ListParagraph"/>
        <w:numPr>
          <w:ilvl w:val="0"/>
          <w:numId w:val="3"/>
        </w:numPr>
        <w:tabs>
          <w:tab w:pos="429" w:val="left" w:leader="none"/>
          <w:tab w:pos="535" w:val="left" w:leader="none"/>
        </w:tabs>
        <w:spacing w:line="240" w:lineRule="auto" w:before="78" w:after="0"/>
        <w:ind w:left="534" w:right="8990" w:hanging="430"/>
        <w:jc w:val="center"/>
        <w:rPr>
          <w:rFonts w:ascii="Wingdings" w:hAnsi="Wingdings"/>
          <w:b/>
          <w:color w:val="0AD0D9"/>
          <w:sz w:val="34"/>
        </w:rPr>
      </w:pPr>
      <w:r>
        <w:rPr/>
        <w:pict>
          <v:group style="position:absolute;margin-left:-.069398pt;margin-top:-.000061pt;width:720.15pt;height:540pt;mso-position-horizontal-relative:page;mso-position-vertical-relative:page;z-index:-1547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  <w:r>
        <w:rPr>
          <w:b/>
          <w:sz w:val="36"/>
        </w:rPr>
        <w:t>Bibliografía</w:t>
      </w:r>
      <w:r>
        <w:rPr>
          <w:b/>
          <w:spacing w:val="-24"/>
          <w:sz w:val="36"/>
        </w:rPr>
        <w:t> </w:t>
      </w:r>
      <w:r>
        <w:rPr>
          <w:b/>
          <w:sz w:val="36"/>
        </w:rPr>
        <w:t>consultada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240" w:lineRule="auto" w:before="71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sz w:val="32"/>
        </w:rPr>
        <w:t>AGUILAR </w:t>
      </w:r>
      <w:r>
        <w:rPr>
          <w:spacing w:val="-17"/>
          <w:sz w:val="32"/>
        </w:rPr>
        <w:t>V. </w:t>
      </w:r>
      <w:r>
        <w:rPr>
          <w:sz w:val="32"/>
        </w:rPr>
        <w:t>et al. 1984. Administración Agropecuaria,  Ed.</w:t>
      </w:r>
      <w:r>
        <w:rPr>
          <w:spacing w:val="-35"/>
          <w:sz w:val="32"/>
        </w:rPr>
        <w:t> </w:t>
      </w:r>
      <w:r>
        <w:rPr>
          <w:sz w:val="32"/>
        </w:rPr>
        <w:t>LIMUSA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388" w:lineRule="exact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sz w:val="32"/>
        </w:rPr>
        <w:t>AGUILAR</w:t>
      </w:r>
      <w:r>
        <w:rPr>
          <w:spacing w:val="-4"/>
          <w:sz w:val="32"/>
        </w:rPr>
        <w:t> </w:t>
      </w:r>
      <w:r>
        <w:rPr>
          <w:spacing w:val="-11"/>
          <w:sz w:val="32"/>
        </w:rPr>
        <w:t>V.,</w:t>
      </w:r>
      <w:r>
        <w:rPr>
          <w:spacing w:val="-8"/>
          <w:sz w:val="32"/>
        </w:rPr>
        <w:t> </w:t>
      </w:r>
      <w:r>
        <w:rPr>
          <w:sz w:val="32"/>
        </w:rPr>
        <w:t>A.</w:t>
      </w:r>
      <w:r>
        <w:rPr>
          <w:spacing w:val="-7"/>
          <w:sz w:val="32"/>
        </w:rPr>
        <w:t> </w:t>
      </w:r>
      <w:r>
        <w:rPr>
          <w:sz w:val="32"/>
        </w:rPr>
        <w:t>et</w:t>
      </w:r>
      <w:r>
        <w:rPr>
          <w:spacing w:val="-5"/>
          <w:sz w:val="32"/>
        </w:rPr>
        <w:t> </w:t>
      </w:r>
      <w:r>
        <w:rPr>
          <w:sz w:val="32"/>
        </w:rPr>
        <w:t>al.</w:t>
      </w:r>
      <w:r>
        <w:rPr>
          <w:spacing w:val="-11"/>
          <w:sz w:val="32"/>
        </w:rPr>
        <w:t> </w:t>
      </w:r>
      <w:r>
        <w:rPr>
          <w:sz w:val="32"/>
        </w:rPr>
        <w:t>1983.</w:t>
      </w:r>
      <w:r>
        <w:rPr>
          <w:spacing w:val="-3"/>
          <w:sz w:val="32"/>
        </w:rPr>
        <w:t> </w:t>
      </w:r>
      <w:r>
        <w:rPr>
          <w:sz w:val="32"/>
        </w:rPr>
        <w:t>Aspectos</w:t>
      </w:r>
      <w:r>
        <w:rPr>
          <w:spacing w:val="-4"/>
          <w:sz w:val="32"/>
        </w:rPr>
        <w:t> </w:t>
      </w:r>
      <w:r>
        <w:rPr>
          <w:sz w:val="32"/>
        </w:rPr>
        <w:t>Económicos</w:t>
      </w:r>
      <w:r>
        <w:rPr>
          <w:spacing w:val="-1"/>
          <w:sz w:val="32"/>
        </w:rPr>
        <w:t> </w:t>
      </w:r>
      <w:r>
        <w:rPr>
          <w:sz w:val="32"/>
        </w:rPr>
        <w:t>y</w:t>
      </w:r>
      <w:r>
        <w:rPr>
          <w:spacing w:val="-7"/>
          <w:sz w:val="32"/>
        </w:rPr>
        <w:t> </w:t>
      </w:r>
      <w:r>
        <w:rPr>
          <w:sz w:val="32"/>
        </w:rPr>
        <w:t>Administrativos</w:t>
      </w:r>
      <w:r>
        <w:rPr>
          <w:spacing w:val="-12"/>
          <w:sz w:val="32"/>
        </w:rPr>
        <w:t> </w:t>
      </w:r>
      <w:r>
        <w:rPr>
          <w:sz w:val="32"/>
        </w:rPr>
        <w:t>de</w:t>
      </w:r>
      <w:r>
        <w:rPr>
          <w:spacing w:val="-6"/>
          <w:sz w:val="32"/>
        </w:rPr>
        <w:t> </w:t>
      </w:r>
      <w:r>
        <w:rPr>
          <w:sz w:val="32"/>
        </w:rPr>
        <w:t>la</w:t>
      </w:r>
      <w:r>
        <w:rPr>
          <w:spacing w:val="-9"/>
          <w:sz w:val="32"/>
        </w:rPr>
        <w:t> </w:t>
      </w:r>
      <w:r>
        <w:rPr>
          <w:sz w:val="32"/>
        </w:rPr>
        <w:t>Empresa</w:t>
      </w:r>
    </w:p>
    <w:p>
      <w:pPr>
        <w:pStyle w:val="BodyText"/>
        <w:spacing w:line="388" w:lineRule="exact"/>
        <w:ind w:left="1112"/>
      </w:pPr>
      <w:r>
        <w:rPr/>
        <w:t>Agropecuaria,  Ed. LIMUSA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240" w:lineRule="auto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sz w:val="32"/>
        </w:rPr>
        <w:t>FRED</w:t>
      </w:r>
      <w:r>
        <w:rPr>
          <w:spacing w:val="-5"/>
          <w:sz w:val="32"/>
        </w:rPr>
        <w:t> </w:t>
      </w:r>
      <w:r>
        <w:rPr>
          <w:sz w:val="32"/>
        </w:rPr>
        <w:t>R.,</w:t>
      </w:r>
      <w:r>
        <w:rPr>
          <w:spacing w:val="-8"/>
          <w:sz w:val="32"/>
        </w:rPr>
        <w:t> </w:t>
      </w:r>
      <w:r>
        <w:rPr>
          <w:spacing w:val="-5"/>
          <w:sz w:val="32"/>
        </w:rPr>
        <w:t>DAVID.</w:t>
      </w:r>
      <w:r>
        <w:rPr>
          <w:spacing w:val="-7"/>
          <w:sz w:val="32"/>
        </w:rPr>
        <w:t> </w:t>
      </w:r>
      <w:r>
        <w:rPr>
          <w:sz w:val="32"/>
        </w:rPr>
        <w:t>2008.</w:t>
      </w:r>
      <w:r>
        <w:rPr>
          <w:spacing w:val="-4"/>
          <w:sz w:val="32"/>
        </w:rPr>
        <w:t> </w:t>
      </w:r>
      <w:r>
        <w:rPr>
          <w:sz w:val="32"/>
        </w:rPr>
        <w:t>Conceptos</w:t>
      </w:r>
      <w:r>
        <w:rPr>
          <w:spacing w:val="-5"/>
          <w:sz w:val="32"/>
        </w:rPr>
        <w:t> </w:t>
      </w:r>
      <w:r>
        <w:rPr>
          <w:sz w:val="32"/>
        </w:rPr>
        <w:t>de</w:t>
      </w:r>
      <w:r>
        <w:rPr>
          <w:spacing w:val="-8"/>
          <w:sz w:val="32"/>
        </w:rPr>
        <w:t> </w:t>
      </w:r>
      <w:r>
        <w:rPr>
          <w:sz w:val="32"/>
        </w:rPr>
        <w:t>Administración</w:t>
      </w:r>
      <w:r>
        <w:rPr>
          <w:spacing w:val="-11"/>
          <w:sz w:val="32"/>
        </w:rPr>
        <w:t> </w:t>
      </w:r>
      <w:r>
        <w:rPr>
          <w:sz w:val="32"/>
        </w:rPr>
        <w:t>Estratégica.</w:t>
      </w:r>
      <w:r>
        <w:rPr>
          <w:spacing w:val="-12"/>
          <w:sz w:val="32"/>
        </w:rPr>
        <w:t> </w:t>
      </w:r>
      <w:r>
        <w:rPr>
          <w:sz w:val="32"/>
        </w:rPr>
        <w:t>Ed.</w:t>
      </w:r>
      <w:r>
        <w:rPr>
          <w:spacing w:val="-8"/>
          <w:sz w:val="32"/>
        </w:rPr>
        <w:t> </w:t>
      </w:r>
      <w:r>
        <w:rPr>
          <w:spacing w:val="-3"/>
          <w:sz w:val="32"/>
        </w:rPr>
        <w:t>Pearson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387" w:lineRule="exact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sz w:val="32"/>
        </w:rPr>
        <w:t>HERNÁNDEZ HERNÁNDEZ, A. 2006. Problemario de Matemáticas Financieras.</w:t>
      </w:r>
      <w:r>
        <w:rPr>
          <w:spacing w:val="-35"/>
          <w:sz w:val="32"/>
        </w:rPr>
        <w:t> </w:t>
      </w:r>
      <w:r>
        <w:rPr>
          <w:spacing w:val="-3"/>
          <w:sz w:val="32"/>
        </w:rPr>
        <w:t>Ed.</w:t>
      </w:r>
    </w:p>
    <w:p>
      <w:pPr>
        <w:pStyle w:val="BodyText"/>
        <w:spacing w:line="387" w:lineRule="exact"/>
        <w:ind w:left="1112"/>
      </w:pPr>
      <w:r>
        <w:rPr/>
        <w:t>Thomson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388" w:lineRule="exact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sz w:val="32"/>
        </w:rPr>
        <w:t>HERNÁNDEZ, S.</w:t>
      </w:r>
      <w:r>
        <w:rPr>
          <w:spacing w:val="-9"/>
          <w:sz w:val="32"/>
        </w:rPr>
        <w:t> </w:t>
      </w:r>
      <w:r>
        <w:rPr>
          <w:sz w:val="32"/>
        </w:rPr>
        <w:t>1994.</w:t>
      </w:r>
      <w:r>
        <w:rPr>
          <w:spacing w:val="-2"/>
          <w:sz w:val="32"/>
        </w:rPr>
        <w:t> </w:t>
      </w:r>
      <w:r>
        <w:rPr>
          <w:sz w:val="32"/>
        </w:rPr>
        <w:t>Introducción</w:t>
      </w:r>
      <w:r>
        <w:rPr>
          <w:spacing w:val="-9"/>
          <w:sz w:val="32"/>
        </w:rPr>
        <w:t> </w:t>
      </w:r>
      <w:r>
        <w:rPr>
          <w:sz w:val="32"/>
        </w:rPr>
        <w:t>a</w:t>
      </w:r>
      <w:r>
        <w:rPr>
          <w:spacing w:val="-9"/>
          <w:sz w:val="32"/>
        </w:rPr>
        <w:t> </w:t>
      </w:r>
      <w:r>
        <w:rPr>
          <w:sz w:val="32"/>
        </w:rPr>
        <w:t>la</w:t>
      </w:r>
      <w:r>
        <w:rPr>
          <w:spacing w:val="-10"/>
          <w:sz w:val="32"/>
        </w:rPr>
        <w:t> </w:t>
      </w:r>
      <w:r>
        <w:rPr>
          <w:sz w:val="32"/>
        </w:rPr>
        <w:t>Administración.</w:t>
      </w:r>
      <w:r>
        <w:rPr>
          <w:spacing w:val="-13"/>
          <w:sz w:val="32"/>
        </w:rPr>
        <w:t> </w:t>
      </w:r>
      <w:r>
        <w:rPr>
          <w:sz w:val="32"/>
        </w:rPr>
        <w:t>Un</w:t>
      </w:r>
      <w:r>
        <w:rPr>
          <w:spacing w:val="-9"/>
          <w:sz w:val="32"/>
        </w:rPr>
        <w:t> </w:t>
      </w:r>
      <w:r>
        <w:rPr>
          <w:sz w:val="32"/>
        </w:rPr>
        <w:t>enfoque</w:t>
      </w:r>
      <w:r>
        <w:rPr>
          <w:spacing w:val="-5"/>
          <w:sz w:val="32"/>
        </w:rPr>
        <w:t> </w:t>
      </w:r>
      <w:r>
        <w:rPr>
          <w:sz w:val="32"/>
        </w:rPr>
        <w:t>teórico</w:t>
      </w:r>
      <w:r>
        <w:rPr>
          <w:spacing w:val="-5"/>
          <w:sz w:val="32"/>
        </w:rPr>
        <w:t> </w:t>
      </w:r>
      <w:r>
        <w:rPr>
          <w:sz w:val="32"/>
        </w:rPr>
        <w:t>práctico.</w:t>
      </w:r>
      <w:r>
        <w:rPr>
          <w:spacing w:val="-9"/>
          <w:sz w:val="32"/>
        </w:rPr>
        <w:t> </w:t>
      </w:r>
      <w:r>
        <w:rPr>
          <w:spacing w:val="-3"/>
          <w:sz w:val="32"/>
        </w:rPr>
        <w:t>Ed.</w:t>
      </w:r>
    </w:p>
    <w:p>
      <w:pPr>
        <w:pStyle w:val="BodyText"/>
        <w:spacing w:line="388" w:lineRule="exact"/>
        <w:ind w:left="1112"/>
      </w:pPr>
      <w:r>
        <w:rPr/>
        <w:t>Mc Graw Hill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240" w:lineRule="auto" w:before="70" w:after="0"/>
        <w:ind w:left="1112" w:right="0" w:hanging="389"/>
        <w:jc w:val="left"/>
        <w:rPr>
          <w:rFonts w:ascii="Wingdings"/>
          <w:color w:val="0E6EC5"/>
          <w:sz w:val="27"/>
        </w:rPr>
      </w:pPr>
      <w:r>
        <w:rPr>
          <w:spacing w:val="-9"/>
          <w:sz w:val="32"/>
        </w:rPr>
        <w:t>KAY</w:t>
      </w:r>
      <w:r>
        <w:rPr>
          <w:spacing w:val="-6"/>
          <w:sz w:val="32"/>
        </w:rPr>
        <w:t> </w:t>
      </w:r>
      <w:r>
        <w:rPr>
          <w:sz w:val="32"/>
        </w:rPr>
        <w:t>DPRIETO</w:t>
      </w:r>
      <w:r>
        <w:rPr>
          <w:spacing w:val="-7"/>
          <w:sz w:val="32"/>
        </w:rPr>
        <w:t> </w:t>
      </w:r>
      <w:r>
        <w:rPr>
          <w:sz w:val="32"/>
        </w:rPr>
        <w:t>LLORENTE, A.</w:t>
      </w:r>
      <w:r>
        <w:rPr>
          <w:spacing w:val="-8"/>
          <w:sz w:val="32"/>
        </w:rPr>
        <w:t> </w:t>
      </w:r>
      <w:r>
        <w:rPr>
          <w:sz w:val="32"/>
        </w:rPr>
        <w:t>2007.</w:t>
      </w:r>
      <w:r>
        <w:rPr>
          <w:spacing w:val="-4"/>
          <w:sz w:val="32"/>
        </w:rPr>
        <w:t> </w:t>
      </w:r>
      <w:r>
        <w:rPr>
          <w:sz w:val="32"/>
        </w:rPr>
        <w:t>Principios</w:t>
      </w:r>
      <w:r>
        <w:rPr>
          <w:spacing w:val="-11"/>
          <w:sz w:val="32"/>
        </w:rPr>
        <w:t> </w:t>
      </w:r>
      <w:r>
        <w:rPr>
          <w:sz w:val="32"/>
        </w:rPr>
        <w:t>de</w:t>
      </w:r>
      <w:r>
        <w:rPr>
          <w:spacing w:val="-7"/>
          <w:sz w:val="32"/>
        </w:rPr>
        <w:t> </w:t>
      </w:r>
      <w:r>
        <w:rPr>
          <w:sz w:val="32"/>
        </w:rPr>
        <w:t>Contabilidad.</w:t>
      </w:r>
      <w:r>
        <w:rPr>
          <w:spacing w:val="-14"/>
          <w:sz w:val="32"/>
        </w:rPr>
        <w:t> </w:t>
      </w:r>
      <w:r>
        <w:rPr>
          <w:sz w:val="32"/>
        </w:rPr>
        <w:t>Ed.</w:t>
      </w:r>
      <w:r>
        <w:rPr>
          <w:spacing w:val="-8"/>
          <w:sz w:val="32"/>
        </w:rPr>
        <w:t> </w:t>
      </w:r>
      <w:r>
        <w:rPr>
          <w:sz w:val="32"/>
        </w:rPr>
        <w:t>LIMUSA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384" w:lineRule="exact" w:before="67" w:after="0"/>
        <w:ind w:left="1112" w:right="616" w:hanging="389"/>
        <w:jc w:val="left"/>
        <w:rPr>
          <w:rFonts w:ascii="Wingdings" w:hAnsi="Wingdings"/>
          <w:color w:val="0E6EC5"/>
          <w:sz w:val="27"/>
        </w:rPr>
      </w:pPr>
      <w:r>
        <w:rPr>
          <w:spacing w:val="-3"/>
          <w:sz w:val="32"/>
        </w:rPr>
        <w:t>KOONTZ,</w:t>
      </w:r>
      <w:r>
        <w:rPr>
          <w:sz w:val="32"/>
        </w:rPr>
        <w:t> H.</w:t>
      </w:r>
      <w:r>
        <w:rPr>
          <w:spacing w:val="-8"/>
          <w:sz w:val="32"/>
        </w:rPr>
        <w:t> </w:t>
      </w:r>
      <w:r>
        <w:rPr>
          <w:sz w:val="32"/>
        </w:rPr>
        <w:t>y</w:t>
      </w:r>
      <w:r>
        <w:rPr>
          <w:spacing w:val="-5"/>
          <w:sz w:val="32"/>
        </w:rPr>
        <w:t> </w:t>
      </w:r>
      <w:r>
        <w:rPr>
          <w:sz w:val="32"/>
        </w:rPr>
        <w:t>WEIHRICH,</w:t>
      </w:r>
      <w:r>
        <w:rPr>
          <w:spacing w:val="-2"/>
          <w:sz w:val="32"/>
        </w:rPr>
        <w:t> </w:t>
      </w:r>
      <w:r>
        <w:rPr>
          <w:sz w:val="32"/>
        </w:rPr>
        <w:t>H.</w:t>
      </w:r>
      <w:r>
        <w:rPr>
          <w:spacing w:val="-6"/>
          <w:sz w:val="32"/>
        </w:rPr>
        <w:t> </w:t>
      </w:r>
      <w:r>
        <w:rPr>
          <w:sz w:val="32"/>
        </w:rPr>
        <w:t>2004.</w:t>
      </w:r>
      <w:r>
        <w:rPr>
          <w:spacing w:val="1"/>
          <w:sz w:val="32"/>
        </w:rPr>
        <w:t> </w:t>
      </w:r>
      <w:r>
        <w:rPr>
          <w:sz w:val="32"/>
        </w:rPr>
        <w:t>Administración.</w:t>
      </w:r>
      <w:r>
        <w:rPr>
          <w:spacing w:val="-11"/>
          <w:sz w:val="32"/>
        </w:rPr>
        <w:t> </w:t>
      </w:r>
      <w:r>
        <w:rPr>
          <w:sz w:val="32"/>
        </w:rPr>
        <w:t>Una</w:t>
      </w:r>
      <w:r>
        <w:rPr>
          <w:spacing w:val="-7"/>
          <w:sz w:val="32"/>
        </w:rPr>
        <w:t> </w:t>
      </w:r>
      <w:r>
        <w:rPr>
          <w:sz w:val="32"/>
        </w:rPr>
        <w:t>perspectiva</w:t>
      </w:r>
      <w:r>
        <w:rPr>
          <w:spacing w:val="-4"/>
          <w:sz w:val="32"/>
        </w:rPr>
        <w:t> </w:t>
      </w:r>
      <w:r>
        <w:rPr>
          <w:sz w:val="32"/>
        </w:rPr>
        <w:t>global.</w:t>
      </w:r>
      <w:r>
        <w:rPr>
          <w:spacing w:val="-11"/>
          <w:sz w:val="32"/>
        </w:rPr>
        <w:t> </w:t>
      </w:r>
      <w:r>
        <w:rPr>
          <w:sz w:val="32"/>
        </w:rPr>
        <w:t>Ed.</w:t>
      </w:r>
      <w:r>
        <w:rPr>
          <w:spacing w:val="-6"/>
          <w:sz w:val="32"/>
        </w:rPr>
        <w:t> </w:t>
      </w:r>
      <w:r>
        <w:rPr>
          <w:sz w:val="32"/>
        </w:rPr>
        <w:t>Mc</w:t>
      </w:r>
      <w:r>
        <w:rPr>
          <w:spacing w:val="-7"/>
          <w:sz w:val="32"/>
        </w:rPr>
        <w:t> </w:t>
      </w:r>
      <w:r>
        <w:rPr>
          <w:spacing w:val="-3"/>
          <w:sz w:val="32"/>
        </w:rPr>
        <w:t>Graw </w:t>
      </w:r>
      <w:r>
        <w:rPr>
          <w:sz w:val="32"/>
        </w:rPr>
        <w:t>Hill.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240" w:lineRule="auto" w:before="79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z w:val="32"/>
        </w:rPr>
        <w:t>Montesinos, </w:t>
      </w:r>
      <w:r>
        <w:rPr>
          <w:rFonts w:ascii="Constantia" w:hAnsi="Constantia"/>
          <w:spacing w:val="-12"/>
          <w:sz w:val="32"/>
        </w:rPr>
        <w:t>V., </w:t>
      </w:r>
      <w:r>
        <w:rPr>
          <w:rFonts w:ascii="Constantia" w:hAnsi="Constantia"/>
          <w:sz w:val="32"/>
        </w:rPr>
        <w:t>2016. </w:t>
      </w:r>
      <w:r>
        <w:rPr>
          <w:rFonts w:ascii="Constantia" w:hAnsi="Constantia"/>
          <w:i/>
          <w:sz w:val="32"/>
        </w:rPr>
        <w:t>Fundamentos de contabilidad financiera</w:t>
      </w:r>
      <w:r>
        <w:rPr>
          <w:rFonts w:ascii="Constantia" w:hAnsi="Constantia"/>
          <w:sz w:val="32"/>
        </w:rPr>
        <w:t>. Ediciones</w:t>
      </w:r>
      <w:r>
        <w:rPr>
          <w:rFonts w:ascii="Constantia" w:hAnsi="Constantia"/>
          <w:spacing w:val="-57"/>
          <w:sz w:val="32"/>
        </w:rPr>
        <w:t> </w:t>
      </w:r>
      <w:r>
        <w:rPr>
          <w:rFonts w:ascii="Constantia" w:hAnsi="Constantia"/>
          <w:sz w:val="32"/>
        </w:rPr>
        <w:t>Pirámide.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384" w:lineRule="exact" w:before="68" w:after="0"/>
        <w:ind w:left="1112" w:right="1918" w:hanging="389"/>
        <w:jc w:val="left"/>
        <w:rPr>
          <w:rFonts w:ascii="Wingdings" w:hAnsi="Wingdings"/>
          <w:color w:val="0E6EC5"/>
          <w:sz w:val="27"/>
        </w:rPr>
      </w:pPr>
      <w:r>
        <w:rPr>
          <w:rFonts w:ascii="Constantia" w:hAnsi="Constantia"/>
          <w:spacing w:val="-3"/>
          <w:sz w:val="32"/>
        </w:rPr>
        <w:t>Montaño, </w:t>
      </w:r>
      <w:r>
        <w:rPr>
          <w:rFonts w:ascii="Constantia" w:hAnsi="Constantia"/>
          <w:spacing w:val="-4"/>
          <w:sz w:val="32"/>
        </w:rPr>
        <w:t>J. </w:t>
      </w:r>
      <w:r>
        <w:rPr>
          <w:rFonts w:ascii="Constantia" w:hAnsi="Constantia"/>
          <w:sz w:val="32"/>
        </w:rPr>
        <w:t>L. A., Cardoso, S. M. </w:t>
      </w:r>
      <w:r>
        <w:rPr>
          <w:rFonts w:ascii="Constantia" w:hAnsi="Constantia"/>
          <w:spacing w:val="-3"/>
          <w:sz w:val="32"/>
        </w:rPr>
        <w:t>J., </w:t>
      </w:r>
      <w:r>
        <w:rPr>
          <w:rFonts w:ascii="Constantia" w:hAnsi="Constantia"/>
          <w:sz w:val="32"/>
        </w:rPr>
        <w:t>&amp; Albert, I. R., 2016, </w:t>
      </w:r>
      <w:r>
        <w:rPr>
          <w:rFonts w:ascii="Constantia" w:hAnsi="Constantia"/>
          <w:i/>
          <w:sz w:val="32"/>
        </w:rPr>
        <w:t>Introducción a</w:t>
      </w:r>
      <w:r>
        <w:rPr>
          <w:rFonts w:ascii="Constantia" w:hAnsi="Constantia"/>
          <w:i/>
          <w:spacing w:val="-37"/>
          <w:sz w:val="32"/>
        </w:rPr>
        <w:t> </w:t>
      </w:r>
      <w:r>
        <w:rPr>
          <w:rFonts w:ascii="Constantia" w:hAnsi="Constantia"/>
          <w:i/>
          <w:sz w:val="32"/>
        </w:rPr>
        <w:t>la </w:t>
      </w:r>
      <w:r>
        <w:rPr>
          <w:rFonts w:ascii="Constantia" w:hAnsi="Constantia"/>
          <w:i/>
          <w:sz w:val="32"/>
        </w:rPr>
        <w:t>contabilidad financiera</w:t>
      </w:r>
      <w:r>
        <w:rPr>
          <w:rFonts w:ascii="Constantia" w:hAnsi="Constantia"/>
          <w:sz w:val="32"/>
        </w:rPr>
        <w:t>. Ediciones</w:t>
      </w:r>
      <w:r>
        <w:rPr>
          <w:rFonts w:ascii="Constantia" w:hAnsi="Constantia"/>
          <w:spacing w:val="-18"/>
          <w:sz w:val="32"/>
        </w:rPr>
        <w:t> </w:t>
      </w:r>
      <w:r>
        <w:rPr>
          <w:rFonts w:ascii="Constantia" w:hAnsi="Constantia"/>
          <w:sz w:val="32"/>
        </w:rPr>
        <w:t>Pirámide.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240" w:lineRule="auto" w:before="79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sz w:val="32"/>
        </w:rPr>
        <w:t>RAMÍREZ </w:t>
      </w:r>
      <w:r>
        <w:rPr>
          <w:spacing w:val="-3"/>
          <w:sz w:val="32"/>
        </w:rPr>
        <w:t>PADILLA, </w:t>
      </w:r>
      <w:r>
        <w:rPr>
          <w:spacing w:val="-4"/>
          <w:sz w:val="32"/>
        </w:rPr>
        <w:t>D. </w:t>
      </w:r>
      <w:r>
        <w:rPr>
          <w:sz w:val="32"/>
        </w:rPr>
        <w:t>2005. Contabilidad administrativa.</w:t>
      </w:r>
      <w:r>
        <w:rPr>
          <w:spacing w:val="-54"/>
          <w:sz w:val="32"/>
        </w:rPr>
        <w:t> </w:t>
      </w:r>
      <w:r>
        <w:rPr>
          <w:sz w:val="32"/>
        </w:rPr>
        <w:t>Ed. Mc </w:t>
      </w:r>
      <w:r>
        <w:rPr>
          <w:spacing w:val="-3"/>
          <w:sz w:val="32"/>
        </w:rPr>
        <w:t>Graw </w:t>
      </w:r>
      <w:r>
        <w:rPr>
          <w:sz w:val="32"/>
        </w:rPr>
        <w:t>Hill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240" w:lineRule="auto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sz w:val="32"/>
        </w:rPr>
        <w:t>REYES PONCE, A. 1990. Administración de Empresas,  Ed.</w:t>
      </w:r>
      <w:r>
        <w:rPr>
          <w:spacing w:val="-44"/>
          <w:sz w:val="32"/>
        </w:rPr>
        <w:t> </w:t>
      </w:r>
      <w:r>
        <w:rPr>
          <w:sz w:val="32"/>
        </w:rPr>
        <w:t>LIMUSA.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240" w:lineRule="auto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sz w:val="32"/>
        </w:rPr>
        <w:t>ROBBINS, S Y </w:t>
      </w:r>
      <w:r>
        <w:rPr>
          <w:spacing w:val="-5"/>
          <w:sz w:val="32"/>
        </w:rPr>
        <w:t>Couter, </w:t>
      </w:r>
      <w:r>
        <w:rPr>
          <w:sz w:val="32"/>
        </w:rPr>
        <w:t>M. 2005. Administración. Ed.</w:t>
      </w:r>
      <w:r>
        <w:rPr>
          <w:spacing w:val="-26"/>
          <w:sz w:val="32"/>
        </w:rPr>
        <w:t> </w:t>
      </w:r>
      <w:r>
        <w:rPr>
          <w:spacing w:val="-3"/>
          <w:sz w:val="32"/>
        </w:rPr>
        <w:t>Pearson.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240" w:lineRule="auto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r>
        <w:rPr>
          <w:spacing w:val="-3"/>
          <w:sz w:val="32"/>
        </w:rPr>
        <w:t>RONALD. </w:t>
      </w:r>
      <w:r>
        <w:rPr>
          <w:sz w:val="32"/>
        </w:rPr>
        <w:t>1993. Administración Agrícola y Ganadera,  </w:t>
      </w:r>
      <w:r>
        <w:rPr>
          <w:spacing w:val="-3"/>
          <w:sz w:val="32"/>
        </w:rPr>
        <w:t>Ed.</w:t>
      </w:r>
      <w:r>
        <w:rPr>
          <w:spacing w:val="-27"/>
          <w:sz w:val="32"/>
        </w:rPr>
        <w:t> </w:t>
      </w:r>
      <w:r>
        <w:rPr>
          <w:spacing w:val="-3"/>
          <w:sz w:val="32"/>
        </w:rPr>
        <w:t>CECSA</w:t>
      </w:r>
    </w:p>
    <w:p>
      <w:pPr>
        <w:pStyle w:val="ListParagraph"/>
        <w:numPr>
          <w:ilvl w:val="1"/>
          <w:numId w:val="3"/>
        </w:numPr>
        <w:tabs>
          <w:tab w:pos="1112" w:val="left" w:leader="none"/>
          <w:tab w:pos="1113" w:val="left" w:leader="none"/>
        </w:tabs>
        <w:spacing w:line="240" w:lineRule="auto" w:before="70" w:after="0"/>
        <w:ind w:left="1112" w:right="0" w:hanging="389"/>
        <w:jc w:val="left"/>
        <w:rPr>
          <w:rFonts w:ascii="Wingdings" w:hAnsi="Wingdings"/>
          <w:color w:val="0E6EC5"/>
          <w:sz w:val="27"/>
        </w:rPr>
      </w:pPr>
      <w:hyperlink r:id="rId17">
        <w:r>
          <w:rPr>
            <w:sz w:val="32"/>
          </w:rPr>
          <w:t>http://www.google.com.mx/,</w:t>
        </w:r>
      </w:hyperlink>
      <w:r>
        <w:rPr>
          <w:spacing w:val="-32"/>
          <w:sz w:val="32"/>
        </w:rPr>
        <w:t> </w:t>
      </w:r>
      <w:r>
        <w:rPr>
          <w:sz w:val="32"/>
        </w:rPr>
        <w:t>imágenes,</w:t>
      </w:r>
      <w:r>
        <w:rPr>
          <w:spacing w:val="-33"/>
          <w:sz w:val="32"/>
        </w:rPr>
        <w:t> </w:t>
      </w:r>
      <w:r>
        <w:rPr>
          <w:sz w:val="32"/>
        </w:rPr>
        <w:t>2016</w:t>
      </w:r>
    </w:p>
    <w:p>
      <w:pPr>
        <w:pStyle w:val="BodyText"/>
        <w:spacing w:before="11"/>
        <w:rPr>
          <w:sz w:val="28"/>
        </w:rPr>
      </w:pPr>
    </w:p>
    <w:p>
      <w:pPr>
        <w:spacing w:before="51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11</w:t>
      </w:r>
    </w:p>
    <w:sectPr>
      <w:pgSz w:w="14400" w:h="10800" w:orient="landscape"/>
      <w:pgMar w:top="1000" w:bottom="0" w:left="760" w:right="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Wingdings">
    <w:altName w:val="Wingdings"/>
    <w:charset w:val="2"/>
    <w:family w:val="auto"/>
    <w:pitch w:val="variable"/>
  </w:font>
  <w:font w:name="Constantia">
    <w:altName w:val="Constantia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bullet"/>
      <w:lvlText w:val=""/>
      <w:lvlJc w:val="left"/>
      <w:pPr>
        <w:ind w:left="534" w:hanging="431"/>
      </w:pPr>
      <w:rPr>
        <w:rFonts w:hint="default"/>
        <w:w w:val="55"/>
      </w:rPr>
    </w:lvl>
    <w:lvl w:ilvl="1">
      <w:start w:val="1"/>
      <w:numFmt w:val="bullet"/>
      <w:lvlText w:val=""/>
      <w:lvlJc w:val="left"/>
      <w:pPr>
        <w:ind w:left="1112" w:hanging="389"/>
      </w:pPr>
      <w:rPr>
        <w:rFonts w:hint="default"/>
        <w:w w:val="55"/>
      </w:rPr>
    </w:lvl>
    <w:lvl w:ilvl="2">
      <w:start w:val="1"/>
      <w:numFmt w:val="bullet"/>
      <w:lvlText w:val="•"/>
      <w:lvlJc w:val="left"/>
      <w:pPr>
        <w:ind w:left="1544" w:hanging="389"/>
      </w:pPr>
      <w:rPr>
        <w:rFonts w:hint="default" w:ascii="Arial" w:hAnsi="Arial" w:eastAsia="Arial" w:cs="Arial"/>
        <w:color w:val="009DD9"/>
        <w:w w:val="100"/>
        <w:sz w:val="25"/>
        <w:szCs w:val="25"/>
      </w:rPr>
    </w:lvl>
    <w:lvl w:ilvl="3">
      <w:start w:val="1"/>
      <w:numFmt w:val="bullet"/>
      <w:lvlText w:val="•"/>
      <w:lvlJc w:val="left"/>
      <w:pPr>
        <w:ind w:left="1974" w:hanging="389"/>
      </w:pPr>
      <w:rPr>
        <w:rFonts w:hint="default" w:ascii="Arial" w:hAnsi="Arial" w:eastAsia="Arial" w:cs="Arial"/>
        <w:color w:val="0AD0D9"/>
        <w:w w:val="99"/>
        <w:sz w:val="21"/>
        <w:szCs w:val="21"/>
      </w:rPr>
    </w:lvl>
    <w:lvl w:ilvl="4">
      <w:start w:val="1"/>
      <w:numFmt w:val="bullet"/>
      <w:lvlText w:val="•"/>
      <w:lvlJc w:val="left"/>
      <w:pPr>
        <w:ind w:left="3560" w:hanging="3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40" w:hanging="3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20" w:hanging="3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300" w:hanging="3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880" w:hanging="389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"/>
      <w:lvlJc w:val="left"/>
      <w:pPr>
        <w:ind w:left="536" w:hanging="430"/>
      </w:pPr>
      <w:rPr>
        <w:rFonts w:hint="default" w:ascii="Wingdings" w:hAnsi="Wingdings" w:eastAsia="Wingdings" w:cs="Wingdings"/>
        <w:color w:val="0AD0D9"/>
        <w:w w:val="55"/>
        <w:sz w:val="38"/>
        <w:szCs w:val="38"/>
      </w:rPr>
    </w:lvl>
    <w:lvl w:ilvl="1">
      <w:start w:val="1"/>
      <w:numFmt w:val="bullet"/>
      <w:lvlText w:val="•"/>
      <w:lvlJc w:val="left"/>
      <w:pPr>
        <w:ind w:left="1800" w:hanging="43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060" w:hanging="43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20" w:hanging="43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580" w:hanging="43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840" w:hanging="43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100" w:hanging="43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360" w:hanging="43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620" w:hanging="430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"/>
      <w:lvlJc w:val="left"/>
      <w:pPr>
        <w:ind w:left="534" w:hanging="431"/>
      </w:pPr>
      <w:rPr>
        <w:rFonts w:hint="default"/>
        <w:w w:val="55"/>
      </w:rPr>
    </w:lvl>
    <w:lvl w:ilvl="1">
      <w:start w:val="1"/>
      <w:numFmt w:val="bullet"/>
      <w:lvlText w:val=""/>
      <w:lvlJc w:val="left"/>
      <w:pPr>
        <w:ind w:left="1544" w:hanging="389"/>
      </w:pPr>
      <w:rPr>
        <w:rFonts w:hint="default"/>
        <w:w w:val="56"/>
      </w:rPr>
    </w:lvl>
    <w:lvl w:ilvl="2">
      <w:start w:val="1"/>
      <w:numFmt w:val="bullet"/>
      <w:lvlText w:val=""/>
      <w:lvlJc w:val="left"/>
      <w:pPr>
        <w:ind w:left="1544" w:hanging="389"/>
      </w:pPr>
      <w:rPr>
        <w:rFonts w:hint="default"/>
        <w:w w:val="56"/>
      </w:rPr>
    </w:lvl>
    <w:lvl w:ilvl="3">
      <w:start w:val="1"/>
      <w:numFmt w:val="bullet"/>
      <w:lvlText w:val=""/>
      <w:lvlJc w:val="left"/>
      <w:pPr>
        <w:ind w:left="1974" w:hanging="389"/>
      </w:pPr>
      <w:rPr>
        <w:rFonts w:hint="default"/>
        <w:w w:val="55"/>
      </w:rPr>
    </w:lvl>
    <w:lvl w:ilvl="4">
      <w:start w:val="1"/>
      <w:numFmt w:val="bullet"/>
      <w:lvlText w:val="•"/>
      <w:lvlJc w:val="left"/>
      <w:pPr>
        <w:ind w:left="2400" w:hanging="3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73" w:hanging="3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46" w:hanging="3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720" w:hanging="3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493" w:hanging="389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2"/>
      <w:szCs w:val="32"/>
    </w:rPr>
  </w:style>
  <w:style w:styleId="Heading1" w:type="paragraph">
    <w:name w:val="Heading 1"/>
    <w:basedOn w:val="Normal"/>
    <w:uiPriority w:val="1"/>
    <w:qFormat/>
    <w:pPr>
      <w:ind w:left="534" w:hanging="430"/>
      <w:outlineLvl w:val="1"/>
    </w:pPr>
    <w:rPr>
      <w:rFonts w:ascii="Calibri" w:hAnsi="Calibri" w:eastAsia="Calibri" w:cs="Calibri"/>
      <w:b/>
      <w:bCs/>
      <w:sz w:val="52"/>
      <w:szCs w:val="52"/>
    </w:rPr>
  </w:style>
  <w:style w:styleId="Heading2" w:type="paragraph">
    <w:name w:val="Heading 2"/>
    <w:basedOn w:val="Normal"/>
    <w:uiPriority w:val="1"/>
    <w:qFormat/>
    <w:pPr>
      <w:spacing w:line="630" w:lineRule="exact"/>
      <w:ind w:left="534" w:hanging="430"/>
      <w:outlineLvl w:val="2"/>
    </w:pPr>
    <w:rPr>
      <w:rFonts w:ascii="Calibri" w:hAnsi="Calibri" w:eastAsia="Calibri" w:cs="Calibri"/>
      <w:sz w:val="52"/>
      <w:szCs w:val="52"/>
    </w:rPr>
  </w:style>
  <w:style w:styleId="Heading3" w:type="paragraph">
    <w:name w:val="Heading 3"/>
    <w:basedOn w:val="Normal"/>
    <w:uiPriority w:val="1"/>
    <w:qFormat/>
    <w:pPr>
      <w:ind w:left="1112" w:hanging="389"/>
      <w:outlineLvl w:val="3"/>
    </w:pPr>
    <w:rPr>
      <w:rFonts w:ascii="Calibri" w:hAnsi="Calibri" w:eastAsia="Calibri" w:cs="Calibri"/>
      <w:b/>
      <w:bCs/>
      <w:sz w:val="48"/>
      <w:szCs w:val="48"/>
    </w:rPr>
  </w:style>
  <w:style w:styleId="Heading4" w:type="paragraph">
    <w:name w:val="Heading 4"/>
    <w:basedOn w:val="Normal"/>
    <w:uiPriority w:val="1"/>
    <w:qFormat/>
    <w:pPr>
      <w:outlineLvl w:val="4"/>
    </w:pPr>
    <w:rPr>
      <w:rFonts w:ascii="Calibri" w:hAnsi="Calibri" w:eastAsia="Calibri" w:cs="Calibri"/>
      <w:sz w:val="48"/>
      <w:szCs w:val="48"/>
    </w:rPr>
  </w:style>
  <w:style w:styleId="Heading5" w:type="paragraph">
    <w:name w:val="Heading 5"/>
    <w:basedOn w:val="Normal"/>
    <w:uiPriority w:val="1"/>
    <w:qFormat/>
    <w:pPr>
      <w:spacing w:before="99"/>
      <w:ind w:left="1112" w:hanging="389"/>
      <w:outlineLvl w:val="5"/>
    </w:pPr>
    <w:rPr>
      <w:rFonts w:ascii="Calibri" w:hAnsi="Calibri" w:eastAsia="Calibri" w:cs="Calibri"/>
      <w:b/>
      <w:bCs/>
      <w:sz w:val="44"/>
      <w:szCs w:val="44"/>
    </w:rPr>
  </w:style>
  <w:style w:styleId="Heading6" w:type="paragraph">
    <w:name w:val="Heading 6"/>
    <w:basedOn w:val="Normal"/>
    <w:uiPriority w:val="1"/>
    <w:qFormat/>
    <w:pPr>
      <w:spacing w:before="44"/>
      <w:ind w:left="1112" w:hanging="389"/>
      <w:outlineLvl w:val="6"/>
    </w:pPr>
    <w:rPr>
      <w:rFonts w:ascii="Calibri" w:hAnsi="Calibri" w:eastAsia="Calibri" w:cs="Calibri"/>
      <w:sz w:val="44"/>
      <w:szCs w:val="44"/>
    </w:rPr>
  </w:style>
  <w:style w:styleId="Heading7" w:type="paragraph">
    <w:name w:val="Heading 7"/>
    <w:basedOn w:val="Normal"/>
    <w:uiPriority w:val="1"/>
    <w:qFormat/>
    <w:pPr>
      <w:ind w:left="529"/>
      <w:outlineLvl w:val="7"/>
    </w:pPr>
    <w:rPr>
      <w:rFonts w:ascii="Calibri" w:hAnsi="Calibri" w:eastAsia="Calibri" w:cs="Calibri"/>
      <w:b/>
      <w:bCs/>
      <w:sz w:val="40"/>
      <w:szCs w:val="40"/>
    </w:rPr>
  </w:style>
  <w:style w:styleId="Heading8" w:type="paragraph">
    <w:name w:val="Heading 8"/>
    <w:basedOn w:val="Normal"/>
    <w:uiPriority w:val="1"/>
    <w:qFormat/>
    <w:pPr>
      <w:spacing w:before="87"/>
      <w:ind w:left="536" w:hanging="430"/>
      <w:outlineLvl w:val="8"/>
    </w:pPr>
    <w:rPr>
      <w:rFonts w:ascii="Calibri" w:hAnsi="Calibri" w:eastAsia="Calibri" w:cs="Calibri"/>
      <w:sz w:val="40"/>
      <w:szCs w:val="40"/>
    </w:rPr>
  </w:style>
  <w:style w:styleId="ListParagraph" w:type="paragraph">
    <w:name w:val="List Paragraph"/>
    <w:basedOn w:val="Normal"/>
    <w:uiPriority w:val="1"/>
    <w:qFormat/>
    <w:pPr>
      <w:spacing w:before="70"/>
      <w:ind w:left="1112" w:hanging="389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jc w:val="right"/>
    </w:pPr>
    <w:rPr>
      <w:rFonts w:ascii="Times New Roman" w:hAnsi="Times New Roman" w:eastAsia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jpeg"/><Relationship Id="rId17" Type="http://schemas.openxmlformats.org/officeDocument/2006/relationships/hyperlink" Target="http://www.google.com.mx/" TargetMode="External"/><Relationship Id="rId18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Jenaro Archundia</dc:creator>
  <dc:title>Diapositiva 1</dc:title>
  <dcterms:created xsi:type="dcterms:W3CDTF">2017-05-21T06:06:49Z</dcterms:created>
  <dcterms:modified xsi:type="dcterms:W3CDTF">2017-05-21T06:06:49Z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2016-10-12T00:00:00Z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2017-05-21T00:00:00Z</vt:filetime>
  </property>
</Properties>
</file>