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11"/>
        <w:rPr>
          <w:rFonts w:ascii="Times New Roman"/>
          <w:sz w:val="17"/>
        </w:rPr>
      </w:pPr>
      <w:r>
        <w:rPr/>
        <w:pict>
          <v:group style="position:absolute;margin-left:-.069398pt;margin-top:0pt;width:720.15pt;height:540pt;mso-position-horizontal-relative:page;mso-position-vertical-relative:page;z-index:-1645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838;top:4500;width:3374;height:5482" type="#_x0000_t75" stroked="false">
              <v:imagedata r:id="rId10" o:title=""/>
            </v:shape>
            <w10:wrap type="none"/>
          </v:group>
        </w:pict>
      </w:r>
    </w:p>
    <w:p>
      <w:pPr>
        <w:pStyle w:val="Heading2"/>
        <w:numPr>
          <w:ilvl w:val="0"/>
          <w:numId w:val="1"/>
        </w:numPr>
        <w:tabs>
          <w:tab w:pos="535" w:val="left" w:leader="none"/>
          <w:tab w:pos="6446" w:val="left" w:leader="none"/>
        </w:tabs>
        <w:spacing w:line="240" w:lineRule="auto" w:before="0" w:after="0"/>
        <w:ind w:left="536" w:right="0" w:hanging="432"/>
        <w:jc w:val="left"/>
        <w:rPr>
          <w:rFonts w:ascii="Wingdings"/>
          <w:color w:val="0AD0D9"/>
          <w:sz w:val="49"/>
        </w:rPr>
      </w:pPr>
      <w:r>
        <w:rPr/>
        <w:t>UNIDAD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COMPETENCIA</w:t>
        <w:tab/>
        <w:t>VI</w:t>
      </w:r>
    </w:p>
    <w:p>
      <w:pPr>
        <w:pStyle w:val="Heading8"/>
        <w:numPr>
          <w:ilvl w:val="1"/>
          <w:numId w:val="1"/>
        </w:numPr>
        <w:tabs>
          <w:tab w:pos="1113" w:val="left" w:leader="none"/>
        </w:tabs>
        <w:spacing w:line="240" w:lineRule="auto" w:before="86" w:after="0"/>
        <w:ind w:left="1112" w:right="9033" w:hanging="389"/>
        <w:jc w:val="center"/>
        <w:rPr>
          <w:rFonts w:ascii="Wingdings" w:hAnsi="Wingdings"/>
          <w:color w:val="0E6EC5"/>
          <w:sz w:val="34"/>
        </w:rPr>
      </w:pPr>
      <w:r>
        <w:rPr/>
        <w:t>Depreciación</w:t>
      </w:r>
    </w:p>
    <w:p>
      <w:pPr>
        <w:pStyle w:val="ListParagraph"/>
        <w:numPr>
          <w:ilvl w:val="2"/>
          <w:numId w:val="1"/>
        </w:numPr>
        <w:tabs>
          <w:tab w:pos="388" w:val="left" w:leader="none"/>
          <w:tab w:pos="1545" w:val="left" w:leader="none"/>
        </w:tabs>
        <w:spacing w:line="240" w:lineRule="auto" w:before="76" w:after="0"/>
        <w:ind w:left="1544" w:right="8880" w:hanging="389"/>
        <w:jc w:val="center"/>
        <w:rPr>
          <w:rFonts w:ascii="Wingdings" w:hAnsi="Wingdings"/>
          <w:b/>
          <w:color w:val="009DD9"/>
          <w:sz w:val="23"/>
        </w:rPr>
      </w:pPr>
      <w:r>
        <w:rPr>
          <w:b/>
          <w:sz w:val="34"/>
        </w:rPr>
        <w:t>Propósito:</w:t>
      </w:r>
    </w:p>
    <w:p>
      <w:pPr>
        <w:pStyle w:val="BodyText"/>
        <w:spacing w:line="384" w:lineRule="exact" w:before="67"/>
        <w:ind w:left="1973" w:right="261" w:hanging="329"/>
        <w:jc w:val="both"/>
        <w:rPr>
          <w:rFonts w:ascii="Calibri" w:hAnsi="Calibri"/>
        </w:rPr>
      </w:pPr>
      <w:r>
        <w:rPr>
          <w:rFonts w:ascii="Wingdings" w:hAnsi="Wingdings"/>
          <w:color w:val="0AD0D9"/>
          <w:w w:val="95"/>
          <w:sz w:val="21"/>
        </w:rPr>
        <w:t></w:t>
      </w:r>
      <w:r>
        <w:rPr>
          <w:rFonts w:ascii="Times New Roman" w:hAnsi="Times New Roman"/>
          <w:color w:val="0AD0D9"/>
          <w:w w:val="95"/>
          <w:sz w:val="21"/>
        </w:rPr>
        <w:t> </w:t>
      </w:r>
      <w:r>
        <w:rPr>
          <w:rFonts w:ascii="Calibri" w:hAnsi="Calibri"/>
        </w:rPr>
        <w:t>Genera la información económica útil para la toma de decisiones a través de la determinación de los costos de capital, de operación y utilitarios mediante el control adecuado de los elementos de la empresa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2"/>
        <w:rPr>
          <w:sz w:val="21"/>
        </w:rPr>
      </w:pPr>
    </w:p>
    <w:p>
      <w:pPr>
        <w:spacing w:before="52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</w:t>
      </w:r>
    </w:p>
    <w:p>
      <w:pPr>
        <w:spacing w:after="0"/>
        <w:jc w:val="right"/>
        <w:rPr>
          <w:rFonts w:ascii="Constantia"/>
          <w:sz w:val="24"/>
        </w:rPr>
        <w:sectPr>
          <w:type w:val="continuous"/>
          <w:pgSz w:w="14400" w:h="10800" w:orient="landscape"/>
          <w:pgMar w:top="1000" w:bottom="0" w:left="760" w:right="600"/>
        </w:sectPr>
      </w:pPr>
    </w:p>
    <w:p>
      <w:pPr>
        <w:pStyle w:val="BodyText"/>
        <w:spacing w:before="7"/>
        <w:rPr>
          <w:sz w:val="29"/>
        </w:rPr>
      </w:pPr>
      <w:r>
        <w:rPr/>
        <w:pict>
          <v:group style="position:absolute;margin-left:-.069398pt;margin-top:0pt;width:720.15pt;height:540pt;mso-position-horizontal-relative:page;mso-position-vertical-relative:page;z-index:-1643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906;top:4394;width:3000;height:2251" type="#_x0000_t75" stroked="false">
              <v:imagedata r:id="rId11" o:title=""/>
            </v:shape>
            <v:shape style="position:absolute;left:10913;top:6187;width:3180;height:2112" type="#_x0000_t75" stroked="false">
              <v:imagedata r:id="rId12" o:title=""/>
            </v:shape>
            <v:shape style="position:absolute;left:8551;top:7874;width:2700;height:2026" type="#_x0000_t75" stroked="false">
              <v:imagedata r:id="rId13" o:title=""/>
            </v:shape>
            <w10:wrap type="none"/>
          </v:group>
        </w:pict>
      </w:r>
    </w:p>
    <w:p>
      <w:pPr>
        <w:pStyle w:val="Heading8"/>
        <w:numPr>
          <w:ilvl w:val="0"/>
          <w:numId w:val="1"/>
        </w:numPr>
        <w:tabs>
          <w:tab w:pos="536" w:val="left" w:leader="none"/>
          <w:tab w:pos="537" w:val="left" w:leader="none"/>
        </w:tabs>
        <w:spacing w:line="240" w:lineRule="auto" w:before="22" w:after="0"/>
        <w:ind w:left="536" w:right="0" w:hanging="432"/>
        <w:jc w:val="left"/>
        <w:rPr>
          <w:rFonts w:ascii="Wingdings"/>
          <w:color w:val="0AD0D9"/>
          <w:sz w:val="38"/>
        </w:rPr>
      </w:pPr>
      <w:r>
        <w:rPr/>
        <w:t>Las empresas </w:t>
      </w:r>
      <w:r>
        <w:rPr>
          <w:spacing w:val="-3"/>
        </w:rPr>
        <w:t>para </w:t>
      </w:r>
      <w:r>
        <w:rPr/>
        <w:t>funcionar requieren de diversos tipos de</w:t>
      </w:r>
      <w:r>
        <w:rPr>
          <w:spacing w:val="-31"/>
        </w:rPr>
        <w:t> </w:t>
      </w:r>
      <w:r>
        <w:rPr/>
        <w:t>activos</w:t>
      </w:r>
    </w:p>
    <w:p>
      <w:pPr>
        <w:pStyle w:val="Heading9"/>
        <w:numPr>
          <w:ilvl w:val="1"/>
          <w:numId w:val="1"/>
        </w:numPr>
        <w:tabs>
          <w:tab w:pos="1113" w:val="left" w:leader="none"/>
        </w:tabs>
        <w:spacing w:line="240" w:lineRule="auto" w:before="87" w:after="0"/>
        <w:ind w:left="1112" w:right="0" w:hanging="389"/>
        <w:jc w:val="left"/>
        <w:rPr>
          <w:rFonts w:ascii="Wingdings"/>
          <w:color w:val="0E6EC5"/>
          <w:sz w:val="34"/>
        </w:rPr>
      </w:pPr>
      <w:r>
        <w:rPr/>
        <w:t>Algunos de ellos pierden valor por su edad, uso u</w:t>
      </w:r>
      <w:r>
        <w:rPr>
          <w:spacing w:val="-25"/>
        </w:rPr>
        <w:t> </w:t>
      </w:r>
      <w:r>
        <w:rPr/>
        <w:t>obsolescencia</w:t>
      </w:r>
    </w:p>
    <w:p>
      <w:pPr>
        <w:pStyle w:val="ListParagraph"/>
        <w:numPr>
          <w:ilvl w:val="2"/>
          <w:numId w:val="1"/>
        </w:numPr>
        <w:tabs>
          <w:tab w:pos="1544" w:val="left" w:leader="none"/>
          <w:tab w:pos="1545" w:val="left" w:leader="none"/>
        </w:tabs>
        <w:spacing w:line="480" w:lineRule="exact" w:before="84" w:after="0"/>
        <w:ind w:left="1544" w:right="262" w:hanging="389"/>
        <w:jc w:val="left"/>
        <w:rPr>
          <w:rFonts w:ascii="Wingdings" w:hAnsi="Wingdings"/>
          <w:color w:val="009DD9"/>
          <w:sz w:val="28"/>
        </w:rPr>
      </w:pPr>
      <w:r>
        <w:rPr>
          <w:sz w:val="40"/>
        </w:rPr>
        <w:t>por lo que se deberán valuar </w:t>
      </w:r>
      <w:r>
        <w:rPr>
          <w:spacing w:val="-3"/>
          <w:sz w:val="40"/>
        </w:rPr>
        <w:t>para efectos </w:t>
      </w:r>
      <w:r>
        <w:rPr>
          <w:sz w:val="40"/>
        </w:rPr>
        <w:t>de </w:t>
      </w:r>
      <w:r>
        <w:rPr>
          <w:spacing w:val="-3"/>
          <w:sz w:val="40"/>
        </w:rPr>
        <w:t>control </w:t>
      </w:r>
      <w:r>
        <w:rPr>
          <w:sz w:val="40"/>
        </w:rPr>
        <w:t>a su </w:t>
      </w:r>
      <w:r>
        <w:rPr>
          <w:spacing w:val="-4"/>
          <w:sz w:val="40"/>
        </w:rPr>
        <w:t>costo </w:t>
      </w:r>
      <w:r>
        <w:rPr>
          <w:sz w:val="40"/>
        </w:rPr>
        <w:t>original menos su</w:t>
      </w:r>
      <w:r>
        <w:rPr>
          <w:spacing w:val="-7"/>
          <w:sz w:val="40"/>
        </w:rPr>
        <w:t> </w:t>
      </w:r>
      <w:r>
        <w:rPr>
          <w:sz w:val="40"/>
        </w:rPr>
        <w:t>depreciación</w:t>
      </w:r>
    </w:p>
    <w:p>
      <w:pPr>
        <w:spacing w:line="240" w:lineRule="auto" w:before="0"/>
        <w:rPr>
          <w:sz w:val="40"/>
        </w:rPr>
      </w:pPr>
    </w:p>
    <w:p>
      <w:pPr>
        <w:spacing w:line="240" w:lineRule="auto" w:before="0"/>
        <w:rPr>
          <w:sz w:val="40"/>
        </w:rPr>
      </w:pPr>
    </w:p>
    <w:p>
      <w:pPr>
        <w:spacing w:line="240" w:lineRule="auto" w:before="0"/>
        <w:rPr>
          <w:sz w:val="40"/>
        </w:rPr>
      </w:pPr>
    </w:p>
    <w:p>
      <w:pPr>
        <w:spacing w:line="240" w:lineRule="auto" w:before="10"/>
        <w:rPr>
          <w:sz w:val="43"/>
        </w:rPr>
      </w:pP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0" w:after="0"/>
        <w:ind w:left="1112" w:right="0" w:hanging="389"/>
        <w:jc w:val="left"/>
        <w:rPr>
          <w:rFonts w:ascii="Wingdings"/>
          <w:color w:val="0E6EC5"/>
          <w:sz w:val="34"/>
        </w:rPr>
      </w:pPr>
      <w:r>
        <w:rPr>
          <w:sz w:val="40"/>
        </w:rPr>
        <w:t>Ejemplos de activos que se</w:t>
      </w:r>
      <w:r>
        <w:rPr>
          <w:spacing w:val="-17"/>
          <w:sz w:val="40"/>
        </w:rPr>
        <w:t> </w:t>
      </w:r>
      <w:r>
        <w:rPr>
          <w:sz w:val="40"/>
        </w:rPr>
        <w:t>deprecian:</w:t>
      </w:r>
    </w:p>
    <w:p>
      <w:pPr>
        <w:pStyle w:val="ListParagraph"/>
        <w:numPr>
          <w:ilvl w:val="2"/>
          <w:numId w:val="1"/>
        </w:numPr>
        <w:tabs>
          <w:tab w:pos="1544" w:val="left" w:leader="none"/>
          <w:tab w:pos="1545" w:val="left" w:leader="none"/>
        </w:tabs>
        <w:spacing w:line="240" w:lineRule="auto" w:before="88" w:after="0"/>
        <w:ind w:left="1544" w:right="0" w:hanging="432"/>
        <w:jc w:val="left"/>
        <w:rPr>
          <w:rFonts w:ascii="Wingdings"/>
          <w:color w:val="0AD0D9"/>
          <w:sz w:val="28"/>
        </w:rPr>
      </w:pPr>
      <w:r>
        <w:rPr>
          <w:sz w:val="40"/>
        </w:rPr>
        <w:t>Maquinaria</w:t>
      </w:r>
    </w:p>
    <w:p>
      <w:pPr>
        <w:pStyle w:val="ListParagraph"/>
        <w:numPr>
          <w:ilvl w:val="2"/>
          <w:numId w:val="1"/>
        </w:numPr>
        <w:tabs>
          <w:tab w:pos="1544" w:val="left" w:leader="none"/>
          <w:tab w:pos="1545" w:val="left" w:leader="none"/>
        </w:tabs>
        <w:spacing w:line="240" w:lineRule="auto" w:before="87" w:after="0"/>
        <w:ind w:left="1544" w:right="0" w:hanging="432"/>
        <w:jc w:val="left"/>
        <w:rPr>
          <w:rFonts w:ascii="Wingdings"/>
          <w:color w:val="0AD0D9"/>
          <w:sz w:val="28"/>
        </w:rPr>
      </w:pPr>
      <w:r>
        <w:rPr>
          <w:sz w:val="40"/>
        </w:rPr>
        <w:t>Edificios</w:t>
      </w:r>
    </w:p>
    <w:p>
      <w:pPr>
        <w:pStyle w:val="ListParagraph"/>
        <w:numPr>
          <w:ilvl w:val="2"/>
          <w:numId w:val="1"/>
        </w:numPr>
        <w:tabs>
          <w:tab w:pos="1544" w:val="left" w:leader="none"/>
          <w:tab w:pos="1545" w:val="left" w:leader="none"/>
        </w:tabs>
        <w:spacing w:line="240" w:lineRule="auto" w:before="87" w:after="0"/>
        <w:ind w:left="1544" w:right="0" w:hanging="432"/>
        <w:jc w:val="left"/>
        <w:rPr>
          <w:rFonts w:ascii="Wingdings"/>
          <w:color w:val="0AD0D9"/>
          <w:sz w:val="28"/>
        </w:rPr>
      </w:pPr>
      <w:r>
        <w:rPr>
          <w:sz w:val="40"/>
        </w:rPr>
        <w:t>Cercas</w:t>
      </w:r>
    </w:p>
    <w:p>
      <w:pPr>
        <w:pStyle w:val="ListParagraph"/>
        <w:numPr>
          <w:ilvl w:val="2"/>
          <w:numId w:val="1"/>
        </w:numPr>
        <w:tabs>
          <w:tab w:pos="1544" w:val="left" w:leader="none"/>
          <w:tab w:pos="1545" w:val="left" w:leader="none"/>
        </w:tabs>
        <w:spacing w:line="240" w:lineRule="auto" w:before="87" w:after="0"/>
        <w:ind w:left="1544" w:right="0" w:hanging="432"/>
        <w:jc w:val="left"/>
        <w:rPr>
          <w:rFonts w:ascii="Wingdings" w:hAnsi="Wingdings"/>
          <w:color w:val="0AD0D9"/>
          <w:sz w:val="28"/>
        </w:rPr>
      </w:pPr>
      <w:r>
        <w:rPr>
          <w:sz w:val="40"/>
        </w:rPr>
        <w:t>Ganado pie de cría,</w:t>
      </w:r>
      <w:r>
        <w:rPr>
          <w:spacing w:val="4"/>
          <w:sz w:val="40"/>
        </w:rPr>
        <w:t> </w:t>
      </w:r>
      <w:r>
        <w:rPr>
          <w:spacing w:val="-3"/>
          <w:sz w:val="40"/>
        </w:rPr>
        <w:t>etc.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5"/>
        <w:rPr>
          <w:sz w:val="20"/>
        </w:rPr>
      </w:pPr>
    </w:p>
    <w:p>
      <w:pPr>
        <w:spacing w:before="52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ListParagraph"/>
        <w:numPr>
          <w:ilvl w:val="0"/>
          <w:numId w:val="1"/>
        </w:numPr>
        <w:tabs>
          <w:tab w:pos="537" w:val="left" w:leader="none"/>
        </w:tabs>
        <w:spacing w:line="581" w:lineRule="exact" w:before="41" w:after="0"/>
        <w:ind w:left="536" w:right="156" w:hanging="432"/>
        <w:jc w:val="center"/>
        <w:rPr>
          <w:rFonts w:ascii="Wingdings" w:hAnsi="Wingdings"/>
          <w:color w:val="0AD0D9"/>
          <w:sz w:val="45"/>
        </w:rPr>
      </w:pPr>
      <w:r>
        <w:rPr/>
        <w:pict>
          <v:group style="position:absolute;margin-left:-.069398pt;margin-top:0pt;width:720.15pt;height:540pt;mso-position-horizontal-relative:page;mso-position-vertical-relative:page;z-index:-1640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253;top:5671;width:5330;height:5129" type="#_x0000_t75" stroked="false">
              <v:imagedata r:id="rId14" o:title=""/>
            </v:shape>
            <w10:wrap type="none"/>
          </v:group>
        </w:pict>
      </w:r>
      <w:r>
        <w:rPr>
          <w:sz w:val="48"/>
        </w:rPr>
        <w:t>Al transcurrir el tiempo el valor del bien </w:t>
      </w:r>
      <w:r>
        <w:rPr>
          <w:spacing w:val="-3"/>
          <w:sz w:val="48"/>
        </w:rPr>
        <w:t>habrá </w:t>
      </w:r>
      <w:r>
        <w:rPr>
          <w:sz w:val="48"/>
        </w:rPr>
        <w:t>de reducirse </w:t>
      </w:r>
      <w:r>
        <w:rPr>
          <w:spacing w:val="23"/>
          <w:sz w:val="48"/>
        </w:rPr>
        <w:t> </w:t>
      </w:r>
      <w:r>
        <w:rPr>
          <w:sz w:val="48"/>
        </w:rPr>
        <w:t>en</w:t>
      </w:r>
    </w:p>
    <w:p>
      <w:pPr>
        <w:tabs>
          <w:tab w:pos="9072" w:val="left" w:leader="none"/>
        </w:tabs>
        <w:spacing w:line="581" w:lineRule="exact" w:before="0"/>
        <w:ind w:left="536" w:right="0" w:firstLine="0"/>
        <w:jc w:val="left"/>
        <w:rPr>
          <w:sz w:val="48"/>
        </w:rPr>
      </w:pPr>
      <w:r>
        <w:rPr>
          <w:sz w:val="48"/>
        </w:rPr>
        <w:t>una cantidad equivalente a</w:t>
      </w:r>
      <w:r>
        <w:rPr>
          <w:spacing w:val="-24"/>
          <w:sz w:val="48"/>
        </w:rPr>
        <w:t> </w:t>
      </w:r>
      <w:r>
        <w:rPr>
          <w:sz w:val="48"/>
        </w:rPr>
        <w:t>la</w:t>
      </w:r>
      <w:r>
        <w:rPr>
          <w:spacing w:val="-5"/>
          <w:sz w:val="48"/>
        </w:rPr>
        <w:t> </w:t>
      </w:r>
      <w:r>
        <w:rPr>
          <w:sz w:val="48"/>
        </w:rPr>
        <w:t>depreciación</w:t>
        <w:tab/>
        <w:t>de tal</w:t>
      </w:r>
      <w:r>
        <w:rPr>
          <w:spacing w:val="-11"/>
          <w:sz w:val="48"/>
        </w:rPr>
        <w:t> </w:t>
      </w:r>
      <w:r>
        <w:rPr>
          <w:sz w:val="48"/>
        </w:rPr>
        <w:t>año</w:t>
      </w:r>
    </w:p>
    <w:p>
      <w:pPr>
        <w:pStyle w:val="Heading6"/>
        <w:numPr>
          <w:ilvl w:val="1"/>
          <w:numId w:val="1"/>
        </w:numPr>
        <w:tabs>
          <w:tab w:pos="1115" w:val="left" w:leader="none"/>
        </w:tabs>
        <w:spacing w:line="528" w:lineRule="exact" w:before="94" w:after="0"/>
        <w:ind w:left="1114" w:right="262" w:hanging="432"/>
        <w:jc w:val="both"/>
        <w:rPr>
          <w:rFonts w:ascii="Wingdings" w:hAnsi="Wingdings"/>
          <w:color w:val="0AD0D9"/>
          <w:sz w:val="37"/>
        </w:rPr>
      </w:pPr>
      <w:r>
        <w:rPr>
          <w:spacing w:val="-3"/>
        </w:rPr>
        <w:t>Por </w:t>
      </w:r>
      <w:r>
        <w:rPr/>
        <w:t>lo </w:t>
      </w:r>
      <w:r>
        <w:rPr>
          <w:spacing w:val="-4"/>
        </w:rPr>
        <w:t>tanto, </w:t>
      </w:r>
      <w:r>
        <w:rPr/>
        <w:t>el valor en el actual periodo de tiempo es igual al </w:t>
      </w:r>
      <w:r>
        <w:rPr>
          <w:spacing w:val="-4"/>
        </w:rPr>
        <w:t>costo </w:t>
      </w:r>
      <w:r>
        <w:rPr/>
        <w:t>original menos su depreciación acumulada total desde la </w:t>
      </w:r>
      <w:r>
        <w:rPr>
          <w:spacing w:val="-3"/>
        </w:rPr>
        <w:t>fecha </w:t>
      </w:r>
      <w:r>
        <w:rPr/>
        <w:t>de </w:t>
      </w:r>
      <w:r>
        <w:rPr>
          <w:spacing w:val="-3"/>
        </w:rPr>
        <w:t>compra hasta </w:t>
      </w:r>
      <w:r>
        <w:rPr/>
        <w:t>la </w:t>
      </w:r>
      <w:r>
        <w:rPr>
          <w:spacing w:val="-3"/>
        </w:rPr>
        <w:t>fecha </w:t>
      </w:r>
      <w:r>
        <w:rPr/>
        <w:t>del</w:t>
      </w:r>
      <w:r>
        <w:rPr>
          <w:spacing w:val="14"/>
        </w:rPr>
        <w:t> </w:t>
      </w:r>
      <w:r>
        <w:rPr>
          <w:spacing w:val="-3"/>
        </w:rPr>
        <w:t>inventario</w:t>
      </w:r>
    </w:p>
    <w:p>
      <w:pPr>
        <w:spacing w:line="240" w:lineRule="auto" w:before="11"/>
        <w:rPr>
          <w:sz w:val="50"/>
        </w:rPr>
      </w:pPr>
    </w:p>
    <w:p>
      <w:pPr>
        <w:spacing w:line="624" w:lineRule="exact" w:before="1"/>
        <w:ind w:left="356" w:right="503" w:firstLine="0"/>
        <w:jc w:val="center"/>
        <w:rPr>
          <w:sz w:val="52"/>
        </w:rPr>
      </w:pPr>
      <w:r>
        <w:rPr>
          <w:b/>
          <w:sz w:val="52"/>
        </w:rPr>
        <w:t>“A este valor se le denomina valor en libros del bien que se trate</w:t>
      </w:r>
      <w:r>
        <w:rPr>
          <w:sz w:val="52"/>
        </w:rPr>
        <w:t>”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8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3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Heading1"/>
        <w:spacing w:line="562" w:lineRule="exact" w:before="137"/>
      </w:pPr>
      <w:r>
        <w:rPr/>
        <w:pict>
          <v:group style="position:absolute;margin-left:-.069398pt;margin-top:0pt;width:720.15pt;height:540pt;mso-position-horizontal-relative:page;mso-position-vertical-relative:page;z-index:-1638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7654;top:6533;width:5230;height:3485" type="#_x0000_t75" stroked="false">
              <v:imagedata r:id="rId15" o:title=""/>
            </v:shape>
            <w10:wrap type="none"/>
          </v:group>
        </w:pict>
      </w:r>
      <w:r>
        <w:rPr/>
        <w:t>La depreciación constituye un gasto del negocio y puede considerársele como tal desde dos puntos de vista:</w:t>
      </w:r>
    </w:p>
    <w:p>
      <w:pPr>
        <w:pStyle w:val="Heading4"/>
        <w:numPr>
          <w:ilvl w:val="0"/>
          <w:numId w:val="2"/>
        </w:numPr>
        <w:tabs>
          <w:tab w:pos="1113" w:val="left" w:leader="none"/>
        </w:tabs>
        <w:spacing w:line="518" w:lineRule="exact" w:before="116" w:after="0"/>
        <w:ind w:left="1112" w:right="258" w:hanging="389"/>
        <w:jc w:val="left"/>
        <w:rPr>
          <w:rFonts w:ascii="Wingdings" w:hAnsi="Wingdings"/>
          <w:color w:val="0E6EC5"/>
          <w:sz w:val="40"/>
        </w:rPr>
      </w:pPr>
      <w:r>
        <w:rPr>
          <w:spacing w:val="-4"/>
        </w:rPr>
        <w:t>Por </w:t>
      </w:r>
      <w:r>
        <w:rPr/>
        <w:t>una parte </w:t>
      </w:r>
      <w:r>
        <w:rPr>
          <w:spacing w:val="-3"/>
        </w:rPr>
        <w:t>representa </w:t>
      </w:r>
      <w:r>
        <w:rPr/>
        <w:t>la pérdida de valor </w:t>
      </w:r>
      <w:r>
        <w:rPr>
          <w:spacing w:val="-3"/>
        </w:rPr>
        <w:t>puesto </w:t>
      </w:r>
      <w:r>
        <w:rPr/>
        <w:t>que el bien se utiliza en el negocio </w:t>
      </w:r>
      <w:r>
        <w:rPr>
          <w:spacing w:val="-3"/>
        </w:rPr>
        <w:t>para </w:t>
      </w:r>
      <w:r>
        <w:rPr/>
        <w:t>generar</w:t>
      </w:r>
      <w:r>
        <w:rPr>
          <w:spacing w:val="-48"/>
        </w:rPr>
        <w:t> </w:t>
      </w:r>
      <w:r>
        <w:rPr/>
        <w:t>ingresos</w:t>
      </w:r>
    </w:p>
    <w:p>
      <w:pPr>
        <w:pStyle w:val="ListParagraph"/>
        <w:numPr>
          <w:ilvl w:val="0"/>
          <w:numId w:val="2"/>
        </w:numPr>
        <w:tabs>
          <w:tab w:pos="1113" w:val="left" w:leader="none"/>
        </w:tabs>
        <w:spacing w:line="518" w:lineRule="exact" w:before="116" w:after="0"/>
        <w:ind w:left="1112" w:right="260" w:hanging="389"/>
        <w:jc w:val="left"/>
        <w:rPr>
          <w:rFonts w:ascii="Wingdings" w:hAnsi="Wingdings"/>
          <w:color w:val="0E6EC5"/>
          <w:sz w:val="41"/>
        </w:rPr>
      </w:pPr>
      <w:r>
        <w:rPr>
          <w:spacing w:val="-3"/>
          <w:sz w:val="48"/>
        </w:rPr>
        <w:t>Representa </w:t>
      </w:r>
      <w:r>
        <w:rPr>
          <w:sz w:val="48"/>
        </w:rPr>
        <w:t>el procedimiento </w:t>
      </w:r>
      <w:r>
        <w:rPr>
          <w:spacing w:val="-3"/>
          <w:sz w:val="48"/>
        </w:rPr>
        <w:t>contable para </w:t>
      </w:r>
      <w:r>
        <w:rPr>
          <w:sz w:val="48"/>
        </w:rPr>
        <w:t>repartir el </w:t>
      </w:r>
      <w:r>
        <w:rPr>
          <w:spacing w:val="-4"/>
          <w:sz w:val="48"/>
        </w:rPr>
        <w:t>costo </w:t>
      </w:r>
      <w:r>
        <w:rPr>
          <w:sz w:val="48"/>
        </w:rPr>
        <w:t>original a </w:t>
      </w:r>
      <w:r>
        <w:rPr>
          <w:spacing w:val="-4"/>
          <w:sz w:val="48"/>
        </w:rPr>
        <w:t>través </w:t>
      </w:r>
      <w:r>
        <w:rPr>
          <w:sz w:val="48"/>
        </w:rPr>
        <w:t>de la vida útil del</w:t>
      </w:r>
      <w:r>
        <w:rPr>
          <w:spacing w:val="-20"/>
          <w:sz w:val="48"/>
        </w:rPr>
        <w:t> </w:t>
      </w:r>
      <w:r>
        <w:rPr>
          <w:sz w:val="48"/>
        </w:rPr>
        <w:t>bien</w:t>
      </w:r>
    </w:p>
    <w:p>
      <w:pPr>
        <w:pStyle w:val="Heading9"/>
        <w:spacing w:line="432" w:lineRule="exact" w:before="100"/>
        <w:ind w:left="1904" w:right="259" w:hanging="360"/>
        <w:jc w:val="both"/>
      </w:pPr>
      <w:r>
        <w:rPr>
          <w:rFonts w:ascii="Wingdings" w:hAnsi="Wingdings"/>
          <w:color w:val="009DD9"/>
          <w:w w:val="95"/>
          <w:sz w:val="28"/>
        </w:rPr>
        <w:t></w:t>
      </w:r>
      <w:r>
        <w:rPr>
          <w:rFonts w:ascii="Times New Roman" w:hAnsi="Times New Roman"/>
          <w:color w:val="009DD9"/>
          <w:w w:val="95"/>
          <w:sz w:val="28"/>
        </w:rPr>
        <w:t> </w:t>
      </w:r>
      <w:r>
        <w:rPr/>
        <w:t>No se considera apropiado deducir el precio total de compra en un periodo, ya que el bien habrá de utilizarse para generar ingresos por muchos años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before="183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4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8"/>
        <w:rPr>
          <w:sz w:val="16"/>
        </w:rPr>
      </w:pPr>
      <w:r>
        <w:rPr/>
        <w:pict>
          <v:group style="position:absolute;margin-left:-.069398pt;margin-top:0pt;width:720.15pt;height:540pt;mso-position-horizontal-relative:page;mso-position-vertical-relative:page;z-index:-1636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3600;top:8213;width:2700;height:1855" type="#_x0000_t75" stroked="false">
              <v:imagedata r:id="rId16" o:title=""/>
            </v:shape>
            <v:shape style="position:absolute;left:5962;top:7087;width:2590;height:1913" type="#_x0000_t75" stroked="false">
              <v:imagedata r:id="rId17" o:title=""/>
            </v:shape>
            <v:shape style="position:absolute;left:8213;top:8326;width:2587;height:1879" type="#_x0000_t75" stroked="false">
              <v:imagedata r:id="rId18" o:title=""/>
            </v:shape>
            <w10:wrap type="none"/>
          </v:group>
        </w:pict>
      </w:r>
    </w:p>
    <w:p>
      <w:pPr>
        <w:pStyle w:val="Heading4"/>
        <w:numPr>
          <w:ilvl w:val="0"/>
          <w:numId w:val="1"/>
        </w:numPr>
        <w:tabs>
          <w:tab w:pos="537" w:val="left" w:leader="none"/>
        </w:tabs>
        <w:spacing w:line="552" w:lineRule="exact" w:before="8" w:after="0"/>
        <w:ind w:left="536" w:right="0" w:hanging="432"/>
        <w:jc w:val="left"/>
        <w:rPr>
          <w:rFonts w:ascii="Wingdings" w:hAnsi="Wingdings"/>
          <w:color w:val="0AD0D9"/>
          <w:sz w:val="45"/>
        </w:rPr>
      </w:pPr>
      <w:r>
        <w:rPr>
          <w:b/>
        </w:rPr>
        <w:t>Vida  útil.- </w:t>
      </w:r>
      <w:r>
        <w:rPr>
          <w:spacing w:val="-3"/>
        </w:rPr>
        <w:t>representa  </w:t>
      </w:r>
      <w:r>
        <w:rPr/>
        <w:t>la  cantidad de  años que  se  espera </w:t>
      </w:r>
      <w:r>
        <w:rPr>
          <w:spacing w:val="13"/>
        </w:rPr>
        <w:t> </w:t>
      </w:r>
      <w:r>
        <w:rPr/>
        <w:t>un</w:t>
      </w:r>
    </w:p>
    <w:p>
      <w:pPr>
        <w:spacing w:line="552" w:lineRule="exact" w:before="0"/>
        <w:ind w:left="536" w:right="0" w:firstLine="0"/>
        <w:jc w:val="left"/>
        <w:rPr>
          <w:sz w:val="48"/>
        </w:rPr>
      </w:pPr>
      <w:r>
        <w:rPr>
          <w:sz w:val="48"/>
        </w:rPr>
        <w:t>bien haya de utilizarse en el negocio</w:t>
      </w:r>
    </w:p>
    <w:p>
      <w:pPr>
        <w:pStyle w:val="ListParagraph"/>
        <w:numPr>
          <w:ilvl w:val="0"/>
          <w:numId w:val="1"/>
        </w:numPr>
        <w:tabs>
          <w:tab w:pos="537" w:val="left" w:leader="none"/>
          <w:tab w:pos="1801" w:val="left" w:leader="none"/>
          <w:tab w:pos="2523" w:val="left" w:leader="none"/>
          <w:tab w:pos="4667" w:val="left" w:leader="none"/>
          <w:tab w:pos="6513" w:val="left" w:leader="none"/>
          <w:tab w:pos="8507" w:val="left" w:leader="none"/>
          <w:tab w:pos="9813" w:val="left" w:leader="none"/>
          <w:tab w:pos="11006" w:val="left" w:leader="none"/>
        </w:tabs>
        <w:spacing w:line="518" w:lineRule="exact" w:before="91" w:after="0"/>
        <w:ind w:left="536" w:right="265" w:hanging="432"/>
        <w:jc w:val="left"/>
        <w:rPr>
          <w:rFonts w:ascii="Wingdings" w:hAnsi="Wingdings"/>
          <w:color w:val="0AD0D9"/>
          <w:sz w:val="45"/>
        </w:rPr>
      </w:pPr>
      <w:r>
        <w:rPr>
          <w:b/>
          <w:spacing w:val="-6"/>
          <w:sz w:val="48"/>
        </w:rPr>
        <w:t>Valor</w:t>
        <w:tab/>
      </w:r>
      <w:r>
        <w:rPr>
          <w:b/>
          <w:sz w:val="48"/>
        </w:rPr>
        <w:t>de</w:t>
        <w:tab/>
        <w:t>desecho.-</w:t>
        <w:tab/>
      </w:r>
      <w:r>
        <w:rPr>
          <w:sz w:val="48"/>
        </w:rPr>
        <w:t>también</w:t>
        <w:tab/>
        <w:t>conocido</w:t>
        <w:tab/>
        <w:t>como</w:t>
        <w:tab/>
        <w:t>valor</w:t>
        <w:tab/>
      </w:r>
      <w:r>
        <w:rPr>
          <w:spacing w:val="-1"/>
          <w:sz w:val="48"/>
        </w:rPr>
        <w:t>terminal, </w:t>
      </w:r>
      <w:r>
        <w:rPr>
          <w:spacing w:val="-3"/>
          <w:sz w:val="48"/>
        </w:rPr>
        <w:t>representa  </w:t>
      </w:r>
      <w:r>
        <w:rPr>
          <w:sz w:val="48"/>
        </w:rPr>
        <w:t>el  valor  del bien  al concluir  su vida útil  </w:t>
      </w:r>
      <w:r>
        <w:rPr>
          <w:spacing w:val="3"/>
          <w:sz w:val="48"/>
        </w:rPr>
        <w:t> </w:t>
      </w:r>
      <w:r>
        <w:rPr>
          <w:sz w:val="48"/>
        </w:rPr>
        <w:t>asignada</w:t>
      </w:r>
    </w:p>
    <w:p>
      <w:pPr>
        <w:spacing w:line="240" w:lineRule="auto" w:before="4"/>
        <w:rPr>
          <w:sz w:val="51"/>
        </w:rPr>
      </w:pPr>
    </w:p>
    <w:p>
      <w:pPr>
        <w:pStyle w:val="Heading6"/>
        <w:numPr>
          <w:ilvl w:val="1"/>
          <w:numId w:val="1"/>
        </w:numPr>
        <w:tabs>
          <w:tab w:pos="1113" w:val="left" w:leader="none"/>
        </w:tabs>
        <w:spacing w:line="476" w:lineRule="exact" w:before="0" w:after="0"/>
        <w:ind w:left="1112" w:right="259" w:hanging="389"/>
        <w:jc w:val="both"/>
        <w:rPr>
          <w:rFonts w:ascii="Wingdings" w:hAnsi="Wingdings"/>
          <w:color w:val="0E6EC5"/>
          <w:sz w:val="37"/>
        </w:rPr>
      </w:pPr>
      <w:r>
        <w:rPr/>
        <w:t>El valor de desecho </w:t>
      </w:r>
      <w:r>
        <w:rPr>
          <w:spacing w:val="-3"/>
        </w:rPr>
        <w:t>podrá </w:t>
      </w:r>
      <w:r>
        <w:rPr/>
        <w:t>llegar a </w:t>
      </w:r>
      <w:r>
        <w:rPr>
          <w:spacing w:val="-3"/>
        </w:rPr>
        <w:t>cero </w:t>
      </w:r>
      <w:r>
        <w:rPr/>
        <w:t>si se conserva </w:t>
      </w:r>
      <w:r>
        <w:rPr>
          <w:spacing w:val="-3"/>
        </w:rPr>
        <w:t>hasta </w:t>
      </w:r>
      <w:r>
        <w:rPr/>
        <w:t>que este </w:t>
      </w:r>
      <w:r>
        <w:rPr>
          <w:spacing w:val="-3"/>
        </w:rPr>
        <w:t>totalmente </w:t>
      </w:r>
      <w:r>
        <w:rPr/>
        <w:t>desgastado y no habría de tener valor de desecho o </w:t>
      </w:r>
      <w:r>
        <w:rPr>
          <w:spacing w:val="-3"/>
        </w:rPr>
        <w:t>rescate </w:t>
      </w:r>
      <w:r>
        <w:rPr/>
        <w:t>a tal</w:t>
      </w:r>
      <w:r>
        <w:rPr>
          <w:spacing w:val="-10"/>
        </w:rPr>
        <w:t> </w:t>
      </w:r>
      <w:r>
        <w:rPr>
          <w:spacing w:val="-3"/>
        </w:rPr>
        <w:t>fecha</w:t>
      </w:r>
    </w:p>
    <w:p>
      <w:pPr>
        <w:pStyle w:val="ListParagraph"/>
        <w:numPr>
          <w:ilvl w:val="2"/>
          <w:numId w:val="1"/>
        </w:numPr>
        <w:tabs>
          <w:tab w:pos="1977" w:val="left" w:leader="none"/>
        </w:tabs>
        <w:spacing w:line="410" w:lineRule="exact" w:before="92" w:after="0"/>
        <w:ind w:left="1976" w:right="262" w:hanging="331"/>
        <w:jc w:val="both"/>
        <w:rPr>
          <w:rFonts w:ascii="Wingdings" w:hAnsi="Wingdings"/>
          <w:color w:val="0AD0D9"/>
          <w:sz w:val="24"/>
        </w:rPr>
      </w:pPr>
      <w:r>
        <w:rPr>
          <w:sz w:val="38"/>
        </w:rPr>
        <w:t>Un valor positivo deberá asignarse a un bien si habrá de tener algún valor como desecho o si habrá de venderse antes de que </w:t>
      </w:r>
      <w:r>
        <w:rPr>
          <w:spacing w:val="-3"/>
          <w:sz w:val="38"/>
        </w:rPr>
        <w:t>este totalmente</w:t>
      </w:r>
      <w:r>
        <w:rPr>
          <w:spacing w:val="-9"/>
          <w:sz w:val="38"/>
        </w:rPr>
        <w:t> </w:t>
      </w:r>
      <w:r>
        <w:rPr>
          <w:sz w:val="38"/>
        </w:rPr>
        <w:t>desgastado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6"/>
        <w:rPr>
          <w:sz w:val="20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5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539" w:val="left" w:leader="none"/>
        </w:tabs>
        <w:spacing w:line="240" w:lineRule="auto" w:before="1" w:after="0"/>
        <w:ind w:left="538" w:right="0" w:hanging="432"/>
        <w:jc w:val="left"/>
        <w:rPr>
          <w:rFonts w:ascii="Wingdings" w:hAnsi="Wingdings"/>
          <w:color w:val="0AD0D9"/>
          <w:sz w:val="49"/>
        </w:rPr>
      </w:pPr>
      <w:r>
        <w:rPr>
          <w:sz w:val="52"/>
        </w:rPr>
        <w:t>Método de línea</w:t>
      </w:r>
      <w:r>
        <w:rPr>
          <w:spacing w:val="-10"/>
          <w:sz w:val="52"/>
        </w:rPr>
        <w:t> </w:t>
      </w:r>
      <w:r>
        <w:rPr>
          <w:spacing w:val="-3"/>
          <w:sz w:val="52"/>
        </w:rPr>
        <w:t>recta:</w:t>
      </w:r>
    </w:p>
    <w:p>
      <w:pPr>
        <w:spacing w:line="240" w:lineRule="auto" w:before="0"/>
        <w:rPr>
          <w:sz w:val="60"/>
        </w:rPr>
      </w:pPr>
    </w:p>
    <w:p>
      <w:pPr>
        <w:pStyle w:val="Heading4"/>
        <w:numPr>
          <w:ilvl w:val="1"/>
          <w:numId w:val="1"/>
        </w:numPr>
        <w:tabs>
          <w:tab w:pos="1117" w:val="left" w:leader="none"/>
          <w:tab w:pos="1118" w:val="left" w:leader="none"/>
        </w:tabs>
        <w:spacing w:line="240" w:lineRule="auto" w:before="0" w:after="0"/>
        <w:ind w:left="1117" w:right="0" w:hanging="433"/>
        <w:jc w:val="left"/>
        <w:rPr>
          <w:rFonts w:ascii="Wingdings" w:hAnsi="Wingdings"/>
          <w:color w:val="0AD0D9"/>
          <w:sz w:val="41"/>
        </w:rPr>
      </w:pPr>
      <w:r>
        <w:rPr/>
        <w:t>Se calcula con base a la siguiente</w:t>
      </w:r>
      <w:r>
        <w:rPr>
          <w:spacing w:val="-42"/>
        </w:rPr>
        <w:t> </w:t>
      </w:r>
      <w:r>
        <w:rPr/>
        <w:t>ecuación:</w:t>
      </w:r>
    </w:p>
    <w:p>
      <w:pPr>
        <w:pStyle w:val="Heading9"/>
        <w:tabs>
          <w:tab w:pos="6995" w:val="left" w:leader="none"/>
          <w:tab w:pos="7389" w:val="left" w:leader="none"/>
        </w:tabs>
        <w:spacing w:before="167"/>
        <w:ind w:left="1921" w:firstLine="0"/>
      </w:pPr>
      <w:r>
        <w:rPr/>
        <w:t>Depreciación anual  =</w:t>
      </w:r>
      <w:r>
        <w:rPr>
          <w:spacing w:val="85"/>
        </w:rPr>
        <w:t> </w:t>
      </w:r>
      <w:r>
        <w:rPr/>
        <w:t>( </w:t>
      </w:r>
      <w:r>
        <w:rPr>
          <w:spacing w:val="-3"/>
        </w:rPr>
        <w:t>Costo</w:t>
        <w:tab/>
      </w:r>
      <w:r>
        <w:rPr/>
        <w:t>-</w:t>
        <w:tab/>
      </w:r>
      <w:r>
        <w:rPr>
          <w:spacing w:val="-5"/>
        </w:rPr>
        <w:t>Valor </w:t>
      </w:r>
      <w:r>
        <w:rPr/>
        <w:t>de desecho )  X </w:t>
      </w:r>
      <w:r>
        <w:rPr>
          <w:spacing w:val="9"/>
        </w:rPr>
        <w:t> </w:t>
      </w:r>
      <w:r>
        <w:rPr/>
        <w:t>R</w:t>
      </w:r>
    </w:p>
    <w:p>
      <w:pPr>
        <w:numPr>
          <w:ilvl w:val="1"/>
          <w:numId w:val="1"/>
        </w:numPr>
        <w:tabs>
          <w:tab w:pos="1114" w:val="left" w:leader="none"/>
          <w:tab w:pos="1116" w:val="left" w:leader="none"/>
        </w:tabs>
        <w:spacing w:before="66"/>
        <w:ind w:left="1115" w:right="0" w:hanging="390"/>
        <w:jc w:val="left"/>
        <w:rPr>
          <w:rFonts w:ascii="Wingdings"/>
          <w:b/>
          <w:color w:val="0E6EC5"/>
          <w:sz w:val="30"/>
        </w:rPr>
      </w:pPr>
      <w:r>
        <w:rPr>
          <w:b/>
          <w:sz w:val="36"/>
        </w:rPr>
        <w:t>Donde:</w:t>
      </w:r>
    </w:p>
    <w:p>
      <w:pPr>
        <w:pStyle w:val="ListParagraph"/>
        <w:numPr>
          <w:ilvl w:val="2"/>
          <w:numId w:val="1"/>
        </w:numPr>
        <w:tabs>
          <w:tab w:pos="1546" w:val="left" w:leader="none"/>
          <w:tab w:pos="1547" w:val="left" w:leader="none"/>
        </w:tabs>
        <w:spacing w:line="213" w:lineRule="auto" w:before="82" w:after="0"/>
        <w:ind w:left="1547" w:right="690" w:hanging="432"/>
        <w:jc w:val="left"/>
        <w:rPr>
          <w:rFonts w:ascii="Wingdings" w:hAnsi="Wingdings"/>
          <w:color w:val="0AD0D9"/>
          <w:sz w:val="28"/>
        </w:rPr>
      </w:pPr>
      <w:r>
        <w:rPr>
          <w:sz w:val="40"/>
        </w:rPr>
        <w:t>R = </w:t>
      </w:r>
      <w:r>
        <w:rPr>
          <w:spacing w:val="-3"/>
          <w:sz w:val="40"/>
        </w:rPr>
        <w:t>Representa </w:t>
      </w:r>
      <w:r>
        <w:rPr>
          <w:sz w:val="40"/>
        </w:rPr>
        <w:t>una tasa o porcentaje anual de depreciación que puede determinarse dividiendo el 100% </w:t>
      </w:r>
      <w:r>
        <w:rPr>
          <w:spacing w:val="-3"/>
          <w:sz w:val="40"/>
        </w:rPr>
        <w:t>entre </w:t>
      </w:r>
      <w:r>
        <w:rPr>
          <w:sz w:val="40"/>
        </w:rPr>
        <w:t>la vida útil ( 100% / vida útil</w:t>
      </w:r>
      <w:r>
        <w:rPr>
          <w:spacing w:val="89"/>
          <w:sz w:val="40"/>
        </w:rPr>
        <w:t> </w:t>
      </w:r>
      <w:r>
        <w:rPr>
          <w:sz w:val="40"/>
        </w:rPr>
        <w:t>)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"/>
        <w:rPr>
          <w:sz w:val="16"/>
        </w:rPr>
      </w:pPr>
    </w:p>
    <w:p>
      <w:pPr>
        <w:spacing w:after="0" w:line="240" w:lineRule="auto"/>
        <w:rPr>
          <w:sz w:val="16"/>
        </w:rPr>
        <w:sectPr>
          <w:pgSz w:w="14400" w:h="10800" w:orient="landscape"/>
          <w:pgMar w:top="1000" w:bottom="0" w:left="660" w:right="600"/>
        </w:sectPr>
      </w:pPr>
    </w:p>
    <w:p>
      <w:pPr>
        <w:pStyle w:val="ListParagraph"/>
        <w:numPr>
          <w:ilvl w:val="0"/>
          <w:numId w:val="1"/>
        </w:numPr>
        <w:tabs>
          <w:tab w:pos="539" w:val="left" w:leader="none"/>
        </w:tabs>
        <w:spacing w:line="240" w:lineRule="auto" w:before="8" w:after="0"/>
        <w:ind w:left="538" w:right="0" w:hanging="432"/>
        <w:jc w:val="left"/>
        <w:rPr>
          <w:rFonts w:ascii="Wingdings"/>
          <w:b/>
          <w:color w:val="0AD0D9"/>
          <w:sz w:val="45"/>
        </w:rPr>
      </w:pPr>
      <w:r>
        <w:rPr>
          <w:b/>
          <w:sz w:val="48"/>
        </w:rPr>
        <w:t>O</w:t>
      </w:r>
      <w:r>
        <w:rPr>
          <w:b/>
          <w:spacing w:val="-3"/>
          <w:sz w:val="48"/>
        </w:rPr>
        <w:t> </w:t>
      </w:r>
      <w:r>
        <w:rPr>
          <w:b/>
          <w:sz w:val="48"/>
        </w:rPr>
        <w:t>bien:</w:t>
      </w:r>
    </w:p>
    <w:p>
      <w:pPr>
        <w:spacing w:line="240" w:lineRule="auto" w:before="0"/>
        <w:rPr>
          <w:b/>
          <w:sz w:val="36"/>
        </w:rPr>
      </w:pPr>
      <w:r>
        <w:rPr/>
        <w:br w:type="column"/>
      </w:r>
      <w:r>
        <w:rPr>
          <w:b/>
          <w:sz w:val="36"/>
        </w:rPr>
      </w:r>
    </w:p>
    <w:p>
      <w:pPr>
        <w:spacing w:line="240" w:lineRule="auto" w:before="6"/>
        <w:rPr>
          <w:b/>
          <w:sz w:val="27"/>
        </w:rPr>
      </w:pPr>
    </w:p>
    <w:p>
      <w:pPr>
        <w:spacing w:before="0"/>
        <w:ind w:left="106" w:right="0" w:firstLine="0"/>
        <w:jc w:val="left"/>
        <w:rPr>
          <w:rFonts w:ascii="Constantia"/>
          <w:sz w:val="36"/>
        </w:rPr>
      </w:pPr>
      <w:r>
        <w:rPr>
          <w:rFonts w:ascii="Constantia"/>
          <w:sz w:val="36"/>
        </w:rPr>
        <w:t>Costo - Valor de  desecho</w:t>
      </w:r>
    </w:p>
    <w:p>
      <w:pPr>
        <w:spacing w:after="0"/>
        <w:jc w:val="left"/>
        <w:rPr>
          <w:rFonts w:ascii="Constantia"/>
          <w:sz w:val="36"/>
        </w:rPr>
        <w:sectPr>
          <w:type w:val="continuous"/>
          <w:pgSz w:w="14400" w:h="10800" w:orient="landscape"/>
          <w:pgMar w:top="1000" w:bottom="0" w:left="660" w:right="600"/>
          <w:cols w:num="2" w:equalWidth="0">
            <w:col w:w="1978" w:space="2438"/>
            <w:col w:w="8724"/>
          </w:cols>
        </w:sectPr>
      </w:pPr>
    </w:p>
    <w:p>
      <w:pPr>
        <w:spacing w:line="428" w:lineRule="exact" w:before="0"/>
        <w:ind w:left="561" w:right="0" w:firstLine="0"/>
        <w:jc w:val="left"/>
        <w:rPr>
          <w:rFonts w:ascii="Constantia" w:hAnsi="Constantia"/>
          <w:sz w:val="36"/>
        </w:rPr>
      </w:pPr>
      <w:r>
        <w:rPr/>
        <w:pict>
          <v:group style="position:absolute;margin-left:-.069398pt;margin-top:0pt;width:720.15pt;height:540pt;mso-position-horizontal-relative:page;mso-position-vertical-relative:page;z-index:-1633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10687;top:6862;width:3000;height:3000" type="#_x0000_t75" stroked="false">
              <v:imagedata r:id="rId19" o:title=""/>
            </v:shape>
            <w10:wrap type="none"/>
          </v:group>
        </w:pict>
      </w:r>
      <w:r>
        <w:rPr>
          <w:rFonts w:ascii="Constantia" w:hAnsi="Constantia"/>
          <w:sz w:val="36"/>
        </w:rPr>
        <w:t>Depreciación anual  = -------------------------------------</w:t>
      </w:r>
    </w:p>
    <w:p>
      <w:pPr>
        <w:spacing w:line="436" w:lineRule="exact" w:before="0"/>
        <w:ind w:left="5207" w:right="6546" w:firstLine="0"/>
        <w:jc w:val="center"/>
        <w:rPr>
          <w:rFonts w:ascii="Constantia" w:hAnsi="Constantia"/>
          <w:sz w:val="36"/>
        </w:rPr>
      </w:pPr>
      <w:r>
        <w:rPr>
          <w:rFonts w:ascii="Constantia" w:hAnsi="Constantia"/>
          <w:sz w:val="36"/>
        </w:rPr>
        <w:t>Vida útil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6</w:t>
      </w:r>
    </w:p>
    <w:p>
      <w:pPr>
        <w:spacing w:after="0"/>
        <w:jc w:val="right"/>
        <w:rPr>
          <w:rFonts w:ascii="Constantia"/>
          <w:sz w:val="24"/>
        </w:rPr>
        <w:sectPr>
          <w:type w:val="continuous"/>
          <w:pgSz w:w="14400" w:h="10800" w:orient="landscape"/>
          <w:pgMar w:top="1000" w:bottom="0" w:left="660" w:right="600"/>
        </w:sectPr>
      </w:pPr>
    </w:p>
    <w:p>
      <w:pPr>
        <w:pStyle w:val="BodyText"/>
        <w:spacing w:before="6"/>
        <w:rPr>
          <w:sz w:val="25"/>
        </w:rPr>
      </w:pPr>
      <w:r>
        <w:rPr/>
        <w:pict>
          <v:group style="position:absolute;margin-left:-.069398pt;margin-top:0pt;width:720.15pt;height:540pt;mso-position-horizontal-relative:page;mso-position-vertical-relative:page;z-index:-1631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774;top:7200;width:3864;height:2897" type="#_x0000_t75" stroked="false">
              <v:imagedata r:id="rId20" o:title=""/>
            </v:shape>
            <w10:wrap type="none"/>
          </v:group>
        </w:pict>
      </w:r>
    </w:p>
    <w:p>
      <w:pPr>
        <w:spacing w:line="436" w:lineRule="exact" w:before="27"/>
        <w:ind w:left="111" w:right="0" w:firstLine="0"/>
        <w:jc w:val="left"/>
        <w:rPr>
          <w:b/>
          <w:sz w:val="36"/>
        </w:rPr>
      </w:pPr>
      <w:r>
        <w:rPr>
          <w:b/>
          <w:sz w:val="36"/>
        </w:rPr>
        <w:t>Ejemplo:</w:t>
      </w:r>
    </w:p>
    <w:p>
      <w:pPr>
        <w:tabs>
          <w:tab w:pos="543" w:val="left" w:leader="none"/>
        </w:tabs>
        <w:spacing w:line="389" w:lineRule="exact" w:before="0"/>
        <w:ind w:left="111" w:right="0" w:firstLine="0"/>
        <w:jc w:val="left"/>
        <w:rPr>
          <w:sz w:val="36"/>
        </w:rPr>
      </w:pPr>
      <w:r>
        <w:rPr>
          <w:rFonts w:ascii="Wingdings" w:hAnsi="Wingdings"/>
          <w:color w:val="0AD0D9"/>
          <w:w w:val="95"/>
          <w:sz w:val="34"/>
        </w:rPr>
        <w:t></w:t>
      </w:r>
      <w:r>
        <w:rPr>
          <w:rFonts w:ascii="Times New Roman" w:hAnsi="Times New Roman"/>
          <w:color w:val="0AD0D9"/>
          <w:w w:val="95"/>
          <w:sz w:val="34"/>
        </w:rPr>
        <w:tab/>
      </w:r>
      <w:r>
        <w:rPr>
          <w:sz w:val="36"/>
        </w:rPr>
        <w:t>Se </w:t>
      </w:r>
      <w:r>
        <w:rPr>
          <w:spacing w:val="-3"/>
          <w:sz w:val="36"/>
        </w:rPr>
        <w:t>compra </w:t>
      </w:r>
      <w:r>
        <w:rPr>
          <w:sz w:val="36"/>
        </w:rPr>
        <w:t>una máquina con un </w:t>
      </w:r>
      <w:r>
        <w:rPr>
          <w:spacing w:val="-3"/>
          <w:sz w:val="36"/>
        </w:rPr>
        <w:t>costo </w:t>
      </w:r>
      <w:r>
        <w:rPr>
          <w:sz w:val="36"/>
        </w:rPr>
        <w:t>de 10,000.00 y se le ha estimado un valor  </w:t>
      </w:r>
      <w:r>
        <w:rPr>
          <w:spacing w:val="14"/>
          <w:sz w:val="36"/>
        </w:rPr>
        <w:t> </w:t>
      </w:r>
      <w:r>
        <w:rPr>
          <w:sz w:val="36"/>
        </w:rPr>
        <w:t>de</w:t>
      </w:r>
    </w:p>
    <w:p>
      <w:pPr>
        <w:spacing w:line="393" w:lineRule="exact" w:before="0"/>
        <w:ind w:left="543" w:right="0" w:firstLine="0"/>
        <w:jc w:val="left"/>
        <w:rPr>
          <w:sz w:val="36"/>
        </w:rPr>
      </w:pPr>
      <w:r>
        <w:rPr>
          <w:sz w:val="36"/>
        </w:rPr>
        <w:t>desecho de 2,000.00 y 10 años de vida útil</w:t>
      </w:r>
    </w:p>
    <w:p>
      <w:pPr>
        <w:spacing w:line="240" w:lineRule="auto" w:before="9"/>
        <w:rPr>
          <w:sz w:val="34"/>
        </w:rPr>
      </w:pPr>
    </w:p>
    <w:p>
      <w:pPr>
        <w:spacing w:line="436" w:lineRule="exact" w:before="0"/>
        <w:ind w:left="111" w:right="0" w:firstLine="0"/>
        <w:jc w:val="left"/>
        <w:rPr>
          <w:b/>
          <w:sz w:val="36"/>
        </w:rPr>
      </w:pPr>
      <w:r>
        <w:rPr>
          <w:b/>
          <w:sz w:val="36"/>
        </w:rPr>
        <w:t>Utilizando la primera formula:</w:t>
      </w:r>
    </w:p>
    <w:p>
      <w:pPr>
        <w:spacing w:line="422" w:lineRule="exact" w:before="0"/>
        <w:ind w:left="3493" w:right="0" w:firstLine="0"/>
        <w:jc w:val="left"/>
        <w:rPr>
          <w:sz w:val="36"/>
        </w:rPr>
      </w:pPr>
      <w:r>
        <w:rPr>
          <w:sz w:val="36"/>
        </w:rPr>
        <w:t>10,000.00  - 2,000.00</w:t>
      </w:r>
    </w:p>
    <w:p>
      <w:pPr>
        <w:tabs>
          <w:tab w:pos="6671" w:val="left" w:leader="none"/>
          <w:tab w:pos="7100" w:val="left" w:leader="none"/>
          <w:tab w:pos="8349" w:val="left" w:leader="none"/>
        </w:tabs>
        <w:spacing w:line="442" w:lineRule="exact" w:before="0"/>
        <w:ind w:left="111" w:right="0" w:firstLine="0"/>
        <w:jc w:val="left"/>
        <w:rPr>
          <w:sz w:val="36"/>
        </w:rPr>
      </w:pPr>
      <w:r>
        <w:rPr>
          <w:sz w:val="36"/>
        </w:rPr>
        <w:t>Depreciación anual </w:t>
      </w:r>
      <w:r>
        <w:rPr>
          <w:spacing w:val="2"/>
          <w:sz w:val="36"/>
        </w:rPr>
        <w:t> </w:t>
      </w:r>
      <w:r>
        <w:rPr>
          <w:sz w:val="36"/>
        </w:rPr>
        <w:t>= ----------------------------</w:t>
        <w:tab/>
        <w:t>=</w:t>
        <w:tab/>
        <w:t>800.00</w:t>
        <w:tab/>
      </w:r>
      <w:r>
        <w:rPr>
          <w:rFonts w:ascii="Symbol" w:hAnsi="Symbol"/>
          <w:sz w:val="36"/>
        </w:rPr>
        <w:t></w:t>
      </w:r>
      <w:r>
        <w:rPr>
          <w:rFonts w:ascii="Times New Roman" w:hAnsi="Times New Roman"/>
          <w:sz w:val="36"/>
        </w:rPr>
        <w:t> </w:t>
      </w:r>
      <w:r>
        <w:rPr>
          <w:sz w:val="36"/>
        </w:rPr>
        <w:t>Depreciación</w:t>
      </w:r>
      <w:r>
        <w:rPr>
          <w:spacing w:val="-13"/>
          <w:sz w:val="36"/>
        </w:rPr>
        <w:t> </w:t>
      </w:r>
      <w:r>
        <w:rPr>
          <w:sz w:val="36"/>
        </w:rPr>
        <w:t>anual.</w:t>
      </w:r>
    </w:p>
    <w:p>
      <w:pPr>
        <w:spacing w:line="436" w:lineRule="exact" w:before="0"/>
        <w:ind w:left="4714" w:right="7861" w:firstLine="0"/>
        <w:jc w:val="center"/>
        <w:rPr>
          <w:sz w:val="36"/>
        </w:rPr>
      </w:pPr>
      <w:r>
        <w:rPr>
          <w:sz w:val="36"/>
        </w:rPr>
        <w:t>10</w:t>
      </w:r>
    </w:p>
    <w:p>
      <w:pPr>
        <w:spacing w:line="240" w:lineRule="auto" w:before="9"/>
        <w:rPr>
          <w:sz w:val="34"/>
        </w:rPr>
      </w:pPr>
    </w:p>
    <w:p>
      <w:pPr>
        <w:spacing w:before="0"/>
        <w:ind w:left="111" w:right="0" w:firstLine="0"/>
        <w:jc w:val="left"/>
        <w:rPr>
          <w:b/>
          <w:sz w:val="36"/>
        </w:rPr>
      </w:pPr>
      <w:r>
        <w:rPr>
          <w:b/>
          <w:sz w:val="36"/>
        </w:rPr>
        <w:t>Utilizando la segunda formula:</w:t>
      </w:r>
    </w:p>
    <w:p>
      <w:pPr>
        <w:tabs>
          <w:tab w:pos="1046" w:val="left" w:leader="none"/>
          <w:tab w:pos="1472" w:val="left" w:leader="none"/>
          <w:tab w:pos="3289" w:val="left" w:leader="none"/>
          <w:tab w:pos="3647" w:val="left" w:leader="none"/>
          <w:tab w:pos="5909" w:val="left" w:leader="none"/>
          <w:tab w:pos="6335" w:val="left" w:leader="none"/>
          <w:tab w:pos="7670" w:val="left" w:leader="none"/>
        </w:tabs>
        <w:spacing w:before="309"/>
        <w:ind w:left="111" w:right="0" w:firstLine="0"/>
        <w:jc w:val="left"/>
        <w:rPr>
          <w:sz w:val="36"/>
        </w:rPr>
      </w:pPr>
      <w:r>
        <w:rPr>
          <w:sz w:val="36"/>
        </w:rPr>
        <w:t>D.A.</w:t>
        <w:tab/>
        <w:t>=</w:t>
        <w:tab/>
        <w:t>(10,000.00</w:t>
        <w:tab/>
        <w:t>-</w:t>
        <w:tab/>
        <w:t>2,000.000)</w:t>
      </w:r>
      <w:r>
        <w:rPr>
          <w:spacing w:val="1"/>
          <w:sz w:val="36"/>
        </w:rPr>
        <w:t> </w:t>
      </w:r>
      <w:r>
        <w:rPr>
          <w:sz w:val="36"/>
        </w:rPr>
        <w:t>10</w:t>
        <w:tab/>
        <w:t>=</w:t>
        <w:tab/>
        <w:t>800.00</w:t>
        <w:tab/>
      </w:r>
      <w:r>
        <w:rPr>
          <w:rFonts w:ascii="Symbol" w:hAnsi="Symbol"/>
          <w:sz w:val="36"/>
        </w:rPr>
        <w:t></w:t>
      </w:r>
      <w:r>
        <w:rPr>
          <w:rFonts w:ascii="Times New Roman" w:hAnsi="Times New Roman"/>
          <w:sz w:val="36"/>
        </w:rPr>
        <w:t>  </w:t>
      </w:r>
      <w:r>
        <w:rPr>
          <w:sz w:val="36"/>
        </w:rPr>
        <w:t>Depreciación</w:t>
      </w:r>
      <w:r>
        <w:rPr>
          <w:spacing w:val="-21"/>
          <w:sz w:val="36"/>
        </w:rPr>
        <w:t> </w:t>
      </w:r>
      <w:r>
        <w:rPr>
          <w:sz w:val="36"/>
        </w:rPr>
        <w:t>anual.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2"/>
        <w:rPr>
          <w:sz w:val="19"/>
        </w:rPr>
      </w:pPr>
    </w:p>
    <w:p>
      <w:pPr>
        <w:spacing w:before="51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7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820" w:right="600"/>
        </w:sectPr>
      </w:pPr>
    </w:p>
    <w:p>
      <w:pPr>
        <w:pStyle w:val="BodyText"/>
        <w:spacing w:before="10"/>
        <w:rPr>
          <w:sz w:val="14"/>
        </w:rPr>
      </w:pPr>
      <w:r>
        <w:rPr/>
        <w:pict>
          <v:group style="position:absolute;margin-left:-.069398pt;margin-top:0pt;width:720.15pt;height:540pt;mso-position-horizontal-relative:page;mso-position-vertical-relative:page;z-index:-1628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5693;top:7214;width:2162;height:3019" type="#_x0000_t75" stroked="false">
              <v:imagedata r:id="rId21" o:title=""/>
            </v:shape>
            <w10:wrap type="none"/>
          </v:group>
        </w:pict>
      </w:r>
    </w:p>
    <w:p>
      <w:pPr>
        <w:pStyle w:val="Heading4"/>
        <w:numPr>
          <w:ilvl w:val="0"/>
          <w:numId w:val="3"/>
        </w:numPr>
        <w:tabs>
          <w:tab w:pos="535" w:val="left" w:leader="none"/>
        </w:tabs>
        <w:spacing w:line="576" w:lineRule="exact" w:before="4" w:after="0"/>
        <w:ind w:left="534" w:right="351" w:hanging="430"/>
        <w:jc w:val="both"/>
        <w:rPr>
          <w:rFonts w:ascii="Wingdings" w:hAnsi="Wingdings"/>
          <w:color w:val="0AD0D9"/>
          <w:sz w:val="45"/>
        </w:rPr>
      </w:pPr>
      <w:r>
        <w:rPr>
          <w:b/>
        </w:rPr>
        <w:t>Método de dobles saldos decrecientes</w:t>
      </w:r>
      <w:r>
        <w:rPr/>
        <w:t>. </w:t>
      </w:r>
      <w:r>
        <w:rPr>
          <w:spacing w:val="-4"/>
        </w:rPr>
        <w:t>Por </w:t>
      </w:r>
      <w:r>
        <w:rPr/>
        <w:t>doble se </w:t>
      </w:r>
      <w:r>
        <w:rPr>
          <w:spacing w:val="-3"/>
        </w:rPr>
        <w:t>habrá </w:t>
      </w:r>
      <w:r>
        <w:rPr/>
        <w:t>de entender que habremos de utilizar una tasa de depreciación que sea el doble o dos veces la tasa que se aplicaría </w:t>
      </w:r>
      <w:r>
        <w:rPr>
          <w:spacing w:val="-3"/>
        </w:rPr>
        <w:t>conforme </w:t>
      </w:r>
      <w:r>
        <w:rPr/>
        <w:t>el método de depreciación de línea</w:t>
      </w:r>
      <w:r>
        <w:rPr>
          <w:spacing w:val="-22"/>
        </w:rPr>
        <w:t> </w:t>
      </w:r>
      <w:r>
        <w:rPr>
          <w:spacing w:val="-3"/>
        </w:rPr>
        <w:t>recta</w:t>
      </w:r>
    </w:p>
    <w:p>
      <w:pPr>
        <w:pStyle w:val="Heading7"/>
        <w:ind w:firstLine="0"/>
      </w:pPr>
      <w:r>
        <w:rPr>
          <w:rFonts w:ascii="Wingdings" w:hAnsi="Wingdings"/>
          <w:color w:val="0AD0D9"/>
          <w:sz w:val="29"/>
        </w:rPr>
        <w:t></w:t>
      </w:r>
      <w:r>
        <w:rPr/>
        <w:t>La depreciación anual se calcula con base a la siguiente ecuación:</w:t>
      </w:r>
    </w:p>
    <w:p>
      <w:pPr>
        <w:pStyle w:val="Heading8"/>
        <w:tabs>
          <w:tab w:pos="10807" w:val="left" w:leader="none"/>
        </w:tabs>
        <w:spacing w:before="229"/>
        <w:ind w:left="769"/>
      </w:pPr>
      <w:r>
        <w:rPr/>
        <w:t>Depreciación anual = </w:t>
      </w:r>
      <w:r>
        <w:rPr>
          <w:spacing w:val="-4"/>
        </w:rPr>
        <w:t>(Valor </w:t>
      </w:r>
      <w:r>
        <w:rPr/>
        <w:t>en libros al principio del</w:t>
      </w:r>
      <w:r>
        <w:rPr>
          <w:spacing w:val="-23"/>
        </w:rPr>
        <w:t> </w:t>
      </w:r>
      <w:r>
        <w:rPr/>
        <w:t>año)</w:t>
      </w:r>
      <w:r>
        <w:rPr>
          <w:spacing w:val="-4"/>
        </w:rPr>
        <w:t> </w:t>
      </w:r>
      <w:r>
        <w:rPr/>
        <w:t>X</w:t>
        <w:tab/>
        <w:t>R</w:t>
      </w:r>
    </w:p>
    <w:p>
      <w:pPr>
        <w:pStyle w:val="Heading9"/>
        <w:tabs>
          <w:tab w:pos="2518" w:val="left" w:leader="none"/>
        </w:tabs>
        <w:spacing w:line="480" w:lineRule="exact" w:before="115"/>
        <w:ind w:left="2518" w:right="978" w:hanging="430"/>
      </w:pPr>
      <w:r>
        <w:rPr>
          <w:rFonts w:ascii="Wingdings" w:hAnsi="Wingdings"/>
          <w:color w:val="0AD0D9"/>
          <w:w w:val="95"/>
          <w:sz w:val="26"/>
        </w:rPr>
        <w:t></w:t>
      </w:r>
      <w:r>
        <w:rPr>
          <w:rFonts w:ascii="Times New Roman" w:hAnsi="Times New Roman"/>
          <w:color w:val="0AD0D9"/>
          <w:w w:val="95"/>
          <w:sz w:val="26"/>
        </w:rPr>
        <w:tab/>
      </w:r>
      <w:r>
        <w:rPr/>
        <w:t>Donde “R” Habrá de ser el doble de la tasa o</w:t>
      </w:r>
      <w:r>
        <w:rPr>
          <w:spacing w:val="-25"/>
        </w:rPr>
        <w:t> </w:t>
      </w:r>
      <w:r>
        <w:rPr/>
        <w:t>porcentaje</w:t>
      </w:r>
      <w:r>
        <w:rPr>
          <w:spacing w:val="-3"/>
        </w:rPr>
        <w:t> </w:t>
      </w:r>
      <w:r>
        <w:rPr/>
        <w:t>de</w:t>
      </w:r>
      <w:r>
        <w:rPr>
          <w:w w:val="100"/>
        </w:rPr>
        <w:t> </w:t>
      </w:r>
      <w:r>
        <w:rPr/>
        <w:t>depreciación aplicado </w:t>
      </w:r>
      <w:r>
        <w:rPr>
          <w:spacing w:val="-3"/>
        </w:rPr>
        <w:t>conforme </w:t>
      </w:r>
      <w:r>
        <w:rPr/>
        <w:t>al método de línea</w:t>
      </w:r>
      <w:r>
        <w:rPr>
          <w:spacing w:val="-3"/>
        </w:rPr>
        <w:t> recta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4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8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8"/>
        <w:rPr>
          <w:sz w:val="24"/>
        </w:rPr>
      </w:pPr>
      <w:r>
        <w:rPr/>
        <w:pict>
          <v:group style="position:absolute;margin-left:-.069398pt;margin-top:0pt;width:720.15pt;height:540pt;mso-position-horizontal-relative:page;mso-position-vertical-relative:page;z-index:-1626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</w:p>
    <w:p>
      <w:pPr>
        <w:pStyle w:val="Heading2"/>
        <w:numPr>
          <w:ilvl w:val="0"/>
          <w:numId w:val="3"/>
        </w:numPr>
        <w:tabs>
          <w:tab w:pos="535" w:val="left" w:leader="none"/>
        </w:tabs>
        <w:spacing w:line="235" w:lineRule="auto" w:before="11" w:after="0"/>
        <w:ind w:left="534" w:right="259" w:hanging="430"/>
        <w:jc w:val="both"/>
        <w:rPr>
          <w:rFonts w:ascii="Wingdings" w:hAnsi="Wingdings"/>
          <w:color w:val="0AD0D9"/>
          <w:sz w:val="49"/>
        </w:rPr>
      </w:pPr>
      <w:r>
        <w:rPr/>
        <w:t>La tasa o </w:t>
      </w:r>
      <w:r>
        <w:rPr>
          <w:spacing w:val="-3"/>
        </w:rPr>
        <w:t>porcentaje </w:t>
      </w:r>
      <w:r>
        <w:rPr/>
        <w:t>de depreciación permanece </w:t>
      </w:r>
      <w:r>
        <w:rPr>
          <w:spacing w:val="-4"/>
        </w:rPr>
        <w:t>constante </w:t>
      </w:r>
      <w:r>
        <w:rPr/>
        <w:t>en cada </w:t>
      </w:r>
      <w:r>
        <w:rPr>
          <w:spacing w:val="-4"/>
        </w:rPr>
        <w:t>año, </w:t>
      </w:r>
      <w:r>
        <w:rPr>
          <w:spacing w:val="-3"/>
        </w:rPr>
        <w:t>pero habrá </w:t>
      </w:r>
      <w:r>
        <w:rPr/>
        <w:t>de multiplicarse por el valor en libros el cual </w:t>
      </w:r>
      <w:r>
        <w:rPr>
          <w:spacing w:val="-3"/>
        </w:rPr>
        <w:t>disminuye </w:t>
      </w:r>
      <w:r>
        <w:rPr/>
        <w:t>cada año por una cantidad equivalente al año</w:t>
      </w:r>
      <w:r>
        <w:rPr>
          <w:spacing w:val="-39"/>
        </w:rPr>
        <w:t> </w:t>
      </w:r>
      <w:r>
        <w:rPr/>
        <w:t>anterior</w:t>
      </w:r>
    </w:p>
    <w:p>
      <w:pPr>
        <w:spacing w:before="117"/>
        <w:ind w:left="1122" w:right="0" w:firstLine="0"/>
        <w:jc w:val="left"/>
        <w:rPr>
          <w:b/>
          <w:sz w:val="52"/>
        </w:rPr>
      </w:pPr>
      <w:r>
        <w:rPr>
          <w:b/>
          <w:sz w:val="52"/>
        </w:rPr>
        <w:t>Ejemplo:</w:t>
      </w:r>
    </w:p>
    <w:p>
      <w:pPr>
        <w:spacing w:line="432" w:lineRule="exact" w:before="74"/>
        <w:ind w:left="1112" w:right="264" w:hanging="389"/>
        <w:jc w:val="both"/>
        <w:rPr>
          <w:sz w:val="36"/>
        </w:rPr>
      </w:pPr>
      <w:r>
        <w:rPr>
          <w:rFonts w:ascii="Wingdings" w:hAnsi="Wingdings"/>
          <w:color w:val="0E6EC5"/>
          <w:w w:val="95"/>
          <w:sz w:val="30"/>
        </w:rPr>
        <w:t></w:t>
      </w:r>
      <w:r>
        <w:rPr>
          <w:rFonts w:ascii="Times New Roman" w:hAnsi="Times New Roman"/>
          <w:color w:val="0E6EC5"/>
          <w:w w:val="95"/>
          <w:sz w:val="30"/>
        </w:rPr>
        <w:t> </w:t>
      </w:r>
      <w:r>
        <w:rPr>
          <w:sz w:val="36"/>
        </w:rPr>
        <w:t>Con base en el ejemplo anterior la tasa de dobles saldos decrecientes seria de dos veces 10% o sea 20% y la depreciación anual habría de calcularse de la siguiente manera: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10" w:after="0"/>
        <w:rPr>
          <w:sz w:val="22"/>
        </w:rPr>
      </w:pPr>
    </w:p>
    <w:tbl>
      <w:tblPr>
        <w:tblW w:w="0" w:type="auto"/>
        <w:jc w:val="left"/>
        <w:tblInd w:w="249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55"/>
        <w:gridCol w:w="1935"/>
        <w:gridCol w:w="435"/>
        <w:gridCol w:w="871"/>
        <w:gridCol w:w="426"/>
        <w:gridCol w:w="1451"/>
      </w:tblGrid>
      <w:tr>
        <w:trPr>
          <w:trHeight w:val="497" w:hRule="exact"/>
        </w:trPr>
        <w:tc>
          <w:tcPr>
            <w:tcW w:w="1355" w:type="dxa"/>
          </w:tcPr>
          <w:p>
            <w:pPr>
              <w:pStyle w:val="TableParagraph"/>
              <w:spacing w:line="240" w:lineRule="auto" w:before="27"/>
              <w:ind w:left="35"/>
              <w:jc w:val="left"/>
              <w:rPr>
                <w:sz w:val="36"/>
              </w:rPr>
            </w:pPr>
            <w:r>
              <w:rPr>
                <w:sz w:val="36"/>
              </w:rPr>
              <w:t>Año 1:</w:t>
            </w:r>
          </w:p>
        </w:tc>
        <w:tc>
          <w:tcPr>
            <w:tcW w:w="1935" w:type="dxa"/>
          </w:tcPr>
          <w:p>
            <w:pPr>
              <w:pStyle w:val="TableParagraph"/>
              <w:spacing w:line="240" w:lineRule="auto" w:before="27"/>
              <w:ind w:right="105"/>
              <w:jc w:val="right"/>
              <w:rPr>
                <w:sz w:val="36"/>
              </w:rPr>
            </w:pPr>
            <w:r>
              <w:rPr>
                <w:sz w:val="36"/>
              </w:rPr>
              <w:t>10,000.00</w:t>
            </w:r>
          </w:p>
        </w:tc>
        <w:tc>
          <w:tcPr>
            <w:tcW w:w="435" w:type="dxa"/>
          </w:tcPr>
          <w:p>
            <w:pPr>
              <w:pStyle w:val="TableParagraph"/>
              <w:spacing w:line="240" w:lineRule="auto" w:before="27"/>
              <w:ind w:left="34"/>
              <w:rPr>
                <w:sz w:val="36"/>
              </w:rPr>
            </w:pPr>
            <w:r>
              <w:rPr>
                <w:w w:val="100"/>
                <w:sz w:val="36"/>
              </w:rPr>
              <w:t>X</w:t>
            </w:r>
          </w:p>
        </w:tc>
        <w:tc>
          <w:tcPr>
            <w:tcW w:w="871" w:type="dxa"/>
          </w:tcPr>
          <w:p>
            <w:pPr>
              <w:pStyle w:val="TableParagraph"/>
              <w:spacing w:line="240" w:lineRule="auto" w:before="27"/>
              <w:ind w:left="88" w:right="55"/>
              <w:rPr>
                <w:sz w:val="36"/>
              </w:rPr>
            </w:pPr>
            <w:r>
              <w:rPr>
                <w:sz w:val="36"/>
              </w:rPr>
              <w:t>20%</w:t>
            </w:r>
          </w:p>
        </w:tc>
        <w:tc>
          <w:tcPr>
            <w:tcW w:w="426" w:type="dxa"/>
          </w:tcPr>
          <w:p>
            <w:pPr>
              <w:pStyle w:val="TableParagraph"/>
              <w:spacing w:line="240" w:lineRule="auto" w:before="27"/>
              <w:ind w:left="30"/>
              <w:rPr>
                <w:sz w:val="36"/>
              </w:rPr>
            </w:pPr>
            <w:r>
              <w:rPr>
                <w:w w:val="100"/>
                <w:sz w:val="36"/>
              </w:rPr>
              <w:t>=</w:t>
            </w:r>
          </w:p>
        </w:tc>
        <w:tc>
          <w:tcPr>
            <w:tcW w:w="1451" w:type="dxa"/>
          </w:tcPr>
          <w:p>
            <w:pPr>
              <w:pStyle w:val="TableParagraph"/>
              <w:spacing w:line="240" w:lineRule="auto" w:before="27"/>
              <w:ind w:left="120" w:right="14"/>
              <w:rPr>
                <w:sz w:val="36"/>
              </w:rPr>
            </w:pPr>
            <w:r>
              <w:rPr>
                <w:sz w:val="36"/>
              </w:rPr>
              <w:t>2,000.00</w:t>
            </w:r>
          </w:p>
        </w:tc>
      </w:tr>
      <w:tr>
        <w:trPr>
          <w:trHeight w:val="432" w:hRule="exact"/>
        </w:trPr>
        <w:tc>
          <w:tcPr>
            <w:tcW w:w="1355" w:type="dxa"/>
          </w:tcPr>
          <w:p>
            <w:pPr>
              <w:pStyle w:val="TableParagraph"/>
              <w:ind w:left="35"/>
              <w:jc w:val="left"/>
              <w:rPr>
                <w:sz w:val="36"/>
              </w:rPr>
            </w:pPr>
            <w:r>
              <w:rPr>
                <w:sz w:val="36"/>
              </w:rPr>
              <w:t>Año 2</w:t>
            </w:r>
          </w:p>
        </w:tc>
        <w:tc>
          <w:tcPr>
            <w:tcW w:w="1935" w:type="dxa"/>
          </w:tcPr>
          <w:p>
            <w:pPr>
              <w:pStyle w:val="TableParagraph"/>
              <w:ind w:right="136"/>
              <w:jc w:val="right"/>
              <w:rPr>
                <w:sz w:val="36"/>
              </w:rPr>
            </w:pPr>
            <w:r>
              <w:rPr>
                <w:sz w:val="36"/>
              </w:rPr>
              <w:t>8,000.00</w:t>
            </w:r>
          </w:p>
        </w:tc>
        <w:tc>
          <w:tcPr>
            <w:tcW w:w="435" w:type="dxa"/>
          </w:tcPr>
          <w:p>
            <w:pPr>
              <w:pStyle w:val="TableParagraph"/>
              <w:ind w:right="30"/>
              <w:rPr>
                <w:sz w:val="36"/>
              </w:rPr>
            </w:pPr>
            <w:r>
              <w:rPr>
                <w:sz w:val="36"/>
              </w:rPr>
              <w:t>X</w:t>
            </w:r>
          </w:p>
        </w:tc>
        <w:tc>
          <w:tcPr>
            <w:tcW w:w="871" w:type="dxa"/>
          </w:tcPr>
          <w:p>
            <w:pPr>
              <w:pStyle w:val="TableParagraph"/>
              <w:ind w:left="55" w:right="87"/>
              <w:rPr>
                <w:sz w:val="36"/>
              </w:rPr>
            </w:pPr>
            <w:r>
              <w:rPr>
                <w:sz w:val="36"/>
              </w:rPr>
              <w:t>20%</w:t>
            </w:r>
          </w:p>
        </w:tc>
        <w:tc>
          <w:tcPr>
            <w:tcW w:w="426" w:type="dxa"/>
          </w:tcPr>
          <w:p>
            <w:pPr>
              <w:pStyle w:val="TableParagraph"/>
              <w:ind w:right="30"/>
              <w:rPr>
                <w:sz w:val="36"/>
              </w:rPr>
            </w:pPr>
            <w:r>
              <w:rPr>
                <w:sz w:val="36"/>
              </w:rPr>
              <w:t>=</w:t>
            </w:r>
          </w:p>
        </w:tc>
        <w:tc>
          <w:tcPr>
            <w:tcW w:w="1451" w:type="dxa"/>
          </w:tcPr>
          <w:p>
            <w:pPr>
              <w:pStyle w:val="TableParagraph"/>
              <w:ind w:left="53" w:right="14"/>
              <w:rPr>
                <w:sz w:val="36"/>
              </w:rPr>
            </w:pPr>
            <w:r>
              <w:rPr>
                <w:sz w:val="36"/>
              </w:rPr>
              <w:t>1,600.00</w:t>
            </w:r>
          </w:p>
        </w:tc>
      </w:tr>
      <w:tr>
        <w:trPr>
          <w:trHeight w:val="428" w:hRule="exact"/>
        </w:trPr>
        <w:tc>
          <w:tcPr>
            <w:tcW w:w="1355" w:type="dxa"/>
          </w:tcPr>
          <w:p>
            <w:pPr>
              <w:pStyle w:val="TableParagraph"/>
              <w:ind w:left="35"/>
              <w:jc w:val="left"/>
              <w:rPr>
                <w:sz w:val="36"/>
              </w:rPr>
            </w:pPr>
            <w:r>
              <w:rPr>
                <w:sz w:val="36"/>
              </w:rPr>
              <w:t>Año 3</w:t>
            </w:r>
          </w:p>
        </w:tc>
        <w:tc>
          <w:tcPr>
            <w:tcW w:w="1935" w:type="dxa"/>
          </w:tcPr>
          <w:p>
            <w:pPr>
              <w:pStyle w:val="TableParagraph"/>
              <w:ind w:right="136"/>
              <w:jc w:val="right"/>
              <w:rPr>
                <w:sz w:val="36"/>
              </w:rPr>
            </w:pPr>
            <w:r>
              <w:rPr>
                <w:sz w:val="36"/>
              </w:rPr>
              <w:t>6,400.00</w:t>
            </w:r>
          </w:p>
        </w:tc>
        <w:tc>
          <w:tcPr>
            <w:tcW w:w="435" w:type="dxa"/>
          </w:tcPr>
          <w:p>
            <w:pPr>
              <w:pStyle w:val="TableParagraph"/>
              <w:ind w:right="30"/>
              <w:rPr>
                <w:sz w:val="36"/>
              </w:rPr>
            </w:pPr>
            <w:r>
              <w:rPr>
                <w:sz w:val="36"/>
              </w:rPr>
              <w:t>X</w:t>
            </w:r>
          </w:p>
        </w:tc>
        <w:tc>
          <w:tcPr>
            <w:tcW w:w="871" w:type="dxa"/>
          </w:tcPr>
          <w:p>
            <w:pPr>
              <w:pStyle w:val="TableParagraph"/>
              <w:ind w:left="55" w:right="87"/>
              <w:rPr>
                <w:sz w:val="36"/>
              </w:rPr>
            </w:pPr>
            <w:r>
              <w:rPr>
                <w:sz w:val="36"/>
              </w:rPr>
              <w:t>20%</w:t>
            </w:r>
          </w:p>
        </w:tc>
        <w:tc>
          <w:tcPr>
            <w:tcW w:w="426" w:type="dxa"/>
          </w:tcPr>
          <w:p>
            <w:pPr>
              <w:pStyle w:val="TableParagraph"/>
              <w:ind w:right="30"/>
              <w:rPr>
                <w:sz w:val="36"/>
              </w:rPr>
            </w:pPr>
            <w:r>
              <w:rPr>
                <w:sz w:val="36"/>
              </w:rPr>
              <w:t>=</w:t>
            </w:r>
          </w:p>
        </w:tc>
        <w:tc>
          <w:tcPr>
            <w:tcW w:w="1451" w:type="dxa"/>
          </w:tcPr>
          <w:p>
            <w:pPr>
              <w:pStyle w:val="TableParagraph"/>
              <w:ind w:left="53" w:right="14"/>
              <w:rPr>
                <w:sz w:val="36"/>
              </w:rPr>
            </w:pPr>
            <w:r>
              <w:rPr>
                <w:sz w:val="36"/>
              </w:rPr>
              <w:t>1,280.00</w:t>
            </w:r>
          </w:p>
        </w:tc>
      </w:tr>
    </w:tbl>
    <w:p>
      <w:pPr>
        <w:tabs>
          <w:tab w:pos="4850" w:val="left" w:leader="none"/>
          <w:tab w:pos="6422" w:val="left" w:leader="none"/>
          <w:tab w:pos="7994" w:val="left" w:leader="none"/>
        </w:tabs>
        <w:spacing w:line="403" w:lineRule="exact" w:before="0"/>
        <w:ind w:left="2863" w:right="0" w:firstLine="0"/>
        <w:jc w:val="left"/>
        <w:rPr>
          <w:sz w:val="36"/>
        </w:rPr>
      </w:pPr>
      <w:r>
        <w:rPr>
          <w:sz w:val="36"/>
        </w:rPr>
        <w:t>.</w:t>
        <w:tab/>
        <w:t>.</w:t>
        <w:tab/>
        <w:t>.</w:t>
        <w:tab/>
        <w:t>.</w:t>
      </w:r>
    </w:p>
    <w:p>
      <w:pPr>
        <w:tabs>
          <w:tab w:pos="4850" w:val="left" w:leader="none"/>
          <w:tab w:pos="6422" w:val="left" w:leader="none"/>
          <w:tab w:pos="7994" w:val="left" w:leader="none"/>
        </w:tabs>
        <w:spacing w:line="432" w:lineRule="exact" w:before="0"/>
        <w:ind w:left="2863" w:right="0" w:firstLine="0"/>
        <w:jc w:val="left"/>
        <w:rPr>
          <w:sz w:val="36"/>
        </w:rPr>
      </w:pPr>
      <w:r>
        <w:rPr>
          <w:sz w:val="36"/>
        </w:rPr>
        <w:t>.</w:t>
        <w:tab/>
        <w:t>.</w:t>
        <w:tab/>
        <w:t>.</w:t>
        <w:tab/>
        <w:t>.</w:t>
      </w:r>
    </w:p>
    <w:p>
      <w:pPr>
        <w:tabs>
          <w:tab w:pos="4850" w:val="left" w:leader="none"/>
          <w:tab w:pos="6422" w:val="left" w:leader="none"/>
          <w:tab w:pos="7994" w:val="left" w:leader="none"/>
        </w:tabs>
        <w:spacing w:line="436" w:lineRule="exact" w:before="0" w:after="33"/>
        <w:ind w:left="2863" w:right="0" w:firstLine="0"/>
        <w:jc w:val="left"/>
        <w:rPr>
          <w:sz w:val="36"/>
        </w:rPr>
      </w:pPr>
      <w:r>
        <w:rPr>
          <w:sz w:val="36"/>
        </w:rPr>
        <w:t>.</w:t>
        <w:tab/>
        <w:t>.</w:t>
        <w:tab/>
        <w:t>.</w:t>
        <w:tab/>
        <w:t>.</w:t>
      </w:r>
    </w:p>
    <w:tbl>
      <w:tblPr>
        <w:tblW w:w="0" w:type="auto"/>
        <w:jc w:val="left"/>
        <w:tblInd w:w="249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81"/>
        <w:gridCol w:w="1893"/>
        <w:gridCol w:w="433"/>
        <w:gridCol w:w="870"/>
        <w:gridCol w:w="551"/>
        <w:gridCol w:w="1286"/>
      </w:tblGrid>
      <w:tr>
        <w:trPr>
          <w:trHeight w:val="428" w:hRule="exact"/>
        </w:trPr>
        <w:tc>
          <w:tcPr>
            <w:tcW w:w="1381" w:type="dxa"/>
          </w:tcPr>
          <w:p>
            <w:pPr>
              <w:pStyle w:val="TableParagraph"/>
              <w:spacing w:line="399" w:lineRule="exact"/>
              <w:ind w:left="35"/>
              <w:jc w:val="left"/>
              <w:rPr>
                <w:sz w:val="36"/>
              </w:rPr>
            </w:pPr>
            <w:r>
              <w:rPr>
                <w:sz w:val="36"/>
              </w:rPr>
              <w:t>Año 7</w:t>
            </w:r>
          </w:p>
        </w:tc>
        <w:tc>
          <w:tcPr>
            <w:tcW w:w="1893" w:type="dxa"/>
          </w:tcPr>
          <w:p>
            <w:pPr>
              <w:pStyle w:val="TableParagraph"/>
              <w:spacing w:line="399" w:lineRule="exact"/>
              <w:ind w:right="121"/>
              <w:jc w:val="right"/>
              <w:rPr>
                <w:sz w:val="36"/>
              </w:rPr>
            </w:pPr>
            <w:r>
              <w:rPr>
                <w:sz w:val="36"/>
              </w:rPr>
              <w:t>2,622.00</w:t>
            </w:r>
          </w:p>
        </w:tc>
        <w:tc>
          <w:tcPr>
            <w:tcW w:w="433" w:type="dxa"/>
          </w:tcPr>
          <w:p>
            <w:pPr>
              <w:pStyle w:val="TableParagraph"/>
              <w:spacing w:line="399" w:lineRule="exact"/>
              <w:rPr>
                <w:sz w:val="36"/>
              </w:rPr>
            </w:pPr>
            <w:r>
              <w:rPr>
                <w:sz w:val="36"/>
              </w:rPr>
              <w:t>X</w:t>
            </w:r>
          </w:p>
        </w:tc>
        <w:tc>
          <w:tcPr>
            <w:tcW w:w="870" w:type="dxa"/>
          </w:tcPr>
          <w:p>
            <w:pPr>
              <w:pStyle w:val="TableParagraph"/>
              <w:spacing w:line="399" w:lineRule="exact"/>
              <w:ind w:left="103" w:right="103"/>
              <w:rPr>
                <w:sz w:val="36"/>
              </w:rPr>
            </w:pPr>
            <w:r>
              <w:rPr>
                <w:sz w:val="36"/>
              </w:rPr>
              <w:t>20%</w:t>
            </w:r>
          </w:p>
        </w:tc>
        <w:tc>
          <w:tcPr>
            <w:tcW w:w="551" w:type="dxa"/>
          </w:tcPr>
          <w:p>
            <w:pPr>
              <w:pStyle w:val="TableParagraph"/>
              <w:spacing w:line="399" w:lineRule="exact"/>
              <w:ind w:left="124"/>
              <w:jc w:val="left"/>
              <w:rPr>
                <w:sz w:val="36"/>
              </w:rPr>
            </w:pPr>
            <w:r>
              <w:rPr>
                <w:sz w:val="36"/>
              </w:rPr>
              <w:t>=</w:t>
            </w:r>
          </w:p>
        </w:tc>
        <w:tc>
          <w:tcPr>
            <w:tcW w:w="1286" w:type="dxa"/>
          </w:tcPr>
          <w:p>
            <w:pPr>
              <w:pStyle w:val="TableParagraph"/>
              <w:spacing w:line="399" w:lineRule="exact"/>
              <w:ind w:right="33"/>
              <w:jc w:val="right"/>
              <w:rPr>
                <w:sz w:val="36"/>
              </w:rPr>
            </w:pPr>
            <w:r>
              <w:rPr>
                <w:sz w:val="36"/>
              </w:rPr>
              <w:t>524.00</w:t>
            </w:r>
          </w:p>
        </w:tc>
      </w:tr>
      <w:tr>
        <w:trPr>
          <w:trHeight w:val="496" w:hRule="exact"/>
        </w:trPr>
        <w:tc>
          <w:tcPr>
            <w:tcW w:w="1381" w:type="dxa"/>
          </w:tcPr>
          <w:p>
            <w:pPr>
              <w:pStyle w:val="TableParagraph"/>
              <w:ind w:left="35"/>
              <w:jc w:val="left"/>
              <w:rPr>
                <w:sz w:val="36"/>
              </w:rPr>
            </w:pPr>
            <w:r>
              <w:rPr>
                <w:sz w:val="36"/>
              </w:rPr>
              <w:t>Año 8</w:t>
            </w:r>
          </w:p>
        </w:tc>
        <w:tc>
          <w:tcPr>
            <w:tcW w:w="1893" w:type="dxa"/>
          </w:tcPr>
          <w:p>
            <w:pPr>
              <w:pStyle w:val="TableParagraph"/>
              <w:ind w:right="121"/>
              <w:jc w:val="right"/>
              <w:rPr>
                <w:sz w:val="36"/>
              </w:rPr>
            </w:pPr>
            <w:r>
              <w:rPr>
                <w:sz w:val="36"/>
              </w:rPr>
              <w:t>2,098.00</w:t>
            </w:r>
          </w:p>
        </w:tc>
        <w:tc>
          <w:tcPr>
            <w:tcW w:w="433" w:type="dxa"/>
          </w:tcPr>
          <w:p>
            <w:pPr>
              <w:pStyle w:val="TableParagraph"/>
              <w:rPr>
                <w:sz w:val="36"/>
              </w:rPr>
            </w:pPr>
            <w:r>
              <w:rPr>
                <w:sz w:val="36"/>
              </w:rPr>
              <w:t>X</w:t>
            </w:r>
          </w:p>
        </w:tc>
        <w:tc>
          <w:tcPr>
            <w:tcW w:w="870" w:type="dxa"/>
          </w:tcPr>
          <w:p>
            <w:pPr>
              <w:pStyle w:val="TableParagraph"/>
              <w:ind w:left="103" w:right="103"/>
              <w:rPr>
                <w:sz w:val="36"/>
              </w:rPr>
            </w:pPr>
            <w:r>
              <w:rPr>
                <w:sz w:val="36"/>
              </w:rPr>
              <w:t>20%</w:t>
            </w:r>
          </w:p>
        </w:tc>
        <w:tc>
          <w:tcPr>
            <w:tcW w:w="551" w:type="dxa"/>
          </w:tcPr>
          <w:p>
            <w:pPr>
              <w:pStyle w:val="TableParagraph"/>
              <w:ind w:left="124"/>
              <w:jc w:val="left"/>
              <w:rPr>
                <w:sz w:val="36"/>
              </w:rPr>
            </w:pPr>
            <w:r>
              <w:rPr>
                <w:sz w:val="36"/>
              </w:rPr>
              <w:t>=</w:t>
            </w:r>
          </w:p>
        </w:tc>
        <w:tc>
          <w:tcPr>
            <w:tcW w:w="1286" w:type="dxa"/>
          </w:tcPr>
          <w:p>
            <w:pPr>
              <w:pStyle w:val="TableParagraph"/>
              <w:ind w:right="33"/>
              <w:jc w:val="right"/>
              <w:rPr>
                <w:sz w:val="36"/>
              </w:rPr>
            </w:pPr>
            <w:r>
              <w:rPr>
                <w:sz w:val="36"/>
              </w:rPr>
              <w:t>420.00</w:t>
            </w:r>
          </w:p>
        </w:tc>
      </w:tr>
    </w:tbl>
    <w:p>
      <w:pPr>
        <w:spacing w:line="240" w:lineRule="auto" w:before="0"/>
        <w:rPr>
          <w:sz w:val="17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9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1"/>
        <w:rPr>
          <w:sz w:val="25"/>
        </w:rPr>
      </w:pPr>
      <w:r>
        <w:rPr/>
        <w:pict>
          <v:group style="position:absolute;margin-left:-.069398pt;margin-top:0pt;width:720.15pt;height:540pt;mso-position-horizontal-relative:page;mso-position-vertical-relative:page;z-index:-1624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3600;top:5851;width:6038;height:4015" type="#_x0000_t75" stroked="false">
              <v:imagedata r:id="rId22" o:title=""/>
            </v:shape>
            <w10:wrap type="none"/>
          </v:group>
        </w:pict>
      </w:r>
    </w:p>
    <w:p>
      <w:pPr>
        <w:pStyle w:val="Heading2"/>
        <w:spacing w:line="235" w:lineRule="auto" w:before="6"/>
        <w:ind w:right="258" w:firstLine="0"/>
        <w:jc w:val="both"/>
      </w:pPr>
      <w:r>
        <w:rPr/>
        <w:t>Este ejemplo no es muy común ya que el método de depreciación de dobles saldos con mucha frecuencia dará como resultado que el total depreciable se lleve a gastos antes de que termine la vida útil, debiendo suspenderse los cargos por depreciación cuando el valor en libros coincida con el valor de desecho.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2"/>
        <w:rPr>
          <w:sz w:val="25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10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8"/>
        <w:rPr>
          <w:sz w:val="10"/>
        </w:rPr>
      </w:pPr>
      <w:r>
        <w:rPr/>
        <w:pict>
          <v:group style="position:absolute;margin-left:-.069398pt;margin-top:0pt;width:720.15pt;height:540pt;mso-position-horizontal-relative:page;mso-position-vertical-relative:page;z-index:-1621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10831;top:8462;width:2309;height:1730" type="#_x0000_t75" stroked="false">
              <v:imagedata r:id="rId23" o:title=""/>
            </v:shape>
            <w10:wrap type="none"/>
          </v:group>
        </w:pict>
      </w:r>
    </w:p>
    <w:p>
      <w:pPr>
        <w:pStyle w:val="Heading1"/>
        <w:numPr>
          <w:ilvl w:val="0"/>
          <w:numId w:val="4"/>
        </w:numPr>
        <w:tabs>
          <w:tab w:pos="353" w:val="left" w:leader="none"/>
        </w:tabs>
        <w:spacing w:line="632" w:lineRule="exact" w:before="0" w:after="0"/>
        <w:ind w:left="352" w:right="0" w:hanging="233"/>
        <w:jc w:val="left"/>
        <w:rPr>
          <w:rFonts w:ascii="Wingdings" w:hAnsi="Wingdings"/>
          <w:color w:val="0AD0D9"/>
          <w:sz w:val="28"/>
        </w:rPr>
      </w:pPr>
      <w:r>
        <w:rPr/>
        <w:t>Comparación de los</w:t>
      </w:r>
      <w:r>
        <w:rPr>
          <w:spacing w:val="-17"/>
        </w:rPr>
        <w:t> </w:t>
      </w:r>
      <w:r>
        <w:rPr/>
        <w:t>métodos:</w:t>
      </w:r>
    </w:p>
    <w:p>
      <w:pPr>
        <w:pStyle w:val="Heading6"/>
        <w:numPr>
          <w:ilvl w:val="1"/>
          <w:numId w:val="4"/>
        </w:numPr>
        <w:tabs>
          <w:tab w:pos="1560" w:val="left" w:leader="none"/>
        </w:tabs>
        <w:spacing w:line="476" w:lineRule="exact" w:before="82" w:after="0"/>
        <w:ind w:left="1559" w:right="312" w:hanging="430"/>
        <w:jc w:val="both"/>
        <w:rPr>
          <w:rFonts w:ascii="Wingdings" w:hAnsi="Wingdings"/>
          <w:color w:val="0AD0D9"/>
          <w:sz w:val="30"/>
        </w:rPr>
      </w:pPr>
      <w:r>
        <w:rPr/>
        <w:t>El método de depreciación no </w:t>
      </w:r>
      <w:r>
        <w:rPr>
          <w:spacing w:val="-3"/>
        </w:rPr>
        <w:t>habrá </w:t>
      </w:r>
      <w:r>
        <w:rPr/>
        <w:t>de modificar el total de depreciación que se habrá de considerar a </w:t>
      </w:r>
      <w:r>
        <w:rPr>
          <w:spacing w:val="-4"/>
        </w:rPr>
        <w:t>través </w:t>
      </w:r>
      <w:r>
        <w:rPr/>
        <w:t>de la vida</w:t>
      </w:r>
      <w:r>
        <w:rPr>
          <w:spacing w:val="-64"/>
        </w:rPr>
        <w:t> </w:t>
      </w:r>
      <w:r>
        <w:rPr/>
        <w:t>útil</w:t>
      </w:r>
    </w:p>
    <w:p>
      <w:pPr>
        <w:pStyle w:val="ListParagraph"/>
        <w:numPr>
          <w:ilvl w:val="1"/>
          <w:numId w:val="4"/>
        </w:numPr>
        <w:tabs>
          <w:tab w:pos="1559" w:val="left" w:leader="none"/>
          <w:tab w:pos="1560" w:val="left" w:leader="none"/>
          <w:tab w:pos="2363" w:val="left" w:leader="none"/>
          <w:tab w:pos="4158" w:val="left" w:leader="none"/>
          <w:tab w:pos="4823" w:val="left" w:leader="none"/>
          <w:tab w:pos="7329" w:val="left" w:leader="none"/>
          <w:tab w:pos="8863" w:val="left" w:leader="none"/>
          <w:tab w:pos="9660" w:val="left" w:leader="none"/>
          <w:tab w:pos="10615" w:val="left" w:leader="none"/>
          <w:tab w:pos="11149" w:val="left" w:leader="none"/>
          <w:tab w:pos="12555" w:val="left" w:leader="none"/>
        </w:tabs>
        <w:spacing w:line="506" w:lineRule="exact" w:before="66" w:after="0"/>
        <w:ind w:left="1559" w:right="0" w:hanging="430"/>
        <w:jc w:val="left"/>
        <w:rPr>
          <w:rFonts w:ascii="Wingdings" w:hAnsi="Wingdings"/>
          <w:color w:val="0AD0D9"/>
          <w:sz w:val="30"/>
        </w:rPr>
      </w:pPr>
      <w:r>
        <w:rPr>
          <w:sz w:val="44"/>
        </w:rPr>
        <w:t>Los</w:t>
        <w:tab/>
        <w:t>métodos</w:t>
        <w:tab/>
        <w:t>de</w:t>
        <w:tab/>
        <w:t>depreciación</w:t>
        <w:tab/>
      </w:r>
      <w:r>
        <w:rPr>
          <w:spacing w:val="-4"/>
          <w:sz w:val="44"/>
        </w:rPr>
        <w:t>afectan</w:t>
        <w:tab/>
      </w:r>
      <w:r>
        <w:rPr>
          <w:sz w:val="44"/>
        </w:rPr>
        <w:t>tan</w:t>
        <w:tab/>
        <w:t>sólo</w:t>
        <w:tab/>
        <w:t>el</w:t>
        <w:tab/>
      </w:r>
      <w:r>
        <w:rPr>
          <w:spacing w:val="-3"/>
          <w:sz w:val="44"/>
        </w:rPr>
        <w:t>patrón</w:t>
        <w:tab/>
      </w:r>
      <w:r>
        <w:rPr>
          <w:sz w:val="44"/>
        </w:rPr>
        <w:t>o</w:t>
      </w:r>
    </w:p>
    <w:p>
      <w:pPr>
        <w:tabs>
          <w:tab w:pos="4514" w:val="left" w:leader="none"/>
        </w:tabs>
        <w:spacing w:line="506" w:lineRule="exact" w:before="0"/>
        <w:ind w:left="1559" w:right="0" w:firstLine="0"/>
        <w:jc w:val="left"/>
        <w:rPr>
          <w:sz w:val="44"/>
        </w:rPr>
      </w:pPr>
      <w:r>
        <w:rPr>
          <w:sz w:val="44"/>
        </w:rPr>
        <w:t>distribución</w:t>
      </w:r>
      <w:r>
        <w:rPr>
          <w:spacing w:val="-8"/>
          <w:sz w:val="44"/>
        </w:rPr>
        <w:t> </w:t>
      </w:r>
      <w:r>
        <w:rPr>
          <w:sz w:val="44"/>
        </w:rPr>
        <w:t>de</w:t>
        <w:tab/>
        <w:t>depreciación a </w:t>
      </w:r>
      <w:r>
        <w:rPr>
          <w:spacing w:val="-4"/>
          <w:sz w:val="44"/>
        </w:rPr>
        <w:t>través </w:t>
      </w:r>
      <w:r>
        <w:rPr>
          <w:sz w:val="44"/>
        </w:rPr>
        <w:t>del</w:t>
      </w:r>
      <w:r>
        <w:rPr>
          <w:spacing w:val="-19"/>
          <w:sz w:val="44"/>
        </w:rPr>
        <w:t> </w:t>
      </w:r>
      <w:r>
        <w:rPr>
          <w:sz w:val="44"/>
        </w:rPr>
        <w:t>tiempo</w:t>
      </w:r>
    </w:p>
    <w:p>
      <w:pPr>
        <w:pStyle w:val="ListParagraph"/>
        <w:numPr>
          <w:ilvl w:val="1"/>
          <w:numId w:val="4"/>
        </w:numPr>
        <w:tabs>
          <w:tab w:pos="1560" w:val="left" w:leader="none"/>
        </w:tabs>
        <w:spacing w:line="476" w:lineRule="exact" w:before="82" w:after="0"/>
        <w:ind w:left="1559" w:right="304" w:hanging="430"/>
        <w:jc w:val="both"/>
        <w:rPr>
          <w:rFonts w:ascii="Wingdings" w:hAnsi="Wingdings"/>
          <w:color w:val="0AD0D9"/>
          <w:sz w:val="30"/>
        </w:rPr>
      </w:pPr>
      <w:r>
        <w:rPr>
          <w:sz w:val="44"/>
        </w:rPr>
        <w:t>La decisión respecto a que método utilizar depende del tipo</w:t>
      </w:r>
      <w:r>
        <w:rPr>
          <w:spacing w:val="-30"/>
          <w:sz w:val="44"/>
        </w:rPr>
        <w:t> </w:t>
      </w:r>
      <w:r>
        <w:rPr>
          <w:sz w:val="44"/>
        </w:rPr>
        <w:t>de activo de que se </w:t>
      </w:r>
      <w:r>
        <w:rPr>
          <w:spacing w:val="-4"/>
          <w:sz w:val="44"/>
        </w:rPr>
        <w:t>trate, </w:t>
      </w:r>
      <w:r>
        <w:rPr>
          <w:sz w:val="44"/>
        </w:rPr>
        <w:t>el uso que se </w:t>
      </w:r>
      <w:r>
        <w:rPr>
          <w:spacing w:val="-4"/>
          <w:sz w:val="44"/>
        </w:rPr>
        <w:t>haya </w:t>
      </w:r>
      <w:r>
        <w:rPr>
          <w:sz w:val="44"/>
        </w:rPr>
        <w:t>de hacer del valor en libros </w:t>
      </w:r>
      <w:r>
        <w:rPr>
          <w:spacing w:val="-3"/>
          <w:sz w:val="44"/>
        </w:rPr>
        <w:t>resultante </w:t>
      </w:r>
      <w:r>
        <w:rPr>
          <w:sz w:val="44"/>
        </w:rPr>
        <w:t>y las condiciones de  impuesto sobre la</w:t>
      </w:r>
      <w:r>
        <w:rPr>
          <w:spacing w:val="-39"/>
          <w:sz w:val="44"/>
        </w:rPr>
        <w:t> </w:t>
      </w:r>
      <w:r>
        <w:rPr>
          <w:spacing w:val="-4"/>
          <w:sz w:val="44"/>
        </w:rPr>
        <w:t>renta</w:t>
      </w:r>
    </w:p>
    <w:p>
      <w:pPr>
        <w:spacing w:line="240" w:lineRule="auto" w:before="0"/>
        <w:rPr>
          <w:sz w:val="20"/>
        </w:rPr>
      </w:pPr>
    </w:p>
    <w:p>
      <w:pPr>
        <w:pStyle w:val="Heading8"/>
        <w:spacing w:line="452" w:lineRule="exact" w:before="153"/>
        <w:ind w:left="2639"/>
      </w:pPr>
      <w:r>
        <w:rPr/>
        <w:t>Ejemplo:</w:t>
      </w:r>
    </w:p>
    <w:p>
      <w:pPr>
        <w:pStyle w:val="Heading9"/>
        <w:numPr>
          <w:ilvl w:val="2"/>
          <w:numId w:val="4"/>
        </w:numPr>
        <w:tabs>
          <w:tab w:pos="2644" w:val="left" w:leader="none"/>
          <w:tab w:pos="2645" w:val="left" w:leader="none"/>
          <w:tab w:pos="5145" w:val="left" w:leader="none"/>
          <w:tab w:pos="6885" w:val="left" w:leader="none"/>
          <w:tab w:pos="7296" w:val="left" w:leader="none"/>
          <w:tab w:pos="9502" w:val="left" w:leader="none"/>
          <w:tab w:pos="12397" w:val="left" w:leader="none"/>
        </w:tabs>
        <w:spacing w:line="443" w:lineRule="exact" w:before="0" w:after="0"/>
        <w:ind w:left="2644" w:right="0" w:hanging="540"/>
        <w:jc w:val="left"/>
        <w:rPr>
          <w:rFonts w:ascii="Wingdings" w:hAnsi="Wingdings"/>
          <w:color w:val="0AD0D9"/>
          <w:sz w:val="38"/>
        </w:rPr>
      </w:pPr>
      <w:r>
        <w:rPr>
          <w:rFonts w:ascii="Constantia" w:hAnsi="Constantia"/>
          <w:spacing w:val="-3"/>
        </w:rPr>
        <w:t>Automóviles,</w:t>
        <w:tab/>
        <w:t>tractores</w:t>
        <w:tab/>
      </w:r>
      <w:r>
        <w:rPr>
          <w:rFonts w:ascii="Constantia" w:hAnsi="Constantia"/>
        </w:rPr>
        <w:t>y</w:t>
        <w:tab/>
        <w:t>maquinaria</w:t>
        <w:tab/>
        <w:t>motorizada</w:t>
        <w:tab/>
      </w:r>
      <w:r>
        <w:rPr>
          <w:rFonts w:ascii="Symbol" w:hAnsi="Symbol"/>
        </w:rPr>
        <w:t></w:t>
      </w:r>
    </w:p>
    <w:p>
      <w:pPr>
        <w:tabs>
          <w:tab w:pos="3969" w:val="left" w:leader="none"/>
        </w:tabs>
        <w:spacing w:line="421" w:lineRule="exact" w:before="0"/>
        <w:ind w:left="2644" w:right="0" w:firstLine="0"/>
        <w:jc w:val="left"/>
        <w:rPr>
          <w:rFonts w:ascii="Constantia"/>
          <w:sz w:val="40"/>
        </w:rPr>
      </w:pPr>
      <w:r>
        <w:rPr>
          <w:rFonts w:ascii="Constantia"/>
          <w:sz w:val="40"/>
        </w:rPr>
        <w:t>Doble</w:t>
        <w:tab/>
        <w:t>saldos</w:t>
      </w:r>
      <w:r>
        <w:rPr>
          <w:rFonts w:ascii="Constantia"/>
          <w:spacing w:val="-27"/>
          <w:sz w:val="40"/>
        </w:rPr>
        <w:t> </w:t>
      </w:r>
      <w:r>
        <w:rPr>
          <w:rFonts w:ascii="Constantia"/>
          <w:sz w:val="40"/>
        </w:rPr>
        <w:t>decrecientes</w:t>
      </w:r>
    </w:p>
    <w:p>
      <w:pPr>
        <w:pStyle w:val="ListParagraph"/>
        <w:numPr>
          <w:ilvl w:val="2"/>
          <w:numId w:val="4"/>
        </w:numPr>
        <w:tabs>
          <w:tab w:pos="2644" w:val="left" w:leader="none"/>
          <w:tab w:pos="2645" w:val="left" w:leader="none"/>
          <w:tab w:pos="5880" w:val="left" w:leader="none"/>
          <w:tab w:pos="6573" w:val="left" w:leader="none"/>
        </w:tabs>
        <w:spacing w:line="473" w:lineRule="exact" w:before="0" w:after="0"/>
        <w:ind w:left="2644" w:right="0" w:hanging="540"/>
        <w:jc w:val="left"/>
        <w:rPr>
          <w:rFonts w:ascii="Wingdings" w:hAnsi="Wingdings"/>
          <w:color w:val="0AD0D9"/>
          <w:sz w:val="38"/>
        </w:rPr>
      </w:pPr>
      <w:r>
        <w:rPr>
          <w:rFonts w:ascii="Constantia" w:hAnsi="Constantia"/>
          <w:sz w:val="40"/>
        </w:rPr>
        <w:t>Cercas</w:t>
      </w:r>
      <w:r>
        <w:rPr>
          <w:rFonts w:ascii="Constantia" w:hAnsi="Constantia"/>
          <w:spacing w:val="-24"/>
          <w:sz w:val="40"/>
        </w:rPr>
        <w:t> </w:t>
      </w:r>
      <w:r>
        <w:rPr>
          <w:rFonts w:ascii="Constantia" w:hAnsi="Constantia"/>
          <w:sz w:val="40"/>
        </w:rPr>
        <w:t>y</w:t>
      </w:r>
      <w:r>
        <w:rPr>
          <w:rFonts w:ascii="Constantia" w:hAnsi="Constantia"/>
          <w:spacing w:val="-21"/>
          <w:sz w:val="40"/>
        </w:rPr>
        <w:t> </w:t>
      </w:r>
      <w:r>
        <w:rPr>
          <w:rFonts w:ascii="Constantia" w:hAnsi="Constantia"/>
          <w:sz w:val="40"/>
        </w:rPr>
        <w:t>edificios</w:t>
        <w:tab/>
      </w:r>
      <w:r>
        <w:rPr>
          <w:rFonts w:ascii="Symbol" w:hAnsi="Symbol"/>
          <w:sz w:val="40"/>
        </w:rPr>
        <w:t></w:t>
      </w:r>
      <w:r>
        <w:rPr>
          <w:rFonts w:ascii="Times New Roman" w:hAnsi="Times New Roman"/>
          <w:sz w:val="40"/>
        </w:rPr>
        <w:tab/>
      </w:r>
      <w:r>
        <w:rPr>
          <w:rFonts w:ascii="Constantia" w:hAnsi="Constantia"/>
          <w:sz w:val="40"/>
        </w:rPr>
        <w:t>Línea</w:t>
      </w:r>
      <w:r>
        <w:rPr>
          <w:rFonts w:ascii="Constantia" w:hAnsi="Constantia"/>
          <w:spacing w:val="-20"/>
          <w:sz w:val="40"/>
        </w:rPr>
        <w:t> </w:t>
      </w:r>
      <w:r>
        <w:rPr>
          <w:rFonts w:ascii="Constantia" w:hAnsi="Constantia"/>
          <w:sz w:val="40"/>
        </w:rPr>
        <w:t>recta</w:t>
      </w:r>
    </w:p>
    <w:p>
      <w:pPr>
        <w:spacing w:before="58"/>
        <w:ind w:left="119" w:right="0" w:firstLine="0"/>
        <w:jc w:val="left"/>
        <w:rPr>
          <w:rFonts w:ascii="Wingdings" w:hAnsi="Wingdings"/>
          <w:sz w:val="28"/>
        </w:rPr>
      </w:pPr>
      <w:r>
        <w:rPr>
          <w:rFonts w:ascii="Wingdings" w:hAnsi="Wingdings"/>
          <w:color w:val="0AD0D9"/>
          <w:w w:val="56"/>
          <w:sz w:val="28"/>
        </w:rPr>
        <w:t></w:t>
      </w: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spacing w:before="8"/>
        <w:rPr>
          <w:rFonts w:ascii="Wingdings" w:hAnsi="Wingdings"/>
          <w:sz w:val="27"/>
        </w:rPr>
      </w:pPr>
    </w:p>
    <w:p>
      <w:pPr>
        <w:spacing w:before="51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11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00" w:right="600"/>
        </w:sectPr>
      </w:pPr>
    </w:p>
    <w:p>
      <w:pPr>
        <w:pStyle w:val="BodyText"/>
        <w:rPr>
          <w:sz w:val="20"/>
        </w:rPr>
      </w:pPr>
    </w:p>
    <w:p>
      <w:pPr>
        <w:pStyle w:val="Heading1"/>
        <w:numPr>
          <w:ilvl w:val="0"/>
          <w:numId w:val="4"/>
        </w:numPr>
        <w:tabs>
          <w:tab w:pos="535" w:val="left" w:leader="none"/>
        </w:tabs>
        <w:spacing w:line="240" w:lineRule="auto" w:before="138" w:after="0"/>
        <w:ind w:left="534" w:right="6316" w:hanging="430"/>
        <w:jc w:val="center"/>
        <w:rPr>
          <w:rFonts w:ascii="Wingdings" w:hAnsi="Wingdings"/>
          <w:color w:val="0AD0D9"/>
          <w:sz w:val="49"/>
        </w:rPr>
      </w:pPr>
      <w:r>
        <w:rPr>
          <w:spacing w:val="-3"/>
        </w:rPr>
        <w:t>Verificación </w:t>
      </w:r>
      <w:r>
        <w:rPr/>
        <w:t>del</w:t>
      </w:r>
      <w:r>
        <w:rPr>
          <w:spacing w:val="-16"/>
        </w:rPr>
        <w:t> </w:t>
      </w:r>
      <w:r>
        <w:rPr/>
        <w:t>aprendizaje:</w:t>
      </w:r>
    </w:p>
    <w:p>
      <w:pPr>
        <w:pStyle w:val="Heading5"/>
        <w:numPr>
          <w:ilvl w:val="1"/>
          <w:numId w:val="4"/>
        </w:numPr>
        <w:tabs>
          <w:tab w:pos="1113" w:val="left" w:leader="none"/>
        </w:tabs>
        <w:spacing w:line="240" w:lineRule="auto" w:before="96" w:after="0"/>
        <w:ind w:left="1112" w:right="0" w:hanging="389"/>
        <w:jc w:val="left"/>
        <w:rPr>
          <w:rFonts w:ascii="Wingdings" w:hAnsi="Wingdings"/>
          <w:color w:val="0E6EC5"/>
          <w:sz w:val="37"/>
        </w:rPr>
      </w:pPr>
      <w:r>
        <w:rPr>
          <w:spacing w:val="-3"/>
        </w:rPr>
        <w:t>Forma </w:t>
      </w:r>
      <w:r>
        <w:rPr/>
        <w:t>de</w:t>
      </w:r>
      <w:r>
        <w:rPr>
          <w:spacing w:val="-54"/>
        </w:rPr>
        <w:t> </w:t>
      </w:r>
      <w:r>
        <w:rPr/>
        <w:t>evaluación:</w:t>
      </w:r>
    </w:p>
    <w:p>
      <w:pPr>
        <w:numPr>
          <w:ilvl w:val="0"/>
          <w:numId w:val="5"/>
        </w:numPr>
        <w:tabs>
          <w:tab w:pos="1544" w:val="left" w:leader="none"/>
          <w:tab w:pos="1545" w:val="left" w:leader="none"/>
        </w:tabs>
        <w:spacing w:before="76"/>
        <w:ind w:left="1544" w:right="0" w:hanging="389"/>
        <w:jc w:val="left"/>
        <w:rPr>
          <w:rFonts w:ascii="Constantia" w:hAnsi="Constantia"/>
          <w:sz w:val="36"/>
        </w:rPr>
      </w:pPr>
      <w:r>
        <w:rPr>
          <w:rFonts w:ascii="Constantia" w:hAnsi="Constantia"/>
          <w:sz w:val="36"/>
        </w:rPr>
        <w:t>Exposición por equipo de</w:t>
      </w:r>
      <w:r>
        <w:rPr>
          <w:rFonts w:ascii="Constantia" w:hAnsi="Constantia"/>
          <w:spacing w:val="18"/>
          <w:sz w:val="36"/>
        </w:rPr>
        <w:t> </w:t>
      </w:r>
      <w:r>
        <w:rPr>
          <w:rFonts w:ascii="Constantia" w:hAnsi="Constantia"/>
          <w:sz w:val="36"/>
        </w:rPr>
        <w:t>trabajo</w:t>
      </w:r>
    </w:p>
    <w:p>
      <w:pPr>
        <w:pStyle w:val="ListParagraph"/>
        <w:numPr>
          <w:ilvl w:val="1"/>
          <w:numId w:val="5"/>
        </w:numPr>
        <w:tabs>
          <w:tab w:pos="1973" w:val="left" w:leader="none"/>
          <w:tab w:pos="1974" w:val="left" w:leader="none"/>
        </w:tabs>
        <w:spacing w:line="436" w:lineRule="exact" w:before="79" w:after="0"/>
        <w:ind w:left="1974" w:right="0" w:hanging="329"/>
        <w:jc w:val="left"/>
        <w:rPr>
          <w:rFonts w:ascii="Arial" w:hAnsi="Arial"/>
          <w:color w:val="0AD0D9"/>
          <w:sz w:val="23"/>
        </w:rPr>
      </w:pPr>
      <w:r>
        <w:rPr>
          <w:rFonts w:ascii="Constantia" w:hAnsi="Constantia"/>
          <w:sz w:val="36"/>
        </w:rPr>
        <w:t>Elaboración y presentación de casos específicos de depreciación  </w:t>
      </w:r>
      <w:r>
        <w:rPr>
          <w:rFonts w:ascii="Constantia" w:hAnsi="Constantia"/>
          <w:spacing w:val="12"/>
          <w:sz w:val="36"/>
        </w:rPr>
        <w:t> </w:t>
      </w:r>
      <w:r>
        <w:rPr>
          <w:rFonts w:ascii="Constantia" w:hAnsi="Constantia"/>
          <w:spacing w:val="-3"/>
          <w:sz w:val="36"/>
        </w:rPr>
        <w:t>con</w:t>
      </w:r>
    </w:p>
    <w:p>
      <w:pPr>
        <w:spacing w:line="436" w:lineRule="exact" w:before="0"/>
        <w:ind w:left="1973" w:right="0" w:firstLine="0"/>
        <w:jc w:val="left"/>
        <w:rPr>
          <w:rFonts w:ascii="Constantia"/>
          <w:sz w:val="36"/>
        </w:rPr>
      </w:pPr>
      <w:r>
        <w:rPr>
          <w:rFonts w:ascii="Constantia"/>
          <w:sz w:val="36"/>
        </w:rPr>
        <w:t>base a los distintos tipos de activos de la empresa</w:t>
      </w:r>
    </w:p>
    <w:p>
      <w:pPr>
        <w:pStyle w:val="ListParagraph"/>
        <w:numPr>
          <w:ilvl w:val="0"/>
          <w:numId w:val="5"/>
        </w:numPr>
        <w:tabs>
          <w:tab w:pos="1544" w:val="left" w:leader="none"/>
          <w:tab w:pos="1545" w:val="left" w:leader="none"/>
        </w:tabs>
        <w:spacing w:line="240" w:lineRule="auto" w:before="79" w:after="0"/>
        <w:ind w:left="1544" w:right="0" w:hanging="389"/>
        <w:jc w:val="left"/>
        <w:rPr>
          <w:rFonts w:ascii="Constantia" w:hAnsi="Constantia"/>
          <w:sz w:val="36"/>
        </w:rPr>
      </w:pPr>
      <w:r>
        <w:rPr>
          <w:rFonts w:ascii="Constantia" w:hAnsi="Constantia"/>
          <w:sz w:val="36"/>
        </w:rPr>
        <w:t>Discusión</w:t>
      </w:r>
      <w:r>
        <w:rPr>
          <w:rFonts w:ascii="Constantia" w:hAnsi="Constantia"/>
          <w:spacing w:val="-17"/>
          <w:sz w:val="36"/>
        </w:rPr>
        <w:t> </w:t>
      </w:r>
      <w:r>
        <w:rPr>
          <w:rFonts w:ascii="Constantia" w:hAnsi="Constantia"/>
          <w:sz w:val="36"/>
        </w:rPr>
        <w:t>y</w:t>
      </w:r>
      <w:r>
        <w:rPr>
          <w:rFonts w:ascii="Constantia" w:hAnsi="Constantia"/>
          <w:spacing w:val="-21"/>
          <w:sz w:val="36"/>
        </w:rPr>
        <w:t> </w:t>
      </w:r>
      <w:r>
        <w:rPr>
          <w:rFonts w:ascii="Constantia" w:hAnsi="Constantia"/>
          <w:sz w:val="36"/>
        </w:rPr>
        <w:t>análisis</w:t>
      </w:r>
      <w:r>
        <w:rPr>
          <w:rFonts w:ascii="Constantia" w:hAnsi="Constantia"/>
          <w:spacing w:val="-18"/>
          <w:sz w:val="36"/>
        </w:rPr>
        <w:t> </w:t>
      </w:r>
      <w:r>
        <w:rPr>
          <w:rFonts w:ascii="Constantia" w:hAnsi="Constantia"/>
          <w:sz w:val="36"/>
        </w:rPr>
        <w:t>a</w:t>
      </w:r>
      <w:r>
        <w:rPr>
          <w:rFonts w:ascii="Constantia" w:hAnsi="Constantia"/>
          <w:spacing w:val="-16"/>
          <w:sz w:val="36"/>
        </w:rPr>
        <w:t> </w:t>
      </w:r>
      <w:r>
        <w:rPr>
          <w:rFonts w:ascii="Constantia" w:hAnsi="Constantia"/>
          <w:spacing w:val="-5"/>
          <w:sz w:val="36"/>
        </w:rPr>
        <w:t>través</w:t>
      </w:r>
      <w:r>
        <w:rPr>
          <w:rFonts w:ascii="Constantia" w:hAnsi="Constantia"/>
          <w:spacing w:val="-17"/>
          <w:sz w:val="36"/>
        </w:rPr>
        <w:t> </w:t>
      </w:r>
      <w:r>
        <w:rPr>
          <w:rFonts w:ascii="Constantia" w:hAnsi="Constantia"/>
          <w:sz w:val="36"/>
        </w:rPr>
        <w:t>de</w:t>
      </w:r>
      <w:r>
        <w:rPr>
          <w:rFonts w:ascii="Constantia" w:hAnsi="Constantia"/>
          <w:spacing w:val="-16"/>
          <w:sz w:val="36"/>
        </w:rPr>
        <w:t> </w:t>
      </w:r>
      <w:r>
        <w:rPr>
          <w:rFonts w:ascii="Constantia" w:hAnsi="Constantia"/>
          <w:sz w:val="36"/>
        </w:rPr>
        <w:t>solución</w:t>
      </w:r>
      <w:r>
        <w:rPr>
          <w:rFonts w:ascii="Constantia" w:hAnsi="Constantia"/>
          <w:spacing w:val="-17"/>
          <w:sz w:val="36"/>
        </w:rPr>
        <w:t> </w:t>
      </w:r>
      <w:r>
        <w:rPr>
          <w:rFonts w:ascii="Constantia" w:hAnsi="Constantia"/>
          <w:sz w:val="36"/>
        </w:rPr>
        <w:t>de</w:t>
      </w:r>
      <w:r>
        <w:rPr>
          <w:rFonts w:ascii="Constantia" w:hAnsi="Constantia"/>
          <w:spacing w:val="-16"/>
          <w:sz w:val="36"/>
        </w:rPr>
        <w:t> </w:t>
      </w:r>
      <w:r>
        <w:rPr>
          <w:rFonts w:ascii="Constantia" w:hAnsi="Constantia"/>
          <w:sz w:val="36"/>
        </w:rPr>
        <w:t>problemas</w:t>
      </w:r>
    </w:p>
    <w:p>
      <w:pPr>
        <w:pStyle w:val="ListParagraph"/>
        <w:numPr>
          <w:ilvl w:val="1"/>
          <w:numId w:val="5"/>
        </w:numPr>
        <w:tabs>
          <w:tab w:pos="1973" w:val="left" w:leader="none"/>
          <w:tab w:pos="1974" w:val="left" w:leader="none"/>
        </w:tabs>
        <w:spacing w:line="240" w:lineRule="auto" w:before="76" w:after="0"/>
        <w:ind w:left="1974" w:right="0" w:hanging="329"/>
        <w:jc w:val="left"/>
        <w:rPr>
          <w:rFonts w:ascii="Arial" w:hAnsi="Arial"/>
          <w:color w:val="0AD0D9"/>
          <w:sz w:val="22"/>
        </w:rPr>
      </w:pPr>
      <w:r>
        <w:rPr>
          <w:rFonts w:ascii="Constantia" w:hAnsi="Constantia"/>
          <w:sz w:val="34"/>
        </w:rPr>
        <w:t>Coevaluación</w:t>
      </w:r>
    </w:p>
    <w:p>
      <w:pPr>
        <w:pStyle w:val="ListParagraph"/>
        <w:numPr>
          <w:ilvl w:val="1"/>
          <w:numId w:val="4"/>
        </w:numPr>
        <w:tabs>
          <w:tab w:pos="1113" w:val="left" w:leader="none"/>
        </w:tabs>
        <w:spacing w:line="240" w:lineRule="auto" w:before="104" w:after="0"/>
        <w:ind w:left="1112" w:right="0" w:hanging="389"/>
        <w:jc w:val="left"/>
        <w:rPr>
          <w:rFonts w:ascii="Wingdings" w:hAnsi="Wingdings"/>
          <w:b/>
          <w:color w:val="0E6EC5"/>
          <w:sz w:val="40"/>
        </w:rPr>
      </w:pPr>
      <w:r>
        <w:rPr>
          <w:b/>
          <w:sz w:val="48"/>
        </w:rPr>
        <w:t>Criterios de</w:t>
      </w:r>
      <w:r>
        <w:rPr>
          <w:b/>
          <w:spacing w:val="-17"/>
          <w:sz w:val="48"/>
        </w:rPr>
        <w:t> </w:t>
      </w:r>
      <w:r>
        <w:rPr>
          <w:b/>
          <w:sz w:val="48"/>
        </w:rPr>
        <w:t>desempeño</w:t>
      </w:r>
    </w:p>
    <w:p>
      <w:pPr>
        <w:pStyle w:val="ListParagraph"/>
        <w:numPr>
          <w:ilvl w:val="0"/>
          <w:numId w:val="6"/>
        </w:numPr>
        <w:tabs>
          <w:tab w:pos="1973" w:val="left" w:leader="none"/>
          <w:tab w:pos="1974" w:val="left" w:leader="none"/>
        </w:tabs>
        <w:spacing w:line="240" w:lineRule="auto" w:before="75" w:after="0"/>
        <w:ind w:left="1974" w:right="0" w:hanging="329"/>
        <w:jc w:val="left"/>
        <w:rPr>
          <w:rFonts w:ascii="Constantia" w:hAnsi="Constantia"/>
          <w:sz w:val="34"/>
        </w:rPr>
      </w:pPr>
      <w:r>
        <w:rPr>
          <w:rFonts w:ascii="Constantia" w:hAnsi="Constantia"/>
          <w:sz w:val="34"/>
        </w:rPr>
        <w:t>Suficiencia  de la</w:t>
      </w:r>
      <w:r>
        <w:rPr>
          <w:rFonts w:ascii="Constantia" w:hAnsi="Constantia"/>
          <w:spacing w:val="-35"/>
          <w:sz w:val="34"/>
        </w:rPr>
        <w:t> </w:t>
      </w:r>
      <w:r>
        <w:rPr>
          <w:rFonts w:ascii="Constantia" w:hAnsi="Constantia"/>
          <w:sz w:val="34"/>
        </w:rPr>
        <w:t>información</w:t>
      </w:r>
    </w:p>
    <w:p>
      <w:pPr>
        <w:pStyle w:val="ListParagraph"/>
        <w:numPr>
          <w:ilvl w:val="0"/>
          <w:numId w:val="6"/>
        </w:numPr>
        <w:tabs>
          <w:tab w:pos="1973" w:val="left" w:leader="none"/>
          <w:tab w:pos="1974" w:val="left" w:leader="none"/>
        </w:tabs>
        <w:spacing w:line="240" w:lineRule="auto" w:before="74" w:after="0"/>
        <w:ind w:left="1974" w:right="0" w:hanging="329"/>
        <w:jc w:val="left"/>
        <w:rPr>
          <w:rFonts w:ascii="Constantia" w:hAnsi="Constantia"/>
          <w:sz w:val="34"/>
        </w:rPr>
      </w:pPr>
      <w:r>
        <w:rPr>
          <w:rFonts w:ascii="Constantia" w:hAnsi="Constantia"/>
          <w:spacing w:val="-3"/>
          <w:sz w:val="34"/>
        </w:rPr>
        <w:t>Apoyos</w:t>
      </w:r>
      <w:r>
        <w:rPr>
          <w:rFonts w:ascii="Constantia" w:hAnsi="Constantia"/>
          <w:spacing w:val="-21"/>
          <w:sz w:val="34"/>
        </w:rPr>
        <w:t> </w:t>
      </w:r>
      <w:r>
        <w:rPr>
          <w:rFonts w:ascii="Constantia" w:hAnsi="Constantia"/>
          <w:sz w:val="34"/>
        </w:rPr>
        <w:t>audiovisuales</w:t>
      </w:r>
      <w:r>
        <w:rPr>
          <w:rFonts w:ascii="Constantia" w:hAnsi="Constantia"/>
          <w:spacing w:val="-21"/>
          <w:sz w:val="34"/>
        </w:rPr>
        <w:t> </w:t>
      </w:r>
      <w:r>
        <w:rPr>
          <w:rFonts w:ascii="Constantia" w:hAnsi="Constantia"/>
          <w:sz w:val="34"/>
        </w:rPr>
        <w:t>utilizados</w:t>
      </w:r>
      <w:r>
        <w:rPr>
          <w:rFonts w:ascii="Constantia" w:hAnsi="Constantia"/>
          <w:spacing w:val="-20"/>
          <w:sz w:val="34"/>
        </w:rPr>
        <w:t> </w:t>
      </w:r>
      <w:r>
        <w:rPr>
          <w:rFonts w:ascii="Constantia" w:hAnsi="Constantia"/>
          <w:sz w:val="34"/>
        </w:rPr>
        <w:t>en</w:t>
      </w:r>
      <w:r>
        <w:rPr>
          <w:rFonts w:ascii="Constantia" w:hAnsi="Constantia"/>
          <w:spacing w:val="-8"/>
          <w:sz w:val="34"/>
        </w:rPr>
        <w:t> </w:t>
      </w:r>
      <w:r>
        <w:rPr>
          <w:rFonts w:ascii="Constantia" w:hAnsi="Constantia"/>
          <w:sz w:val="34"/>
        </w:rPr>
        <w:t>la</w:t>
      </w:r>
      <w:r>
        <w:rPr>
          <w:rFonts w:ascii="Constantia" w:hAnsi="Constantia"/>
          <w:spacing w:val="-23"/>
          <w:sz w:val="34"/>
        </w:rPr>
        <w:t> </w:t>
      </w:r>
      <w:r>
        <w:rPr>
          <w:rFonts w:ascii="Constantia" w:hAnsi="Constantia"/>
          <w:sz w:val="34"/>
        </w:rPr>
        <w:t>exposición</w:t>
      </w:r>
    </w:p>
    <w:p>
      <w:pPr>
        <w:pStyle w:val="ListParagraph"/>
        <w:numPr>
          <w:ilvl w:val="1"/>
          <w:numId w:val="4"/>
        </w:numPr>
        <w:tabs>
          <w:tab w:pos="1113" w:val="left" w:leader="none"/>
        </w:tabs>
        <w:spacing w:line="240" w:lineRule="auto" w:before="104" w:after="0"/>
        <w:ind w:left="1112" w:right="0" w:hanging="389"/>
        <w:jc w:val="left"/>
        <w:rPr>
          <w:rFonts w:ascii="Wingdings"/>
          <w:b/>
          <w:color w:val="0E6EC5"/>
          <w:sz w:val="41"/>
        </w:rPr>
      </w:pPr>
      <w:r>
        <w:rPr>
          <w:b/>
          <w:sz w:val="48"/>
        </w:rPr>
        <w:t>Productos</w:t>
      </w:r>
    </w:p>
    <w:p>
      <w:pPr>
        <w:pStyle w:val="ListParagraph"/>
        <w:numPr>
          <w:ilvl w:val="2"/>
          <w:numId w:val="4"/>
        </w:numPr>
        <w:tabs>
          <w:tab w:pos="1544" w:val="left" w:leader="none"/>
          <w:tab w:pos="1545" w:val="left" w:leader="none"/>
        </w:tabs>
        <w:spacing w:line="240" w:lineRule="auto" w:before="92" w:after="0"/>
        <w:ind w:left="1544" w:right="0" w:hanging="389"/>
        <w:jc w:val="left"/>
        <w:rPr>
          <w:rFonts w:ascii="Wingdings" w:hAnsi="Wingdings"/>
          <w:color w:val="009DD9"/>
          <w:sz w:val="29"/>
        </w:rPr>
      </w:pPr>
      <w:r>
        <w:rPr>
          <w:sz w:val="42"/>
        </w:rPr>
        <w:t>Cedula de depreciación de activos de la</w:t>
      </w:r>
      <w:r>
        <w:rPr>
          <w:spacing w:val="-27"/>
          <w:sz w:val="42"/>
        </w:rPr>
        <w:t> </w:t>
      </w:r>
      <w:r>
        <w:rPr>
          <w:sz w:val="42"/>
        </w:rPr>
        <w:t>empresa</w:t>
      </w:r>
    </w:p>
    <w:p>
      <w:pPr>
        <w:pStyle w:val="ListParagraph"/>
        <w:numPr>
          <w:ilvl w:val="1"/>
          <w:numId w:val="4"/>
        </w:numPr>
        <w:tabs>
          <w:tab w:pos="1113" w:val="left" w:leader="none"/>
        </w:tabs>
        <w:spacing w:line="240" w:lineRule="auto" w:before="97" w:after="0"/>
        <w:ind w:left="1112" w:right="0" w:hanging="389"/>
        <w:jc w:val="left"/>
        <w:rPr>
          <w:rFonts w:ascii="Wingdings" w:hAnsi="Wingdings"/>
          <w:b/>
          <w:color w:val="0E6EC5"/>
          <w:sz w:val="37"/>
        </w:rPr>
      </w:pPr>
      <w:r>
        <w:rPr>
          <w:rFonts w:ascii="Constantia" w:hAnsi="Constantia"/>
          <w:b/>
          <w:spacing w:val="-3"/>
          <w:sz w:val="44"/>
        </w:rPr>
        <w:t>Herramienta </w:t>
      </w:r>
      <w:r>
        <w:rPr>
          <w:rFonts w:ascii="Constantia" w:hAnsi="Constantia"/>
          <w:b/>
          <w:sz w:val="44"/>
        </w:rPr>
        <w:t>de</w:t>
      </w:r>
      <w:r>
        <w:rPr>
          <w:rFonts w:ascii="Constantia" w:hAnsi="Constantia"/>
          <w:b/>
          <w:spacing w:val="-24"/>
          <w:sz w:val="44"/>
        </w:rPr>
        <w:t> </w:t>
      </w:r>
      <w:r>
        <w:rPr>
          <w:rFonts w:ascii="Constantia" w:hAnsi="Constantia"/>
          <w:b/>
          <w:sz w:val="44"/>
        </w:rPr>
        <w:t>calificación</w:t>
      </w:r>
    </w:p>
    <w:p>
      <w:pPr>
        <w:pStyle w:val="ListParagraph"/>
        <w:numPr>
          <w:ilvl w:val="0"/>
          <w:numId w:val="7"/>
        </w:numPr>
        <w:tabs>
          <w:tab w:pos="1973" w:val="left" w:leader="none"/>
          <w:tab w:pos="1974" w:val="left" w:leader="none"/>
        </w:tabs>
        <w:spacing w:line="240" w:lineRule="auto" w:before="74" w:after="0"/>
        <w:ind w:left="1974" w:right="0" w:hanging="329"/>
        <w:jc w:val="left"/>
        <w:rPr>
          <w:rFonts w:ascii="Constantia"/>
          <w:sz w:val="34"/>
        </w:rPr>
      </w:pPr>
      <w:r>
        <w:rPr>
          <w:rFonts w:ascii="Constantia"/>
          <w:sz w:val="34"/>
        </w:rPr>
        <w:t>Rubrica</w:t>
      </w:r>
    </w:p>
    <w:p>
      <w:pPr>
        <w:pStyle w:val="ListParagraph"/>
        <w:numPr>
          <w:ilvl w:val="1"/>
          <w:numId w:val="4"/>
        </w:numPr>
        <w:tabs>
          <w:tab w:pos="1113" w:val="left" w:leader="none"/>
        </w:tabs>
        <w:spacing w:line="240" w:lineRule="auto" w:before="97" w:after="0"/>
        <w:ind w:left="1112" w:right="0" w:hanging="389"/>
        <w:jc w:val="left"/>
        <w:rPr>
          <w:rFonts w:ascii="Wingdings"/>
          <w:b/>
          <w:color w:val="0E6EC5"/>
          <w:sz w:val="37"/>
        </w:rPr>
      </w:pPr>
      <w:r>
        <w:rPr>
          <w:rFonts w:ascii="Constantia"/>
          <w:b/>
          <w:spacing w:val="-3"/>
          <w:sz w:val="44"/>
        </w:rPr>
        <w:t>Nivel </w:t>
      </w:r>
      <w:r>
        <w:rPr>
          <w:rFonts w:ascii="Constantia"/>
          <w:b/>
          <w:sz w:val="44"/>
        </w:rPr>
        <w:t>de</w:t>
      </w:r>
      <w:r>
        <w:rPr>
          <w:rFonts w:ascii="Constantia"/>
          <w:b/>
          <w:spacing w:val="-34"/>
          <w:sz w:val="44"/>
        </w:rPr>
        <w:t> </w:t>
      </w:r>
      <w:r>
        <w:rPr>
          <w:rFonts w:ascii="Constantia"/>
          <w:b/>
          <w:sz w:val="44"/>
        </w:rPr>
        <w:t>logro</w:t>
      </w:r>
    </w:p>
    <w:p>
      <w:pPr>
        <w:spacing w:after="0" w:line="240" w:lineRule="auto"/>
        <w:jc w:val="left"/>
        <w:rPr>
          <w:rFonts w:ascii="Wingdings"/>
          <w:sz w:val="37"/>
        </w:rPr>
        <w:sectPr>
          <w:pgSz w:w="14400" w:h="10800" w:orient="landscape"/>
          <w:pgMar w:top="1000" w:bottom="0" w:left="760" w:right="600"/>
        </w:sectPr>
      </w:pPr>
    </w:p>
    <w:p>
      <w:pPr>
        <w:pStyle w:val="ListParagraph"/>
        <w:numPr>
          <w:ilvl w:val="0"/>
          <w:numId w:val="8"/>
        </w:numPr>
        <w:tabs>
          <w:tab w:pos="1973" w:val="left" w:leader="none"/>
          <w:tab w:pos="1974" w:val="left" w:leader="none"/>
          <w:tab w:pos="6708" w:val="left" w:leader="none"/>
        </w:tabs>
        <w:spacing w:line="240" w:lineRule="auto" w:before="74" w:after="0"/>
        <w:ind w:left="1974" w:right="0" w:hanging="329"/>
        <w:jc w:val="left"/>
        <w:rPr>
          <w:rFonts w:ascii="Constantia"/>
          <w:sz w:val="34"/>
        </w:rPr>
      </w:pPr>
      <w:r>
        <w:rPr/>
        <w:pict>
          <v:group style="position:absolute;margin-left:-.069398pt;margin-top:0pt;width:720.15pt;height:540pt;mso-position-horizontal-relative:page;mso-position-vertical-relative:page;z-index:-1619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>
          <w:rFonts w:ascii="Constantia"/>
          <w:sz w:val="34"/>
        </w:rPr>
        <w:t>Competencia</w:t>
      </w:r>
      <w:r>
        <w:rPr>
          <w:rFonts w:ascii="Constantia"/>
          <w:spacing w:val="-17"/>
          <w:sz w:val="34"/>
        </w:rPr>
        <w:t> </w:t>
      </w:r>
      <w:r>
        <w:rPr>
          <w:rFonts w:ascii="Constantia"/>
          <w:sz w:val="34"/>
        </w:rPr>
        <w:t>Lograda</w:t>
      </w:r>
      <w:r>
        <w:rPr>
          <w:rFonts w:ascii="Constantia"/>
          <w:spacing w:val="-13"/>
          <w:sz w:val="34"/>
        </w:rPr>
        <w:t> </w:t>
      </w:r>
      <w:r>
        <w:rPr>
          <w:rFonts w:ascii="Constantia"/>
          <w:w w:val="100"/>
          <w:sz w:val="34"/>
          <w:u w:val="single"/>
        </w:rPr>
        <w:t> </w:t>
      </w:r>
      <w:r>
        <w:rPr>
          <w:rFonts w:ascii="Constantia"/>
          <w:sz w:val="34"/>
          <w:u w:val="single"/>
        </w:rPr>
        <w:tab/>
      </w:r>
    </w:p>
    <w:p>
      <w:pPr>
        <w:tabs>
          <w:tab w:pos="5244" w:val="left" w:leader="none"/>
        </w:tabs>
        <w:spacing w:line="393" w:lineRule="exact" w:before="74"/>
        <w:ind w:left="218" w:right="0" w:firstLine="0"/>
        <w:jc w:val="left"/>
        <w:rPr>
          <w:rFonts w:ascii="Constantia"/>
          <w:sz w:val="34"/>
        </w:rPr>
      </w:pPr>
      <w:r>
        <w:rPr/>
        <w:br w:type="column"/>
      </w:r>
      <w:r>
        <w:rPr>
          <w:rFonts w:ascii="Constantia"/>
          <w:sz w:val="34"/>
        </w:rPr>
        <w:t>Competencia en</w:t>
      </w:r>
      <w:r>
        <w:rPr>
          <w:rFonts w:ascii="Constantia"/>
          <w:spacing w:val="-33"/>
          <w:sz w:val="34"/>
        </w:rPr>
        <w:t> </w:t>
      </w:r>
      <w:r>
        <w:rPr>
          <w:rFonts w:ascii="Constantia"/>
          <w:spacing w:val="-3"/>
          <w:sz w:val="34"/>
        </w:rPr>
        <w:t>proceso</w:t>
      </w:r>
      <w:r>
        <w:rPr>
          <w:rFonts w:ascii="Constantia"/>
          <w:spacing w:val="-3"/>
          <w:sz w:val="34"/>
          <w:u w:val="single"/>
        </w:rPr>
        <w:t> </w:t>
        <w:tab/>
      </w:r>
    </w:p>
    <w:p>
      <w:pPr>
        <w:spacing w:line="271" w:lineRule="exact" w:before="0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12</w:t>
      </w:r>
    </w:p>
    <w:p>
      <w:pPr>
        <w:spacing w:after="0" w:line="271" w:lineRule="exact"/>
        <w:jc w:val="right"/>
        <w:rPr>
          <w:rFonts w:ascii="Constantia"/>
          <w:sz w:val="24"/>
        </w:rPr>
        <w:sectPr>
          <w:type w:val="continuous"/>
          <w:pgSz w:w="14400" w:h="10800" w:orient="landscape"/>
          <w:pgMar w:top="1000" w:bottom="0" w:left="760" w:right="600"/>
          <w:cols w:num="2" w:equalWidth="0">
            <w:col w:w="6709" w:space="40"/>
            <w:col w:w="6291"/>
          </w:cols>
        </w:sectPr>
      </w:pPr>
    </w:p>
    <w:p>
      <w:pPr>
        <w:pStyle w:val="ListParagraph"/>
        <w:numPr>
          <w:ilvl w:val="0"/>
          <w:numId w:val="4"/>
        </w:numPr>
        <w:tabs>
          <w:tab w:pos="533" w:val="left" w:leader="none"/>
          <w:tab w:pos="535" w:val="left" w:leader="none"/>
        </w:tabs>
        <w:spacing w:line="240" w:lineRule="auto" w:before="13" w:after="0"/>
        <w:ind w:left="534" w:right="0" w:hanging="430"/>
        <w:jc w:val="left"/>
        <w:rPr>
          <w:rFonts w:ascii="Wingdings" w:hAnsi="Wingdings"/>
          <w:b/>
          <w:color w:val="0AD0D9"/>
          <w:sz w:val="34"/>
        </w:rPr>
      </w:pPr>
      <w:r>
        <w:rPr/>
        <w:pict>
          <v:group style="position:absolute;margin-left:-.069398pt;margin-top:0pt;width:720.15pt;height:540pt;mso-position-horizontal-relative:page;mso-position-vertical-relative:page;z-index:-1616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>
          <w:rFonts w:ascii="Constantia" w:hAnsi="Constantia"/>
          <w:b/>
          <w:sz w:val="36"/>
        </w:rPr>
        <w:t>Bibliografía</w:t>
      </w:r>
      <w:r>
        <w:rPr>
          <w:rFonts w:ascii="Constantia" w:hAnsi="Constantia"/>
          <w:b/>
          <w:spacing w:val="-31"/>
          <w:sz w:val="36"/>
        </w:rPr>
        <w:t> </w:t>
      </w:r>
      <w:r>
        <w:rPr>
          <w:rFonts w:ascii="Constantia" w:hAnsi="Constantia"/>
          <w:b/>
          <w:sz w:val="36"/>
        </w:rPr>
        <w:t>consultada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5"/>
        </w:rPr>
      </w:pP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35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AGUILAR </w:t>
      </w:r>
      <w:r>
        <w:rPr>
          <w:rFonts w:ascii="Constantia" w:hAnsi="Constantia"/>
          <w:spacing w:val="-18"/>
          <w:sz w:val="32"/>
        </w:rPr>
        <w:t>V. </w:t>
      </w:r>
      <w:r>
        <w:rPr>
          <w:rFonts w:ascii="Constantia" w:hAnsi="Constantia"/>
          <w:sz w:val="32"/>
        </w:rPr>
        <w:t>et al. 1984. Administración Agropecuaria, Ed.</w:t>
      </w:r>
      <w:r>
        <w:rPr>
          <w:rFonts w:ascii="Constantia" w:hAnsi="Constantia"/>
          <w:spacing w:val="9"/>
          <w:sz w:val="32"/>
        </w:rPr>
        <w:t> </w:t>
      </w:r>
      <w:r>
        <w:rPr>
          <w:rFonts w:ascii="Constantia" w:hAnsi="Constantia"/>
          <w:sz w:val="32"/>
        </w:rPr>
        <w:t>LIMUSA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384" w:lineRule="exact" w:before="67" w:after="0"/>
        <w:ind w:left="1112" w:right="739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AGUILAR</w:t>
      </w:r>
      <w:r>
        <w:rPr>
          <w:rFonts w:ascii="Constantia" w:hAnsi="Constantia"/>
          <w:spacing w:val="-15"/>
          <w:sz w:val="32"/>
        </w:rPr>
        <w:t> </w:t>
      </w:r>
      <w:r>
        <w:rPr>
          <w:rFonts w:ascii="Constantia" w:hAnsi="Constantia"/>
          <w:spacing w:val="-12"/>
          <w:sz w:val="32"/>
        </w:rPr>
        <w:t>V.,</w:t>
      </w:r>
      <w:r>
        <w:rPr>
          <w:rFonts w:ascii="Constantia" w:hAnsi="Constantia"/>
          <w:spacing w:val="-11"/>
          <w:sz w:val="32"/>
        </w:rPr>
        <w:t> </w:t>
      </w:r>
      <w:r>
        <w:rPr>
          <w:rFonts w:ascii="Constantia" w:hAnsi="Constantia"/>
          <w:sz w:val="32"/>
        </w:rPr>
        <w:t>A.</w:t>
      </w:r>
      <w:r>
        <w:rPr>
          <w:rFonts w:ascii="Constantia" w:hAnsi="Constantia"/>
          <w:spacing w:val="-17"/>
          <w:sz w:val="32"/>
        </w:rPr>
        <w:t> </w:t>
      </w:r>
      <w:r>
        <w:rPr>
          <w:rFonts w:ascii="Constantia" w:hAnsi="Constantia"/>
          <w:sz w:val="32"/>
        </w:rPr>
        <w:t>et</w:t>
      </w:r>
      <w:r>
        <w:rPr>
          <w:rFonts w:ascii="Constantia" w:hAnsi="Constantia"/>
          <w:spacing w:val="-26"/>
          <w:sz w:val="32"/>
        </w:rPr>
        <w:t> </w:t>
      </w:r>
      <w:r>
        <w:rPr>
          <w:rFonts w:ascii="Constantia" w:hAnsi="Constantia"/>
          <w:sz w:val="32"/>
        </w:rPr>
        <w:t>al.</w:t>
      </w:r>
      <w:r>
        <w:rPr>
          <w:rFonts w:ascii="Constantia" w:hAnsi="Constantia"/>
          <w:spacing w:val="-10"/>
          <w:sz w:val="32"/>
        </w:rPr>
        <w:t> </w:t>
      </w:r>
      <w:r>
        <w:rPr>
          <w:rFonts w:ascii="Constantia" w:hAnsi="Constantia"/>
          <w:sz w:val="32"/>
        </w:rPr>
        <w:t>1983.</w:t>
      </w:r>
      <w:r>
        <w:rPr>
          <w:rFonts w:ascii="Constantia" w:hAnsi="Constantia"/>
          <w:spacing w:val="-13"/>
          <w:sz w:val="32"/>
        </w:rPr>
        <w:t> </w:t>
      </w:r>
      <w:r>
        <w:rPr>
          <w:rFonts w:ascii="Constantia" w:hAnsi="Constantia"/>
          <w:sz w:val="32"/>
        </w:rPr>
        <w:t>Aspectos</w:t>
      </w:r>
      <w:r>
        <w:rPr>
          <w:rFonts w:ascii="Constantia" w:hAnsi="Constantia"/>
          <w:spacing w:val="-13"/>
          <w:sz w:val="32"/>
        </w:rPr>
        <w:t> </w:t>
      </w:r>
      <w:r>
        <w:rPr>
          <w:rFonts w:ascii="Constantia" w:hAnsi="Constantia"/>
          <w:sz w:val="32"/>
        </w:rPr>
        <w:t>Económicos</w:t>
      </w:r>
      <w:r>
        <w:rPr>
          <w:rFonts w:ascii="Constantia" w:hAnsi="Constantia"/>
          <w:spacing w:val="-18"/>
          <w:sz w:val="32"/>
        </w:rPr>
        <w:t> </w:t>
      </w:r>
      <w:r>
        <w:rPr>
          <w:rFonts w:ascii="Constantia" w:hAnsi="Constantia"/>
          <w:sz w:val="32"/>
        </w:rPr>
        <w:t>y</w:t>
      </w:r>
      <w:r>
        <w:rPr>
          <w:rFonts w:ascii="Constantia" w:hAnsi="Constantia"/>
          <w:spacing w:val="-19"/>
          <w:sz w:val="32"/>
        </w:rPr>
        <w:t> </w:t>
      </w:r>
      <w:r>
        <w:rPr>
          <w:rFonts w:ascii="Constantia" w:hAnsi="Constantia"/>
          <w:sz w:val="32"/>
        </w:rPr>
        <w:t>Administrativos</w:t>
      </w:r>
      <w:r>
        <w:rPr>
          <w:rFonts w:ascii="Constantia" w:hAnsi="Constantia"/>
          <w:spacing w:val="-21"/>
          <w:sz w:val="32"/>
        </w:rPr>
        <w:t> </w:t>
      </w:r>
      <w:r>
        <w:rPr>
          <w:rFonts w:ascii="Constantia" w:hAnsi="Constantia"/>
          <w:sz w:val="32"/>
        </w:rPr>
        <w:t>de</w:t>
      </w:r>
      <w:r>
        <w:rPr>
          <w:rFonts w:ascii="Constantia" w:hAnsi="Constantia"/>
          <w:spacing w:val="-16"/>
          <w:sz w:val="32"/>
        </w:rPr>
        <w:t> </w:t>
      </w:r>
      <w:r>
        <w:rPr>
          <w:rFonts w:ascii="Constantia" w:hAnsi="Constantia"/>
          <w:sz w:val="32"/>
        </w:rPr>
        <w:t>la</w:t>
      </w:r>
      <w:r>
        <w:rPr>
          <w:rFonts w:ascii="Constantia" w:hAnsi="Constantia"/>
          <w:spacing w:val="-16"/>
          <w:sz w:val="32"/>
        </w:rPr>
        <w:t> </w:t>
      </w:r>
      <w:r>
        <w:rPr>
          <w:rFonts w:ascii="Constantia" w:hAnsi="Constantia"/>
          <w:sz w:val="32"/>
        </w:rPr>
        <w:t>Empresa Agropecuaria,  Ed.</w:t>
      </w:r>
      <w:r>
        <w:rPr>
          <w:rFonts w:ascii="Constantia" w:hAnsi="Constantia"/>
          <w:spacing w:val="-19"/>
          <w:sz w:val="32"/>
        </w:rPr>
        <w:t> </w:t>
      </w:r>
      <w:r>
        <w:rPr>
          <w:rFonts w:ascii="Constantia" w:hAnsi="Constantia"/>
          <w:sz w:val="32"/>
        </w:rPr>
        <w:t>LIMUSA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79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FRED R., </w:t>
      </w:r>
      <w:r>
        <w:rPr>
          <w:rFonts w:ascii="Constantia" w:hAnsi="Constantia"/>
          <w:spacing w:val="-11"/>
          <w:sz w:val="32"/>
        </w:rPr>
        <w:t>DAVID. </w:t>
      </w:r>
      <w:r>
        <w:rPr>
          <w:rFonts w:ascii="Constantia" w:hAnsi="Constantia"/>
          <w:sz w:val="32"/>
        </w:rPr>
        <w:t>2008. </w:t>
      </w:r>
      <w:r>
        <w:rPr>
          <w:rFonts w:ascii="Constantia" w:hAnsi="Constantia"/>
          <w:spacing w:val="-3"/>
          <w:sz w:val="32"/>
        </w:rPr>
        <w:t>Conceptos </w:t>
      </w:r>
      <w:r>
        <w:rPr>
          <w:rFonts w:ascii="Constantia" w:hAnsi="Constantia"/>
          <w:sz w:val="32"/>
        </w:rPr>
        <w:t>de Administración Estratégica. Ed.</w:t>
      </w:r>
      <w:r>
        <w:rPr>
          <w:rFonts w:ascii="Constantia" w:hAnsi="Constantia"/>
          <w:spacing w:val="-44"/>
          <w:sz w:val="32"/>
        </w:rPr>
        <w:t> </w:t>
      </w:r>
      <w:r>
        <w:rPr>
          <w:rFonts w:ascii="Constantia" w:hAnsi="Constantia"/>
          <w:spacing w:val="-3"/>
          <w:sz w:val="32"/>
        </w:rPr>
        <w:t>Pearson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388" w:lineRule="exact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HERNÁNDEZ</w:t>
      </w:r>
      <w:r>
        <w:rPr>
          <w:rFonts w:ascii="Constantia" w:hAnsi="Constantia"/>
          <w:spacing w:val="-11"/>
          <w:sz w:val="32"/>
        </w:rPr>
        <w:t> </w:t>
      </w:r>
      <w:r>
        <w:rPr>
          <w:rFonts w:ascii="Constantia" w:hAnsi="Constantia"/>
          <w:sz w:val="32"/>
        </w:rPr>
        <w:t>HERNÁNDEZ,</w:t>
      </w:r>
      <w:r>
        <w:rPr>
          <w:rFonts w:ascii="Constantia" w:hAnsi="Constantia"/>
          <w:spacing w:val="-13"/>
          <w:sz w:val="32"/>
        </w:rPr>
        <w:t> </w:t>
      </w:r>
      <w:r>
        <w:rPr>
          <w:rFonts w:ascii="Constantia" w:hAnsi="Constantia"/>
          <w:sz w:val="32"/>
        </w:rPr>
        <w:t>A.</w:t>
      </w:r>
      <w:r>
        <w:rPr>
          <w:rFonts w:ascii="Constantia" w:hAnsi="Constantia"/>
          <w:spacing w:val="-8"/>
          <w:sz w:val="32"/>
        </w:rPr>
        <w:t> </w:t>
      </w:r>
      <w:r>
        <w:rPr>
          <w:rFonts w:ascii="Constantia" w:hAnsi="Constantia"/>
          <w:sz w:val="32"/>
        </w:rPr>
        <w:t>2006.</w:t>
      </w:r>
      <w:r>
        <w:rPr>
          <w:rFonts w:ascii="Constantia" w:hAnsi="Constantia"/>
          <w:spacing w:val="-11"/>
          <w:sz w:val="32"/>
        </w:rPr>
        <w:t> </w:t>
      </w:r>
      <w:r>
        <w:rPr>
          <w:rFonts w:ascii="Constantia" w:hAnsi="Constantia"/>
          <w:sz w:val="32"/>
        </w:rPr>
        <w:t>Problemario</w:t>
      </w:r>
      <w:r>
        <w:rPr>
          <w:rFonts w:ascii="Constantia" w:hAnsi="Constantia"/>
          <w:spacing w:val="-23"/>
          <w:sz w:val="32"/>
        </w:rPr>
        <w:t> </w:t>
      </w:r>
      <w:r>
        <w:rPr>
          <w:rFonts w:ascii="Constantia" w:hAnsi="Constantia"/>
          <w:sz w:val="32"/>
        </w:rPr>
        <w:t>de</w:t>
      </w:r>
      <w:r>
        <w:rPr>
          <w:rFonts w:ascii="Constantia" w:hAnsi="Constantia"/>
          <w:spacing w:val="-14"/>
          <w:sz w:val="32"/>
        </w:rPr>
        <w:t> </w:t>
      </w:r>
      <w:r>
        <w:rPr>
          <w:rFonts w:ascii="Constantia" w:hAnsi="Constantia"/>
          <w:sz w:val="32"/>
        </w:rPr>
        <w:t>Matemáticas</w:t>
      </w:r>
      <w:r>
        <w:rPr>
          <w:rFonts w:ascii="Constantia" w:hAnsi="Constantia"/>
          <w:spacing w:val="-17"/>
          <w:sz w:val="32"/>
        </w:rPr>
        <w:t> </w:t>
      </w:r>
      <w:r>
        <w:rPr>
          <w:rFonts w:ascii="Constantia" w:hAnsi="Constantia"/>
          <w:sz w:val="32"/>
        </w:rPr>
        <w:t>Financieras.</w:t>
      </w:r>
      <w:r>
        <w:rPr>
          <w:rFonts w:ascii="Constantia" w:hAnsi="Constantia"/>
          <w:spacing w:val="-11"/>
          <w:sz w:val="32"/>
        </w:rPr>
        <w:t> </w:t>
      </w:r>
      <w:r>
        <w:rPr>
          <w:rFonts w:ascii="Constantia" w:hAnsi="Constantia"/>
          <w:sz w:val="32"/>
        </w:rPr>
        <w:t>Ed.</w:t>
      </w:r>
    </w:p>
    <w:p>
      <w:pPr>
        <w:pStyle w:val="BodyText"/>
        <w:spacing w:line="388" w:lineRule="exact"/>
        <w:ind w:left="1112"/>
      </w:pPr>
      <w:r>
        <w:rPr/>
        <w:t>Thomson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384" w:lineRule="exact" w:before="67" w:after="0"/>
        <w:ind w:left="1112" w:right="1337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HERNÁNDEZ,</w:t>
      </w:r>
      <w:r>
        <w:rPr>
          <w:rFonts w:ascii="Constantia" w:hAnsi="Constantia"/>
          <w:spacing w:val="-9"/>
          <w:sz w:val="32"/>
        </w:rPr>
        <w:t> </w:t>
      </w:r>
      <w:r>
        <w:rPr>
          <w:rFonts w:ascii="Constantia" w:hAnsi="Constantia"/>
          <w:sz w:val="32"/>
        </w:rPr>
        <w:t>S.</w:t>
      </w:r>
      <w:r>
        <w:rPr>
          <w:rFonts w:ascii="Constantia" w:hAnsi="Constantia"/>
          <w:spacing w:val="-9"/>
          <w:sz w:val="32"/>
        </w:rPr>
        <w:t> </w:t>
      </w:r>
      <w:r>
        <w:rPr>
          <w:rFonts w:ascii="Constantia" w:hAnsi="Constantia"/>
          <w:sz w:val="32"/>
        </w:rPr>
        <w:t>1994.</w:t>
      </w:r>
      <w:r>
        <w:rPr>
          <w:rFonts w:ascii="Constantia" w:hAnsi="Constantia"/>
          <w:spacing w:val="-10"/>
          <w:sz w:val="32"/>
        </w:rPr>
        <w:t> </w:t>
      </w:r>
      <w:r>
        <w:rPr>
          <w:rFonts w:ascii="Constantia" w:hAnsi="Constantia"/>
          <w:sz w:val="32"/>
        </w:rPr>
        <w:t>Introducción</w:t>
      </w:r>
      <w:r>
        <w:rPr>
          <w:rFonts w:ascii="Constantia" w:hAnsi="Constantia"/>
          <w:spacing w:val="-11"/>
          <w:sz w:val="32"/>
        </w:rPr>
        <w:t> </w:t>
      </w:r>
      <w:r>
        <w:rPr>
          <w:rFonts w:ascii="Constantia" w:hAnsi="Constantia"/>
          <w:sz w:val="32"/>
        </w:rPr>
        <w:t>a</w:t>
      </w:r>
      <w:r>
        <w:rPr>
          <w:rFonts w:ascii="Constantia" w:hAnsi="Constantia"/>
          <w:spacing w:val="-19"/>
          <w:sz w:val="32"/>
        </w:rPr>
        <w:t> </w:t>
      </w:r>
      <w:r>
        <w:rPr>
          <w:rFonts w:ascii="Constantia" w:hAnsi="Constantia"/>
          <w:sz w:val="32"/>
        </w:rPr>
        <w:t>la</w:t>
      </w:r>
      <w:r>
        <w:rPr>
          <w:rFonts w:ascii="Constantia" w:hAnsi="Constantia"/>
          <w:spacing w:val="-20"/>
          <w:sz w:val="32"/>
        </w:rPr>
        <w:t> </w:t>
      </w:r>
      <w:r>
        <w:rPr>
          <w:rFonts w:ascii="Constantia" w:hAnsi="Constantia"/>
          <w:sz w:val="32"/>
        </w:rPr>
        <w:t>Administración.</w:t>
      </w:r>
      <w:r>
        <w:rPr>
          <w:rFonts w:ascii="Constantia" w:hAnsi="Constantia"/>
          <w:spacing w:val="-8"/>
          <w:sz w:val="32"/>
        </w:rPr>
        <w:t> </w:t>
      </w:r>
      <w:r>
        <w:rPr>
          <w:rFonts w:ascii="Constantia" w:hAnsi="Constantia"/>
          <w:spacing w:val="-4"/>
          <w:sz w:val="32"/>
        </w:rPr>
        <w:t>Un</w:t>
      </w:r>
      <w:r>
        <w:rPr>
          <w:rFonts w:ascii="Constantia" w:hAnsi="Constantia"/>
          <w:spacing w:val="-18"/>
          <w:sz w:val="32"/>
        </w:rPr>
        <w:t> </w:t>
      </w:r>
      <w:r>
        <w:rPr>
          <w:rFonts w:ascii="Constantia" w:hAnsi="Constantia"/>
          <w:sz w:val="32"/>
        </w:rPr>
        <w:t>enfoque</w:t>
      </w:r>
      <w:r>
        <w:rPr>
          <w:rFonts w:ascii="Constantia" w:hAnsi="Constantia"/>
          <w:spacing w:val="-18"/>
          <w:sz w:val="32"/>
        </w:rPr>
        <w:t> </w:t>
      </w:r>
      <w:r>
        <w:rPr>
          <w:rFonts w:ascii="Constantia" w:hAnsi="Constantia"/>
          <w:sz w:val="32"/>
        </w:rPr>
        <w:t>teórico </w:t>
      </w:r>
      <w:r>
        <w:rPr>
          <w:rFonts w:ascii="Constantia" w:hAnsi="Constantia"/>
          <w:spacing w:val="-3"/>
          <w:sz w:val="32"/>
        </w:rPr>
        <w:t>práctico. </w:t>
      </w:r>
      <w:r>
        <w:rPr>
          <w:rFonts w:ascii="Constantia" w:hAnsi="Constantia"/>
          <w:sz w:val="32"/>
        </w:rPr>
        <w:t>Ed. </w:t>
      </w:r>
      <w:r>
        <w:rPr>
          <w:rFonts w:ascii="Constantia" w:hAnsi="Constantia"/>
          <w:spacing w:val="-5"/>
          <w:sz w:val="32"/>
        </w:rPr>
        <w:t>Mc </w:t>
      </w:r>
      <w:r>
        <w:rPr>
          <w:rFonts w:ascii="Constantia" w:hAnsi="Constantia"/>
          <w:spacing w:val="-4"/>
          <w:sz w:val="32"/>
        </w:rPr>
        <w:t>Graw</w:t>
      </w:r>
      <w:r>
        <w:rPr>
          <w:rFonts w:ascii="Constantia" w:hAnsi="Constantia"/>
          <w:spacing w:val="-3"/>
          <w:sz w:val="32"/>
        </w:rPr>
        <w:t> </w:t>
      </w:r>
      <w:r>
        <w:rPr>
          <w:rFonts w:ascii="Constantia" w:hAnsi="Constantia"/>
          <w:sz w:val="32"/>
        </w:rPr>
        <w:t>Hill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79" w:after="0"/>
        <w:ind w:left="1112" w:right="0" w:hanging="389"/>
        <w:jc w:val="left"/>
        <w:rPr>
          <w:rFonts w:ascii="Wingdings"/>
          <w:color w:val="0E6EC5"/>
          <w:sz w:val="27"/>
        </w:rPr>
      </w:pPr>
      <w:r>
        <w:rPr>
          <w:rFonts w:ascii="Constantia"/>
          <w:spacing w:val="-8"/>
          <w:sz w:val="32"/>
        </w:rPr>
        <w:t>KAY </w:t>
      </w:r>
      <w:r>
        <w:rPr>
          <w:rFonts w:ascii="Constantia"/>
          <w:spacing w:val="-3"/>
          <w:sz w:val="32"/>
        </w:rPr>
        <w:t>DPRIETO </w:t>
      </w:r>
      <w:r>
        <w:rPr>
          <w:rFonts w:ascii="Constantia"/>
          <w:sz w:val="32"/>
        </w:rPr>
        <w:t>LLORENTE, A. 2007. Principios</w:t>
      </w:r>
      <w:r>
        <w:rPr>
          <w:rFonts w:ascii="Constantia"/>
          <w:spacing w:val="-58"/>
          <w:sz w:val="32"/>
        </w:rPr>
        <w:t> </w:t>
      </w:r>
      <w:r>
        <w:rPr>
          <w:rFonts w:ascii="Constantia"/>
          <w:sz w:val="32"/>
        </w:rPr>
        <w:t>de Contabilidad. Ed. LIMUSA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387" w:lineRule="exact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pacing w:val="-4"/>
          <w:sz w:val="32"/>
        </w:rPr>
        <w:t>KOONTZ,</w:t>
      </w:r>
      <w:r>
        <w:rPr>
          <w:rFonts w:ascii="Constantia" w:hAnsi="Constantia"/>
          <w:spacing w:val="-5"/>
          <w:sz w:val="32"/>
        </w:rPr>
        <w:t> </w:t>
      </w:r>
      <w:r>
        <w:rPr>
          <w:rFonts w:ascii="Constantia" w:hAnsi="Constantia"/>
          <w:sz w:val="32"/>
        </w:rPr>
        <w:t>H.</w:t>
      </w:r>
      <w:r>
        <w:rPr>
          <w:rFonts w:ascii="Constantia" w:hAnsi="Constantia"/>
          <w:spacing w:val="-14"/>
          <w:sz w:val="32"/>
        </w:rPr>
        <w:t> </w:t>
      </w:r>
      <w:r>
        <w:rPr>
          <w:rFonts w:ascii="Constantia" w:hAnsi="Constantia"/>
          <w:sz w:val="32"/>
        </w:rPr>
        <w:t>y</w:t>
      </w:r>
      <w:r>
        <w:rPr>
          <w:rFonts w:ascii="Constantia" w:hAnsi="Constantia"/>
          <w:spacing w:val="-16"/>
          <w:sz w:val="32"/>
        </w:rPr>
        <w:t> </w:t>
      </w:r>
      <w:r>
        <w:rPr>
          <w:rFonts w:ascii="Constantia" w:hAnsi="Constantia"/>
          <w:sz w:val="32"/>
        </w:rPr>
        <w:t>WEIHRICH,</w:t>
      </w:r>
      <w:r>
        <w:rPr>
          <w:rFonts w:ascii="Constantia" w:hAnsi="Constantia"/>
          <w:spacing w:val="-1"/>
          <w:sz w:val="32"/>
        </w:rPr>
        <w:t> </w:t>
      </w:r>
      <w:r>
        <w:rPr>
          <w:rFonts w:ascii="Constantia" w:hAnsi="Constantia"/>
          <w:sz w:val="32"/>
        </w:rPr>
        <w:t>H.</w:t>
      </w:r>
      <w:r>
        <w:rPr>
          <w:rFonts w:ascii="Constantia" w:hAnsi="Constantia"/>
          <w:spacing w:val="-7"/>
          <w:sz w:val="32"/>
        </w:rPr>
        <w:t> </w:t>
      </w:r>
      <w:r>
        <w:rPr>
          <w:rFonts w:ascii="Constantia" w:hAnsi="Constantia"/>
          <w:sz w:val="32"/>
        </w:rPr>
        <w:t>2004.</w:t>
      </w:r>
      <w:r>
        <w:rPr>
          <w:rFonts w:ascii="Constantia" w:hAnsi="Constantia"/>
          <w:spacing w:val="-7"/>
          <w:sz w:val="32"/>
        </w:rPr>
        <w:t> </w:t>
      </w:r>
      <w:r>
        <w:rPr>
          <w:rFonts w:ascii="Constantia" w:hAnsi="Constantia"/>
          <w:sz w:val="32"/>
        </w:rPr>
        <w:t>Administración.</w:t>
      </w:r>
      <w:r>
        <w:rPr>
          <w:rFonts w:ascii="Constantia" w:hAnsi="Constantia"/>
          <w:spacing w:val="-4"/>
          <w:sz w:val="32"/>
        </w:rPr>
        <w:t> </w:t>
      </w:r>
      <w:r>
        <w:rPr>
          <w:rFonts w:ascii="Constantia" w:hAnsi="Constantia"/>
          <w:spacing w:val="-3"/>
          <w:sz w:val="32"/>
        </w:rPr>
        <w:t>Una</w:t>
      </w:r>
      <w:r>
        <w:rPr>
          <w:rFonts w:ascii="Constantia" w:hAnsi="Constantia"/>
          <w:spacing w:val="-16"/>
          <w:sz w:val="32"/>
        </w:rPr>
        <w:t> </w:t>
      </w:r>
      <w:r>
        <w:rPr>
          <w:rFonts w:ascii="Constantia" w:hAnsi="Constantia"/>
          <w:sz w:val="32"/>
        </w:rPr>
        <w:t>perspectiva</w:t>
      </w:r>
      <w:r>
        <w:rPr>
          <w:rFonts w:ascii="Constantia" w:hAnsi="Constantia"/>
          <w:spacing w:val="-18"/>
          <w:sz w:val="32"/>
        </w:rPr>
        <w:t> </w:t>
      </w:r>
      <w:r>
        <w:rPr>
          <w:rFonts w:ascii="Constantia" w:hAnsi="Constantia"/>
          <w:sz w:val="32"/>
        </w:rPr>
        <w:t>global.</w:t>
      </w:r>
      <w:r>
        <w:rPr>
          <w:rFonts w:ascii="Constantia" w:hAnsi="Constantia"/>
          <w:spacing w:val="-8"/>
          <w:sz w:val="32"/>
        </w:rPr>
        <w:t> </w:t>
      </w:r>
      <w:r>
        <w:rPr>
          <w:rFonts w:ascii="Constantia" w:hAnsi="Constantia"/>
          <w:sz w:val="32"/>
        </w:rPr>
        <w:t>Ed.</w:t>
      </w:r>
    </w:p>
    <w:p>
      <w:pPr>
        <w:pStyle w:val="BodyText"/>
        <w:spacing w:line="387" w:lineRule="exact"/>
        <w:ind w:left="1112"/>
      </w:pPr>
      <w:r>
        <w:rPr/>
        <w:t>Mc Graw Hill.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Montesinos, </w:t>
      </w:r>
      <w:r>
        <w:rPr>
          <w:rFonts w:ascii="Constantia" w:hAnsi="Constantia"/>
          <w:spacing w:val="-12"/>
          <w:sz w:val="32"/>
        </w:rPr>
        <w:t>V., </w:t>
      </w:r>
      <w:r>
        <w:rPr>
          <w:rFonts w:ascii="Constantia" w:hAnsi="Constantia"/>
          <w:sz w:val="32"/>
        </w:rPr>
        <w:t>2016, </w:t>
      </w:r>
      <w:r>
        <w:rPr>
          <w:rFonts w:ascii="Constantia" w:hAnsi="Constantia"/>
          <w:i/>
          <w:sz w:val="32"/>
        </w:rPr>
        <w:t>Fundamentos de contabilidad financiera</w:t>
      </w:r>
      <w:r>
        <w:rPr>
          <w:rFonts w:ascii="Constantia" w:hAnsi="Constantia"/>
          <w:sz w:val="32"/>
        </w:rPr>
        <w:t>. Ediciones</w:t>
      </w:r>
      <w:r>
        <w:rPr>
          <w:rFonts w:ascii="Constantia" w:hAnsi="Constantia"/>
          <w:spacing w:val="-57"/>
          <w:sz w:val="32"/>
        </w:rPr>
        <w:t> </w:t>
      </w:r>
      <w:r>
        <w:rPr>
          <w:rFonts w:ascii="Constantia" w:hAnsi="Constantia"/>
          <w:sz w:val="32"/>
        </w:rPr>
        <w:t>Pirámide.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384" w:lineRule="exact" w:before="67" w:after="0"/>
        <w:ind w:left="1112" w:right="1898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pacing w:val="-3"/>
          <w:sz w:val="32"/>
        </w:rPr>
        <w:t>Montaño, </w:t>
      </w:r>
      <w:r>
        <w:rPr>
          <w:rFonts w:ascii="Constantia" w:hAnsi="Constantia"/>
          <w:spacing w:val="-4"/>
          <w:sz w:val="32"/>
        </w:rPr>
        <w:t>J. </w:t>
      </w:r>
      <w:r>
        <w:rPr>
          <w:rFonts w:ascii="Constantia" w:hAnsi="Constantia"/>
          <w:sz w:val="32"/>
        </w:rPr>
        <w:t>L. A., Cardoso, S. M. </w:t>
      </w:r>
      <w:r>
        <w:rPr>
          <w:rFonts w:ascii="Constantia" w:hAnsi="Constantia"/>
          <w:spacing w:val="-3"/>
          <w:sz w:val="32"/>
        </w:rPr>
        <w:t>J., </w:t>
      </w:r>
      <w:r>
        <w:rPr>
          <w:rFonts w:ascii="Constantia" w:hAnsi="Constantia"/>
          <w:sz w:val="32"/>
        </w:rPr>
        <w:t>&amp; Albert, I. R., 2016, </w:t>
      </w:r>
      <w:r>
        <w:rPr>
          <w:rFonts w:ascii="Constantia" w:hAnsi="Constantia"/>
          <w:i/>
          <w:sz w:val="32"/>
        </w:rPr>
        <w:t>Introducción a</w:t>
      </w:r>
      <w:r>
        <w:rPr>
          <w:rFonts w:ascii="Constantia" w:hAnsi="Constantia"/>
          <w:i/>
          <w:spacing w:val="-37"/>
          <w:sz w:val="32"/>
        </w:rPr>
        <w:t> </w:t>
      </w:r>
      <w:r>
        <w:rPr>
          <w:rFonts w:ascii="Constantia" w:hAnsi="Constantia"/>
          <w:i/>
          <w:sz w:val="32"/>
        </w:rPr>
        <w:t>la </w:t>
      </w:r>
      <w:r>
        <w:rPr>
          <w:rFonts w:ascii="Constantia" w:hAnsi="Constantia"/>
          <w:i/>
          <w:sz w:val="32"/>
        </w:rPr>
        <w:t>contabilidad financiera</w:t>
      </w:r>
      <w:r>
        <w:rPr>
          <w:rFonts w:ascii="Constantia" w:hAnsi="Constantia"/>
          <w:sz w:val="32"/>
        </w:rPr>
        <w:t>. Ediciones</w:t>
      </w:r>
      <w:r>
        <w:rPr>
          <w:rFonts w:ascii="Constantia" w:hAnsi="Constantia"/>
          <w:spacing w:val="-18"/>
          <w:sz w:val="32"/>
        </w:rPr>
        <w:t> </w:t>
      </w:r>
      <w:r>
        <w:rPr>
          <w:rFonts w:ascii="Constantia" w:hAnsi="Constantia"/>
          <w:sz w:val="32"/>
        </w:rPr>
        <w:t>Pirámide.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79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RAMÍREZ </w:t>
      </w:r>
      <w:r>
        <w:rPr>
          <w:rFonts w:ascii="Constantia" w:hAnsi="Constantia"/>
          <w:spacing w:val="-3"/>
          <w:sz w:val="32"/>
        </w:rPr>
        <w:t>PADILLA, </w:t>
      </w:r>
      <w:r>
        <w:rPr>
          <w:rFonts w:ascii="Constantia" w:hAnsi="Constantia"/>
          <w:spacing w:val="-10"/>
          <w:sz w:val="32"/>
        </w:rPr>
        <w:t>D. </w:t>
      </w:r>
      <w:r>
        <w:rPr>
          <w:rFonts w:ascii="Constantia" w:hAnsi="Constantia"/>
          <w:sz w:val="32"/>
        </w:rPr>
        <w:t>2005. Contabilidad administrativa. Ed. </w:t>
      </w:r>
      <w:r>
        <w:rPr>
          <w:rFonts w:ascii="Constantia" w:hAnsi="Constantia"/>
          <w:spacing w:val="-5"/>
          <w:sz w:val="32"/>
        </w:rPr>
        <w:t>Mc </w:t>
      </w:r>
      <w:r>
        <w:rPr>
          <w:rFonts w:ascii="Constantia" w:hAnsi="Constantia"/>
          <w:spacing w:val="-4"/>
          <w:sz w:val="32"/>
        </w:rPr>
        <w:t>Graw</w:t>
      </w:r>
      <w:r>
        <w:rPr>
          <w:rFonts w:ascii="Constantia" w:hAnsi="Constantia"/>
          <w:spacing w:val="-42"/>
          <w:sz w:val="32"/>
        </w:rPr>
        <w:t> </w:t>
      </w:r>
      <w:r>
        <w:rPr>
          <w:rFonts w:ascii="Constantia" w:hAnsi="Constantia"/>
          <w:sz w:val="32"/>
        </w:rPr>
        <w:t>Hill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REYES PONCE, A. 1990. Administración de Empresas, Ed.</w:t>
      </w:r>
      <w:r>
        <w:rPr>
          <w:rFonts w:ascii="Constantia" w:hAnsi="Constantia"/>
          <w:spacing w:val="-2"/>
          <w:sz w:val="32"/>
        </w:rPr>
        <w:t> </w:t>
      </w:r>
      <w:r>
        <w:rPr>
          <w:rFonts w:ascii="Constantia" w:hAnsi="Constantia"/>
          <w:sz w:val="32"/>
        </w:rPr>
        <w:t>LIMUSA.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ROBBINS,</w:t>
      </w:r>
      <w:r>
        <w:rPr>
          <w:rFonts w:ascii="Constantia" w:hAnsi="Constantia"/>
          <w:spacing w:val="-7"/>
          <w:sz w:val="32"/>
        </w:rPr>
        <w:t> </w:t>
      </w:r>
      <w:r>
        <w:rPr>
          <w:rFonts w:ascii="Constantia" w:hAnsi="Constantia"/>
          <w:sz w:val="32"/>
        </w:rPr>
        <w:t>S</w:t>
      </w:r>
      <w:r>
        <w:rPr>
          <w:rFonts w:ascii="Constantia" w:hAnsi="Constantia"/>
          <w:spacing w:val="-16"/>
          <w:sz w:val="32"/>
        </w:rPr>
        <w:t> </w:t>
      </w:r>
      <w:r>
        <w:rPr>
          <w:rFonts w:ascii="Constantia" w:hAnsi="Constantia"/>
          <w:sz w:val="32"/>
        </w:rPr>
        <w:t>Y</w:t>
      </w:r>
      <w:r>
        <w:rPr>
          <w:rFonts w:ascii="Constantia" w:hAnsi="Constantia"/>
          <w:spacing w:val="-16"/>
          <w:sz w:val="32"/>
        </w:rPr>
        <w:t> </w:t>
      </w:r>
      <w:r>
        <w:rPr>
          <w:rFonts w:ascii="Constantia" w:hAnsi="Constantia"/>
          <w:spacing w:val="-5"/>
          <w:sz w:val="32"/>
        </w:rPr>
        <w:t>Couter,</w:t>
      </w:r>
      <w:r>
        <w:rPr>
          <w:rFonts w:ascii="Constantia" w:hAnsi="Constantia"/>
          <w:spacing w:val="-11"/>
          <w:sz w:val="32"/>
        </w:rPr>
        <w:t> </w:t>
      </w:r>
      <w:r>
        <w:rPr>
          <w:rFonts w:ascii="Constantia" w:hAnsi="Constantia"/>
          <w:sz w:val="32"/>
        </w:rPr>
        <w:t>M.</w:t>
      </w:r>
      <w:r>
        <w:rPr>
          <w:rFonts w:ascii="Constantia" w:hAnsi="Constantia"/>
          <w:spacing w:val="-9"/>
          <w:sz w:val="32"/>
        </w:rPr>
        <w:t> </w:t>
      </w:r>
      <w:r>
        <w:rPr>
          <w:rFonts w:ascii="Constantia" w:hAnsi="Constantia"/>
          <w:sz w:val="32"/>
        </w:rPr>
        <w:t>2005.</w:t>
      </w:r>
      <w:r>
        <w:rPr>
          <w:rFonts w:ascii="Constantia" w:hAnsi="Constantia"/>
          <w:spacing w:val="-12"/>
          <w:sz w:val="32"/>
        </w:rPr>
        <w:t> </w:t>
      </w:r>
      <w:r>
        <w:rPr>
          <w:rFonts w:ascii="Constantia" w:hAnsi="Constantia"/>
          <w:sz w:val="32"/>
        </w:rPr>
        <w:t>Administración.</w:t>
      </w:r>
      <w:r>
        <w:rPr>
          <w:rFonts w:ascii="Constantia" w:hAnsi="Constantia"/>
          <w:spacing w:val="-3"/>
          <w:sz w:val="32"/>
        </w:rPr>
        <w:t> </w:t>
      </w:r>
      <w:r>
        <w:rPr>
          <w:rFonts w:ascii="Constantia" w:hAnsi="Constantia"/>
          <w:sz w:val="32"/>
        </w:rPr>
        <w:t>Ed.</w:t>
      </w:r>
      <w:r>
        <w:rPr>
          <w:rFonts w:ascii="Constantia" w:hAnsi="Constantia"/>
          <w:spacing w:val="-7"/>
          <w:sz w:val="32"/>
        </w:rPr>
        <w:t> </w:t>
      </w:r>
      <w:r>
        <w:rPr>
          <w:rFonts w:ascii="Constantia" w:hAnsi="Constantia"/>
          <w:sz w:val="32"/>
        </w:rPr>
        <w:t>Pearson.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pacing w:val="-5"/>
          <w:sz w:val="32"/>
        </w:rPr>
        <w:t>RONALD. </w:t>
      </w:r>
      <w:r>
        <w:rPr>
          <w:rFonts w:ascii="Constantia" w:hAnsi="Constantia"/>
          <w:sz w:val="32"/>
        </w:rPr>
        <w:t>1993. Administración Agrícola y Ganadera, Ed.</w:t>
      </w:r>
      <w:r>
        <w:rPr>
          <w:rFonts w:ascii="Constantia" w:hAnsi="Constantia"/>
          <w:spacing w:val="-14"/>
          <w:sz w:val="32"/>
        </w:rPr>
        <w:t> </w:t>
      </w:r>
      <w:r>
        <w:rPr>
          <w:rFonts w:ascii="Constantia" w:hAnsi="Constantia"/>
          <w:sz w:val="32"/>
        </w:rPr>
        <w:t>CECSA</w:t>
      </w:r>
    </w:p>
    <w:p>
      <w:pPr>
        <w:pStyle w:val="ListParagraph"/>
        <w:numPr>
          <w:ilvl w:val="1"/>
          <w:numId w:val="4"/>
        </w:numPr>
        <w:tabs>
          <w:tab w:pos="1112" w:val="left" w:leader="none"/>
          <w:tab w:pos="1113" w:val="left" w:leader="none"/>
        </w:tabs>
        <w:spacing w:line="240" w:lineRule="auto" w:before="65" w:after="0"/>
        <w:ind w:left="1112" w:right="0" w:hanging="389"/>
        <w:jc w:val="left"/>
        <w:rPr>
          <w:rFonts w:ascii="Wingdings" w:hAnsi="Wingdings"/>
          <w:color w:val="0E6EC5"/>
          <w:sz w:val="25"/>
        </w:rPr>
      </w:pPr>
      <w:hyperlink r:id="rId24">
        <w:r>
          <w:rPr>
            <w:rFonts w:ascii="Constantia" w:hAnsi="Constantia"/>
            <w:spacing w:val="-3"/>
            <w:sz w:val="30"/>
          </w:rPr>
          <w:t>http://www.google.com.mx/,</w:t>
        </w:r>
      </w:hyperlink>
      <w:r>
        <w:rPr>
          <w:rFonts w:ascii="Constantia" w:hAnsi="Constantia"/>
          <w:spacing w:val="-3"/>
          <w:sz w:val="30"/>
        </w:rPr>
        <w:t> </w:t>
      </w:r>
      <w:r>
        <w:rPr>
          <w:rFonts w:ascii="Constantia" w:hAnsi="Constantia"/>
          <w:sz w:val="30"/>
        </w:rPr>
        <w:t>imágenes,</w:t>
      </w:r>
      <w:r>
        <w:rPr>
          <w:rFonts w:ascii="Constantia" w:hAnsi="Constantia"/>
          <w:spacing w:val="21"/>
          <w:sz w:val="30"/>
        </w:rPr>
        <w:t> </w:t>
      </w:r>
      <w:r>
        <w:rPr>
          <w:rFonts w:ascii="Constantia" w:hAnsi="Constantia"/>
          <w:sz w:val="30"/>
        </w:rPr>
        <w:t>2016</w:t>
      </w:r>
    </w:p>
    <w:p>
      <w:pPr>
        <w:spacing w:before="140"/>
        <w:ind w:left="0" w:right="99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13</w:t>
      </w:r>
    </w:p>
    <w:sectPr>
      <w:pgSz w:w="14400" w:h="10800" w:orient="landscape"/>
      <w:pgMar w:top="840" w:bottom="0" w:left="760" w:right="6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onstantia">
    <w:altName w:val="Constantia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1"/>
      <w:numFmt w:val="bullet"/>
      <w:lvlText w:val="•"/>
      <w:lvlJc w:val="left"/>
      <w:pPr>
        <w:ind w:left="1974" w:hanging="329"/>
      </w:pPr>
      <w:rPr>
        <w:rFonts w:hint="default" w:ascii="Arial" w:hAnsi="Arial" w:eastAsia="Arial" w:cs="Arial"/>
        <w:color w:val="0AD0D9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2452" w:hanging="32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25" w:hanging="32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8" w:hanging="3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71" w:hanging="3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44" w:hanging="3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17" w:hanging="3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90" w:hanging="3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62" w:hanging="329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•"/>
      <w:lvlJc w:val="left"/>
      <w:pPr>
        <w:ind w:left="1974" w:hanging="329"/>
      </w:pPr>
      <w:rPr>
        <w:rFonts w:hint="default" w:ascii="Arial" w:hAnsi="Arial" w:eastAsia="Arial" w:cs="Arial"/>
        <w:color w:val="0AD0D9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3086" w:hanging="32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92" w:hanging="32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98" w:hanging="3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404" w:hanging="3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510" w:hanging="3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616" w:hanging="3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722" w:hanging="3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828" w:hanging="329"/>
      </w:pPr>
      <w:rPr>
        <w:rFonts w:hint="default"/>
      </w:rPr>
    </w:lvl>
  </w:abstractNum>
  <w:abstractNum w:abstractNumId="5">
    <w:multiLevelType w:val="hybridMultilevel"/>
    <w:lvl w:ilvl="0">
      <w:start w:val="1"/>
      <w:numFmt w:val="bullet"/>
      <w:lvlText w:val="•"/>
      <w:lvlJc w:val="left"/>
      <w:pPr>
        <w:ind w:left="1974" w:hanging="329"/>
      </w:pPr>
      <w:rPr>
        <w:rFonts w:hint="default" w:ascii="Arial" w:hAnsi="Arial" w:eastAsia="Arial" w:cs="Arial"/>
        <w:color w:val="0AD0D9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3086" w:hanging="32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92" w:hanging="32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98" w:hanging="3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404" w:hanging="3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510" w:hanging="3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616" w:hanging="3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722" w:hanging="3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828" w:hanging="329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•"/>
      <w:lvlJc w:val="left"/>
      <w:pPr>
        <w:ind w:left="1544" w:hanging="389"/>
      </w:pPr>
      <w:rPr>
        <w:rFonts w:hint="default" w:ascii="Arial" w:hAnsi="Arial" w:eastAsia="Arial" w:cs="Arial"/>
        <w:color w:val="009DD9"/>
        <w:w w:val="100"/>
        <w:sz w:val="25"/>
        <w:szCs w:val="25"/>
      </w:rPr>
    </w:lvl>
    <w:lvl w:ilvl="1">
      <w:start w:val="1"/>
      <w:numFmt w:val="bullet"/>
      <w:lvlText w:val="•"/>
      <w:lvlJc w:val="left"/>
      <w:pPr>
        <w:ind w:left="1974" w:hanging="329"/>
      </w:pPr>
      <w:rPr>
        <w:rFonts w:hint="default"/>
        <w:w w:val="100"/>
      </w:rPr>
    </w:lvl>
    <w:lvl w:ilvl="2">
      <w:start w:val="1"/>
      <w:numFmt w:val="bullet"/>
      <w:lvlText w:val="•"/>
      <w:lvlJc w:val="left"/>
      <w:pPr>
        <w:ind w:left="3208" w:hanging="32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37" w:hanging="3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66" w:hanging="3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95" w:hanging="3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124" w:hanging="3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353" w:hanging="3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582" w:hanging="329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"/>
      <w:lvlJc w:val="left"/>
      <w:pPr>
        <w:ind w:left="352" w:hanging="233"/>
      </w:pPr>
      <w:rPr>
        <w:rFonts w:hint="default"/>
        <w:w w:val="56"/>
      </w:rPr>
    </w:lvl>
    <w:lvl w:ilvl="1">
      <w:start w:val="1"/>
      <w:numFmt w:val="bullet"/>
      <w:lvlText w:val=""/>
      <w:lvlJc w:val="left"/>
      <w:pPr>
        <w:ind w:left="1112" w:hanging="389"/>
      </w:pPr>
      <w:rPr>
        <w:rFonts w:hint="default"/>
        <w:w w:val="55"/>
      </w:rPr>
    </w:lvl>
    <w:lvl w:ilvl="2">
      <w:start w:val="1"/>
      <w:numFmt w:val="bullet"/>
      <w:lvlText w:val=""/>
      <w:lvlJc w:val="left"/>
      <w:pPr>
        <w:ind w:left="1544" w:hanging="389"/>
      </w:pPr>
      <w:rPr>
        <w:rFonts w:hint="default"/>
        <w:w w:val="56"/>
      </w:rPr>
    </w:lvl>
    <w:lvl w:ilvl="3">
      <w:start w:val="1"/>
      <w:numFmt w:val="bullet"/>
      <w:lvlText w:val="•"/>
      <w:lvlJc w:val="left"/>
      <w:pPr>
        <w:ind w:left="1560" w:hanging="3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40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70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00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30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560" w:hanging="389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"/>
      <w:lvlJc w:val="left"/>
      <w:pPr>
        <w:ind w:left="534" w:hanging="431"/>
      </w:pPr>
      <w:rPr>
        <w:rFonts w:hint="default"/>
        <w:w w:val="56"/>
      </w:rPr>
    </w:lvl>
    <w:lvl w:ilvl="1">
      <w:start w:val="1"/>
      <w:numFmt w:val="bullet"/>
      <w:lvlText w:val="•"/>
      <w:lvlJc w:val="left"/>
      <w:pPr>
        <w:ind w:left="1120" w:hanging="4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20" w:hanging="4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35" w:hanging="4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50" w:hanging="4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65" w:hanging="4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780" w:hanging="4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095" w:hanging="4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410" w:hanging="431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"/>
      <w:lvlJc w:val="left"/>
      <w:pPr>
        <w:ind w:left="1112" w:hanging="389"/>
      </w:pPr>
      <w:rPr>
        <w:rFonts w:hint="default"/>
        <w:w w:val="56"/>
      </w:rPr>
    </w:lvl>
    <w:lvl w:ilvl="1">
      <w:start w:val="1"/>
      <w:numFmt w:val="bullet"/>
      <w:lvlText w:val="•"/>
      <w:lvlJc w:val="left"/>
      <w:pPr>
        <w:ind w:left="1900" w:hanging="38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37" w:hanging="38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75" w:hanging="3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13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51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088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326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564" w:hanging="389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"/>
      <w:lvlJc w:val="left"/>
      <w:pPr>
        <w:ind w:left="536" w:hanging="431"/>
      </w:pPr>
      <w:rPr>
        <w:rFonts w:hint="default"/>
        <w:w w:val="55"/>
      </w:rPr>
    </w:lvl>
    <w:lvl w:ilvl="1">
      <w:start w:val="1"/>
      <w:numFmt w:val="bullet"/>
      <w:lvlText w:val=""/>
      <w:lvlJc w:val="left"/>
      <w:pPr>
        <w:ind w:left="1117" w:hanging="433"/>
      </w:pPr>
      <w:rPr>
        <w:rFonts w:hint="default"/>
        <w:w w:val="55"/>
      </w:rPr>
    </w:lvl>
    <w:lvl w:ilvl="2">
      <w:start w:val="1"/>
      <w:numFmt w:val="bullet"/>
      <w:lvlText w:val=""/>
      <w:lvlJc w:val="left"/>
      <w:pPr>
        <w:ind w:left="1547" w:hanging="432"/>
      </w:pPr>
      <w:rPr>
        <w:rFonts w:hint="default"/>
        <w:w w:val="55"/>
      </w:rPr>
    </w:lvl>
    <w:lvl w:ilvl="3">
      <w:start w:val="1"/>
      <w:numFmt w:val="bullet"/>
      <w:lvlText w:val="•"/>
      <w:lvlJc w:val="left"/>
      <w:pPr>
        <w:ind w:left="1980" w:hanging="4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60" w:hanging="4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40" w:hanging="4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20" w:hanging="4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300" w:hanging="4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880" w:hanging="432"/>
      </w:pPr>
      <w:rPr>
        <w:rFonts w:hint="default"/>
      </w:rPr>
    </w:lvl>
  </w:abstract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onstantia" w:hAnsi="Constantia" w:eastAsia="Constantia" w:cs="Constantia"/>
      <w:sz w:val="32"/>
      <w:szCs w:val="32"/>
    </w:rPr>
  </w:style>
  <w:style w:styleId="Heading1" w:type="paragraph">
    <w:name w:val="Heading 1"/>
    <w:basedOn w:val="Normal"/>
    <w:uiPriority w:val="1"/>
    <w:qFormat/>
    <w:pPr>
      <w:ind w:left="104"/>
      <w:outlineLvl w:val="1"/>
    </w:pPr>
    <w:rPr>
      <w:rFonts w:ascii="Calibri" w:hAnsi="Calibri" w:eastAsia="Calibri" w:cs="Calibri"/>
      <w:b/>
      <w:bCs/>
      <w:sz w:val="52"/>
      <w:szCs w:val="52"/>
    </w:rPr>
  </w:style>
  <w:style w:styleId="Heading2" w:type="paragraph">
    <w:name w:val="Heading 2"/>
    <w:basedOn w:val="Normal"/>
    <w:uiPriority w:val="1"/>
    <w:qFormat/>
    <w:pPr>
      <w:ind w:left="104" w:hanging="432"/>
      <w:outlineLvl w:val="2"/>
    </w:pPr>
    <w:rPr>
      <w:rFonts w:ascii="Calibri" w:hAnsi="Calibri" w:eastAsia="Calibri" w:cs="Calibri"/>
      <w:sz w:val="52"/>
      <w:szCs w:val="52"/>
    </w:rPr>
  </w:style>
  <w:style w:styleId="Heading3" w:type="paragraph">
    <w:name w:val="Heading 3"/>
    <w:basedOn w:val="Normal"/>
    <w:uiPriority w:val="1"/>
    <w:qFormat/>
    <w:pPr>
      <w:spacing w:before="104"/>
      <w:ind w:left="1112" w:hanging="389"/>
      <w:outlineLvl w:val="3"/>
    </w:pPr>
    <w:rPr>
      <w:rFonts w:ascii="Calibri" w:hAnsi="Calibri" w:eastAsia="Calibri" w:cs="Calibri"/>
      <w:b/>
      <w:bCs/>
      <w:sz w:val="48"/>
      <w:szCs w:val="48"/>
    </w:rPr>
  </w:style>
  <w:style w:styleId="Heading4" w:type="paragraph">
    <w:name w:val="Heading 4"/>
    <w:basedOn w:val="Normal"/>
    <w:uiPriority w:val="1"/>
    <w:qFormat/>
    <w:pPr>
      <w:spacing w:line="518" w:lineRule="exact"/>
      <w:ind w:left="536" w:hanging="432"/>
      <w:outlineLvl w:val="4"/>
    </w:pPr>
    <w:rPr>
      <w:rFonts w:ascii="Calibri" w:hAnsi="Calibri" w:eastAsia="Calibri" w:cs="Calibri"/>
      <w:sz w:val="48"/>
      <w:szCs w:val="48"/>
    </w:rPr>
  </w:style>
  <w:style w:styleId="Heading5" w:type="paragraph">
    <w:name w:val="Heading 5"/>
    <w:basedOn w:val="Normal"/>
    <w:uiPriority w:val="1"/>
    <w:qFormat/>
    <w:pPr>
      <w:spacing w:before="97"/>
      <w:ind w:left="1112" w:hanging="389"/>
      <w:outlineLvl w:val="5"/>
    </w:pPr>
    <w:rPr>
      <w:rFonts w:ascii="Constantia" w:hAnsi="Constantia" w:eastAsia="Constantia" w:cs="Constantia"/>
      <w:b/>
      <w:bCs/>
      <w:sz w:val="44"/>
      <w:szCs w:val="44"/>
    </w:rPr>
  </w:style>
  <w:style w:styleId="Heading6" w:type="paragraph">
    <w:name w:val="Heading 6"/>
    <w:basedOn w:val="Normal"/>
    <w:uiPriority w:val="1"/>
    <w:qFormat/>
    <w:pPr>
      <w:spacing w:line="476" w:lineRule="exact"/>
      <w:ind w:left="1559" w:hanging="430"/>
      <w:jc w:val="both"/>
      <w:outlineLvl w:val="6"/>
    </w:pPr>
    <w:rPr>
      <w:rFonts w:ascii="Calibri" w:hAnsi="Calibri" w:eastAsia="Calibri" w:cs="Calibri"/>
      <w:sz w:val="44"/>
      <w:szCs w:val="44"/>
    </w:rPr>
  </w:style>
  <w:style w:styleId="Heading7" w:type="paragraph">
    <w:name w:val="Heading 7"/>
    <w:basedOn w:val="Normal"/>
    <w:uiPriority w:val="1"/>
    <w:qFormat/>
    <w:pPr>
      <w:spacing w:before="5"/>
      <w:ind w:left="1237" w:hanging="389"/>
      <w:outlineLvl w:val="7"/>
    </w:pPr>
    <w:rPr>
      <w:rFonts w:ascii="Calibri" w:hAnsi="Calibri" w:eastAsia="Calibri" w:cs="Calibri"/>
      <w:sz w:val="42"/>
      <w:szCs w:val="42"/>
    </w:rPr>
  </w:style>
  <w:style w:styleId="Heading8" w:type="paragraph">
    <w:name w:val="Heading 8"/>
    <w:basedOn w:val="Normal"/>
    <w:uiPriority w:val="1"/>
    <w:qFormat/>
    <w:pPr>
      <w:spacing w:before="22"/>
      <w:ind w:left="536"/>
      <w:outlineLvl w:val="8"/>
    </w:pPr>
    <w:rPr>
      <w:rFonts w:ascii="Calibri" w:hAnsi="Calibri" w:eastAsia="Calibri" w:cs="Calibri"/>
      <w:b/>
      <w:bCs/>
      <w:sz w:val="40"/>
      <w:szCs w:val="40"/>
    </w:rPr>
  </w:style>
  <w:style w:styleId="Heading9" w:type="paragraph">
    <w:name w:val="Heading 9"/>
    <w:basedOn w:val="Normal"/>
    <w:uiPriority w:val="1"/>
    <w:qFormat/>
    <w:pPr>
      <w:ind w:left="1544" w:hanging="432"/>
      <w:outlineLvl w:val="9"/>
    </w:pPr>
    <w:rPr>
      <w:rFonts w:ascii="Calibri" w:hAnsi="Calibri" w:eastAsia="Calibri" w:cs="Calibri"/>
      <w:sz w:val="40"/>
      <w:szCs w:val="40"/>
    </w:rPr>
  </w:style>
  <w:style w:styleId="ListParagraph" w:type="paragraph">
    <w:name w:val="List Paragraph"/>
    <w:basedOn w:val="Normal"/>
    <w:uiPriority w:val="1"/>
    <w:qFormat/>
    <w:pPr>
      <w:ind w:left="1112" w:hanging="389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line="403" w:lineRule="exact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pn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pn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jpeg"/><Relationship Id="rId23" Type="http://schemas.openxmlformats.org/officeDocument/2006/relationships/image" Target="media/image19.jpeg"/><Relationship Id="rId24" Type="http://schemas.openxmlformats.org/officeDocument/2006/relationships/hyperlink" Target="http://www.google.com.mx/" TargetMode="External"/><Relationship Id="rId2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DGPCYPA</dc:creator>
  <dc:title>Diapositiva 1</dc:title>
  <dcterms:created xsi:type="dcterms:W3CDTF">2017-05-21T06:10:06Z</dcterms:created>
  <dcterms:modified xsi:type="dcterms:W3CDTF">2017-05-21T06:10:06Z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2016-10-12T00:00:00Z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2017-05-21T00:00:00Z</vt:filetime>
  </property>
</Properties>
</file>