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2.xml" ContentType="application/vnd.openxmlformats-officedocument.wordprocessingml.header+xml"/>
  <Override PartName="/word/footer9.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6.xml" ContentType="application/vnd.openxmlformats-officedocument.wordprocessingml.header+xml"/>
  <Override PartName="/word/footer15.xml" ContentType="application/vnd.openxmlformats-officedocument.wordprocessingml.footer+xml"/>
  <Override PartName="/word/header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8.xml" ContentType="application/vnd.openxmlformats-officedocument.wordprocessingml.header+xml"/>
  <Override PartName="/word/footer25.xml" ContentType="application/vnd.openxmlformats-officedocument.wordprocessingml.footer+xml"/>
  <Override PartName="/word/header9.xml" ContentType="application/vnd.openxmlformats-officedocument.wordprocessingml.header+xml"/>
  <Override PartName="/word/footer26.xml" ContentType="application/vnd.openxmlformats-officedocument.wordprocessingml.footer+xml"/>
  <Override PartName="/word/header10.xml" ContentType="application/vnd.openxmlformats-officedocument.wordprocessingml.header+xml"/>
  <Override PartName="/word/footer27.xml" ContentType="application/vnd.openxmlformats-officedocument.wordprocessingml.footer+xml"/>
  <Override PartName="/word/header11.xml" ContentType="application/vnd.openxmlformats-officedocument.wordprocessingml.header+xml"/>
  <Override PartName="/word/footer28.xml" ContentType="application/vnd.openxmlformats-officedocument.wordprocessingml.footer+xml"/>
  <Override PartName="/word/header12.xml" ContentType="application/vnd.openxmlformats-officedocument.wordprocessingml.header+xml"/>
  <Override PartName="/word/footer29.xml" ContentType="application/vnd.openxmlformats-officedocument.wordprocessingml.footer+xml"/>
  <Override PartName="/word/header13.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word/header14.xml" ContentType="application/vnd.openxmlformats-officedocument.wordprocessingml.header+xml"/>
  <Override PartName="/word/footer32.xml" ContentType="application/vnd.openxmlformats-officedocument.wordprocessingml.footer+xml"/>
  <Override PartName="/word/header15.xml" ContentType="application/vnd.openxmlformats-officedocument.wordprocessingml.header+xml"/>
  <Override PartName="/word/footer33.xml" ContentType="application/vnd.openxmlformats-officedocument.wordprocessingml.footer+xml"/>
  <Override PartName="/word/header16.xml" ContentType="application/vnd.openxmlformats-officedocument.wordprocessingml.header+xml"/>
  <Override PartName="/word/footer34.xml" ContentType="application/vnd.openxmlformats-officedocument.wordprocessingml.footer+xml"/>
  <Override PartName="/word/header17.xml" ContentType="application/vnd.openxmlformats-officedocument.wordprocessingml.header+xml"/>
  <Override PartName="/word/footer35.xml" ContentType="application/vnd.openxmlformats-officedocument.wordprocessingml.footer+xml"/>
  <Override PartName="/word/header18.xml" ContentType="application/vnd.openxmlformats-officedocument.wordprocessingml.header+xml"/>
  <Override PartName="/word/footer36.xml" ContentType="application/vnd.openxmlformats-officedocument.wordprocessingml.footer+xml"/>
  <Override PartName="/word/header19.xml" ContentType="application/vnd.openxmlformats-officedocument.wordprocessingml.header+xml"/>
  <Override PartName="/word/footer37.xml" ContentType="application/vnd.openxmlformats-officedocument.wordprocessingml.footer+xml"/>
  <Override PartName="/word/header20.xml" ContentType="application/vnd.openxmlformats-officedocument.wordprocessingml.header+xml"/>
  <Override PartName="/word/footer38.xml" ContentType="application/vnd.openxmlformats-officedocument.wordprocessingml.footer+xml"/>
  <Override PartName="/word/header21.xml" ContentType="application/vnd.openxmlformats-officedocument.wordprocessingml.header+xml"/>
  <Override PartName="/word/footer39.xml" ContentType="application/vnd.openxmlformats-officedocument.wordprocessingml.footer+xml"/>
  <Override PartName="/word/header22.xml" ContentType="application/vnd.openxmlformats-officedocument.wordprocessingml.header+xml"/>
  <Override PartName="/word/footer40.xml" ContentType="application/vnd.openxmlformats-officedocument.wordprocessingml.footer+xml"/>
  <Override PartName="/word/header23.xml" ContentType="application/vnd.openxmlformats-officedocument.wordprocessingml.header+xml"/>
  <Override PartName="/word/footer41.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spacing w:line="360" w:lineRule="auto" w:before="193"/>
        <w:ind w:left="3325" w:right="339" w:hanging="1743"/>
        <w:jc w:val="left"/>
        <w:rPr>
          <w:b/>
          <w:i/>
          <w:sz w:val="22"/>
        </w:rPr>
      </w:pPr>
      <w:r>
        <w:rPr/>
        <w:drawing>
          <wp:anchor distT="0" distB="0" distL="0" distR="0" allowOverlap="1" layoutInCell="1" locked="0" behindDoc="0" simplePos="0" relativeHeight="0">
            <wp:simplePos x="0" y="0"/>
            <wp:positionH relativeFrom="page">
              <wp:posOffset>5943600</wp:posOffset>
            </wp:positionH>
            <wp:positionV relativeFrom="paragraph">
              <wp:posOffset>-49938</wp:posOffset>
            </wp:positionV>
            <wp:extent cx="762000" cy="7239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762000" cy="72390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853439</wp:posOffset>
            </wp:positionH>
            <wp:positionV relativeFrom="paragraph">
              <wp:posOffset>-74830</wp:posOffset>
            </wp:positionV>
            <wp:extent cx="880745" cy="82169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80745" cy="821690"/>
                    </a:xfrm>
                    <a:prstGeom prst="rect">
                      <a:avLst/>
                    </a:prstGeom>
                  </pic:spPr>
                </pic:pic>
              </a:graphicData>
            </a:graphic>
          </wp:anchor>
        </w:drawing>
      </w:r>
      <w:r>
        <w:rPr>
          <w:b/>
          <w:i/>
          <w:w w:val="115"/>
          <w:sz w:val="22"/>
        </w:rPr>
        <w:t>UNIVERSIDAD AUTÓNOMA DEL ESTADO DE MÉXICO </w:t>
      </w:r>
      <w:r>
        <w:rPr>
          <w:b/>
          <w:i/>
          <w:w w:val="115"/>
          <w:sz w:val="22"/>
        </w:rPr>
        <w:t>FACULTAD DE LENGUAS</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19"/>
        </w:rPr>
      </w:pPr>
    </w:p>
    <w:p>
      <w:pPr>
        <w:pStyle w:val="Heading1"/>
        <w:spacing w:line="242" w:lineRule="auto"/>
        <w:ind w:left="135"/>
        <w:jc w:val="center"/>
      </w:pPr>
      <w:r>
        <w:rPr/>
        <w:t>ACTITUDES LINGÜÍSTICAS ANTE EL USO DE ANGLICISMOS LÉXICOS COMO MARCADORES DE PRESTIGIO LINGÜÍSTICO Y SOCIAL</w:t>
      </w:r>
    </w:p>
    <w:p>
      <w:pPr>
        <w:pStyle w:val="BodyText"/>
        <w:rPr>
          <w:b/>
        </w:rPr>
      </w:pPr>
    </w:p>
    <w:p>
      <w:pPr>
        <w:pStyle w:val="BodyText"/>
        <w:rPr>
          <w:b/>
        </w:rPr>
      </w:pPr>
    </w:p>
    <w:p>
      <w:pPr>
        <w:pStyle w:val="BodyText"/>
        <w:rPr>
          <w:b/>
        </w:rPr>
      </w:pPr>
    </w:p>
    <w:p>
      <w:pPr>
        <w:pStyle w:val="BodyText"/>
        <w:rPr>
          <w:b/>
        </w:rPr>
      </w:pPr>
    </w:p>
    <w:p>
      <w:pPr>
        <w:pStyle w:val="BodyText"/>
        <w:spacing w:before="3"/>
        <w:rPr>
          <w:b/>
          <w:sz w:val="20"/>
        </w:rPr>
      </w:pPr>
    </w:p>
    <w:p>
      <w:pPr>
        <w:spacing w:before="0"/>
        <w:ind w:left="142" w:right="0" w:firstLine="0"/>
        <w:jc w:val="center"/>
        <w:rPr>
          <w:b/>
          <w:sz w:val="24"/>
        </w:rPr>
      </w:pPr>
      <w:r>
        <w:rPr>
          <w:b/>
          <w:w w:val="115"/>
          <w:sz w:val="24"/>
        </w:rPr>
        <w:t>TESIS</w:t>
      </w:r>
    </w:p>
    <w:p>
      <w:pPr>
        <w:pStyle w:val="BodyText"/>
        <w:rPr>
          <w:b/>
        </w:rPr>
      </w:pPr>
    </w:p>
    <w:p>
      <w:pPr>
        <w:pStyle w:val="BodyText"/>
        <w:spacing w:before="10"/>
        <w:rPr>
          <w:b/>
          <w:sz w:val="20"/>
        </w:rPr>
      </w:pPr>
    </w:p>
    <w:p>
      <w:pPr>
        <w:spacing w:line="720" w:lineRule="auto" w:before="0"/>
        <w:ind w:left="2312" w:right="2173" w:firstLine="4"/>
        <w:jc w:val="center"/>
        <w:rPr>
          <w:b/>
          <w:sz w:val="24"/>
        </w:rPr>
      </w:pPr>
      <w:r>
        <w:rPr>
          <w:b/>
          <w:w w:val="115"/>
          <w:sz w:val="24"/>
        </w:rPr>
        <w:t>QUE </w:t>
      </w:r>
      <w:r>
        <w:rPr>
          <w:b/>
          <w:spacing w:val="-5"/>
          <w:w w:val="115"/>
          <w:sz w:val="24"/>
        </w:rPr>
        <w:t>PARA </w:t>
      </w:r>
      <w:r>
        <w:rPr>
          <w:b/>
          <w:w w:val="115"/>
          <w:sz w:val="24"/>
        </w:rPr>
        <w:t>OBTENER EL GRADO DE: MAESTRA EN LINGÚÍSTICA</w:t>
      </w:r>
      <w:r>
        <w:rPr>
          <w:b/>
          <w:spacing w:val="-42"/>
          <w:w w:val="115"/>
          <w:sz w:val="24"/>
        </w:rPr>
        <w:t> </w:t>
      </w:r>
      <w:r>
        <w:rPr>
          <w:b/>
          <w:w w:val="115"/>
          <w:sz w:val="24"/>
        </w:rPr>
        <w:t>APLICADA</w:t>
      </w:r>
    </w:p>
    <w:p>
      <w:pPr>
        <w:pStyle w:val="BodyText"/>
        <w:rPr>
          <w:b/>
        </w:rPr>
      </w:pPr>
    </w:p>
    <w:p>
      <w:pPr>
        <w:pStyle w:val="BodyText"/>
        <w:rPr>
          <w:b/>
        </w:rPr>
      </w:pPr>
    </w:p>
    <w:p>
      <w:pPr>
        <w:pStyle w:val="BodyText"/>
        <w:spacing w:before="4"/>
        <w:rPr>
          <w:b/>
          <w:sz w:val="25"/>
        </w:rPr>
      </w:pPr>
    </w:p>
    <w:p>
      <w:pPr>
        <w:spacing w:before="0"/>
        <w:ind w:left="140" w:right="0" w:firstLine="0"/>
        <w:jc w:val="center"/>
        <w:rPr>
          <w:b/>
          <w:sz w:val="24"/>
        </w:rPr>
      </w:pPr>
      <w:r>
        <w:rPr>
          <w:b/>
          <w:w w:val="115"/>
          <w:sz w:val="24"/>
        </w:rPr>
        <w:t>PRESENTA:</w:t>
      </w:r>
    </w:p>
    <w:p>
      <w:pPr>
        <w:spacing w:before="139"/>
        <w:ind w:left="147" w:right="0" w:firstLine="0"/>
        <w:jc w:val="center"/>
        <w:rPr>
          <w:b/>
          <w:sz w:val="24"/>
        </w:rPr>
      </w:pPr>
      <w:r>
        <w:rPr>
          <w:b/>
          <w:w w:val="115"/>
          <w:sz w:val="24"/>
        </w:rPr>
        <w:t>JOANA IVETTE GARCÍA SIERRA</w:t>
      </w:r>
    </w:p>
    <w:p>
      <w:pPr>
        <w:pStyle w:val="BodyText"/>
        <w:rPr>
          <w:b/>
        </w:rPr>
      </w:pPr>
    </w:p>
    <w:p>
      <w:pPr>
        <w:pStyle w:val="BodyText"/>
        <w:rPr>
          <w:b/>
        </w:rPr>
      </w:pPr>
    </w:p>
    <w:p>
      <w:pPr>
        <w:pStyle w:val="BodyText"/>
        <w:rPr>
          <w:b/>
        </w:rPr>
      </w:pPr>
    </w:p>
    <w:p>
      <w:pPr>
        <w:pStyle w:val="BodyText"/>
        <w:rPr>
          <w:b/>
        </w:rPr>
      </w:pPr>
    </w:p>
    <w:p>
      <w:pPr>
        <w:pStyle w:val="BodyText"/>
        <w:spacing w:before="8"/>
        <w:rPr>
          <w:b/>
          <w:sz w:val="23"/>
        </w:rPr>
      </w:pPr>
    </w:p>
    <w:p>
      <w:pPr>
        <w:spacing w:before="0"/>
        <w:ind w:left="135" w:right="0" w:firstLine="0"/>
        <w:jc w:val="center"/>
        <w:rPr>
          <w:b/>
          <w:sz w:val="22"/>
        </w:rPr>
      </w:pPr>
      <w:r>
        <w:rPr>
          <w:b/>
          <w:w w:val="115"/>
          <w:sz w:val="22"/>
        </w:rPr>
        <w:t>DIRECTOR DE TESIS:</w:t>
      </w:r>
    </w:p>
    <w:p>
      <w:pPr>
        <w:pStyle w:val="BodyText"/>
        <w:spacing w:before="129"/>
        <w:ind w:left="140"/>
        <w:jc w:val="center"/>
      </w:pPr>
      <w:r>
        <w:rPr/>
        <w:t>DR. URIEL RUIZ ZAMORA</w:t>
      </w:r>
    </w:p>
    <w:p>
      <w:pPr>
        <w:pStyle w:val="BodyText"/>
      </w:pPr>
    </w:p>
    <w:p>
      <w:pPr>
        <w:pStyle w:val="BodyText"/>
      </w:pPr>
    </w:p>
    <w:p>
      <w:pPr>
        <w:pStyle w:val="BodyText"/>
      </w:pPr>
    </w:p>
    <w:p>
      <w:pPr>
        <w:pStyle w:val="BodyText"/>
      </w:pPr>
    </w:p>
    <w:p>
      <w:pPr>
        <w:pStyle w:val="BodyText"/>
      </w:pPr>
    </w:p>
    <w:p>
      <w:pPr>
        <w:pStyle w:val="BodyText"/>
      </w:pPr>
    </w:p>
    <w:p>
      <w:pPr>
        <w:pStyle w:val="BodyText"/>
        <w:rPr>
          <w:sz w:val="33"/>
        </w:rPr>
      </w:pPr>
    </w:p>
    <w:p>
      <w:pPr>
        <w:pStyle w:val="Heading1"/>
        <w:tabs>
          <w:tab w:pos="7520" w:val="left" w:leader="none"/>
        </w:tabs>
        <w:ind w:left="72"/>
        <w:jc w:val="center"/>
      </w:pPr>
      <w:r>
        <w:rPr>
          <w:spacing w:val="-4"/>
          <w:w w:val="115"/>
        </w:rPr>
        <w:t>Toluca,</w:t>
      </w:r>
      <w:r>
        <w:rPr>
          <w:w w:val="115"/>
        </w:rPr>
        <w:t> México</w:t>
        <w:tab/>
        <w:t>Marzo de</w:t>
      </w:r>
      <w:r>
        <w:rPr>
          <w:spacing w:val="-4"/>
          <w:w w:val="115"/>
        </w:rPr>
        <w:t> </w:t>
      </w:r>
      <w:r>
        <w:rPr>
          <w:w w:val="115"/>
        </w:rPr>
        <w:t>2015</w:t>
      </w:r>
    </w:p>
    <w:p>
      <w:pPr>
        <w:spacing w:after="0"/>
        <w:jc w:val="center"/>
        <w:sectPr>
          <w:type w:val="continuous"/>
          <w:pgSz w:w="12240" w:h="15840"/>
          <w:pgMar w:top="1500" w:bottom="280" w:left="1240" w:right="1380"/>
        </w:sectPr>
      </w:pPr>
    </w:p>
    <w:p>
      <w:pPr>
        <w:spacing w:before="33"/>
        <w:ind w:left="2868" w:right="2744" w:firstLine="0"/>
        <w:jc w:val="left"/>
        <w:rPr>
          <w:rFonts w:ascii="Arabic Typesetting"/>
          <w:sz w:val="40"/>
        </w:rPr>
      </w:pPr>
      <w:r>
        <w:rPr>
          <w:rFonts w:ascii="Arabic Typesetting"/>
          <w:sz w:val="40"/>
        </w:rPr>
        <w:t>ACKNOWLEDGEMENTS</w:t>
      </w:r>
    </w:p>
    <w:p>
      <w:pPr>
        <w:pStyle w:val="BodyText"/>
        <w:rPr>
          <w:rFonts w:ascii="Arabic Typesetting"/>
          <w:sz w:val="40"/>
        </w:rPr>
      </w:pPr>
    </w:p>
    <w:p>
      <w:pPr>
        <w:pStyle w:val="BodyText"/>
        <w:spacing w:before="5"/>
        <w:rPr>
          <w:rFonts w:ascii="Arabic Typesetting"/>
          <w:sz w:val="34"/>
        </w:rPr>
      </w:pPr>
    </w:p>
    <w:p>
      <w:pPr>
        <w:spacing w:line="240" w:lineRule="auto" w:before="0"/>
        <w:ind w:left="110" w:right="4709" w:firstLine="0"/>
        <w:jc w:val="left"/>
        <w:rPr>
          <w:rFonts w:ascii="Arabic Typesetting"/>
          <w:sz w:val="40"/>
        </w:rPr>
      </w:pPr>
      <w:r>
        <w:rPr>
          <w:rFonts w:ascii="Arabic Typesetting"/>
          <w:sz w:val="40"/>
        </w:rPr>
        <w:t>Wisdom is the right use of knowledge. To know is not to be wise. Many men know a great deal, and are all the greater fools for it.</w:t>
      </w:r>
    </w:p>
    <w:p>
      <w:pPr>
        <w:spacing w:line="240" w:lineRule="auto" w:before="0"/>
        <w:ind w:left="110" w:right="4753" w:firstLine="0"/>
        <w:jc w:val="both"/>
        <w:rPr>
          <w:rFonts w:ascii="Arabic Typesetting"/>
          <w:sz w:val="40"/>
        </w:rPr>
      </w:pPr>
      <w:r>
        <w:rPr>
          <w:rFonts w:ascii="Arabic Typesetting"/>
          <w:sz w:val="40"/>
        </w:rPr>
        <w:t>There is no fool so great a fool as a knowing fool. But to know how to use knowledge is to have wisdom.</w:t>
      </w:r>
    </w:p>
    <w:p>
      <w:pPr>
        <w:pStyle w:val="BodyText"/>
        <w:spacing w:before="175"/>
        <w:ind w:left="3079" w:right="4511"/>
        <w:jc w:val="center"/>
        <w:rPr>
          <w:rFonts w:ascii="Arabic Typesetting"/>
        </w:rPr>
      </w:pPr>
      <w:hyperlink r:id="rId7">
        <w:r>
          <w:rPr>
            <w:rFonts w:ascii="Arabic Typesetting"/>
          </w:rPr>
          <w:t>Charles Spurgeon</w:t>
        </w:r>
      </w:hyperlink>
    </w:p>
    <w:p>
      <w:pPr>
        <w:pStyle w:val="BodyText"/>
        <w:rPr>
          <w:rFonts w:ascii="Arabic Typesetting"/>
        </w:rPr>
      </w:pPr>
    </w:p>
    <w:p>
      <w:pPr>
        <w:pStyle w:val="BodyText"/>
        <w:rPr>
          <w:rFonts w:ascii="Arabic Typesetting"/>
        </w:rPr>
      </w:pPr>
    </w:p>
    <w:p>
      <w:pPr>
        <w:pStyle w:val="BodyText"/>
        <w:rPr>
          <w:rFonts w:ascii="Arabic Typesetting"/>
        </w:rPr>
      </w:pPr>
    </w:p>
    <w:p>
      <w:pPr>
        <w:pStyle w:val="BodyText"/>
        <w:spacing w:before="3"/>
        <w:rPr>
          <w:rFonts w:ascii="Arabic Typesetting"/>
          <w:sz w:val="21"/>
        </w:rPr>
      </w:pPr>
    </w:p>
    <w:p>
      <w:pPr>
        <w:spacing w:before="1"/>
        <w:ind w:left="2755" w:right="2744" w:firstLine="897"/>
        <w:jc w:val="left"/>
        <w:rPr>
          <w:rFonts w:ascii="Arabic Typesetting"/>
          <w:sz w:val="40"/>
        </w:rPr>
      </w:pPr>
      <w:r>
        <w:rPr>
          <w:rFonts w:ascii="Arabic Typesetting"/>
          <w:sz w:val="40"/>
        </w:rPr>
        <w:t>To my family Specially to my dear husband</w:t>
      </w:r>
    </w:p>
    <w:p>
      <w:pPr>
        <w:pStyle w:val="BodyText"/>
        <w:rPr>
          <w:rFonts w:ascii="Arabic Typesetting"/>
          <w:sz w:val="40"/>
        </w:rPr>
      </w:pPr>
    </w:p>
    <w:p>
      <w:pPr>
        <w:pStyle w:val="BodyText"/>
        <w:rPr>
          <w:rFonts w:ascii="Arabic Typesetting"/>
          <w:sz w:val="40"/>
        </w:rPr>
      </w:pPr>
    </w:p>
    <w:p>
      <w:pPr>
        <w:pStyle w:val="BodyText"/>
        <w:spacing w:before="1"/>
        <w:rPr>
          <w:rFonts w:ascii="Arabic Typesetting"/>
          <w:sz w:val="40"/>
        </w:rPr>
      </w:pPr>
    </w:p>
    <w:p>
      <w:pPr>
        <w:spacing w:before="0"/>
        <w:ind w:left="4539" w:right="112" w:firstLine="578"/>
        <w:jc w:val="right"/>
        <w:rPr>
          <w:rFonts w:ascii="Arabic Typesetting"/>
          <w:sz w:val="40"/>
        </w:rPr>
      </w:pPr>
      <w:r>
        <w:rPr>
          <w:rFonts w:ascii="Arabic Typesetting"/>
          <w:color w:val="202020"/>
          <w:sz w:val="40"/>
        </w:rPr>
        <w:t>Thanks for your understanding,</w:t>
      </w:r>
      <w:r>
        <w:rPr>
          <w:rFonts w:ascii="Arabic Typesetting"/>
          <w:color w:val="202020"/>
          <w:w w:val="100"/>
          <w:sz w:val="40"/>
        </w:rPr>
        <w:t> </w:t>
      </w:r>
      <w:r>
        <w:rPr>
          <w:rFonts w:ascii="Arabic Typesetting"/>
          <w:color w:val="202020"/>
          <w:sz w:val="40"/>
        </w:rPr>
        <w:t>Thanks for showing me that I can,</w:t>
      </w:r>
      <w:r>
        <w:rPr>
          <w:rFonts w:ascii="Arabic Typesetting"/>
          <w:color w:val="202020"/>
          <w:w w:val="100"/>
          <w:sz w:val="40"/>
        </w:rPr>
        <w:t> </w:t>
      </w:r>
      <w:r>
        <w:rPr>
          <w:rFonts w:ascii="Arabic Typesetting"/>
          <w:color w:val="202020"/>
          <w:sz w:val="40"/>
        </w:rPr>
        <w:t>Thanks for the simplicity with which</w:t>
      </w:r>
    </w:p>
    <w:p>
      <w:pPr>
        <w:spacing w:before="0"/>
        <w:ind w:left="4562" w:right="113" w:firstLine="2482"/>
        <w:jc w:val="right"/>
        <w:rPr>
          <w:rFonts w:ascii="Arabic Typesetting"/>
          <w:sz w:val="40"/>
        </w:rPr>
      </w:pPr>
      <w:r>
        <w:rPr>
          <w:rFonts w:ascii="Arabic Typesetting"/>
          <w:color w:val="202020"/>
          <w:sz w:val="40"/>
        </w:rPr>
        <w:t>you see things,</w:t>
      </w:r>
      <w:r>
        <w:rPr>
          <w:rFonts w:ascii="Arabic Typesetting"/>
          <w:color w:val="202020"/>
          <w:w w:val="100"/>
          <w:sz w:val="40"/>
        </w:rPr>
        <w:t> </w:t>
      </w:r>
      <w:r>
        <w:rPr>
          <w:rFonts w:ascii="Arabic Typesetting"/>
          <w:color w:val="202020"/>
          <w:sz w:val="40"/>
        </w:rPr>
        <w:t>Thanks for taking with love the little</w:t>
      </w:r>
    </w:p>
    <w:p>
      <w:pPr>
        <w:spacing w:line="240" w:lineRule="auto" w:before="0"/>
        <w:ind w:left="4546" w:right="113" w:firstLine="2988"/>
        <w:jc w:val="right"/>
        <w:rPr>
          <w:rFonts w:ascii="Arabic Typesetting"/>
          <w:sz w:val="40"/>
        </w:rPr>
      </w:pPr>
      <w:r>
        <w:rPr>
          <w:rFonts w:ascii="Arabic Typesetting"/>
          <w:color w:val="202020"/>
          <w:sz w:val="40"/>
        </w:rPr>
        <w:t>I give you,</w:t>
      </w:r>
      <w:r>
        <w:rPr>
          <w:rFonts w:ascii="Arabic Typesetting"/>
          <w:color w:val="202020"/>
          <w:w w:val="100"/>
          <w:sz w:val="40"/>
        </w:rPr>
        <w:t> </w:t>
      </w:r>
      <w:r>
        <w:rPr>
          <w:rFonts w:ascii="Arabic Typesetting"/>
          <w:color w:val="202020"/>
          <w:sz w:val="40"/>
        </w:rPr>
        <w:t>Thanks for being part of what I love,</w:t>
      </w:r>
      <w:r>
        <w:rPr>
          <w:rFonts w:ascii="Arabic Typesetting"/>
          <w:color w:val="202020"/>
          <w:w w:val="100"/>
          <w:sz w:val="40"/>
        </w:rPr>
        <w:t> </w:t>
      </w:r>
      <w:r>
        <w:rPr>
          <w:rFonts w:ascii="Arabic Typesetting"/>
          <w:color w:val="202020"/>
          <w:sz w:val="40"/>
        </w:rPr>
        <w:t>Thanks for being in my life.</w:t>
      </w:r>
    </w:p>
    <w:p>
      <w:pPr>
        <w:spacing w:after="0" w:line="240" w:lineRule="auto"/>
        <w:jc w:val="right"/>
        <w:rPr>
          <w:rFonts w:ascii="Arabic Typesetting"/>
          <w:sz w:val="40"/>
        </w:rPr>
        <w:sectPr>
          <w:pgSz w:w="12240" w:h="15840"/>
          <w:pgMar w:top="1380" w:bottom="280" w:left="1700" w:right="1700"/>
        </w:sectPr>
      </w:pPr>
    </w:p>
    <w:p>
      <w:pPr>
        <w:pStyle w:val="BodyText"/>
        <w:spacing w:before="4"/>
        <w:rPr>
          <w:rFonts w:ascii="Arabic Typesetting"/>
          <w:sz w:val="11"/>
        </w:rPr>
      </w:pPr>
    </w:p>
    <w:p>
      <w:pPr>
        <w:pStyle w:val="BodyText"/>
        <w:spacing w:before="70"/>
        <w:ind w:left="3707" w:right="3722"/>
        <w:jc w:val="center"/>
      </w:pPr>
      <w:r>
        <w:rPr/>
        <w:t>SUMMARY</w:t>
      </w:r>
    </w:p>
    <w:p>
      <w:pPr>
        <w:pStyle w:val="BodyText"/>
        <w:spacing w:before="10"/>
        <w:rPr>
          <w:sz w:val="25"/>
        </w:rPr>
      </w:pPr>
    </w:p>
    <w:p>
      <w:pPr>
        <w:pStyle w:val="BodyText"/>
        <w:spacing w:line="360" w:lineRule="auto"/>
        <w:ind w:left="102" w:right="113"/>
        <w:jc w:val="both"/>
      </w:pPr>
      <w:r>
        <w:rPr/>
        <w:t>The</w:t>
      </w:r>
      <w:r>
        <w:rPr>
          <w:spacing w:val="-6"/>
        </w:rPr>
        <w:t> </w:t>
      </w:r>
      <w:r>
        <w:rPr/>
        <w:t>present</w:t>
      </w:r>
      <w:r>
        <w:rPr>
          <w:spacing w:val="-6"/>
        </w:rPr>
        <w:t> </w:t>
      </w:r>
      <w:r>
        <w:rPr/>
        <w:t>study</w:t>
      </w:r>
      <w:r>
        <w:rPr>
          <w:spacing w:val="-7"/>
        </w:rPr>
        <w:t> </w:t>
      </w:r>
      <w:r>
        <w:rPr/>
        <w:t>was</w:t>
      </w:r>
      <w:r>
        <w:rPr>
          <w:spacing w:val="-5"/>
        </w:rPr>
        <w:t> </w:t>
      </w:r>
      <w:r>
        <w:rPr/>
        <w:t>carried</w:t>
      </w:r>
      <w:r>
        <w:rPr>
          <w:spacing w:val="-6"/>
        </w:rPr>
        <w:t> </w:t>
      </w:r>
      <w:r>
        <w:rPr/>
        <w:t>out</w:t>
      </w:r>
      <w:r>
        <w:rPr>
          <w:spacing w:val="-5"/>
        </w:rPr>
        <w:t> </w:t>
      </w:r>
      <w:r>
        <w:rPr/>
        <w:t>to</w:t>
      </w:r>
      <w:r>
        <w:rPr>
          <w:spacing w:val="-6"/>
        </w:rPr>
        <w:t> </w:t>
      </w:r>
      <w:r>
        <w:rPr/>
        <w:t>provide</w:t>
      </w:r>
      <w:r>
        <w:rPr>
          <w:spacing w:val="-6"/>
        </w:rPr>
        <w:t> </w:t>
      </w:r>
      <w:r>
        <w:rPr/>
        <w:t>sociolinguistics</w:t>
      </w:r>
      <w:r>
        <w:rPr>
          <w:spacing w:val="-7"/>
        </w:rPr>
        <w:t> </w:t>
      </w:r>
      <w:r>
        <w:rPr/>
        <w:t>a</w:t>
      </w:r>
      <w:r>
        <w:rPr>
          <w:spacing w:val="-6"/>
        </w:rPr>
        <w:t> </w:t>
      </w:r>
      <w:r>
        <w:rPr/>
        <w:t>new</w:t>
      </w:r>
      <w:r>
        <w:rPr>
          <w:spacing w:val="-10"/>
        </w:rPr>
        <w:t> </w:t>
      </w:r>
      <w:r>
        <w:rPr/>
        <w:t>vision</w:t>
      </w:r>
      <w:r>
        <w:rPr>
          <w:spacing w:val="-6"/>
        </w:rPr>
        <w:t> </w:t>
      </w:r>
      <w:r>
        <w:rPr/>
        <w:t>of</w:t>
      </w:r>
      <w:r>
        <w:rPr>
          <w:spacing w:val="-4"/>
        </w:rPr>
        <w:t> </w:t>
      </w:r>
      <w:r>
        <w:rPr/>
        <w:t>the</w:t>
      </w:r>
      <w:r>
        <w:rPr>
          <w:spacing w:val="-6"/>
        </w:rPr>
        <w:t> </w:t>
      </w:r>
      <w:r>
        <w:rPr/>
        <w:t>usage of Anglicisms and the attitudes Spanish speakers in Toluca have toward them. Since sociolinguistics is concerned with the real use of language in society, the context and the speakers’ culture, this branch of Linguistics is the one that will be used to describe and analyze speakers’ attitudes to Anglicisms in order to establish if its use is a</w:t>
      </w:r>
      <w:r>
        <w:rPr>
          <w:spacing w:val="-47"/>
        </w:rPr>
        <w:t> </w:t>
      </w:r>
      <w:r>
        <w:rPr/>
        <w:t>matter of</w:t>
      </w:r>
      <w:r>
        <w:rPr>
          <w:spacing w:val="-2"/>
        </w:rPr>
        <w:t> </w:t>
      </w:r>
      <w:r>
        <w:rPr/>
        <w:t>prestige.</w:t>
      </w:r>
    </w:p>
    <w:p>
      <w:pPr>
        <w:pStyle w:val="BodyText"/>
      </w:pPr>
    </w:p>
    <w:p>
      <w:pPr>
        <w:pStyle w:val="BodyText"/>
      </w:pPr>
    </w:p>
    <w:p>
      <w:pPr>
        <w:pStyle w:val="BodyText"/>
        <w:spacing w:line="360" w:lineRule="auto" w:before="188"/>
        <w:ind w:left="102" w:right="113"/>
        <w:jc w:val="both"/>
      </w:pPr>
      <w:r>
        <w:rPr/>
        <w:t>Prestige has been studied as a positive value between languages. This is, all over the years, speakers have tried to find out what language is the best of the world, or the most powerful one, or the most important one. Nevertheless, this project has focused its studies not in a language </w:t>
      </w:r>
      <w:r>
        <w:rPr>
          <w:i/>
        </w:rPr>
        <w:t>per se</w:t>
      </w:r>
      <w:r>
        <w:rPr/>
        <w:t>, but in a variety of the same language: lexical Anglicisms in Spanish.</w:t>
      </w:r>
    </w:p>
    <w:p>
      <w:pPr>
        <w:pStyle w:val="BodyText"/>
      </w:pPr>
    </w:p>
    <w:p>
      <w:pPr>
        <w:pStyle w:val="BodyText"/>
      </w:pPr>
    </w:p>
    <w:p>
      <w:pPr>
        <w:pStyle w:val="BodyText"/>
        <w:spacing w:line="360" w:lineRule="auto" w:before="185"/>
        <w:ind w:left="102" w:right="110"/>
        <w:jc w:val="both"/>
      </w:pPr>
      <w:r>
        <w:rPr/>
        <w:t>To decide if Anglicisms are prestigious or not, this project draws on the study of linguistic attitudes of Spanish speakers. Linguistic attitudes allow researchers to deduce</w:t>
      </w:r>
      <w:r>
        <w:rPr>
          <w:spacing w:val="-6"/>
        </w:rPr>
        <w:t> </w:t>
      </w:r>
      <w:r>
        <w:rPr/>
        <w:t>speakers’</w:t>
      </w:r>
      <w:r>
        <w:rPr>
          <w:spacing w:val="-6"/>
        </w:rPr>
        <w:t> </w:t>
      </w:r>
      <w:r>
        <w:rPr/>
        <w:t>preferences</w:t>
      </w:r>
      <w:r>
        <w:rPr>
          <w:spacing w:val="-6"/>
        </w:rPr>
        <w:t> </w:t>
      </w:r>
      <w:r>
        <w:rPr/>
        <w:t>through</w:t>
      </w:r>
      <w:r>
        <w:rPr>
          <w:spacing w:val="-6"/>
        </w:rPr>
        <w:t> </w:t>
      </w:r>
      <w:r>
        <w:rPr/>
        <w:t>the</w:t>
      </w:r>
      <w:r>
        <w:rPr>
          <w:spacing w:val="-8"/>
        </w:rPr>
        <w:t> </w:t>
      </w:r>
      <w:r>
        <w:rPr/>
        <w:t>observation,</w:t>
      </w:r>
      <w:r>
        <w:rPr>
          <w:spacing w:val="-6"/>
        </w:rPr>
        <w:t> </w:t>
      </w:r>
      <w:r>
        <w:rPr/>
        <w:t>interpretation</w:t>
      </w:r>
      <w:r>
        <w:rPr>
          <w:spacing w:val="-6"/>
        </w:rPr>
        <w:t> </w:t>
      </w:r>
      <w:r>
        <w:rPr/>
        <w:t>and</w:t>
      </w:r>
      <w:r>
        <w:rPr>
          <w:spacing w:val="-6"/>
        </w:rPr>
        <w:t> </w:t>
      </w:r>
      <w:r>
        <w:rPr/>
        <w:t>the</w:t>
      </w:r>
      <w:r>
        <w:rPr>
          <w:spacing w:val="-6"/>
        </w:rPr>
        <w:t> </w:t>
      </w:r>
      <w:r>
        <w:rPr/>
        <w:t>analysis of speakers’ reactions to certain stimulus. In this case, the stimulus is the use of Anglicisms</w:t>
      </w:r>
      <w:r>
        <w:rPr>
          <w:spacing w:val="-6"/>
        </w:rPr>
        <w:t> </w:t>
      </w:r>
      <w:r>
        <w:rPr/>
        <w:t>in</w:t>
      </w:r>
      <w:r>
        <w:rPr>
          <w:spacing w:val="-9"/>
        </w:rPr>
        <w:t> </w:t>
      </w:r>
      <w:r>
        <w:rPr/>
        <w:t>a</w:t>
      </w:r>
      <w:r>
        <w:rPr>
          <w:spacing w:val="-8"/>
        </w:rPr>
        <w:t> </w:t>
      </w:r>
      <w:r>
        <w:rPr/>
        <w:t>recording.</w:t>
      </w:r>
      <w:r>
        <w:rPr>
          <w:spacing w:val="-9"/>
        </w:rPr>
        <w:t> </w:t>
      </w:r>
      <w:r>
        <w:rPr/>
        <w:t>Taking</w:t>
      </w:r>
      <w:r>
        <w:rPr>
          <w:spacing w:val="-8"/>
        </w:rPr>
        <w:t> </w:t>
      </w:r>
      <w:r>
        <w:rPr/>
        <w:t>into</w:t>
      </w:r>
      <w:r>
        <w:rPr>
          <w:spacing w:val="-8"/>
        </w:rPr>
        <w:t> </w:t>
      </w:r>
      <w:r>
        <w:rPr/>
        <w:t>account</w:t>
      </w:r>
      <w:r>
        <w:rPr>
          <w:spacing w:val="-6"/>
        </w:rPr>
        <w:t> </w:t>
      </w:r>
      <w:r>
        <w:rPr/>
        <w:t>that</w:t>
      </w:r>
      <w:r>
        <w:rPr>
          <w:spacing w:val="-9"/>
        </w:rPr>
        <w:t> </w:t>
      </w:r>
      <w:r>
        <w:rPr/>
        <w:t>some</w:t>
      </w:r>
      <w:r>
        <w:rPr>
          <w:spacing w:val="-6"/>
        </w:rPr>
        <w:t> </w:t>
      </w:r>
      <w:r>
        <w:rPr/>
        <w:t>experts</w:t>
      </w:r>
      <w:r>
        <w:rPr>
          <w:spacing w:val="-9"/>
        </w:rPr>
        <w:t> </w:t>
      </w:r>
      <w:r>
        <w:rPr/>
        <w:t>as</w:t>
      </w:r>
      <w:r>
        <w:rPr>
          <w:spacing w:val="-12"/>
        </w:rPr>
        <w:t> </w:t>
      </w:r>
      <w:r>
        <w:rPr/>
        <w:t>Kristiansen</w:t>
      </w:r>
      <w:r>
        <w:rPr>
          <w:spacing w:val="-8"/>
        </w:rPr>
        <w:t> </w:t>
      </w:r>
      <w:r>
        <w:rPr/>
        <w:t>(1991- 1992) think that attitudes are vulnerable to situational factors, context and feelings; participants</w:t>
      </w:r>
      <w:r>
        <w:rPr>
          <w:spacing w:val="-12"/>
        </w:rPr>
        <w:t> </w:t>
      </w:r>
      <w:r>
        <w:rPr/>
        <w:t>answered</w:t>
      </w:r>
      <w:r>
        <w:rPr>
          <w:spacing w:val="-14"/>
        </w:rPr>
        <w:t> </w:t>
      </w:r>
      <w:r>
        <w:rPr/>
        <w:t>a</w:t>
      </w:r>
      <w:r>
        <w:rPr>
          <w:spacing w:val="-12"/>
        </w:rPr>
        <w:t> </w:t>
      </w:r>
      <w:r>
        <w:rPr/>
        <w:t>questionnaire</w:t>
      </w:r>
      <w:r>
        <w:rPr>
          <w:spacing w:val="-11"/>
        </w:rPr>
        <w:t> </w:t>
      </w:r>
      <w:r>
        <w:rPr/>
        <w:t>anonymously</w:t>
      </w:r>
      <w:r>
        <w:rPr>
          <w:spacing w:val="-15"/>
        </w:rPr>
        <w:t> </w:t>
      </w:r>
      <w:r>
        <w:rPr/>
        <w:t>in</w:t>
      </w:r>
      <w:r>
        <w:rPr>
          <w:spacing w:val="-14"/>
        </w:rPr>
        <w:t> </w:t>
      </w:r>
      <w:r>
        <w:rPr/>
        <w:t>order</w:t>
      </w:r>
      <w:r>
        <w:rPr>
          <w:spacing w:val="-13"/>
        </w:rPr>
        <w:t> </w:t>
      </w:r>
      <w:r>
        <w:rPr/>
        <w:t>to</w:t>
      </w:r>
      <w:r>
        <w:rPr>
          <w:spacing w:val="-14"/>
        </w:rPr>
        <w:t> </w:t>
      </w:r>
      <w:r>
        <w:rPr/>
        <w:t>prove</w:t>
      </w:r>
      <w:r>
        <w:rPr>
          <w:spacing w:val="-12"/>
        </w:rPr>
        <w:t> </w:t>
      </w:r>
      <w:r>
        <w:rPr/>
        <w:t>that</w:t>
      </w:r>
      <w:r>
        <w:rPr>
          <w:spacing w:val="-14"/>
        </w:rPr>
        <w:t> </w:t>
      </w:r>
      <w:r>
        <w:rPr/>
        <w:t>attitudes</w:t>
      </w:r>
      <w:r>
        <w:rPr>
          <w:spacing w:val="-15"/>
        </w:rPr>
        <w:t> </w:t>
      </w:r>
      <w:r>
        <w:rPr/>
        <w:t>can determine use or disuse of certain linguistic</w:t>
      </w:r>
      <w:r>
        <w:rPr>
          <w:spacing w:val="-16"/>
        </w:rPr>
        <w:t> </w:t>
      </w:r>
      <w:r>
        <w:rPr/>
        <w:t>varieties.</w:t>
      </w:r>
    </w:p>
    <w:p>
      <w:pPr>
        <w:pStyle w:val="BodyText"/>
      </w:pPr>
    </w:p>
    <w:p>
      <w:pPr>
        <w:pStyle w:val="BodyText"/>
      </w:pPr>
    </w:p>
    <w:p>
      <w:pPr>
        <w:pStyle w:val="BodyText"/>
        <w:spacing w:line="360" w:lineRule="auto" w:before="188"/>
        <w:ind w:left="102" w:right="112"/>
        <w:jc w:val="both"/>
      </w:pPr>
      <w:r>
        <w:rPr/>
        <w:t>This research project attempts to explain the speakers’ attitudes before the frequent use</w:t>
      </w:r>
      <w:r>
        <w:rPr>
          <w:spacing w:val="-6"/>
        </w:rPr>
        <w:t> </w:t>
      </w:r>
      <w:r>
        <w:rPr/>
        <w:t>of</w:t>
      </w:r>
      <w:r>
        <w:rPr>
          <w:spacing w:val="-4"/>
        </w:rPr>
        <w:t> </w:t>
      </w:r>
      <w:r>
        <w:rPr/>
        <w:t>Anglicism</w:t>
      </w:r>
      <w:r>
        <w:rPr>
          <w:spacing w:val="-5"/>
        </w:rPr>
        <w:t> </w:t>
      </w:r>
      <w:r>
        <w:rPr/>
        <w:t>in</w:t>
      </w:r>
      <w:r>
        <w:rPr>
          <w:spacing w:val="-6"/>
        </w:rPr>
        <w:t> </w:t>
      </w:r>
      <w:r>
        <w:rPr/>
        <w:t>the</w:t>
      </w:r>
      <w:r>
        <w:rPr>
          <w:spacing w:val="-8"/>
        </w:rPr>
        <w:t> </w:t>
      </w:r>
      <w:r>
        <w:rPr/>
        <w:t>everyday</w:t>
      </w:r>
      <w:r>
        <w:rPr>
          <w:spacing w:val="-9"/>
        </w:rPr>
        <w:t> </w:t>
      </w:r>
      <w:r>
        <w:rPr/>
        <w:t>speech</w:t>
      </w:r>
      <w:r>
        <w:rPr>
          <w:spacing w:val="-6"/>
        </w:rPr>
        <w:t> </w:t>
      </w:r>
      <w:r>
        <w:rPr/>
        <w:t>of</w:t>
      </w:r>
      <w:r>
        <w:rPr>
          <w:spacing w:val="-4"/>
        </w:rPr>
        <w:t> </w:t>
      </w:r>
      <w:r>
        <w:rPr/>
        <w:t>Spanish</w:t>
      </w:r>
      <w:r>
        <w:rPr>
          <w:spacing w:val="-6"/>
        </w:rPr>
        <w:t> </w:t>
      </w:r>
      <w:r>
        <w:rPr/>
        <w:t>speakers.</w:t>
      </w:r>
      <w:r>
        <w:rPr>
          <w:spacing w:val="-9"/>
        </w:rPr>
        <w:t> </w:t>
      </w:r>
      <w:r>
        <w:rPr/>
        <w:t>The</w:t>
      </w:r>
      <w:r>
        <w:rPr>
          <w:spacing w:val="-1"/>
        </w:rPr>
        <w:t> </w:t>
      </w:r>
      <w:r>
        <w:rPr/>
        <w:t>main</w:t>
      </w:r>
      <w:r>
        <w:rPr>
          <w:spacing w:val="-6"/>
        </w:rPr>
        <w:t> </w:t>
      </w:r>
      <w:r>
        <w:rPr/>
        <w:t>objective</w:t>
      </w:r>
      <w:r>
        <w:rPr>
          <w:spacing w:val="-6"/>
        </w:rPr>
        <w:t> </w:t>
      </w:r>
      <w:r>
        <w:rPr/>
        <w:t>is</w:t>
      </w:r>
      <w:r>
        <w:rPr>
          <w:spacing w:val="-7"/>
        </w:rPr>
        <w:t> </w:t>
      </w:r>
      <w:r>
        <w:rPr/>
        <w:t>to find out if this preference in use between all linguistic varieties of Spanish is a matter of prestige. At the same time, it is important to know which part of society is the </w:t>
      </w:r>
      <w:r>
        <w:rPr>
          <w:spacing w:val="47"/>
        </w:rPr>
        <w:t> </w:t>
      </w:r>
      <w:r>
        <w:rPr/>
        <w:t>most</w:t>
      </w:r>
    </w:p>
    <w:p>
      <w:pPr>
        <w:spacing w:after="0" w:line="360" w:lineRule="auto"/>
        <w:jc w:val="both"/>
        <w:sectPr>
          <w:footerReference w:type="default" r:id="rId8"/>
          <w:pgSz w:w="12240" w:h="15840"/>
          <w:pgMar w:footer="1003" w:header="0" w:top="1500" w:bottom="1200" w:left="1600" w:right="1300"/>
          <w:pgNumType w:start="1"/>
        </w:sectPr>
      </w:pPr>
    </w:p>
    <w:p>
      <w:pPr>
        <w:pStyle w:val="BodyText"/>
        <w:spacing w:before="4"/>
        <w:rPr>
          <w:sz w:val="11"/>
        </w:rPr>
      </w:pPr>
    </w:p>
    <w:p>
      <w:pPr>
        <w:pStyle w:val="BodyText"/>
        <w:spacing w:line="360" w:lineRule="auto" w:before="69"/>
        <w:ind w:left="102" w:right="119"/>
        <w:jc w:val="both"/>
      </w:pPr>
      <w:r>
        <w:rPr/>
        <w:t>aligned to this believe. Thus, participants were classified by age, gender and educational level.</w:t>
      </w:r>
    </w:p>
    <w:p>
      <w:pPr>
        <w:pStyle w:val="BodyText"/>
        <w:spacing w:line="360" w:lineRule="auto" w:before="163"/>
        <w:ind w:left="102" w:right="116"/>
        <w:jc w:val="both"/>
      </w:pPr>
      <w:r>
        <w:rPr/>
        <w:t>To achieve these objectives, this study is divided into four chapters. The first one is dedicated to the Anglicism: its definition, classifications and a brief comparison with related concepts such as borrowing words, calque words and foreign words to state a concrete difference among them.</w:t>
      </w:r>
    </w:p>
    <w:p>
      <w:pPr>
        <w:pStyle w:val="BodyText"/>
      </w:pPr>
    </w:p>
    <w:p>
      <w:pPr>
        <w:pStyle w:val="BodyText"/>
      </w:pPr>
    </w:p>
    <w:p>
      <w:pPr>
        <w:pStyle w:val="BodyText"/>
        <w:spacing w:line="360" w:lineRule="auto" w:before="186"/>
        <w:ind w:left="102" w:right="51"/>
      </w:pPr>
      <w:r>
        <w:rPr/>
        <w:t>Each concept is defined and exemplified to clarify their meanings. In the case of Anglicisms, the classification provided is based on their functions at different levels of the language: </w:t>
      </w:r>
      <w:r>
        <w:rPr>
          <w:color w:val="202020"/>
        </w:rPr>
        <w:t>lexical, morphological and syntactic levels.</w:t>
      </w:r>
    </w:p>
    <w:p>
      <w:pPr>
        <w:pStyle w:val="BodyText"/>
      </w:pPr>
    </w:p>
    <w:p>
      <w:pPr>
        <w:pStyle w:val="BodyText"/>
        <w:spacing w:before="3"/>
        <w:rPr>
          <w:sz w:val="26"/>
        </w:rPr>
      </w:pPr>
    </w:p>
    <w:p>
      <w:pPr>
        <w:pStyle w:val="BodyText"/>
        <w:spacing w:line="360" w:lineRule="auto" w:before="1"/>
        <w:ind w:left="102" w:right="113"/>
        <w:jc w:val="both"/>
      </w:pPr>
      <w:r>
        <w:rPr/>
        <w:t>The</w:t>
      </w:r>
      <w:r>
        <w:rPr>
          <w:spacing w:val="-7"/>
        </w:rPr>
        <w:t> </w:t>
      </w:r>
      <w:r>
        <w:rPr/>
        <w:t>second</w:t>
      </w:r>
      <w:r>
        <w:rPr>
          <w:spacing w:val="-8"/>
        </w:rPr>
        <w:t> </w:t>
      </w:r>
      <w:r>
        <w:rPr/>
        <w:t>chapter</w:t>
      </w:r>
      <w:r>
        <w:rPr>
          <w:spacing w:val="-7"/>
        </w:rPr>
        <w:t> </w:t>
      </w:r>
      <w:r>
        <w:rPr/>
        <w:t>is</w:t>
      </w:r>
      <w:r>
        <w:rPr>
          <w:spacing w:val="-11"/>
        </w:rPr>
        <w:t> </w:t>
      </w:r>
      <w:r>
        <w:rPr/>
        <w:t>an</w:t>
      </w:r>
      <w:r>
        <w:rPr>
          <w:spacing w:val="-7"/>
        </w:rPr>
        <w:t> </w:t>
      </w:r>
      <w:r>
        <w:rPr/>
        <w:t>approach</w:t>
      </w:r>
      <w:r>
        <w:rPr>
          <w:spacing w:val="-7"/>
        </w:rPr>
        <w:t> </w:t>
      </w:r>
      <w:r>
        <w:rPr/>
        <w:t>to</w:t>
      </w:r>
      <w:r>
        <w:rPr>
          <w:spacing w:val="-7"/>
        </w:rPr>
        <w:t> </w:t>
      </w:r>
      <w:r>
        <w:rPr/>
        <w:t>the</w:t>
      </w:r>
      <w:r>
        <w:rPr>
          <w:spacing w:val="-9"/>
        </w:rPr>
        <w:t> </w:t>
      </w:r>
      <w:r>
        <w:rPr/>
        <w:t>understanding</w:t>
      </w:r>
      <w:r>
        <w:rPr>
          <w:spacing w:val="-9"/>
        </w:rPr>
        <w:t> </w:t>
      </w:r>
      <w:r>
        <w:rPr/>
        <w:t>of</w:t>
      </w:r>
      <w:r>
        <w:rPr>
          <w:spacing w:val="-1"/>
        </w:rPr>
        <w:t> </w:t>
      </w:r>
      <w:r>
        <w:rPr/>
        <w:t>sociolinguistic</w:t>
      </w:r>
      <w:r>
        <w:rPr>
          <w:spacing w:val="-8"/>
        </w:rPr>
        <w:t> </w:t>
      </w:r>
      <w:r>
        <w:rPr/>
        <w:t>terms</w:t>
      </w:r>
      <w:r>
        <w:rPr>
          <w:spacing w:val="-10"/>
        </w:rPr>
        <w:t> </w:t>
      </w:r>
      <w:r>
        <w:rPr/>
        <w:t>which has to do with speakers’ attitudes and perceptions to the language. it starts from the idea that speakers create specific beliefs towards speakers of other languages, and based on that they create stereotypes as</w:t>
      </w:r>
      <w:r>
        <w:rPr>
          <w:spacing w:val="-18"/>
        </w:rPr>
        <w:t> </w:t>
      </w:r>
      <w:r>
        <w:rPr/>
        <w:t>well.</w:t>
      </w:r>
    </w:p>
    <w:p>
      <w:pPr>
        <w:pStyle w:val="BodyText"/>
      </w:pPr>
    </w:p>
    <w:p>
      <w:pPr>
        <w:pStyle w:val="BodyText"/>
      </w:pPr>
    </w:p>
    <w:p>
      <w:pPr>
        <w:pStyle w:val="BodyText"/>
        <w:spacing w:line="360" w:lineRule="auto" w:before="188"/>
        <w:ind w:left="102" w:right="113"/>
        <w:jc w:val="both"/>
      </w:pPr>
      <w:r>
        <w:rPr/>
        <w:t>According to those stereotypes, the hearer emits a judgment in which they express their</w:t>
      </w:r>
      <w:r>
        <w:rPr>
          <w:spacing w:val="-6"/>
        </w:rPr>
        <w:t> </w:t>
      </w:r>
      <w:r>
        <w:rPr/>
        <w:t>personal</w:t>
      </w:r>
      <w:r>
        <w:rPr>
          <w:spacing w:val="-5"/>
        </w:rPr>
        <w:t> </w:t>
      </w:r>
      <w:r>
        <w:rPr/>
        <w:t>and</w:t>
      </w:r>
      <w:r>
        <w:rPr>
          <w:spacing w:val="-4"/>
        </w:rPr>
        <w:t> </w:t>
      </w:r>
      <w:r>
        <w:rPr/>
        <w:t>social</w:t>
      </w:r>
      <w:r>
        <w:rPr>
          <w:spacing w:val="-5"/>
        </w:rPr>
        <w:t> </w:t>
      </w:r>
      <w:r>
        <w:rPr/>
        <w:t>attitudes</w:t>
      </w:r>
      <w:r>
        <w:rPr>
          <w:spacing w:val="-4"/>
        </w:rPr>
        <w:t> </w:t>
      </w:r>
      <w:r>
        <w:rPr/>
        <w:t>to</w:t>
      </w:r>
      <w:r>
        <w:rPr>
          <w:spacing w:val="1"/>
        </w:rPr>
        <w:t> </w:t>
      </w:r>
      <w:r>
        <w:rPr/>
        <w:t>a</w:t>
      </w:r>
      <w:r>
        <w:rPr>
          <w:spacing w:val="-4"/>
        </w:rPr>
        <w:t> </w:t>
      </w:r>
      <w:r>
        <w:rPr/>
        <w:t>language</w:t>
      </w:r>
      <w:r>
        <w:rPr>
          <w:spacing w:val="-4"/>
        </w:rPr>
        <w:t> </w:t>
      </w:r>
      <w:r>
        <w:rPr/>
        <w:t>and</w:t>
      </w:r>
      <w:r>
        <w:rPr>
          <w:spacing w:val="-4"/>
        </w:rPr>
        <w:t> </w:t>
      </w:r>
      <w:r>
        <w:rPr/>
        <w:t>its</w:t>
      </w:r>
      <w:r>
        <w:rPr>
          <w:spacing w:val="-4"/>
        </w:rPr>
        <w:t> </w:t>
      </w:r>
      <w:r>
        <w:rPr/>
        <w:t>speakers.</w:t>
      </w:r>
      <w:r>
        <w:rPr>
          <w:spacing w:val="-5"/>
        </w:rPr>
        <w:t> </w:t>
      </w:r>
      <w:r>
        <w:rPr/>
        <w:t>These</w:t>
      </w:r>
      <w:r>
        <w:rPr>
          <w:spacing w:val="-3"/>
        </w:rPr>
        <w:t> </w:t>
      </w:r>
      <w:r>
        <w:rPr/>
        <w:t>attitudes</w:t>
      </w:r>
      <w:r>
        <w:rPr>
          <w:spacing w:val="-4"/>
        </w:rPr>
        <w:t> </w:t>
      </w:r>
      <w:r>
        <w:rPr/>
        <w:t>can be favorable or unfavorable. As it was mentioned at the beginning of this summary, in this</w:t>
      </w:r>
      <w:r>
        <w:rPr>
          <w:spacing w:val="-14"/>
        </w:rPr>
        <w:t> </w:t>
      </w:r>
      <w:r>
        <w:rPr/>
        <w:t>study,</w:t>
      </w:r>
      <w:r>
        <w:rPr>
          <w:spacing w:val="-13"/>
        </w:rPr>
        <w:t> </w:t>
      </w:r>
      <w:r>
        <w:rPr/>
        <w:t>attitudes</w:t>
      </w:r>
      <w:r>
        <w:rPr>
          <w:spacing w:val="-14"/>
        </w:rPr>
        <w:t> </w:t>
      </w:r>
      <w:r>
        <w:rPr/>
        <w:t>are</w:t>
      </w:r>
      <w:r>
        <w:rPr>
          <w:spacing w:val="-16"/>
        </w:rPr>
        <w:t> </w:t>
      </w:r>
      <w:r>
        <w:rPr/>
        <w:t>not</w:t>
      </w:r>
      <w:r>
        <w:rPr>
          <w:spacing w:val="-13"/>
        </w:rPr>
        <w:t> </w:t>
      </w:r>
      <w:r>
        <w:rPr/>
        <w:t>addressed</w:t>
      </w:r>
      <w:r>
        <w:rPr>
          <w:spacing w:val="-13"/>
        </w:rPr>
        <w:t> </w:t>
      </w:r>
      <w:r>
        <w:rPr/>
        <w:t>to</w:t>
      </w:r>
      <w:r>
        <w:rPr>
          <w:spacing w:val="-13"/>
        </w:rPr>
        <w:t> </w:t>
      </w:r>
      <w:r>
        <w:rPr/>
        <w:t>a</w:t>
      </w:r>
      <w:r>
        <w:rPr>
          <w:spacing w:val="-13"/>
        </w:rPr>
        <w:t> </w:t>
      </w:r>
      <w:r>
        <w:rPr/>
        <w:t>specific</w:t>
      </w:r>
      <w:r>
        <w:rPr>
          <w:spacing w:val="-14"/>
        </w:rPr>
        <w:t> </w:t>
      </w:r>
      <w:r>
        <w:rPr/>
        <w:t>language</w:t>
      </w:r>
      <w:r>
        <w:rPr>
          <w:spacing w:val="-13"/>
        </w:rPr>
        <w:t> </w:t>
      </w:r>
      <w:r>
        <w:rPr/>
        <w:t>but</w:t>
      </w:r>
      <w:r>
        <w:rPr>
          <w:spacing w:val="-13"/>
        </w:rPr>
        <w:t> </w:t>
      </w:r>
      <w:r>
        <w:rPr/>
        <w:t>to</w:t>
      </w:r>
      <w:r>
        <w:rPr>
          <w:spacing w:val="-13"/>
        </w:rPr>
        <w:t> </w:t>
      </w:r>
      <w:r>
        <w:rPr/>
        <w:t>a</w:t>
      </w:r>
      <w:r>
        <w:rPr>
          <w:spacing w:val="-16"/>
        </w:rPr>
        <w:t> </w:t>
      </w:r>
      <w:r>
        <w:rPr/>
        <w:t>variety</w:t>
      </w:r>
      <w:r>
        <w:rPr>
          <w:spacing w:val="-16"/>
        </w:rPr>
        <w:t> </w:t>
      </w:r>
      <w:r>
        <w:rPr/>
        <w:t>of</w:t>
      </w:r>
      <w:r>
        <w:rPr>
          <w:spacing w:val="-11"/>
        </w:rPr>
        <w:t> </w:t>
      </w:r>
      <w:r>
        <w:rPr/>
        <w:t>Spanish language:</w:t>
      </w:r>
      <w:r>
        <w:rPr>
          <w:spacing w:val="-7"/>
        </w:rPr>
        <w:t> </w:t>
      </w:r>
      <w:r>
        <w:rPr/>
        <w:t>Anglicisms.</w:t>
      </w:r>
    </w:p>
    <w:p>
      <w:pPr>
        <w:pStyle w:val="BodyText"/>
      </w:pPr>
    </w:p>
    <w:p>
      <w:pPr>
        <w:pStyle w:val="BodyText"/>
      </w:pPr>
    </w:p>
    <w:p>
      <w:pPr>
        <w:pStyle w:val="BodyText"/>
        <w:spacing w:line="360" w:lineRule="auto" w:before="188"/>
        <w:ind w:left="102" w:right="114"/>
        <w:jc w:val="both"/>
      </w:pPr>
      <w:r>
        <w:rPr/>
        <w:t>In a third chapter, the attempt is to test the hypothesis by means of a survey. This survey is described from the participants’ selection to the design, trial and application of the instrument. The instruments used herein are two audios about electronic social networks recorded by the parameters set for a “Match Guise Instrument”. The Match Guise  instrument  is  the  stimulus  to  print  all  participants’  attitudes  to  the  use  of</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23"/>
        <w:jc w:val="both"/>
      </w:pPr>
      <w:r>
        <w:rPr/>
        <w:t>Anglicisms in a questionnaire grade with the Likert Scale which it is used to measure attitudes.</w:t>
      </w:r>
    </w:p>
    <w:p>
      <w:pPr>
        <w:pStyle w:val="BodyText"/>
      </w:pPr>
    </w:p>
    <w:p>
      <w:pPr>
        <w:pStyle w:val="BodyText"/>
      </w:pPr>
    </w:p>
    <w:p>
      <w:pPr>
        <w:pStyle w:val="BodyText"/>
        <w:spacing w:line="360" w:lineRule="auto" w:before="187"/>
        <w:ind w:left="102" w:right="114"/>
        <w:jc w:val="both"/>
      </w:pPr>
      <w:r>
        <w:rPr/>
        <w:t>In order to achieve the survey’s objectives, the methodology used was a mixed approach, this process links quantitative and qualitative data since it is intended to describe an ongoing phenomenon. In this work qualitative data are participants’ attitudes</w:t>
      </w:r>
      <w:r>
        <w:rPr>
          <w:spacing w:val="-7"/>
        </w:rPr>
        <w:t> </w:t>
      </w:r>
      <w:r>
        <w:rPr/>
        <w:t>and</w:t>
      </w:r>
      <w:r>
        <w:rPr>
          <w:spacing w:val="-6"/>
        </w:rPr>
        <w:t> </w:t>
      </w:r>
      <w:r>
        <w:rPr/>
        <w:t>its</w:t>
      </w:r>
      <w:r>
        <w:rPr>
          <w:spacing w:val="-4"/>
        </w:rPr>
        <w:t> </w:t>
      </w:r>
      <w:r>
        <w:rPr/>
        <w:t>interpretations;</w:t>
      </w:r>
      <w:r>
        <w:rPr>
          <w:spacing w:val="-6"/>
        </w:rPr>
        <w:t> </w:t>
      </w:r>
      <w:r>
        <w:rPr/>
        <w:t>and</w:t>
      </w:r>
      <w:r>
        <w:rPr>
          <w:spacing w:val="-6"/>
        </w:rPr>
        <w:t> </w:t>
      </w:r>
      <w:r>
        <w:rPr/>
        <w:t>quantitative</w:t>
      </w:r>
      <w:r>
        <w:rPr>
          <w:spacing w:val="-4"/>
        </w:rPr>
        <w:t> </w:t>
      </w:r>
      <w:r>
        <w:rPr/>
        <w:t>data</w:t>
      </w:r>
      <w:r>
        <w:rPr>
          <w:spacing w:val="-6"/>
        </w:rPr>
        <w:t> </w:t>
      </w:r>
      <w:r>
        <w:rPr/>
        <w:t>are</w:t>
      </w:r>
      <w:r>
        <w:rPr>
          <w:spacing w:val="-4"/>
        </w:rPr>
        <w:t> </w:t>
      </w:r>
      <w:r>
        <w:rPr/>
        <w:t>the</w:t>
      </w:r>
      <w:r>
        <w:rPr>
          <w:spacing w:val="-4"/>
        </w:rPr>
        <w:t> </w:t>
      </w:r>
      <w:r>
        <w:rPr/>
        <w:t>results</w:t>
      </w:r>
      <w:r>
        <w:rPr>
          <w:spacing w:val="-7"/>
        </w:rPr>
        <w:t> </w:t>
      </w:r>
      <w:r>
        <w:rPr/>
        <w:t>obtained</w:t>
      </w:r>
      <w:r>
        <w:rPr>
          <w:spacing w:val="-8"/>
        </w:rPr>
        <w:t> </w:t>
      </w:r>
      <w:r>
        <w:rPr/>
        <w:t>from</w:t>
      </w:r>
      <w:r>
        <w:rPr>
          <w:spacing w:val="-3"/>
        </w:rPr>
        <w:t> </w:t>
      </w:r>
      <w:r>
        <w:rPr/>
        <w:t>the “likert scale”. The results obtained described from the pilot study helped to make the results reliable and they are shown in the analysis of the factual performance of the survey described in the fourth</w:t>
      </w:r>
      <w:r>
        <w:rPr>
          <w:spacing w:val="-15"/>
        </w:rPr>
        <w:t> </w:t>
      </w:r>
      <w:r>
        <w:rPr/>
        <w:t>chapter</w:t>
      </w:r>
    </w:p>
    <w:p>
      <w:pPr>
        <w:pStyle w:val="BodyText"/>
      </w:pPr>
    </w:p>
    <w:p>
      <w:pPr>
        <w:pStyle w:val="BodyText"/>
      </w:pPr>
    </w:p>
    <w:p>
      <w:pPr>
        <w:pStyle w:val="BodyText"/>
        <w:spacing w:line="360" w:lineRule="auto" w:before="187"/>
        <w:ind w:left="102" w:right="115"/>
        <w:jc w:val="both"/>
      </w:pPr>
      <w:r>
        <w:rPr/>
        <w:t>Fourth chapter provides a better understanding of the results in the survey by describing data and discussing it. The discussion allows to relate the theoretical framework with the results and it helps to support the findings.</w:t>
      </w:r>
    </w:p>
    <w:p>
      <w:pPr>
        <w:pStyle w:val="BodyText"/>
      </w:pPr>
    </w:p>
    <w:p>
      <w:pPr>
        <w:pStyle w:val="BodyText"/>
      </w:pPr>
    </w:p>
    <w:p>
      <w:pPr>
        <w:pStyle w:val="BodyText"/>
        <w:spacing w:line="360" w:lineRule="auto" w:before="185"/>
        <w:ind w:left="102" w:right="113"/>
        <w:jc w:val="both"/>
      </w:pPr>
      <w:r>
        <w:rPr/>
        <w:t>Lastly, the conclusions present an interpretation of the results in the survey. In which the reader can find the confirmation or refutation of the hypothesis, as well as the achievement of the objectives. In this case the findings indicate that the “Likert Scale”, which measures attitudes, was the ideal way to prove Anglicisms prestige. Also, that subjects</w:t>
      </w:r>
      <w:r>
        <w:rPr>
          <w:spacing w:val="-16"/>
        </w:rPr>
        <w:t> </w:t>
      </w:r>
      <w:r>
        <w:rPr/>
        <w:t>of</w:t>
      </w:r>
      <w:r>
        <w:rPr>
          <w:spacing w:val="-16"/>
        </w:rPr>
        <w:t> </w:t>
      </w:r>
      <w:r>
        <w:rPr/>
        <w:t>25</w:t>
      </w:r>
      <w:r>
        <w:rPr>
          <w:spacing w:val="-16"/>
        </w:rPr>
        <w:t> </w:t>
      </w:r>
      <w:r>
        <w:rPr/>
        <w:t>to</w:t>
      </w:r>
      <w:r>
        <w:rPr>
          <w:spacing w:val="-16"/>
        </w:rPr>
        <w:t> </w:t>
      </w:r>
      <w:r>
        <w:rPr/>
        <w:t>34</w:t>
      </w:r>
      <w:r>
        <w:rPr>
          <w:spacing w:val="-16"/>
        </w:rPr>
        <w:t> </w:t>
      </w:r>
      <w:r>
        <w:rPr/>
        <w:t>years</w:t>
      </w:r>
      <w:r>
        <w:rPr>
          <w:spacing w:val="-17"/>
        </w:rPr>
        <w:t> </w:t>
      </w:r>
      <w:r>
        <w:rPr/>
        <w:t>old,</w:t>
      </w:r>
      <w:r>
        <w:rPr>
          <w:spacing w:val="-16"/>
        </w:rPr>
        <w:t> </w:t>
      </w:r>
      <w:r>
        <w:rPr/>
        <w:t>consider</w:t>
      </w:r>
      <w:r>
        <w:rPr>
          <w:spacing w:val="-17"/>
        </w:rPr>
        <w:t> </w:t>
      </w:r>
      <w:r>
        <w:rPr/>
        <w:t>Anglicisms</w:t>
      </w:r>
      <w:r>
        <w:rPr>
          <w:spacing w:val="-16"/>
        </w:rPr>
        <w:t> </w:t>
      </w:r>
      <w:r>
        <w:rPr/>
        <w:t>as</w:t>
      </w:r>
      <w:r>
        <w:rPr>
          <w:spacing w:val="-16"/>
        </w:rPr>
        <w:t> </w:t>
      </w:r>
      <w:r>
        <w:rPr/>
        <w:t>prestigious.</w:t>
      </w:r>
      <w:r>
        <w:rPr>
          <w:spacing w:val="-16"/>
        </w:rPr>
        <w:t> </w:t>
      </w:r>
      <w:r>
        <w:rPr/>
        <w:t>Subjects</w:t>
      </w:r>
      <w:r>
        <w:rPr>
          <w:spacing w:val="-16"/>
        </w:rPr>
        <w:t> </w:t>
      </w:r>
      <w:r>
        <w:rPr/>
        <w:t>with</w:t>
      </w:r>
      <w:r>
        <w:rPr>
          <w:spacing w:val="-16"/>
        </w:rPr>
        <w:t> </w:t>
      </w:r>
      <w:r>
        <w:rPr/>
        <w:t>studies such as a degree or a mastery presented a high score of positive linguistic attitudes. And the same preference for Anglicisms is presented by women in the</w:t>
      </w:r>
      <w:r>
        <w:rPr>
          <w:spacing w:val="-27"/>
        </w:rPr>
        <w:t> </w:t>
      </w:r>
      <w:r>
        <w:rPr/>
        <w:t>survey-</w:t>
      </w:r>
    </w:p>
    <w:p>
      <w:pPr>
        <w:pStyle w:val="BodyText"/>
        <w:spacing w:line="360" w:lineRule="auto" w:before="164"/>
        <w:ind w:left="102" w:right="117"/>
        <w:jc w:val="both"/>
      </w:pPr>
      <w:r>
        <w:rPr/>
        <w:t>Reasons for those preferences are diverse: contact with the language through the academic level, positive attitudes to the use of linguistic variables, familiarity because of the media and other reasons are discussed in this project.</w:t>
      </w:r>
    </w:p>
    <w:p>
      <w:pPr>
        <w:spacing w:after="0" w:line="360" w:lineRule="auto"/>
        <w:jc w:val="both"/>
        <w:sectPr>
          <w:footerReference w:type="default" r:id="rId9"/>
          <w:pgSz w:w="12240" w:h="15840"/>
          <w:pgMar w:footer="1003" w:header="0" w:top="1500" w:bottom="1200" w:left="1600" w:right="1300"/>
          <w:pgNumType w:start="3"/>
        </w:sectPr>
      </w:pPr>
    </w:p>
    <w:p>
      <w:pPr>
        <w:pStyle w:val="Heading1"/>
        <w:spacing w:before="51"/>
      </w:pPr>
      <w:r>
        <w:rPr/>
        <w:t>ÍNDICE</w:t>
      </w:r>
    </w:p>
    <w:p>
      <w:pPr>
        <w:pStyle w:val="BodyText"/>
        <w:spacing w:before="8"/>
        <w:rPr>
          <w:b/>
          <w:sz w:val="9"/>
        </w:rPr>
      </w:pPr>
    </w:p>
    <w:tbl>
      <w:tblPr>
        <w:tblW w:w="0" w:type="auto"/>
        <w:jc w:val="left"/>
        <w:tblInd w:w="1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92"/>
        <w:gridCol w:w="515"/>
      </w:tblGrid>
      <w:tr>
        <w:trPr>
          <w:trHeight w:val="1561" w:hRule="exact"/>
        </w:trPr>
        <w:tc>
          <w:tcPr>
            <w:tcW w:w="7892" w:type="dxa"/>
          </w:tcPr>
          <w:p>
            <w:pPr>
              <w:pStyle w:val="TableParagraph"/>
              <w:spacing w:line="254" w:lineRule="auto" w:before="72"/>
              <w:ind w:left="35" w:right="350"/>
              <w:jc w:val="both"/>
              <w:rPr>
                <w:sz w:val="22"/>
              </w:rPr>
            </w:pPr>
            <w:r>
              <w:rPr>
                <w:sz w:val="22"/>
              </w:rPr>
              <w:t>SUMMARY…………………………………………………………………………… ÍNDICE DE TABLAS………………………………………………………………... ÍNDICE DE FIGURAS………………………………………………………………. INTRODUCCIÓN…………………………………………………………………….</w:t>
            </w:r>
          </w:p>
        </w:tc>
        <w:tc>
          <w:tcPr>
            <w:tcW w:w="515" w:type="dxa"/>
          </w:tcPr>
          <w:p>
            <w:pPr>
              <w:pStyle w:val="TableParagraph"/>
              <w:spacing w:before="72"/>
              <w:ind w:left="290" w:right="70" w:firstLine="50"/>
              <w:jc w:val="both"/>
              <w:rPr>
                <w:rFonts w:ascii="Calibri"/>
                <w:sz w:val="22"/>
              </w:rPr>
            </w:pPr>
            <w:r>
              <w:rPr>
                <w:rFonts w:ascii="Calibri"/>
                <w:sz w:val="22"/>
              </w:rPr>
              <w:t>i vi x 1</w:t>
            </w:r>
          </w:p>
        </w:tc>
      </w:tr>
      <w:tr>
        <w:trPr>
          <w:trHeight w:val="932" w:hRule="exact"/>
        </w:trPr>
        <w:tc>
          <w:tcPr>
            <w:tcW w:w="7892" w:type="dxa"/>
          </w:tcPr>
          <w:p>
            <w:pPr>
              <w:pStyle w:val="TableParagraph"/>
              <w:jc w:val="left"/>
              <w:rPr>
                <w:b/>
                <w:sz w:val="22"/>
              </w:rPr>
            </w:pPr>
          </w:p>
          <w:p>
            <w:pPr>
              <w:pStyle w:val="TableParagraph"/>
              <w:spacing w:before="137"/>
              <w:ind w:left="35"/>
              <w:jc w:val="left"/>
              <w:rPr>
                <w:sz w:val="22"/>
              </w:rPr>
            </w:pPr>
            <w:r>
              <w:rPr>
                <w:sz w:val="22"/>
              </w:rPr>
              <w:t>CAPÍTULO 1. ANGLICISMOS</w:t>
            </w:r>
          </w:p>
        </w:tc>
        <w:tc>
          <w:tcPr>
            <w:tcW w:w="515" w:type="dxa"/>
          </w:tcPr>
          <w:p>
            <w:pPr/>
          </w:p>
        </w:tc>
      </w:tr>
      <w:tr>
        <w:trPr>
          <w:trHeight w:val="545" w:hRule="exact"/>
        </w:trPr>
        <w:tc>
          <w:tcPr>
            <w:tcW w:w="7892" w:type="dxa"/>
          </w:tcPr>
          <w:p>
            <w:pPr>
              <w:pStyle w:val="TableParagraph"/>
              <w:jc w:val="left"/>
              <w:rPr>
                <w:b/>
                <w:sz w:val="23"/>
              </w:rPr>
            </w:pPr>
          </w:p>
          <w:p>
            <w:pPr>
              <w:pStyle w:val="TableParagraph"/>
              <w:spacing w:before="1"/>
              <w:ind w:left="35"/>
              <w:jc w:val="left"/>
              <w:rPr>
                <w:sz w:val="22"/>
              </w:rPr>
            </w:pPr>
            <w:r>
              <w:rPr>
                <w:sz w:val="22"/>
              </w:rPr>
              <w:t>1.1. Definiciones………………………………………………………………………</w:t>
            </w:r>
          </w:p>
        </w:tc>
        <w:tc>
          <w:tcPr>
            <w:tcW w:w="515" w:type="dxa"/>
          </w:tcPr>
          <w:p>
            <w:pPr>
              <w:pStyle w:val="TableParagraph"/>
              <w:jc w:val="left"/>
              <w:rPr>
                <w:b/>
                <w:sz w:val="23"/>
              </w:rPr>
            </w:pPr>
          </w:p>
          <w:p>
            <w:pPr>
              <w:pStyle w:val="TableParagraph"/>
              <w:ind w:right="91"/>
              <w:jc w:val="right"/>
              <w:rPr>
                <w:rFonts w:ascii="Calibri"/>
                <w:sz w:val="22"/>
              </w:rPr>
            </w:pPr>
            <w:r>
              <w:rPr>
                <w:rFonts w:ascii="Calibri"/>
                <w:w w:val="100"/>
                <w:sz w:val="22"/>
              </w:rPr>
              <w:t>5</w:t>
            </w:r>
          </w:p>
        </w:tc>
      </w:tr>
      <w:tr>
        <w:trPr>
          <w:trHeight w:val="269" w:hRule="exact"/>
        </w:trPr>
        <w:tc>
          <w:tcPr>
            <w:tcW w:w="7892" w:type="dxa"/>
          </w:tcPr>
          <w:p>
            <w:pPr>
              <w:pStyle w:val="TableParagraph"/>
              <w:spacing w:line="242" w:lineRule="exact"/>
              <w:ind w:left="35"/>
              <w:jc w:val="left"/>
              <w:rPr>
                <w:sz w:val="22"/>
              </w:rPr>
            </w:pPr>
            <w:r>
              <w:rPr>
                <w:sz w:val="22"/>
              </w:rPr>
              <w:t>1.2. Clasificaciones…………………………………………………………………..</w:t>
            </w:r>
          </w:p>
        </w:tc>
        <w:tc>
          <w:tcPr>
            <w:tcW w:w="515" w:type="dxa"/>
          </w:tcPr>
          <w:p>
            <w:pPr>
              <w:pStyle w:val="TableParagraph"/>
              <w:spacing w:line="257" w:lineRule="exact"/>
              <w:ind w:right="91"/>
              <w:jc w:val="right"/>
              <w:rPr>
                <w:rFonts w:ascii="Calibri"/>
                <w:sz w:val="22"/>
              </w:rPr>
            </w:pPr>
            <w:r>
              <w:rPr>
                <w:rFonts w:ascii="Calibri"/>
                <w:w w:val="100"/>
                <w:sz w:val="22"/>
              </w:rPr>
              <w:t>9</w:t>
            </w:r>
          </w:p>
        </w:tc>
      </w:tr>
      <w:tr>
        <w:trPr>
          <w:trHeight w:val="269" w:hRule="exact"/>
        </w:trPr>
        <w:tc>
          <w:tcPr>
            <w:tcW w:w="7892" w:type="dxa"/>
          </w:tcPr>
          <w:p>
            <w:pPr>
              <w:pStyle w:val="TableParagraph"/>
              <w:spacing w:line="242" w:lineRule="exact"/>
              <w:ind w:left="35"/>
              <w:jc w:val="left"/>
              <w:rPr>
                <w:sz w:val="22"/>
              </w:rPr>
            </w:pPr>
            <w:r>
              <w:rPr>
                <w:sz w:val="22"/>
              </w:rPr>
              <w:t>1.3. Causas que producen el anglicismo…………………………………………..</w:t>
            </w:r>
          </w:p>
        </w:tc>
        <w:tc>
          <w:tcPr>
            <w:tcW w:w="515" w:type="dxa"/>
          </w:tcPr>
          <w:p>
            <w:pPr>
              <w:pStyle w:val="TableParagraph"/>
              <w:spacing w:line="257" w:lineRule="exact"/>
              <w:ind w:right="33"/>
              <w:jc w:val="right"/>
              <w:rPr>
                <w:rFonts w:ascii="Calibri"/>
                <w:sz w:val="22"/>
              </w:rPr>
            </w:pPr>
            <w:r>
              <w:rPr>
                <w:rFonts w:ascii="Calibri"/>
                <w:sz w:val="22"/>
              </w:rPr>
              <w:t>11</w:t>
            </w:r>
          </w:p>
        </w:tc>
      </w:tr>
      <w:tr>
        <w:trPr>
          <w:trHeight w:val="269" w:hRule="exact"/>
        </w:trPr>
        <w:tc>
          <w:tcPr>
            <w:tcW w:w="7892" w:type="dxa"/>
          </w:tcPr>
          <w:p>
            <w:pPr>
              <w:pStyle w:val="TableParagraph"/>
              <w:spacing w:line="242" w:lineRule="exact"/>
              <w:ind w:right="317"/>
              <w:jc w:val="right"/>
              <w:rPr>
                <w:sz w:val="22"/>
              </w:rPr>
            </w:pPr>
            <w:r>
              <w:rPr>
                <w:sz w:val="22"/>
              </w:rPr>
              <w:t>1.3.1. La influencia del inglés y los Estados Unidos en México………..</w:t>
            </w:r>
          </w:p>
        </w:tc>
        <w:tc>
          <w:tcPr>
            <w:tcW w:w="515" w:type="dxa"/>
          </w:tcPr>
          <w:p>
            <w:pPr>
              <w:pStyle w:val="TableParagraph"/>
              <w:spacing w:line="257" w:lineRule="exact"/>
              <w:ind w:right="33"/>
              <w:jc w:val="right"/>
              <w:rPr>
                <w:rFonts w:ascii="Calibri"/>
                <w:sz w:val="22"/>
              </w:rPr>
            </w:pPr>
            <w:r>
              <w:rPr>
                <w:rFonts w:ascii="Calibri"/>
                <w:sz w:val="22"/>
              </w:rPr>
              <w:t>14</w:t>
            </w:r>
          </w:p>
        </w:tc>
      </w:tr>
      <w:tr>
        <w:trPr>
          <w:trHeight w:val="671" w:hRule="exact"/>
        </w:trPr>
        <w:tc>
          <w:tcPr>
            <w:tcW w:w="7892" w:type="dxa"/>
          </w:tcPr>
          <w:p>
            <w:pPr>
              <w:pStyle w:val="TableParagraph"/>
              <w:spacing w:line="242" w:lineRule="exact"/>
              <w:ind w:left="35"/>
              <w:jc w:val="left"/>
              <w:rPr>
                <w:sz w:val="22"/>
              </w:rPr>
            </w:pPr>
            <w:r>
              <w:rPr>
                <w:sz w:val="22"/>
              </w:rPr>
              <w:t>1.4. Prestigio lingüístico y los anglicismos…………………………………………</w:t>
            </w:r>
          </w:p>
        </w:tc>
        <w:tc>
          <w:tcPr>
            <w:tcW w:w="515" w:type="dxa"/>
          </w:tcPr>
          <w:p>
            <w:pPr>
              <w:pStyle w:val="TableParagraph"/>
              <w:spacing w:line="257" w:lineRule="exact"/>
              <w:ind w:right="33"/>
              <w:jc w:val="right"/>
              <w:rPr>
                <w:rFonts w:ascii="Calibri"/>
                <w:sz w:val="22"/>
              </w:rPr>
            </w:pPr>
            <w:r>
              <w:rPr>
                <w:rFonts w:ascii="Calibri"/>
                <w:sz w:val="22"/>
              </w:rPr>
              <w:t>16</w:t>
            </w:r>
          </w:p>
        </w:tc>
      </w:tr>
      <w:tr>
        <w:trPr>
          <w:trHeight w:val="932" w:hRule="exact"/>
        </w:trPr>
        <w:tc>
          <w:tcPr>
            <w:tcW w:w="7892" w:type="dxa"/>
          </w:tcPr>
          <w:p>
            <w:pPr>
              <w:pStyle w:val="TableParagraph"/>
              <w:jc w:val="left"/>
              <w:rPr>
                <w:b/>
                <w:sz w:val="22"/>
              </w:rPr>
            </w:pPr>
          </w:p>
          <w:p>
            <w:pPr>
              <w:pStyle w:val="TableParagraph"/>
              <w:spacing w:before="137"/>
              <w:ind w:left="35"/>
              <w:jc w:val="left"/>
              <w:rPr>
                <w:sz w:val="22"/>
              </w:rPr>
            </w:pPr>
            <w:r>
              <w:rPr>
                <w:sz w:val="22"/>
              </w:rPr>
              <w:t>CAPÍTULO 2. ACTITUDES Y CREENCIAS LINGÜÍSTICAS</w:t>
            </w:r>
          </w:p>
        </w:tc>
        <w:tc>
          <w:tcPr>
            <w:tcW w:w="515" w:type="dxa"/>
          </w:tcPr>
          <w:p>
            <w:pPr/>
          </w:p>
        </w:tc>
      </w:tr>
      <w:tr>
        <w:trPr>
          <w:trHeight w:val="545" w:hRule="exact"/>
        </w:trPr>
        <w:tc>
          <w:tcPr>
            <w:tcW w:w="7892" w:type="dxa"/>
          </w:tcPr>
          <w:p>
            <w:pPr>
              <w:pStyle w:val="TableParagraph"/>
              <w:jc w:val="left"/>
              <w:rPr>
                <w:b/>
                <w:sz w:val="23"/>
              </w:rPr>
            </w:pPr>
          </w:p>
          <w:p>
            <w:pPr>
              <w:pStyle w:val="TableParagraph"/>
              <w:spacing w:before="1"/>
              <w:ind w:left="35"/>
              <w:jc w:val="left"/>
              <w:rPr>
                <w:sz w:val="22"/>
              </w:rPr>
            </w:pPr>
            <w:r>
              <w:rPr>
                <w:sz w:val="22"/>
              </w:rPr>
              <w:t>2.1. Definición de actitud………………………………………………………….....</w:t>
            </w:r>
          </w:p>
        </w:tc>
        <w:tc>
          <w:tcPr>
            <w:tcW w:w="515" w:type="dxa"/>
          </w:tcPr>
          <w:p>
            <w:pPr>
              <w:pStyle w:val="TableParagraph"/>
              <w:jc w:val="left"/>
              <w:rPr>
                <w:b/>
                <w:sz w:val="23"/>
              </w:rPr>
            </w:pPr>
          </w:p>
          <w:p>
            <w:pPr>
              <w:pStyle w:val="TableParagraph"/>
              <w:ind w:right="33"/>
              <w:jc w:val="right"/>
              <w:rPr>
                <w:rFonts w:ascii="Calibri"/>
                <w:sz w:val="22"/>
              </w:rPr>
            </w:pPr>
            <w:r>
              <w:rPr>
                <w:rFonts w:ascii="Calibri"/>
                <w:sz w:val="22"/>
              </w:rPr>
              <w:t>20</w:t>
            </w:r>
          </w:p>
        </w:tc>
      </w:tr>
      <w:tr>
        <w:trPr>
          <w:trHeight w:val="269" w:hRule="exact"/>
        </w:trPr>
        <w:tc>
          <w:tcPr>
            <w:tcW w:w="7892" w:type="dxa"/>
          </w:tcPr>
          <w:p>
            <w:pPr>
              <w:pStyle w:val="TableParagraph"/>
              <w:spacing w:line="242" w:lineRule="exact"/>
              <w:ind w:left="35"/>
              <w:jc w:val="left"/>
              <w:rPr>
                <w:sz w:val="22"/>
              </w:rPr>
            </w:pPr>
            <w:r>
              <w:rPr>
                <w:sz w:val="22"/>
              </w:rPr>
              <w:t>2.2. Creencias lingüísticas…………………………………………………………..</w:t>
            </w:r>
          </w:p>
        </w:tc>
        <w:tc>
          <w:tcPr>
            <w:tcW w:w="515" w:type="dxa"/>
          </w:tcPr>
          <w:p>
            <w:pPr>
              <w:pStyle w:val="TableParagraph"/>
              <w:spacing w:line="257" w:lineRule="exact"/>
              <w:ind w:right="33"/>
              <w:jc w:val="right"/>
              <w:rPr>
                <w:rFonts w:ascii="Calibri"/>
                <w:sz w:val="22"/>
              </w:rPr>
            </w:pPr>
            <w:r>
              <w:rPr>
                <w:rFonts w:ascii="Calibri"/>
                <w:sz w:val="22"/>
              </w:rPr>
              <w:t>23</w:t>
            </w:r>
          </w:p>
        </w:tc>
      </w:tr>
      <w:tr>
        <w:trPr>
          <w:trHeight w:val="269" w:hRule="exact"/>
        </w:trPr>
        <w:tc>
          <w:tcPr>
            <w:tcW w:w="7892" w:type="dxa"/>
          </w:tcPr>
          <w:p>
            <w:pPr>
              <w:pStyle w:val="TableParagraph"/>
              <w:spacing w:line="242" w:lineRule="exact"/>
              <w:ind w:left="35"/>
              <w:jc w:val="left"/>
              <w:rPr>
                <w:sz w:val="22"/>
              </w:rPr>
            </w:pPr>
            <w:r>
              <w:rPr>
                <w:sz w:val="22"/>
              </w:rPr>
              <w:t>2.3. Estereotipos lingüísticos………………………………………………………..</w:t>
            </w:r>
          </w:p>
        </w:tc>
        <w:tc>
          <w:tcPr>
            <w:tcW w:w="515" w:type="dxa"/>
          </w:tcPr>
          <w:p>
            <w:pPr>
              <w:pStyle w:val="TableParagraph"/>
              <w:spacing w:line="257" w:lineRule="exact"/>
              <w:ind w:right="33"/>
              <w:jc w:val="right"/>
              <w:rPr>
                <w:rFonts w:ascii="Calibri"/>
                <w:sz w:val="22"/>
              </w:rPr>
            </w:pPr>
            <w:r>
              <w:rPr>
                <w:rFonts w:ascii="Calibri"/>
                <w:sz w:val="22"/>
              </w:rPr>
              <w:t>25</w:t>
            </w:r>
          </w:p>
        </w:tc>
      </w:tr>
      <w:tr>
        <w:trPr>
          <w:trHeight w:val="269" w:hRule="exact"/>
        </w:trPr>
        <w:tc>
          <w:tcPr>
            <w:tcW w:w="7892" w:type="dxa"/>
          </w:tcPr>
          <w:p>
            <w:pPr>
              <w:pStyle w:val="TableParagraph"/>
              <w:spacing w:line="242" w:lineRule="exact"/>
              <w:ind w:left="35"/>
              <w:jc w:val="left"/>
              <w:rPr>
                <w:sz w:val="22"/>
              </w:rPr>
            </w:pPr>
            <w:r>
              <w:rPr>
                <w:sz w:val="22"/>
              </w:rPr>
              <w:t>2.4. Prejuicio lingüístico y social…………………………………………………….</w:t>
            </w:r>
          </w:p>
        </w:tc>
        <w:tc>
          <w:tcPr>
            <w:tcW w:w="515" w:type="dxa"/>
          </w:tcPr>
          <w:p>
            <w:pPr>
              <w:pStyle w:val="TableParagraph"/>
              <w:spacing w:line="257" w:lineRule="exact"/>
              <w:ind w:right="33"/>
              <w:jc w:val="right"/>
              <w:rPr>
                <w:rFonts w:ascii="Calibri"/>
                <w:sz w:val="22"/>
              </w:rPr>
            </w:pPr>
            <w:r>
              <w:rPr>
                <w:rFonts w:ascii="Calibri"/>
                <w:sz w:val="22"/>
              </w:rPr>
              <w:t>27</w:t>
            </w:r>
          </w:p>
        </w:tc>
      </w:tr>
      <w:tr>
        <w:trPr>
          <w:trHeight w:val="671" w:hRule="exact"/>
        </w:trPr>
        <w:tc>
          <w:tcPr>
            <w:tcW w:w="7892" w:type="dxa"/>
          </w:tcPr>
          <w:p>
            <w:pPr>
              <w:pStyle w:val="TableParagraph"/>
              <w:spacing w:line="242" w:lineRule="exact"/>
              <w:ind w:left="35"/>
              <w:jc w:val="left"/>
              <w:rPr>
                <w:sz w:val="22"/>
              </w:rPr>
            </w:pPr>
            <w:r>
              <w:rPr>
                <w:sz w:val="22"/>
              </w:rPr>
              <w:t>2.5. Relación prestigio y actitud lingüística………………………………………..</w:t>
            </w:r>
          </w:p>
        </w:tc>
        <w:tc>
          <w:tcPr>
            <w:tcW w:w="515" w:type="dxa"/>
          </w:tcPr>
          <w:p>
            <w:pPr>
              <w:pStyle w:val="TableParagraph"/>
              <w:spacing w:line="257" w:lineRule="exact"/>
              <w:ind w:right="33"/>
              <w:jc w:val="right"/>
              <w:rPr>
                <w:rFonts w:ascii="Calibri"/>
                <w:sz w:val="22"/>
              </w:rPr>
            </w:pPr>
            <w:r>
              <w:rPr>
                <w:rFonts w:ascii="Calibri"/>
                <w:sz w:val="22"/>
              </w:rPr>
              <w:t>28</w:t>
            </w:r>
          </w:p>
        </w:tc>
      </w:tr>
      <w:tr>
        <w:trPr>
          <w:trHeight w:val="932" w:hRule="exact"/>
        </w:trPr>
        <w:tc>
          <w:tcPr>
            <w:tcW w:w="7892" w:type="dxa"/>
          </w:tcPr>
          <w:p>
            <w:pPr>
              <w:pStyle w:val="TableParagraph"/>
              <w:jc w:val="left"/>
              <w:rPr>
                <w:b/>
                <w:sz w:val="22"/>
              </w:rPr>
            </w:pPr>
          </w:p>
          <w:p>
            <w:pPr>
              <w:pStyle w:val="TableParagraph"/>
              <w:spacing w:before="137"/>
              <w:ind w:left="35"/>
              <w:jc w:val="left"/>
              <w:rPr>
                <w:sz w:val="22"/>
              </w:rPr>
            </w:pPr>
            <w:r>
              <w:rPr>
                <w:sz w:val="22"/>
              </w:rPr>
              <w:t>CAPÍTULO 3. DISEÑO Y METODOLOGÍA DE LA INVESTIGACIÓN</w:t>
            </w:r>
          </w:p>
        </w:tc>
        <w:tc>
          <w:tcPr>
            <w:tcW w:w="515" w:type="dxa"/>
          </w:tcPr>
          <w:p>
            <w:pPr/>
          </w:p>
        </w:tc>
      </w:tr>
      <w:tr>
        <w:trPr>
          <w:trHeight w:val="545" w:hRule="exact"/>
        </w:trPr>
        <w:tc>
          <w:tcPr>
            <w:tcW w:w="7892" w:type="dxa"/>
          </w:tcPr>
          <w:p>
            <w:pPr>
              <w:pStyle w:val="TableParagraph"/>
              <w:jc w:val="left"/>
              <w:rPr>
                <w:b/>
                <w:sz w:val="23"/>
              </w:rPr>
            </w:pPr>
          </w:p>
          <w:p>
            <w:pPr>
              <w:pStyle w:val="TableParagraph"/>
              <w:spacing w:before="1"/>
              <w:ind w:left="35"/>
              <w:jc w:val="left"/>
              <w:rPr>
                <w:sz w:val="22"/>
              </w:rPr>
            </w:pPr>
            <w:r>
              <w:rPr>
                <w:sz w:val="22"/>
              </w:rPr>
              <w:t>3.1. Métodos y técnicas de investigación………………………………………….</w:t>
            </w:r>
          </w:p>
        </w:tc>
        <w:tc>
          <w:tcPr>
            <w:tcW w:w="515" w:type="dxa"/>
          </w:tcPr>
          <w:p>
            <w:pPr>
              <w:pStyle w:val="TableParagraph"/>
              <w:jc w:val="left"/>
              <w:rPr>
                <w:b/>
                <w:sz w:val="23"/>
              </w:rPr>
            </w:pPr>
          </w:p>
          <w:p>
            <w:pPr>
              <w:pStyle w:val="TableParagraph"/>
              <w:ind w:right="33"/>
              <w:jc w:val="right"/>
              <w:rPr>
                <w:rFonts w:ascii="Calibri"/>
                <w:sz w:val="22"/>
              </w:rPr>
            </w:pPr>
            <w:r>
              <w:rPr>
                <w:rFonts w:ascii="Calibri"/>
                <w:sz w:val="22"/>
              </w:rPr>
              <w:t>30</w:t>
            </w:r>
          </w:p>
        </w:tc>
      </w:tr>
      <w:tr>
        <w:trPr>
          <w:trHeight w:val="269" w:hRule="exact"/>
        </w:trPr>
        <w:tc>
          <w:tcPr>
            <w:tcW w:w="7892" w:type="dxa"/>
          </w:tcPr>
          <w:p>
            <w:pPr>
              <w:pStyle w:val="TableParagraph"/>
              <w:spacing w:line="242" w:lineRule="exact"/>
              <w:ind w:right="321"/>
              <w:jc w:val="right"/>
              <w:rPr>
                <w:sz w:val="22"/>
              </w:rPr>
            </w:pPr>
            <w:r>
              <w:rPr>
                <w:sz w:val="22"/>
              </w:rPr>
              <w:t>3.1.1. Diseño del cuestionario y primer pilotaje…..……………………...</w:t>
            </w:r>
          </w:p>
        </w:tc>
        <w:tc>
          <w:tcPr>
            <w:tcW w:w="515" w:type="dxa"/>
          </w:tcPr>
          <w:p>
            <w:pPr>
              <w:pStyle w:val="TableParagraph"/>
              <w:spacing w:line="257" w:lineRule="exact"/>
              <w:ind w:right="33"/>
              <w:jc w:val="right"/>
              <w:rPr>
                <w:rFonts w:ascii="Calibri"/>
                <w:sz w:val="22"/>
              </w:rPr>
            </w:pPr>
            <w:r>
              <w:rPr>
                <w:rFonts w:ascii="Calibri"/>
                <w:sz w:val="22"/>
              </w:rPr>
              <w:t>38</w:t>
            </w:r>
          </w:p>
        </w:tc>
      </w:tr>
      <w:tr>
        <w:trPr>
          <w:trHeight w:val="671" w:hRule="exact"/>
        </w:trPr>
        <w:tc>
          <w:tcPr>
            <w:tcW w:w="7892" w:type="dxa"/>
          </w:tcPr>
          <w:p>
            <w:pPr>
              <w:pStyle w:val="TableParagraph"/>
              <w:spacing w:line="242" w:lineRule="exact"/>
              <w:ind w:right="287"/>
              <w:jc w:val="right"/>
              <w:rPr>
                <w:sz w:val="22"/>
              </w:rPr>
            </w:pPr>
            <w:r>
              <w:rPr>
                <w:sz w:val="22"/>
              </w:rPr>
              <w:t>3.1.2. Segundo pilotaje……………………………………………………...</w:t>
            </w:r>
          </w:p>
        </w:tc>
        <w:tc>
          <w:tcPr>
            <w:tcW w:w="515" w:type="dxa"/>
          </w:tcPr>
          <w:p>
            <w:pPr>
              <w:pStyle w:val="TableParagraph"/>
              <w:spacing w:line="257" w:lineRule="exact"/>
              <w:ind w:right="33"/>
              <w:jc w:val="right"/>
              <w:rPr>
                <w:rFonts w:ascii="Calibri"/>
                <w:sz w:val="22"/>
              </w:rPr>
            </w:pPr>
            <w:r>
              <w:rPr>
                <w:rFonts w:ascii="Calibri"/>
                <w:sz w:val="22"/>
              </w:rPr>
              <w:t>39</w:t>
            </w:r>
          </w:p>
        </w:tc>
      </w:tr>
      <w:tr>
        <w:trPr>
          <w:trHeight w:val="932" w:hRule="exact"/>
        </w:trPr>
        <w:tc>
          <w:tcPr>
            <w:tcW w:w="7892" w:type="dxa"/>
          </w:tcPr>
          <w:p>
            <w:pPr>
              <w:pStyle w:val="TableParagraph"/>
              <w:jc w:val="left"/>
              <w:rPr>
                <w:b/>
                <w:sz w:val="22"/>
              </w:rPr>
            </w:pPr>
          </w:p>
          <w:p>
            <w:pPr>
              <w:pStyle w:val="TableParagraph"/>
              <w:spacing w:before="138"/>
              <w:ind w:left="35"/>
              <w:jc w:val="left"/>
              <w:rPr>
                <w:sz w:val="22"/>
              </w:rPr>
            </w:pPr>
            <w:r>
              <w:rPr>
                <w:sz w:val="22"/>
              </w:rPr>
              <w:t>CAPÍTULO 4. ANÁLISIS E INTERPRETACIÓN DE RESULTADOS</w:t>
            </w:r>
          </w:p>
        </w:tc>
        <w:tc>
          <w:tcPr>
            <w:tcW w:w="515" w:type="dxa"/>
          </w:tcPr>
          <w:p>
            <w:pPr/>
          </w:p>
        </w:tc>
      </w:tr>
      <w:tr>
        <w:trPr>
          <w:trHeight w:val="545" w:hRule="exact"/>
        </w:trPr>
        <w:tc>
          <w:tcPr>
            <w:tcW w:w="7892" w:type="dxa"/>
          </w:tcPr>
          <w:p>
            <w:pPr>
              <w:pStyle w:val="TableParagraph"/>
              <w:jc w:val="left"/>
              <w:rPr>
                <w:b/>
                <w:sz w:val="23"/>
              </w:rPr>
            </w:pPr>
          </w:p>
          <w:p>
            <w:pPr>
              <w:pStyle w:val="TableParagraph"/>
              <w:spacing w:before="1"/>
              <w:ind w:left="35"/>
              <w:jc w:val="left"/>
              <w:rPr>
                <w:sz w:val="22"/>
              </w:rPr>
            </w:pPr>
            <w:r>
              <w:rPr>
                <w:sz w:val="22"/>
              </w:rPr>
              <w:t>4.1. Codificación de datos…………………………………………………………...</w:t>
            </w:r>
          </w:p>
        </w:tc>
        <w:tc>
          <w:tcPr>
            <w:tcW w:w="515" w:type="dxa"/>
          </w:tcPr>
          <w:p>
            <w:pPr>
              <w:pStyle w:val="TableParagraph"/>
              <w:jc w:val="left"/>
              <w:rPr>
                <w:b/>
                <w:sz w:val="23"/>
              </w:rPr>
            </w:pPr>
          </w:p>
          <w:p>
            <w:pPr>
              <w:pStyle w:val="TableParagraph"/>
              <w:ind w:right="33"/>
              <w:jc w:val="right"/>
              <w:rPr>
                <w:rFonts w:ascii="Calibri"/>
                <w:sz w:val="22"/>
              </w:rPr>
            </w:pPr>
            <w:r>
              <w:rPr>
                <w:rFonts w:ascii="Calibri"/>
                <w:sz w:val="22"/>
              </w:rPr>
              <w:t>43</w:t>
            </w:r>
          </w:p>
        </w:tc>
      </w:tr>
      <w:tr>
        <w:trPr>
          <w:trHeight w:val="538" w:hRule="exact"/>
        </w:trPr>
        <w:tc>
          <w:tcPr>
            <w:tcW w:w="7892" w:type="dxa"/>
          </w:tcPr>
          <w:p>
            <w:pPr>
              <w:pStyle w:val="TableParagraph"/>
              <w:spacing w:line="242" w:lineRule="exact"/>
              <w:ind w:left="35"/>
              <w:jc w:val="left"/>
              <w:rPr>
                <w:sz w:val="22"/>
              </w:rPr>
            </w:pPr>
            <w:r>
              <w:rPr>
                <w:sz w:val="22"/>
              </w:rPr>
              <w:t>4.2. Análisis de resultados……..……………………………………………………</w:t>
            </w:r>
          </w:p>
        </w:tc>
        <w:tc>
          <w:tcPr>
            <w:tcW w:w="515" w:type="dxa"/>
          </w:tcPr>
          <w:p>
            <w:pPr>
              <w:pStyle w:val="TableParagraph"/>
              <w:spacing w:line="257" w:lineRule="exact"/>
              <w:ind w:right="33"/>
              <w:jc w:val="right"/>
              <w:rPr>
                <w:rFonts w:ascii="Calibri"/>
                <w:sz w:val="22"/>
              </w:rPr>
            </w:pPr>
            <w:r>
              <w:rPr>
                <w:rFonts w:ascii="Calibri"/>
                <w:sz w:val="22"/>
              </w:rPr>
              <w:t>76</w:t>
            </w:r>
          </w:p>
        </w:tc>
      </w:tr>
      <w:tr>
        <w:trPr>
          <w:trHeight w:val="621" w:hRule="exact"/>
        </w:trPr>
        <w:tc>
          <w:tcPr>
            <w:tcW w:w="7892" w:type="dxa"/>
          </w:tcPr>
          <w:p>
            <w:pPr>
              <w:pStyle w:val="TableParagraph"/>
              <w:spacing w:before="4"/>
              <w:jc w:val="left"/>
              <w:rPr>
                <w:b/>
                <w:sz w:val="22"/>
              </w:rPr>
            </w:pPr>
          </w:p>
          <w:p>
            <w:pPr>
              <w:pStyle w:val="TableParagraph"/>
              <w:ind w:left="35"/>
              <w:jc w:val="left"/>
              <w:rPr>
                <w:sz w:val="22"/>
              </w:rPr>
            </w:pPr>
            <w:r>
              <w:rPr>
                <w:sz w:val="22"/>
              </w:rPr>
              <w:t>DISCUSIÓN……………………………………………………………………………</w:t>
            </w:r>
          </w:p>
        </w:tc>
        <w:tc>
          <w:tcPr>
            <w:tcW w:w="515" w:type="dxa"/>
          </w:tcPr>
          <w:p>
            <w:pPr>
              <w:pStyle w:val="TableParagraph"/>
              <w:spacing w:before="3"/>
              <w:jc w:val="left"/>
              <w:rPr>
                <w:b/>
                <w:sz w:val="22"/>
              </w:rPr>
            </w:pPr>
          </w:p>
          <w:p>
            <w:pPr>
              <w:pStyle w:val="TableParagraph"/>
              <w:ind w:right="33"/>
              <w:jc w:val="right"/>
              <w:rPr>
                <w:rFonts w:ascii="Calibri"/>
                <w:sz w:val="22"/>
              </w:rPr>
            </w:pPr>
            <w:r>
              <w:rPr>
                <w:rFonts w:ascii="Calibri"/>
                <w:sz w:val="22"/>
              </w:rPr>
              <w:t>82</w:t>
            </w:r>
          </w:p>
        </w:tc>
      </w:tr>
    </w:tbl>
    <w:p>
      <w:pPr>
        <w:spacing w:after="0"/>
        <w:jc w:val="right"/>
        <w:rPr>
          <w:rFonts w:ascii="Calibri"/>
          <w:sz w:val="22"/>
        </w:rPr>
        <w:sectPr>
          <w:pgSz w:w="12240" w:h="15840"/>
          <w:pgMar w:header="0" w:footer="1003" w:top="1360" w:bottom="1200" w:left="1600" w:right="1720"/>
        </w:sectPr>
      </w:pPr>
    </w:p>
    <w:sdt>
      <w:sdtPr>
        <w:docPartObj>
          <w:docPartGallery w:val="Table of Contents"/>
          <w:docPartUnique/>
        </w:docPartObj>
      </w:sdtPr>
      <w:sdtEndPr/>
      <w:sdtContent>
        <w:p>
          <w:pPr>
            <w:pStyle w:val="TOC1"/>
            <w:tabs>
              <w:tab w:pos="8445" w:val="right" w:leader="none"/>
            </w:tabs>
            <w:spacing w:before="53"/>
            <w:rPr>
              <w:rFonts w:ascii="Calibri" w:hAnsi="Calibri"/>
            </w:rPr>
          </w:pPr>
          <w:hyperlink w:history="true" w:anchor="_TOC_250001">
            <w:r>
              <w:rPr/>
              <w:t>CONCLUSIONES…………………………………………………………………….</w:t>
            </w:r>
            <w:r>
              <w:rPr>
                <w:rFonts w:ascii="Calibri" w:hAnsi="Calibri"/>
              </w:rPr>
              <w:tab/>
              <w:t>85</w:t>
            </w:r>
          </w:hyperlink>
        </w:p>
        <w:p>
          <w:pPr>
            <w:pStyle w:val="TOC1"/>
            <w:tabs>
              <w:tab w:pos="8445" w:val="right" w:leader="none"/>
            </w:tabs>
            <w:rPr>
              <w:rFonts w:ascii="Calibri" w:hAnsi="Calibri"/>
            </w:rPr>
          </w:pPr>
          <w:hyperlink w:history="true" w:anchor="_TOC_250000">
            <w:r>
              <w:rPr/>
              <w:t>REFERENCIAS………………………………………………………………………</w:t>
            </w:r>
            <w:r>
              <w:rPr>
                <w:rFonts w:ascii="Calibri" w:hAnsi="Calibri"/>
              </w:rPr>
              <w:tab/>
              <w:t>88</w:t>
            </w:r>
          </w:hyperlink>
        </w:p>
        <w:p>
          <w:pPr>
            <w:pStyle w:val="TOC1"/>
            <w:tabs>
              <w:tab w:pos="8446" w:val="right" w:leader="none"/>
            </w:tabs>
            <w:rPr>
              <w:rFonts w:ascii="Calibri" w:hAnsi="Calibri"/>
            </w:rPr>
          </w:pPr>
          <w:r>
            <w:rPr/>
            <w:t>ANEXOS……………………………………………………………………………….</w:t>
          </w:r>
          <w:r>
            <w:rPr>
              <w:rFonts w:ascii="Calibri" w:hAnsi="Calibri"/>
            </w:rPr>
            <w:tab/>
            <w:t>97</w:t>
          </w:r>
        </w:p>
      </w:sdtContent>
    </w:sdt>
    <w:p>
      <w:pPr>
        <w:spacing w:after="0"/>
        <w:rPr>
          <w:rFonts w:ascii="Calibri" w:hAnsi="Calibri"/>
        </w:rPr>
        <w:sectPr>
          <w:pgSz w:w="12240" w:h="15840"/>
          <w:pgMar w:header="0" w:footer="1003" w:top="1360" w:bottom="1200" w:left="1700" w:right="1720"/>
        </w:sectPr>
      </w:pPr>
    </w:p>
    <w:p>
      <w:pPr>
        <w:spacing w:before="51"/>
        <w:ind w:left="3217" w:right="3202" w:firstLine="0"/>
        <w:jc w:val="center"/>
        <w:rPr>
          <w:b/>
          <w:sz w:val="24"/>
        </w:rPr>
      </w:pPr>
      <w:r>
        <w:rPr>
          <w:b/>
          <w:sz w:val="24"/>
        </w:rPr>
        <w:t>ÍNDICE DE TABLAS</w:t>
      </w:r>
    </w:p>
    <w:p>
      <w:pPr>
        <w:pStyle w:val="BodyText"/>
        <w:rPr>
          <w:b/>
        </w:rPr>
      </w:pPr>
    </w:p>
    <w:p>
      <w:pPr>
        <w:pStyle w:val="BodyText"/>
        <w:spacing w:before="10"/>
        <w:rPr>
          <w:b/>
          <w:sz w:val="31"/>
        </w:rPr>
      </w:pPr>
    </w:p>
    <w:p>
      <w:pPr>
        <w:tabs>
          <w:tab w:pos="8283" w:val="left" w:leader="none"/>
        </w:tabs>
        <w:spacing w:before="0"/>
        <w:ind w:left="110" w:right="0" w:firstLine="0"/>
        <w:jc w:val="left"/>
        <w:rPr>
          <w:rFonts w:ascii="Calibri" w:hAnsi="Calibri"/>
          <w:sz w:val="22"/>
        </w:rPr>
      </w:pPr>
      <w:r>
        <w:rPr>
          <w:rFonts w:ascii="Calibri" w:hAnsi="Calibri"/>
          <w:sz w:val="22"/>
        </w:rPr>
        <w:t>Tabla 3.1. Clasificación de sujetos por Nivel</w:t>
      </w:r>
      <w:r>
        <w:rPr>
          <w:rFonts w:ascii="Calibri" w:hAnsi="Calibri"/>
          <w:spacing w:val="-25"/>
          <w:sz w:val="22"/>
        </w:rPr>
        <w:t> </w:t>
      </w:r>
      <w:r>
        <w:rPr>
          <w:rFonts w:ascii="Calibri" w:hAnsi="Calibri"/>
          <w:sz w:val="22"/>
        </w:rPr>
        <w:t>de</w:t>
      </w:r>
      <w:r>
        <w:rPr>
          <w:rFonts w:ascii="Calibri" w:hAnsi="Calibri"/>
          <w:spacing w:val="-3"/>
          <w:sz w:val="22"/>
        </w:rPr>
        <w:t> </w:t>
      </w:r>
      <w:r>
        <w:rPr>
          <w:rFonts w:ascii="Calibri" w:hAnsi="Calibri"/>
          <w:sz w:val="22"/>
        </w:rPr>
        <w:t>Estudios……………………………………………….</w:t>
        <w:tab/>
        <w:t>34</w:t>
      </w:r>
    </w:p>
    <w:p>
      <w:pPr>
        <w:pStyle w:val="BodyText"/>
        <w:rPr>
          <w:rFonts w:ascii="Calibri"/>
          <w:sz w:val="22"/>
        </w:rPr>
      </w:pPr>
    </w:p>
    <w:p>
      <w:pPr>
        <w:tabs>
          <w:tab w:pos="8283" w:val="left" w:leader="none"/>
        </w:tabs>
        <w:spacing w:before="0"/>
        <w:ind w:left="110" w:right="0" w:firstLine="0"/>
        <w:jc w:val="left"/>
        <w:rPr>
          <w:rFonts w:ascii="Calibri" w:hAnsi="Calibri"/>
          <w:sz w:val="22"/>
        </w:rPr>
      </w:pPr>
      <w:r>
        <w:rPr>
          <w:rFonts w:ascii="Calibri" w:hAnsi="Calibri"/>
          <w:sz w:val="22"/>
        </w:rPr>
        <w:t>Tabla 3.2. Libro de códigos por ubicación final del reactivo:</w:t>
      </w:r>
      <w:r>
        <w:rPr>
          <w:rFonts w:ascii="Calibri" w:hAnsi="Calibri"/>
          <w:spacing w:val="-17"/>
          <w:sz w:val="22"/>
        </w:rPr>
        <w:t> </w:t>
      </w:r>
      <w:r>
        <w:rPr>
          <w:rFonts w:ascii="Calibri" w:hAnsi="Calibri"/>
          <w:sz w:val="22"/>
        </w:rPr>
        <w:t>parte</w:t>
      </w:r>
      <w:r>
        <w:rPr>
          <w:rFonts w:ascii="Calibri" w:hAnsi="Calibri"/>
          <w:spacing w:val="-4"/>
          <w:sz w:val="22"/>
        </w:rPr>
        <w:t> </w:t>
      </w:r>
      <w:r>
        <w:rPr>
          <w:rFonts w:ascii="Calibri" w:hAnsi="Calibri"/>
          <w:sz w:val="22"/>
        </w:rPr>
        <w:t>1……………………………..</w:t>
        <w:tab/>
        <w:t>40</w:t>
      </w:r>
    </w:p>
    <w:p>
      <w:pPr>
        <w:pStyle w:val="BodyText"/>
        <w:rPr>
          <w:rFonts w:ascii="Calibri"/>
        </w:rPr>
      </w:pPr>
    </w:p>
    <w:p>
      <w:pPr>
        <w:tabs>
          <w:tab w:pos="8283" w:val="left" w:leader="none"/>
        </w:tabs>
        <w:spacing w:before="0"/>
        <w:ind w:left="110" w:right="0" w:firstLine="0"/>
        <w:jc w:val="left"/>
        <w:rPr>
          <w:rFonts w:ascii="Calibri" w:hAnsi="Calibri"/>
          <w:sz w:val="22"/>
        </w:rPr>
      </w:pPr>
      <w:r>
        <w:rPr>
          <w:rFonts w:ascii="Calibri" w:hAnsi="Calibri"/>
          <w:sz w:val="22"/>
        </w:rPr>
        <w:t>Tabla 3.3. Ítems ordenados por número de ubicación final:</w:t>
      </w:r>
      <w:r>
        <w:rPr>
          <w:rFonts w:ascii="Calibri" w:hAnsi="Calibri"/>
          <w:spacing w:val="-20"/>
          <w:sz w:val="22"/>
        </w:rPr>
        <w:t> </w:t>
      </w:r>
      <w:r>
        <w:rPr>
          <w:rFonts w:ascii="Calibri" w:hAnsi="Calibri"/>
          <w:sz w:val="22"/>
        </w:rPr>
        <w:t>parte</w:t>
      </w:r>
      <w:r>
        <w:rPr>
          <w:rFonts w:ascii="Calibri" w:hAnsi="Calibri"/>
          <w:spacing w:val="-4"/>
          <w:sz w:val="22"/>
        </w:rPr>
        <w:t> </w:t>
      </w:r>
      <w:r>
        <w:rPr>
          <w:rFonts w:ascii="Calibri" w:hAnsi="Calibri"/>
          <w:sz w:val="22"/>
        </w:rPr>
        <w:t>1……………………………..</w:t>
        <w:tab/>
        <w:t>40</w:t>
      </w:r>
    </w:p>
    <w:p>
      <w:pPr>
        <w:pStyle w:val="BodyText"/>
        <w:spacing w:before="10"/>
        <w:rPr>
          <w:rFonts w:ascii="Calibri"/>
          <w:sz w:val="21"/>
        </w:rPr>
      </w:pPr>
    </w:p>
    <w:p>
      <w:pPr>
        <w:tabs>
          <w:tab w:pos="8283" w:val="left" w:leader="none"/>
        </w:tabs>
        <w:spacing w:before="0"/>
        <w:ind w:left="110" w:right="0" w:firstLine="0"/>
        <w:jc w:val="left"/>
        <w:rPr>
          <w:rFonts w:ascii="Calibri" w:hAnsi="Calibri"/>
          <w:sz w:val="22"/>
        </w:rPr>
      </w:pPr>
      <w:r>
        <w:rPr>
          <w:rFonts w:ascii="Calibri" w:hAnsi="Calibri"/>
          <w:sz w:val="22"/>
        </w:rPr>
        <w:t>Tabla 3.4. Libro de códigos por ubicación final del reactivo:</w:t>
      </w:r>
      <w:r>
        <w:rPr>
          <w:rFonts w:ascii="Calibri" w:hAnsi="Calibri"/>
          <w:spacing w:val="-18"/>
          <w:sz w:val="22"/>
        </w:rPr>
        <w:t> </w:t>
      </w:r>
      <w:r>
        <w:rPr>
          <w:rFonts w:ascii="Calibri" w:hAnsi="Calibri"/>
          <w:sz w:val="22"/>
        </w:rPr>
        <w:t>parte</w:t>
      </w:r>
      <w:r>
        <w:rPr>
          <w:rFonts w:ascii="Calibri" w:hAnsi="Calibri"/>
          <w:spacing w:val="-4"/>
          <w:sz w:val="22"/>
        </w:rPr>
        <w:t> </w:t>
      </w:r>
      <w:r>
        <w:rPr>
          <w:rFonts w:ascii="Calibri" w:hAnsi="Calibri"/>
          <w:sz w:val="22"/>
        </w:rPr>
        <w:t>2……………………………..</w:t>
        <w:tab/>
        <w:t>41</w:t>
      </w:r>
    </w:p>
    <w:p>
      <w:pPr>
        <w:pStyle w:val="BodyText"/>
        <w:rPr>
          <w:rFonts w:ascii="Calibri"/>
          <w:sz w:val="22"/>
        </w:rPr>
      </w:pPr>
    </w:p>
    <w:p>
      <w:pPr>
        <w:tabs>
          <w:tab w:pos="8283" w:val="left" w:leader="none"/>
        </w:tabs>
        <w:spacing w:before="0"/>
        <w:ind w:left="110" w:right="0" w:firstLine="0"/>
        <w:jc w:val="left"/>
        <w:rPr>
          <w:rFonts w:ascii="Calibri" w:hAnsi="Calibri"/>
          <w:sz w:val="22"/>
        </w:rPr>
      </w:pPr>
      <w:r>
        <w:rPr>
          <w:rFonts w:ascii="Calibri" w:hAnsi="Calibri"/>
          <w:sz w:val="22"/>
        </w:rPr>
        <w:t>Tabla 3.5. Ítems ordenados por número de ubicación final:</w:t>
      </w:r>
      <w:r>
        <w:rPr>
          <w:rFonts w:ascii="Calibri" w:hAnsi="Calibri"/>
          <w:spacing w:val="-18"/>
          <w:sz w:val="22"/>
        </w:rPr>
        <w:t> </w:t>
      </w:r>
      <w:r>
        <w:rPr>
          <w:rFonts w:ascii="Calibri" w:hAnsi="Calibri"/>
          <w:sz w:val="22"/>
        </w:rPr>
        <w:t>parte</w:t>
      </w:r>
      <w:r>
        <w:rPr>
          <w:rFonts w:ascii="Calibri" w:hAnsi="Calibri"/>
          <w:spacing w:val="-4"/>
          <w:sz w:val="22"/>
        </w:rPr>
        <w:t> </w:t>
      </w:r>
      <w:r>
        <w:rPr>
          <w:rFonts w:ascii="Calibri" w:hAnsi="Calibri"/>
          <w:sz w:val="22"/>
        </w:rPr>
        <w:t>2…………………………….</w:t>
        <w:tab/>
        <w:t>41</w:t>
      </w:r>
    </w:p>
    <w:p>
      <w:pPr>
        <w:pStyle w:val="BodyText"/>
        <w:rPr>
          <w:rFonts w:ascii="Calibri"/>
        </w:rPr>
      </w:pPr>
    </w:p>
    <w:p>
      <w:pPr>
        <w:spacing w:before="0"/>
        <w:ind w:left="110" w:right="0" w:firstLine="0"/>
        <w:jc w:val="left"/>
        <w:rPr>
          <w:rFonts w:ascii="Calibri" w:hAnsi="Calibri"/>
          <w:sz w:val="22"/>
        </w:rPr>
      </w:pPr>
      <w:r>
        <w:rPr>
          <w:rFonts w:ascii="Calibri" w:hAnsi="Calibri"/>
          <w:sz w:val="22"/>
        </w:rPr>
        <w:t>Tabla 4.1. Locutor con amplio vocabulario; respuestas en la totalidad de la población y</w:t>
      </w:r>
    </w:p>
    <w:p>
      <w:pPr>
        <w:tabs>
          <w:tab w:pos="8283" w:val="left" w:leader="none"/>
        </w:tabs>
        <w:spacing w:before="0"/>
        <w:ind w:left="110" w:right="0" w:firstLine="0"/>
        <w:jc w:val="left"/>
        <w:rPr>
          <w:rFonts w:ascii="Calibri" w:hAnsi="Calibri"/>
          <w:sz w:val="22"/>
        </w:rPr>
      </w:pPr>
      <w:r>
        <w:rPr>
          <w:rFonts w:ascii="Calibri" w:hAnsi="Calibri"/>
          <w:sz w:val="22"/>
        </w:rPr>
        <w:t>por</w:t>
      </w:r>
      <w:r>
        <w:rPr>
          <w:rFonts w:ascii="Calibri" w:hAnsi="Calibri"/>
          <w:spacing w:val="-7"/>
          <w:sz w:val="22"/>
        </w:rPr>
        <w:t> </w:t>
      </w:r>
      <w:r>
        <w:rPr>
          <w:rFonts w:ascii="Calibri" w:hAnsi="Calibri"/>
          <w:sz w:val="22"/>
        </w:rPr>
        <w:t>género…………………………………………………………………………………………………………………….</w:t>
        <w:tab/>
        <w:t>44</w:t>
      </w:r>
    </w:p>
    <w:p>
      <w:pPr>
        <w:pStyle w:val="BodyText"/>
        <w:rPr>
          <w:rFonts w:ascii="Calibri"/>
        </w:rPr>
      </w:pPr>
    </w:p>
    <w:p>
      <w:pPr>
        <w:tabs>
          <w:tab w:pos="8283" w:val="left" w:leader="none"/>
        </w:tabs>
        <w:spacing w:before="0"/>
        <w:ind w:left="110" w:right="0" w:firstLine="0"/>
        <w:jc w:val="left"/>
        <w:rPr>
          <w:rFonts w:ascii="Calibri" w:hAnsi="Calibri"/>
          <w:sz w:val="22"/>
        </w:rPr>
      </w:pPr>
      <w:r>
        <w:rPr>
          <w:rFonts w:ascii="Calibri" w:hAnsi="Calibri"/>
          <w:sz w:val="22"/>
        </w:rPr>
        <w:t>Tabla 4.2. Locutor con amplio vocabulario; respuestas por grupo</w:t>
      </w:r>
      <w:r>
        <w:rPr>
          <w:rFonts w:ascii="Calibri" w:hAnsi="Calibri"/>
          <w:spacing w:val="-17"/>
          <w:sz w:val="22"/>
        </w:rPr>
        <w:t> </w:t>
      </w:r>
      <w:r>
        <w:rPr>
          <w:rFonts w:ascii="Calibri" w:hAnsi="Calibri"/>
          <w:sz w:val="22"/>
        </w:rPr>
        <w:t>de</w:t>
      </w:r>
      <w:r>
        <w:rPr>
          <w:rFonts w:ascii="Calibri" w:hAnsi="Calibri"/>
          <w:spacing w:val="-2"/>
          <w:sz w:val="22"/>
        </w:rPr>
        <w:t> </w:t>
      </w:r>
      <w:r>
        <w:rPr>
          <w:rFonts w:ascii="Calibri" w:hAnsi="Calibri"/>
          <w:sz w:val="22"/>
        </w:rPr>
        <w:t>edad….………….......</w:t>
        <w:tab/>
        <w:t>45</w:t>
      </w:r>
    </w:p>
    <w:p>
      <w:pPr>
        <w:pStyle w:val="BodyText"/>
        <w:rPr>
          <w:rFonts w:ascii="Calibri"/>
          <w:sz w:val="22"/>
        </w:rPr>
      </w:pPr>
    </w:p>
    <w:p>
      <w:pPr>
        <w:tabs>
          <w:tab w:pos="8283" w:val="left" w:leader="none"/>
        </w:tabs>
        <w:spacing w:before="0"/>
        <w:ind w:left="110" w:right="0" w:firstLine="0"/>
        <w:jc w:val="left"/>
        <w:rPr>
          <w:rFonts w:ascii="Calibri" w:hAnsi="Calibri"/>
          <w:sz w:val="22"/>
        </w:rPr>
      </w:pPr>
      <w:r>
        <w:rPr>
          <w:rFonts w:ascii="Calibri" w:hAnsi="Calibri"/>
          <w:sz w:val="22"/>
        </w:rPr>
        <w:t>Tabla 4.3. Locutor con amplio vocabulario; respuestas por nivel</w:t>
      </w:r>
      <w:r>
        <w:rPr>
          <w:rFonts w:ascii="Calibri" w:hAnsi="Calibri"/>
          <w:spacing w:val="-15"/>
          <w:sz w:val="22"/>
        </w:rPr>
        <w:t> </w:t>
      </w:r>
      <w:r>
        <w:rPr>
          <w:rFonts w:ascii="Calibri" w:hAnsi="Calibri"/>
          <w:sz w:val="22"/>
        </w:rPr>
        <w:t>de</w:t>
      </w:r>
      <w:r>
        <w:rPr>
          <w:rFonts w:ascii="Calibri" w:hAnsi="Calibri"/>
          <w:spacing w:val="-4"/>
          <w:sz w:val="22"/>
        </w:rPr>
        <w:t> </w:t>
      </w:r>
      <w:r>
        <w:rPr>
          <w:rFonts w:ascii="Calibri" w:hAnsi="Calibri"/>
          <w:sz w:val="22"/>
        </w:rPr>
        <w:t>estudios……………….</w:t>
        <w:tab/>
        <w:t>46</w:t>
      </w:r>
    </w:p>
    <w:p>
      <w:pPr>
        <w:pStyle w:val="BodyText"/>
        <w:rPr>
          <w:rFonts w:ascii="Calibri"/>
          <w:sz w:val="22"/>
        </w:rPr>
      </w:pPr>
    </w:p>
    <w:p>
      <w:pPr>
        <w:spacing w:before="0"/>
        <w:ind w:left="110" w:right="0" w:firstLine="0"/>
        <w:jc w:val="left"/>
        <w:rPr>
          <w:rFonts w:ascii="Calibri" w:hAnsi="Calibri"/>
          <w:sz w:val="22"/>
        </w:rPr>
      </w:pPr>
      <w:r>
        <w:rPr>
          <w:rFonts w:ascii="Calibri" w:hAnsi="Calibri"/>
          <w:sz w:val="22"/>
        </w:rPr>
        <w:t>Tabla 4.4. Reputación del maestro afectada; respuestas en la totalidad de la población</w:t>
      </w:r>
    </w:p>
    <w:p>
      <w:pPr>
        <w:tabs>
          <w:tab w:pos="8283" w:val="left" w:leader="none"/>
        </w:tabs>
        <w:spacing w:before="0"/>
        <w:ind w:left="110" w:right="0" w:firstLine="0"/>
        <w:jc w:val="left"/>
        <w:rPr>
          <w:rFonts w:ascii="Calibri" w:hAnsi="Calibri"/>
          <w:sz w:val="22"/>
        </w:rPr>
      </w:pPr>
      <w:r>
        <w:rPr>
          <w:rFonts w:ascii="Calibri" w:hAnsi="Calibri"/>
          <w:sz w:val="22"/>
        </w:rPr>
        <w:t>y</w:t>
      </w:r>
      <w:r>
        <w:rPr>
          <w:rFonts w:ascii="Calibri" w:hAnsi="Calibri"/>
          <w:spacing w:val="-5"/>
          <w:sz w:val="22"/>
        </w:rPr>
        <w:t> </w:t>
      </w:r>
      <w:r>
        <w:rPr>
          <w:rFonts w:ascii="Calibri" w:hAnsi="Calibri"/>
          <w:sz w:val="22"/>
        </w:rPr>
        <w:t>por</w:t>
      </w:r>
      <w:r>
        <w:rPr>
          <w:rFonts w:ascii="Calibri" w:hAnsi="Calibri"/>
          <w:spacing w:val="-7"/>
          <w:sz w:val="22"/>
        </w:rPr>
        <w:t> </w:t>
      </w:r>
      <w:r>
        <w:rPr>
          <w:rFonts w:ascii="Calibri" w:hAnsi="Calibri"/>
          <w:sz w:val="22"/>
        </w:rPr>
        <w:t>género………………………………………………………………………………………………………………….</w:t>
        <w:tab/>
        <w:t>46</w:t>
      </w:r>
    </w:p>
    <w:p>
      <w:pPr>
        <w:pStyle w:val="BodyText"/>
        <w:spacing w:before="10"/>
        <w:rPr>
          <w:rFonts w:ascii="Calibri"/>
          <w:sz w:val="21"/>
        </w:rPr>
      </w:pPr>
    </w:p>
    <w:p>
      <w:pPr>
        <w:tabs>
          <w:tab w:pos="8283" w:val="left" w:leader="none"/>
        </w:tabs>
        <w:spacing w:before="0"/>
        <w:ind w:left="110" w:right="0" w:firstLine="0"/>
        <w:jc w:val="left"/>
        <w:rPr>
          <w:rFonts w:ascii="Calibri" w:hAnsi="Calibri"/>
          <w:sz w:val="22"/>
        </w:rPr>
      </w:pPr>
      <w:r>
        <w:rPr>
          <w:rFonts w:ascii="Calibri" w:hAnsi="Calibri"/>
          <w:sz w:val="22"/>
        </w:rPr>
        <w:t>Tabla 4.5. Reputación del maestro afectada; respuestas por grupo</w:t>
      </w:r>
      <w:r>
        <w:rPr>
          <w:rFonts w:ascii="Calibri" w:hAnsi="Calibri"/>
          <w:spacing w:val="-14"/>
          <w:sz w:val="22"/>
        </w:rPr>
        <w:t> </w:t>
      </w:r>
      <w:r>
        <w:rPr>
          <w:rFonts w:ascii="Calibri" w:hAnsi="Calibri"/>
          <w:sz w:val="22"/>
        </w:rPr>
        <w:t>de</w:t>
      </w:r>
      <w:r>
        <w:rPr>
          <w:rFonts w:ascii="Calibri" w:hAnsi="Calibri"/>
          <w:spacing w:val="-3"/>
          <w:sz w:val="22"/>
        </w:rPr>
        <w:t> </w:t>
      </w:r>
      <w:r>
        <w:rPr>
          <w:rFonts w:ascii="Calibri" w:hAnsi="Calibri"/>
          <w:sz w:val="22"/>
        </w:rPr>
        <w:t>edad…....……….…</w:t>
        <w:tab/>
        <w:t>47</w:t>
      </w:r>
    </w:p>
    <w:p>
      <w:pPr>
        <w:pStyle w:val="BodyText"/>
        <w:rPr>
          <w:rFonts w:ascii="Calibri"/>
          <w:sz w:val="22"/>
        </w:rPr>
      </w:pPr>
    </w:p>
    <w:p>
      <w:pPr>
        <w:tabs>
          <w:tab w:pos="8283" w:val="left" w:leader="none"/>
        </w:tabs>
        <w:spacing w:before="0"/>
        <w:ind w:left="110" w:right="0" w:firstLine="0"/>
        <w:jc w:val="left"/>
        <w:rPr>
          <w:rFonts w:ascii="Calibri" w:hAnsi="Calibri"/>
          <w:sz w:val="22"/>
        </w:rPr>
      </w:pPr>
      <w:r>
        <w:rPr>
          <w:rFonts w:ascii="Calibri" w:hAnsi="Calibri"/>
          <w:sz w:val="22"/>
        </w:rPr>
        <w:t>Tabla 4.6. Reputación del maestro afectada; respuestas por</w:t>
      </w:r>
      <w:r>
        <w:rPr>
          <w:rFonts w:ascii="Calibri" w:hAnsi="Calibri"/>
          <w:spacing w:val="-15"/>
          <w:sz w:val="22"/>
        </w:rPr>
        <w:t> </w:t>
      </w:r>
      <w:r>
        <w:rPr>
          <w:rFonts w:ascii="Calibri" w:hAnsi="Calibri"/>
          <w:sz w:val="22"/>
        </w:rPr>
        <w:t>nivel</w:t>
      </w:r>
      <w:r>
        <w:rPr>
          <w:rFonts w:ascii="Calibri" w:hAnsi="Calibri"/>
          <w:spacing w:val="-4"/>
          <w:sz w:val="22"/>
        </w:rPr>
        <w:t> </w:t>
      </w:r>
      <w:r>
        <w:rPr>
          <w:rFonts w:ascii="Calibri" w:hAnsi="Calibri"/>
          <w:sz w:val="22"/>
        </w:rPr>
        <w:t>educativo…….…………</w:t>
        <w:tab/>
        <w:t>47</w:t>
      </w:r>
    </w:p>
    <w:p>
      <w:pPr>
        <w:pStyle w:val="BodyText"/>
        <w:rPr>
          <w:rFonts w:ascii="Calibri"/>
          <w:sz w:val="22"/>
        </w:rPr>
      </w:pPr>
    </w:p>
    <w:p>
      <w:pPr>
        <w:tabs>
          <w:tab w:pos="8283" w:val="left" w:leader="none"/>
        </w:tabs>
        <w:spacing w:before="1"/>
        <w:ind w:left="110" w:right="308" w:firstLine="0"/>
        <w:jc w:val="left"/>
        <w:rPr>
          <w:rFonts w:ascii="Calibri" w:hAnsi="Calibri"/>
          <w:sz w:val="22"/>
        </w:rPr>
      </w:pPr>
      <w:r>
        <w:rPr>
          <w:rFonts w:ascii="Calibri" w:hAnsi="Calibri"/>
          <w:sz w:val="22"/>
        </w:rPr>
        <w:t>Tabla 4.7. Discurso de un líder empresarial irrelevante; respuestas en la totalidad de la población y</w:t>
      </w:r>
      <w:r>
        <w:rPr>
          <w:rFonts w:ascii="Calibri" w:hAnsi="Calibri"/>
          <w:spacing w:val="-10"/>
          <w:sz w:val="22"/>
        </w:rPr>
        <w:t> </w:t>
      </w:r>
      <w:r>
        <w:rPr>
          <w:rFonts w:ascii="Calibri" w:hAnsi="Calibri"/>
          <w:sz w:val="22"/>
        </w:rPr>
        <w:t>por</w:t>
      </w:r>
      <w:r>
        <w:rPr>
          <w:rFonts w:ascii="Calibri" w:hAnsi="Calibri"/>
          <w:spacing w:val="-4"/>
          <w:sz w:val="22"/>
        </w:rPr>
        <w:t> </w:t>
      </w:r>
      <w:r>
        <w:rPr>
          <w:rFonts w:ascii="Calibri" w:hAnsi="Calibri"/>
          <w:sz w:val="22"/>
        </w:rPr>
        <w:t>género…………………………………………………………………………………………………</w:t>
        <w:tab/>
        <w:t>48</w:t>
      </w:r>
    </w:p>
    <w:p>
      <w:pPr>
        <w:pStyle w:val="BodyText"/>
        <w:rPr>
          <w:rFonts w:ascii="Calibri"/>
          <w:sz w:val="22"/>
        </w:rPr>
      </w:pPr>
    </w:p>
    <w:p>
      <w:pPr>
        <w:tabs>
          <w:tab w:pos="8283" w:val="left" w:leader="none"/>
        </w:tabs>
        <w:spacing w:before="0"/>
        <w:ind w:left="110" w:right="309" w:firstLine="0"/>
        <w:jc w:val="left"/>
        <w:rPr>
          <w:rFonts w:ascii="Calibri" w:hAnsi="Calibri"/>
          <w:sz w:val="22"/>
        </w:rPr>
      </w:pPr>
      <w:r>
        <w:rPr>
          <w:rFonts w:ascii="Calibri" w:hAnsi="Calibri"/>
          <w:sz w:val="22"/>
        </w:rPr>
        <w:t>Tabla 4.8. Discurso de un líder empresarial irrelevante; respuestas por grupo de edad……………………………………………………………………………………………………………………………..</w:t>
        <w:tab/>
        <w:t>48</w:t>
      </w:r>
    </w:p>
    <w:p>
      <w:pPr>
        <w:pStyle w:val="BodyText"/>
        <w:spacing w:before="10"/>
        <w:rPr>
          <w:rFonts w:ascii="Calibri"/>
          <w:sz w:val="21"/>
        </w:rPr>
      </w:pPr>
    </w:p>
    <w:p>
      <w:pPr>
        <w:tabs>
          <w:tab w:pos="8283" w:val="left" w:leader="none"/>
        </w:tabs>
        <w:spacing w:before="0"/>
        <w:ind w:left="110" w:right="308" w:firstLine="0"/>
        <w:jc w:val="left"/>
        <w:rPr>
          <w:rFonts w:ascii="Calibri" w:hAnsi="Calibri"/>
          <w:sz w:val="22"/>
        </w:rPr>
      </w:pPr>
      <w:r>
        <w:rPr>
          <w:rFonts w:ascii="Calibri" w:hAnsi="Calibri"/>
          <w:sz w:val="22"/>
        </w:rPr>
        <w:t>Tabla 4.9. Discurso de un líder empresarial irrelevante; respuestas por nivel educativo………………………………………………………………………………………………………………….…</w:t>
        <w:tab/>
        <w:t>49</w:t>
      </w:r>
    </w:p>
    <w:p>
      <w:pPr>
        <w:pStyle w:val="BodyText"/>
        <w:rPr>
          <w:rFonts w:ascii="Calibri"/>
          <w:sz w:val="22"/>
        </w:rPr>
      </w:pPr>
    </w:p>
    <w:p>
      <w:pPr>
        <w:spacing w:before="0"/>
        <w:ind w:left="110" w:right="0" w:firstLine="0"/>
        <w:jc w:val="left"/>
        <w:rPr>
          <w:rFonts w:ascii="Calibri" w:hAnsi="Calibri"/>
          <w:sz w:val="22"/>
        </w:rPr>
      </w:pPr>
      <w:r>
        <w:rPr>
          <w:rFonts w:ascii="Calibri" w:hAnsi="Calibri"/>
          <w:sz w:val="22"/>
        </w:rPr>
        <w:t>Tabla 4.10. Estadísticas financieras con precisión y autoridad; respuestas en la</w:t>
      </w:r>
    </w:p>
    <w:p>
      <w:pPr>
        <w:tabs>
          <w:tab w:pos="8283" w:val="left" w:leader="none"/>
        </w:tabs>
        <w:spacing w:before="0"/>
        <w:ind w:left="110" w:right="0" w:firstLine="0"/>
        <w:jc w:val="left"/>
        <w:rPr>
          <w:rFonts w:ascii="Calibri" w:hAnsi="Calibri"/>
          <w:sz w:val="22"/>
        </w:rPr>
      </w:pPr>
      <w:r>
        <w:rPr>
          <w:rFonts w:ascii="Calibri" w:hAnsi="Calibri"/>
          <w:sz w:val="22"/>
        </w:rPr>
        <w:t>totalidad de la población y</w:t>
      </w:r>
      <w:r>
        <w:rPr>
          <w:rFonts w:ascii="Calibri" w:hAnsi="Calibri"/>
          <w:spacing w:val="-14"/>
          <w:sz w:val="22"/>
        </w:rPr>
        <w:t> </w:t>
      </w:r>
      <w:r>
        <w:rPr>
          <w:rFonts w:ascii="Calibri" w:hAnsi="Calibri"/>
          <w:sz w:val="22"/>
        </w:rPr>
        <w:t>por</w:t>
      </w:r>
      <w:r>
        <w:rPr>
          <w:rFonts w:ascii="Calibri" w:hAnsi="Calibri"/>
          <w:spacing w:val="-2"/>
          <w:sz w:val="22"/>
        </w:rPr>
        <w:t> </w:t>
      </w:r>
      <w:r>
        <w:rPr>
          <w:rFonts w:ascii="Calibri" w:hAnsi="Calibri"/>
          <w:sz w:val="22"/>
        </w:rPr>
        <w:t>género………………………....………………………………………….…</w:t>
        <w:tab/>
        <w:t>49</w:t>
      </w:r>
    </w:p>
    <w:p>
      <w:pPr>
        <w:pStyle w:val="BodyText"/>
        <w:spacing w:before="1"/>
        <w:rPr>
          <w:rFonts w:ascii="Calibri"/>
          <w:sz w:val="22"/>
        </w:rPr>
      </w:pPr>
    </w:p>
    <w:p>
      <w:pPr>
        <w:tabs>
          <w:tab w:pos="8283" w:val="left" w:leader="none"/>
        </w:tabs>
        <w:spacing w:before="0"/>
        <w:ind w:left="110" w:right="308" w:firstLine="0"/>
        <w:jc w:val="left"/>
        <w:rPr>
          <w:rFonts w:ascii="Calibri" w:hAnsi="Calibri"/>
          <w:sz w:val="22"/>
        </w:rPr>
      </w:pPr>
      <w:r>
        <w:rPr>
          <w:rFonts w:ascii="Calibri" w:hAnsi="Calibri"/>
          <w:sz w:val="22"/>
        </w:rPr>
        <w:t>Tabla 4.11. Estadísticas financieras con precisión y autoridad; respuestas por grupo de edad…………………………………………………………………………………………………..…………………………</w:t>
        <w:tab/>
        <w:t>50</w:t>
      </w:r>
    </w:p>
    <w:p>
      <w:pPr>
        <w:pStyle w:val="BodyText"/>
        <w:spacing w:before="10"/>
        <w:rPr>
          <w:rFonts w:ascii="Calibri"/>
          <w:sz w:val="21"/>
        </w:rPr>
      </w:pPr>
    </w:p>
    <w:p>
      <w:pPr>
        <w:tabs>
          <w:tab w:pos="8283" w:val="left" w:leader="none"/>
        </w:tabs>
        <w:spacing w:before="0"/>
        <w:ind w:left="110" w:right="308" w:firstLine="0"/>
        <w:jc w:val="left"/>
        <w:rPr>
          <w:rFonts w:ascii="Calibri" w:hAnsi="Calibri"/>
          <w:sz w:val="22"/>
        </w:rPr>
      </w:pPr>
      <w:r>
        <w:rPr>
          <w:rFonts w:ascii="Calibri" w:hAnsi="Calibri"/>
          <w:sz w:val="22"/>
        </w:rPr>
        <w:t>Tabla 4.12. Estadísticas financieras con precisión y autoridad; respuestas por nivel de estudios………………………………………………………………………………………………………………………</w:t>
        <w:tab/>
        <w:t>51</w:t>
      </w:r>
    </w:p>
    <w:p>
      <w:pPr>
        <w:pStyle w:val="BodyText"/>
        <w:rPr>
          <w:rFonts w:ascii="Calibri"/>
          <w:sz w:val="22"/>
        </w:rPr>
      </w:pPr>
    </w:p>
    <w:p>
      <w:pPr>
        <w:spacing w:before="0"/>
        <w:ind w:left="110" w:right="0" w:firstLine="0"/>
        <w:jc w:val="left"/>
        <w:rPr>
          <w:rFonts w:ascii="Calibri"/>
          <w:sz w:val="22"/>
        </w:rPr>
      </w:pPr>
      <w:r>
        <w:rPr>
          <w:rFonts w:ascii="Calibri"/>
          <w:sz w:val="22"/>
        </w:rPr>
        <w:t>Tabla 4.13. Vocabulario empleado por tenderos y comerciantes; respuestas en la</w:t>
      </w:r>
    </w:p>
    <w:p>
      <w:pPr>
        <w:tabs>
          <w:tab w:pos="8283" w:val="left" w:leader="none"/>
        </w:tabs>
        <w:spacing w:before="0"/>
        <w:ind w:left="110" w:right="0" w:firstLine="0"/>
        <w:jc w:val="left"/>
        <w:rPr>
          <w:rFonts w:ascii="Calibri" w:hAnsi="Calibri"/>
          <w:sz w:val="22"/>
        </w:rPr>
      </w:pPr>
      <w:r>
        <w:rPr>
          <w:rFonts w:ascii="Calibri" w:hAnsi="Calibri"/>
          <w:sz w:val="22"/>
        </w:rPr>
        <w:t>totalidad de la población y</w:t>
      </w:r>
      <w:r>
        <w:rPr>
          <w:rFonts w:ascii="Calibri" w:hAnsi="Calibri"/>
          <w:spacing w:val="-14"/>
          <w:sz w:val="22"/>
        </w:rPr>
        <w:t> </w:t>
      </w:r>
      <w:r>
        <w:rPr>
          <w:rFonts w:ascii="Calibri" w:hAnsi="Calibri"/>
          <w:sz w:val="22"/>
        </w:rPr>
        <w:t>por</w:t>
      </w:r>
      <w:r>
        <w:rPr>
          <w:rFonts w:ascii="Calibri" w:hAnsi="Calibri"/>
          <w:spacing w:val="-2"/>
          <w:sz w:val="22"/>
        </w:rPr>
        <w:t> </w:t>
      </w:r>
      <w:r>
        <w:rPr>
          <w:rFonts w:ascii="Calibri" w:hAnsi="Calibri"/>
          <w:sz w:val="22"/>
        </w:rPr>
        <w:t>género………………………………………………………………………….</w:t>
        <w:tab/>
        <w:t>51</w:t>
      </w:r>
    </w:p>
    <w:p>
      <w:pPr>
        <w:spacing w:after="0"/>
        <w:jc w:val="left"/>
        <w:rPr>
          <w:rFonts w:ascii="Calibri" w:hAnsi="Calibri"/>
          <w:sz w:val="22"/>
        </w:rPr>
        <w:sectPr>
          <w:pgSz w:w="12240" w:h="15840"/>
          <w:pgMar w:header="0" w:footer="1003" w:top="1360" w:bottom="1200" w:left="1700" w:right="1720"/>
        </w:sectPr>
      </w:pPr>
    </w:p>
    <w:p>
      <w:pPr>
        <w:pStyle w:val="BodyText"/>
        <w:spacing w:before="3"/>
        <w:rPr>
          <w:rFonts w:ascii="Calibri"/>
          <w:sz w:val="10"/>
        </w:rPr>
      </w:pPr>
    </w:p>
    <w:p>
      <w:pPr>
        <w:spacing w:before="57"/>
        <w:ind w:left="110" w:right="0" w:firstLine="0"/>
        <w:jc w:val="left"/>
        <w:rPr>
          <w:rFonts w:ascii="Calibri"/>
          <w:sz w:val="22"/>
        </w:rPr>
      </w:pPr>
      <w:r>
        <w:rPr>
          <w:rFonts w:ascii="Calibri"/>
          <w:sz w:val="22"/>
        </w:rPr>
        <w:t>Tabla 4.14. Vocabulario empleado por tenderos y comerciantes; respuestas por grupo</w:t>
      </w:r>
    </w:p>
    <w:p>
      <w:pPr>
        <w:tabs>
          <w:tab w:pos="8509" w:val="right" w:leader="none"/>
        </w:tabs>
        <w:spacing w:before="0"/>
        <w:ind w:left="110" w:right="0" w:firstLine="0"/>
        <w:jc w:val="left"/>
        <w:rPr>
          <w:rFonts w:ascii="Calibri" w:hAnsi="Calibri"/>
          <w:sz w:val="22"/>
        </w:rPr>
      </w:pPr>
      <w:r>
        <w:rPr>
          <w:rFonts w:ascii="Calibri" w:hAnsi="Calibri"/>
          <w:sz w:val="22"/>
        </w:rPr>
        <w:t>de</w:t>
      </w:r>
      <w:r>
        <w:rPr>
          <w:rFonts w:ascii="Calibri" w:hAnsi="Calibri"/>
          <w:spacing w:val="-3"/>
          <w:sz w:val="22"/>
        </w:rPr>
        <w:t> </w:t>
      </w:r>
      <w:r>
        <w:rPr>
          <w:rFonts w:ascii="Calibri" w:hAnsi="Calibri"/>
          <w:sz w:val="22"/>
        </w:rPr>
        <w:t>edad………………………………………………………………………..……………………………………………….</w:t>
        <w:tab/>
        <w:t>52</w:t>
      </w:r>
    </w:p>
    <w:p>
      <w:pPr>
        <w:spacing w:before="269"/>
        <w:ind w:left="110" w:right="0" w:firstLine="0"/>
        <w:jc w:val="left"/>
        <w:rPr>
          <w:rFonts w:ascii="Calibri"/>
          <w:sz w:val="22"/>
        </w:rPr>
      </w:pPr>
      <w:r>
        <w:rPr>
          <w:rFonts w:ascii="Calibri"/>
          <w:sz w:val="22"/>
        </w:rPr>
        <w:t>Tabla 4.15. Vocabulario empleado por tenderos y comerciantes; respuestas por nivel</w:t>
      </w:r>
    </w:p>
    <w:p>
      <w:pPr>
        <w:tabs>
          <w:tab w:pos="8509" w:val="right" w:leader="none"/>
        </w:tabs>
        <w:spacing w:before="0"/>
        <w:ind w:left="110" w:right="0" w:firstLine="0"/>
        <w:jc w:val="left"/>
        <w:rPr>
          <w:rFonts w:ascii="Calibri" w:hAnsi="Calibri"/>
          <w:sz w:val="22"/>
        </w:rPr>
      </w:pPr>
      <w:r>
        <w:rPr>
          <w:rFonts w:ascii="Calibri" w:hAnsi="Calibri"/>
          <w:sz w:val="22"/>
        </w:rPr>
        <w:t>de</w:t>
      </w:r>
      <w:r>
        <w:rPr>
          <w:rFonts w:ascii="Calibri" w:hAnsi="Calibri"/>
          <w:spacing w:val="-3"/>
          <w:sz w:val="22"/>
        </w:rPr>
        <w:t> </w:t>
      </w:r>
      <w:r>
        <w:rPr>
          <w:rFonts w:ascii="Calibri" w:hAnsi="Calibri"/>
          <w:sz w:val="22"/>
        </w:rPr>
        <w:t>estudios……………………………………………………………………………………………………………………</w:t>
        <w:tab/>
        <w:t>52</w:t>
      </w:r>
    </w:p>
    <w:p>
      <w:pPr>
        <w:spacing w:before="269"/>
        <w:ind w:left="110" w:right="0" w:firstLine="0"/>
        <w:jc w:val="left"/>
        <w:rPr>
          <w:rFonts w:ascii="Calibri" w:hAnsi="Calibri"/>
          <w:sz w:val="22"/>
        </w:rPr>
      </w:pPr>
      <w:r>
        <w:rPr>
          <w:rFonts w:ascii="Calibri" w:hAnsi="Calibri"/>
          <w:sz w:val="22"/>
        </w:rPr>
        <w:t>Tabla 4.16. Profesor con alta reputación; respuestas en la totalidad de la población y</w:t>
      </w:r>
    </w:p>
    <w:p>
      <w:pPr>
        <w:tabs>
          <w:tab w:pos="8509" w:val="right" w:leader="none"/>
        </w:tabs>
        <w:spacing w:before="0"/>
        <w:ind w:left="110" w:right="0" w:firstLine="0"/>
        <w:jc w:val="left"/>
        <w:rPr>
          <w:rFonts w:ascii="Calibri" w:hAnsi="Calibri"/>
          <w:sz w:val="22"/>
        </w:rPr>
      </w:pPr>
      <w:r>
        <w:rPr>
          <w:rFonts w:ascii="Calibri" w:hAnsi="Calibri"/>
          <w:sz w:val="22"/>
        </w:rPr>
        <w:t>por</w:t>
      </w:r>
      <w:r>
        <w:rPr>
          <w:rFonts w:ascii="Calibri" w:hAnsi="Calibri"/>
          <w:spacing w:val="-2"/>
          <w:sz w:val="22"/>
        </w:rPr>
        <w:t> </w:t>
      </w:r>
      <w:r>
        <w:rPr>
          <w:rFonts w:ascii="Calibri" w:hAnsi="Calibri"/>
          <w:sz w:val="22"/>
        </w:rPr>
        <w:t>género………………………………………………………………………………………………………………….</w:t>
        <w:tab/>
        <w:t>53</w:t>
      </w:r>
    </w:p>
    <w:p>
      <w:pPr>
        <w:tabs>
          <w:tab w:pos="8509" w:val="right" w:leader="none"/>
        </w:tabs>
        <w:spacing w:before="266"/>
        <w:ind w:left="110" w:right="0" w:firstLine="0"/>
        <w:jc w:val="left"/>
        <w:rPr>
          <w:rFonts w:ascii="Calibri" w:hAnsi="Calibri"/>
          <w:sz w:val="22"/>
        </w:rPr>
      </w:pPr>
      <w:r>
        <w:rPr>
          <w:rFonts w:ascii="Calibri" w:hAnsi="Calibri"/>
          <w:sz w:val="22"/>
        </w:rPr>
        <w:t>Tabla 4.17. Profesor con alta reputación; respuestas por grupo</w:t>
      </w:r>
      <w:r>
        <w:rPr>
          <w:rFonts w:ascii="Calibri" w:hAnsi="Calibri"/>
          <w:spacing w:val="-9"/>
          <w:sz w:val="22"/>
        </w:rPr>
        <w:t> </w:t>
      </w:r>
      <w:r>
        <w:rPr>
          <w:rFonts w:ascii="Calibri" w:hAnsi="Calibri"/>
          <w:sz w:val="22"/>
        </w:rPr>
        <w:t>de</w:t>
      </w:r>
      <w:r>
        <w:rPr>
          <w:rFonts w:ascii="Calibri" w:hAnsi="Calibri"/>
          <w:spacing w:val="-1"/>
          <w:sz w:val="22"/>
        </w:rPr>
        <w:t> </w:t>
      </w:r>
      <w:r>
        <w:rPr>
          <w:rFonts w:ascii="Calibri" w:hAnsi="Calibri"/>
          <w:sz w:val="22"/>
        </w:rPr>
        <w:t>edad…………….……..</w:t>
        <w:tab/>
        <w:t>53</w:t>
      </w:r>
    </w:p>
    <w:p>
      <w:pPr>
        <w:tabs>
          <w:tab w:pos="8509" w:val="right" w:leader="none"/>
        </w:tabs>
        <w:spacing w:before="269"/>
        <w:ind w:left="110" w:right="0" w:firstLine="0"/>
        <w:jc w:val="left"/>
        <w:rPr>
          <w:rFonts w:ascii="Calibri" w:hAnsi="Calibri"/>
          <w:sz w:val="22"/>
        </w:rPr>
      </w:pPr>
      <w:r>
        <w:rPr>
          <w:rFonts w:ascii="Calibri" w:hAnsi="Calibri"/>
          <w:sz w:val="22"/>
        </w:rPr>
        <w:t>Tabla 4.18. Profesor con alta reputación; respuestas por nivel</w:t>
      </w:r>
      <w:r>
        <w:rPr>
          <w:rFonts w:ascii="Calibri" w:hAnsi="Calibri"/>
          <w:spacing w:val="-11"/>
          <w:sz w:val="22"/>
        </w:rPr>
        <w:t> </w:t>
      </w:r>
      <w:r>
        <w:rPr>
          <w:rFonts w:ascii="Calibri" w:hAnsi="Calibri"/>
          <w:sz w:val="22"/>
        </w:rPr>
        <w:t>de</w:t>
      </w:r>
      <w:r>
        <w:rPr>
          <w:rFonts w:ascii="Calibri" w:hAnsi="Calibri"/>
          <w:spacing w:val="-3"/>
          <w:sz w:val="22"/>
        </w:rPr>
        <w:t> </w:t>
      </w:r>
      <w:r>
        <w:rPr>
          <w:rFonts w:ascii="Calibri" w:hAnsi="Calibri"/>
          <w:sz w:val="22"/>
        </w:rPr>
        <w:t>estudios…………….....</w:t>
        <w:tab/>
        <w:t>54</w:t>
      </w:r>
    </w:p>
    <w:p>
      <w:pPr>
        <w:spacing w:before="269"/>
        <w:ind w:left="110" w:right="0" w:firstLine="0"/>
        <w:jc w:val="left"/>
        <w:rPr>
          <w:rFonts w:ascii="Calibri" w:hAnsi="Calibri"/>
          <w:sz w:val="22"/>
        </w:rPr>
      </w:pPr>
      <w:r>
        <w:rPr>
          <w:rFonts w:ascii="Calibri" w:hAnsi="Calibri"/>
          <w:sz w:val="22"/>
        </w:rPr>
        <w:t>Tabla 4.19. Empresario que impresiona; respuestas en la totalidad de la población y</w:t>
      </w:r>
    </w:p>
    <w:p>
      <w:pPr>
        <w:tabs>
          <w:tab w:pos="8509" w:val="right" w:leader="none"/>
        </w:tabs>
        <w:spacing w:before="0"/>
        <w:ind w:left="110" w:right="0" w:firstLine="0"/>
        <w:jc w:val="left"/>
        <w:rPr>
          <w:rFonts w:ascii="Calibri" w:hAnsi="Calibri"/>
          <w:sz w:val="22"/>
        </w:rPr>
      </w:pPr>
      <w:r>
        <w:rPr>
          <w:rFonts w:ascii="Calibri" w:hAnsi="Calibri"/>
          <w:sz w:val="22"/>
        </w:rPr>
        <w:t>por</w:t>
      </w:r>
      <w:r>
        <w:rPr>
          <w:rFonts w:ascii="Calibri" w:hAnsi="Calibri"/>
          <w:spacing w:val="-2"/>
          <w:sz w:val="22"/>
        </w:rPr>
        <w:t> </w:t>
      </w:r>
      <w:r>
        <w:rPr>
          <w:rFonts w:ascii="Calibri" w:hAnsi="Calibri"/>
          <w:sz w:val="22"/>
        </w:rPr>
        <w:t>género………………………………………………………………………………………………………………….</w:t>
        <w:tab/>
        <w:t>54</w:t>
      </w:r>
    </w:p>
    <w:p>
      <w:pPr>
        <w:tabs>
          <w:tab w:pos="8509" w:val="right" w:leader="none"/>
        </w:tabs>
        <w:spacing w:before="269"/>
        <w:ind w:left="110" w:right="0" w:firstLine="0"/>
        <w:jc w:val="left"/>
        <w:rPr>
          <w:rFonts w:ascii="Calibri" w:hAnsi="Calibri"/>
          <w:sz w:val="22"/>
        </w:rPr>
      </w:pPr>
      <w:r>
        <w:rPr>
          <w:rFonts w:ascii="Calibri" w:hAnsi="Calibri"/>
          <w:sz w:val="22"/>
        </w:rPr>
        <w:t>Tabla 4.20. Empresario que impresiona; respuestas </w:t>
      </w:r>
      <w:r>
        <w:rPr>
          <w:rFonts w:ascii="Calibri" w:hAnsi="Calibri"/>
          <w:spacing w:val="-2"/>
          <w:sz w:val="22"/>
        </w:rPr>
        <w:t>por </w:t>
      </w:r>
      <w:r>
        <w:rPr>
          <w:rFonts w:ascii="Calibri" w:hAnsi="Calibri"/>
          <w:sz w:val="22"/>
        </w:rPr>
        <w:t>grupo</w:t>
      </w:r>
      <w:r>
        <w:rPr>
          <w:rFonts w:ascii="Calibri" w:hAnsi="Calibri"/>
          <w:spacing w:val="-8"/>
          <w:sz w:val="22"/>
        </w:rPr>
        <w:t> </w:t>
      </w:r>
      <w:r>
        <w:rPr>
          <w:rFonts w:ascii="Calibri" w:hAnsi="Calibri"/>
          <w:sz w:val="22"/>
        </w:rPr>
        <w:t>de</w:t>
      </w:r>
      <w:r>
        <w:rPr>
          <w:rFonts w:ascii="Calibri" w:hAnsi="Calibri"/>
          <w:spacing w:val="-3"/>
          <w:sz w:val="22"/>
        </w:rPr>
        <w:t> </w:t>
      </w:r>
      <w:r>
        <w:rPr>
          <w:rFonts w:ascii="Calibri" w:hAnsi="Calibri"/>
          <w:sz w:val="22"/>
        </w:rPr>
        <w:t>edad……………………..</w:t>
        <w:tab/>
        <w:t>55</w:t>
      </w:r>
    </w:p>
    <w:p>
      <w:pPr>
        <w:tabs>
          <w:tab w:pos="8509" w:val="right" w:leader="none"/>
        </w:tabs>
        <w:spacing w:before="266"/>
        <w:ind w:left="110" w:right="0" w:firstLine="0"/>
        <w:jc w:val="left"/>
        <w:rPr>
          <w:rFonts w:ascii="Calibri" w:hAnsi="Calibri"/>
          <w:sz w:val="22"/>
        </w:rPr>
      </w:pPr>
      <w:r>
        <w:rPr>
          <w:rFonts w:ascii="Calibri" w:hAnsi="Calibri"/>
          <w:sz w:val="22"/>
        </w:rPr>
        <w:t>Tabla 4.21. Empresario que impresiona; respuestas </w:t>
      </w:r>
      <w:r>
        <w:rPr>
          <w:rFonts w:ascii="Calibri" w:hAnsi="Calibri"/>
          <w:spacing w:val="-2"/>
          <w:sz w:val="22"/>
        </w:rPr>
        <w:t>por </w:t>
      </w:r>
      <w:r>
        <w:rPr>
          <w:rFonts w:ascii="Calibri" w:hAnsi="Calibri"/>
          <w:sz w:val="22"/>
        </w:rPr>
        <w:t>nivel</w:t>
      </w:r>
      <w:r>
        <w:rPr>
          <w:rFonts w:ascii="Calibri" w:hAnsi="Calibri"/>
          <w:spacing w:val="-10"/>
          <w:sz w:val="22"/>
        </w:rPr>
        <w:t> </w:t>
      </w:r>
      <w:r>
        <w:rPr>
          <w:rFonts w:ascii="Calibri" w:hAnsi="Calibri"/>
          <w:sz w:val="22"/>
        </w:rPr>
        <w:t>de</w:t>
      </w:r>
      <w:r>
        <w:rPr>
          <w:rFonts w:ascii="Calibri" w:hAnsi="Calibri"/>
          <w:spacing w:val="-1"/>
          <w:sz w:val="22"/>
        </w:rPr>
        <w:t> </w:t>
      </w:r>
      <w:r>
        <w:rPr>
          <w:rFonts w:ascii="Calibri" w:hAnsi="Calibri"/>
          <w:sz w:val="22"/>
        </w:rPr>
        <w:t>estudios………………….</w:t>
        <w:tab/>
        <w:t>56</w:t>
      </w:r>
    </w:p>
    <w:p>
      <w:pPr>
        <w:tabs>
          <w:tab w:pos="8509" w:val="right" w:leader="none"/>
        </w:tabs>
        <w:spacing w:before="269"/>
        <w:ind w:left="110" w:right="308" w:firstLine="0"/>
        <w:jc w:val="left"/>
        <w:rPr>
          <w:rFonts w:ascii="Calibri" w:hAnsi="Calibri"/>
          <w:sz w:val="22"/>
        </w:rPr>
      </w:pPr>
      <w:r>
        <w:rPr>
          <w:rFonts w:ascii="Calibri" w:hAnsi="Calibri"/>
          <w:sz w:val="22"/>
        </w:rPr>
        <w:t>Tabla 4.22. Estadísticas sin autoridad; respuestas en la totalidad de la población y por género………………………………………………………………………………………………………………………….</w:t>
        <w:tab/>
        <w:t>56</w:t>
      </w:r>
    </w:p>
    <w:p>
      <w:pPr>
        <w:tabs>
          <w:tab w:pos="8508" w:val="right" w:leader="none"/>
        </w:tabs>
        <w:spacing w:before="269"/>
        <w:ind w:left="110" w:right="0" w:firstLine="0"/>
        <w:jc w:val="left"/>
        <w:rPr>
          <w:rFonts w:ascii="Calibri" w:hAnsi="Calibri"/>
          <w:sz w:val="22"/>
        </w:rPr>
      </w:pPr>
      <w:r>
        <w:rPr>
          <w:rFonts w:ascii="Calibri" w:hAnsi="Calibri"/>
          <w:sz w:val="22"/>
        </w:rPr>
        <w:t>Tabla 4.23. Estadísticas sin autoridad; respuestas por grupo</w:t>
      </w:r>
      <w:r>
        <w:rPr>
          <w:rFonts w:ascii="Calibri" w:hAnsi="Calibri"/>
          <w:spacing w:val="-14"/>
          <w:sz w:val="22"/>
        </w:rPr>
        <w:t> </w:t>
      </w:r>
      <w:r>
        <w:rPr>
          <w:rFonts w:ascii="Calibri" w:hAnsi="Calibri"/>
          <w:sz w:val="22"/>
        </w:rPr>
        <w:t>de</w:t>
      </w:r>
      <w:r>
        <w:rPr>
          <w:rFonts w:ascii="Calibri" w:hAnsi="Calibri"/>
          <w:spacing w:val="-1"/>
          <w:sz w:val="22"/>
        </w:rPr>
        <w:t> </w:t>
      </w:r>
      <w:r>
        <w:rPr>
          <w:rFonts w:ascii="Calibri" w:hAnsi="Calibri"/>
          <w:sz w:val="22"/>
        </w:rPr>
        <w:t>edad……………………….….</w:t>
        <w:tab/>
        <w:t>57</w:t>
      </w:r>
    </w:p>
    <w:p>
      <w:pPr>
        <w:tabs>
          <w:tab w:pos="8508" w:val="right" w:leader="none"/>
        </w:tabs>
        <w:spacing w:before="269"/>
        <w:ind w:left="110" w:right="0" w:firstLine="0"/>
        <w:jc w:val="left"/>
        <w:rPr>
          <w:rFonts w:ascii="Calibri" w:hAnsi="Calibri"/>
          <w:sz w:val="22"/>
        </w:rPr>
      </w:pPr>
      <w:r>
        <w:rPr>
          <w:rFonts w:ascii="Calibri" w:hAnsi="Calibri"/>
          <w:sz w:val="22"/>
        </w:rPr>
        <w:t>Tabla 4.24. Estadísticas sin autoridad; respuestas por nivel</w:t>
      </w:r>
      <w:r>
        <w:rPr>
          <w:rFonts w:ascii="Calibri" w:hAnsi="Calibri"/>
          <w:spacing w:val="-16"/>
          <w:sz w:val="22"/>
        </w:rPr>
        <w:t> </w:t>
      </w:r>
      <w:r>
        <w:rPr>
          <w:rFonts w:ascii="Calibri" w:hAnsi="Calibri"/>
          <w:sz w:val="22"/>
        </w:rPr>
        <w:t>de</w:t>
      </w:r>
      <w:r>
        <w:rPr>
          <w:rFonts w:ascii="Calibri" w:hAnsi="Calibri"/>
          <w:spacing w:val="-4"/>
          <w:sz w:val="22"/>
        </w:rPr>
        <w:t> </w:t>
      </w:r>
      <w:r>
        <w:rPr>
          <w:rFonts w:ascii="Calibri" w:hAnsi="Calibri"/>
          <w:sz w:val="22"/>
        </w:rPr>
        <w:t>estudios……………….………</w:t>
        <w:tab/>
        <w:t>57</w:t>
      </w:r>
    </w:p>
    <w:p>
      <w:pPr>
        <w:spacing w:line="267" w:lineRule="exact" w:before="269"/>
        <w:ind w:left="110" w:right="0" w:firstLine="0"/>
        <w:jc w:val="left"/>
        <w:rPr>
          <w:rFonts w:ascii="Calibri" w:hAnsi="Calibri"/>
          <w:sz w:val="22"/>
        </w:rPr>
      </w:pPr>
      <w:r>
        <w:rPr>
          <w:rFonts w:ascii="Calibri" w:hAnsi="Calibri"/>
          <w:sz w:val="22"/>
        </w:rPr>
        <w:t>Tabla 4.25. Aspirante a puesto importante; respuestas en la totalidad de la población</w:t>
      </w:r>
    </w:p>
    <w:p>
      <w:pPr>
        <w:tabs>
          <w:tab w:pos="8508" w:val="right" w:leader="none"/>
        </w:tabs>
        <w:spacing w:line="267" w:lineRule="exact" w:before="0"/>
        <w:ind w:left="110" w:right="0" w:firstLine="0"/>
        <w:jc w:val="left"/>
        <w:rPr>
          <w:rFonts w:ascii="Calibri" w:hAnsi="Calibri"/>
          <w:sz w:val="22"/>
        </w:rPr>
      </w:pPr>
      <w:r>
        <w:rPr>
          <w:rFonts w:ascii="Calibri" w:hAnsi="Calibri"/>
          <w:sz w:val="22"/>
        </w:rPr>
        <w:t>y</w:t>
      </w:r>
      <w:r>
        <w:rPr>
          <w:rFonts w:ascii="Calibri" w:hAnsi="Calibri"/>
          <w:spacing w:val="-2"/>
          <w:sz w:val="22"/>
        </w:rPr>
        <w:t> </w:t>
      </w:r>
      <w:r>
        <w:rPr>
          <w:rFonts w:ascii="Calibri" w:hAnsi="Calibri"/>
          <w:sz w:val="22"/>
        </w:rPr>
        <w:t>por</w:t>
      </w:r>
      <w:r>
        <w:rPr>
          <w:rFonts w:ascii="Calibri" w:hAnsi="Calibri"/>
          <w:spacing w:val="-4"/>
          <w:sz w:val="22"/>
        </w:rPr>
        <w:t> </w:t>
      </w:r>
      <w:r>
        <w:rPr>
          <w:rFonts w:ascii="Calibri" w:hAnsi="Calibri"/>
          <w:sz w:val="22"/>
        </w:rPr>
        <w:t>género………………………………………………………………………………………………………………….</w:t>
        <w:tab/>
        <w:t>58</w:t>
      </w:r>
    </w:p>
    <w:p>
      <w:pPr>
        <w:tabs>
          <w:tab w:pos="8508" w:val="right" w:leader="none"/>
        </w:tabs>
        <w:spacing w:before="269"/>
        <w:ind w:left="110" w:right="0" w:firstLine="0"/>
        <w:jc w:val="left"/>
        <w:rPr>
          <w:rFonts w:ascii="Calibri" w:hAnsi="Calibri"/>
          <w:sz w:val="22"/>
        </w:rPr>
      </w:pPr>
      <w:r>
        <w:rPr>
          <w:rFonts w:ascii="Calibri" w:hAnsi="Calibri"/>
          <w:sz w:val="22"/>
        </w:rPr>
        <w:t>Tabla 4.26. Aspirante a puesto importante; respuestas por grupo</w:t>
      </w:r>
      <w:r>
        <w:rPr>
          <w:rFonts w:ascii="Calibri" w:hAnsi="Calibri"/>
          <w:spacing w:val="-12"/>
          <w:sz w:val="22"/>
        </w:rPr>
        <w:t> </w:t>
      </w:r>
      <w:r>
        <w:rPr>
          <w:rFonts w:ascii="Calibri" w:hAnsi="Calibri"/>
          <w:sz w:val="22"/>
        </w:rPr>
        <w:t>de</w:t>
      </w:r>
      <w:r>
        <w:rPr>
          <w:rFonts w:ascii="Calibri" w:hAnsi="Calibri"/>
          <w:spacing w:val="-1"/>
          <w:sz w:val="22"/>
        </w:rPr>
        <w:t> </w:t>
      </w:r>
      <w:r>
        <w:rPr>
          <w:rFonts w:ascii="Calibri" w:hAnsi="Calibri"/>
          <w:sz w:val="22"/>
        </w:rPr>
        <w:t>edad……………..…..</w:t>
        <w:tab/>
        <w:t>58</w:t>
      </w:r>
    </w:p>
    <w:p>
      <w:pPr>
        <w:tabs>
          <w:tab w:pos="8508" w:val="right" w:leader="none"/>
        </w:tabs>
        <w:spacing w:before="269"/>
        <w:ind w:left="110" w:right="0" w:firstLine="0"/>
        <w:jc w:val="left"/>
        <w:rPr>
          <w:rFonts w:ascii="Calibri" w:hAnsi="Calibri"/>
          <w:sz w:val="22"/>
        </w:rPr>
      </w:pPr>
      <w:r>
        <w:rPr>
          <w:rFonts w:ascii="Calibri" w:hAnsi="Calibri"/>
          <w:sz w:val="22"/>
        </w:rPr>
        <w:t>Tabla 4.27. Aspirante a puesto importante; respuestas por nivel</w:t>
      </w:r>
      <w:r>
        <w:rPr>
          <w:rFonts w:ascii="Calibri" w:hAnsi="Calibri"/>
          <w:spacing w:val="-10"/>
          <w:sz w:val="22"/>
        </w:rPr>
        <w:t> </w:t>
      </w:r>
      <w:r>
        <w:rPr>
          <w:rFonts w:ascii="Calibri" w:hAnsi="Calibri"/>
          <w:sz w:val="22"/>
        </w:rPr>
        <w:t>de</w:t>
      </w:r>
      <w:r>
        <w:rPr>
          <w:rFonts w:ascii="Calibri" w:hAnsi="Calibri"/>
          <w:spacing w:val="-4"/>
          <w:sz w:val="22"/>
        </w:rPr>
        <w:t> </w:t>
      </w:r>
      <w:r>
        <w:rPr>
          <w:rFonts w:ascii="Calibri" w:hAnsi="Calibri"/>
          <w:sz w:val="22"/>
        </w:rPr>
        <w:t>estudios……….…..…</w:t>
        <w:tab/>
        <w:t>59</w:t>
      </w:r>
    </w:p>
    <w:p>
      <w:pPr>
        <w:spacing w:before="269"/>
        <w:ind w:left="110" w:right="0" w:firstLine="0"/>
        <w:jc w:val="left"/>
        <w:rPr>
          <w:rFonts w:ascii="Calibri" w:hAnsi="Calibri"/>
          <w:sz w:val="22"/>
        </w:rPr>
      </w:pPr>
      <w:r>
        <w:rPr>
          <w:rFonts w:ascii="Calibri" w:hAnsi="Calibri"/>
          <w:sz w:val="22"/>
        </w:rPr>
        <w:t>Tabla 4.28. Discurso común para las radiocomunicaciones; respuestas en la totalidad</w:t>
      </w:r>
    </w:p>
    <w:p>
      <w:pPr>
        <w:tabs>
          <w:tab w:pos="8508" w:val="right" w:leader="none"/>
        </w:tabs>
        <w:spacing w:before="0"/>
        <w:ind w:left="110" w:right="0" w:firstLine="0"/>
        <w:jc w:val="left"/>
        <w:rPr>
          <w:rFonts w:ascii="Calibri" w:hAnsi="Calibri"/>
          <w:sz w:val="22"/>
        </w:rPr>
      </w:pPr>
      <w:r>
        <w:rPr>
          <w:rFonts w:ascii="Calibri" w:hAnsi="Calibri"/>
          <w:sz w:val="22"/>
        </w:rPr>
        <w:t>de la población y</w:t>
      </w:r>
      <w:r>
        <w:rPr>
          <w:rFonts w:ascii="Calibri" w:hAnsi="Calibri"/>
          <w:spacing w:val="-8"/>
          <w:sz w:val="22"/>
        </w:rPr>
        <w:t> </w:t>
      </w:r>
      <w:r>
        <w:rPr>
          <w:rFonts w:ascii="Calibri" w:hAnsi="Calibri"/>
          <w:sz w:val="22"/>
        </w:rPr>
        <w:t>por</w:t>
      </w:r>
      <w:r>
        <w:rPr>
          <w:rFonts w:ascii="Calibri" w:hAnsi="Calibri"/>
          <w:spacing w:val="-5"/>
          <w:sz w:val="22"/>
        </w:rPr>
        <w:t> </w:t>
      </w:r>
      <w:r>
        <w:rPr>
          <w:rFonts w:ascii="Calibri" w:hAnsi="Calibri"/>
          <w:sz w:val="22"/>
        </w:rPr>
        <w:t>género…………………………………………………………………………………………</w:t>
        <w:tab/>
        <w:t>59</w:t>
      </w:r>
    </w:p>
    <w:p>
      <w:pPr>
        <w:tabs>
          <w:tab w:pos="8508" w:val="right" w:leader="none"/>
        </w:tabs>
        <w:spacing w:before="269"/>
        <w:ind w:left="110" w:right="309" w:firstLine="0"/>
        <w:jc w:val="left"/>
        <w:rPr>
          <w:rFonts w:ascii="Calibri" w:hAnsi="Calibri"/>
          <w:sz w:val="22"/>
        </w:rPr>
      </w:pPr>
      <w:r>
        <w:rPr>
          <w:rFonts w:ascii="Calibri" w:hAnsi="Calibri"/>
          <w:sz w:val="22"/>
        </w:rPr>
        <w:t>Tabla 4.29. Discurso común para las radiocomunicaciones; respuestas por grupo de edad……………………………………………………………………………………………………………………..........</w:t>
        <w:tab/>
        <w:t>60</w:t>
      </w:r>
    </w:p>
    <w:p>
      <w:pPr>
        <w:tabs>
          <w:tab w:pos="8509" w:val="right" w:leader="none"/>
        </w:tabs>
        <w:spacing w:before="269"/>
        <w:ind w:left="110" w:right="308" w:firstLine="0"/>
        <w:jc w:val="left"/>
        <w:rPr>
          <w:rFonts w:ascii="Calibri" w:hAnsi="Calibri"/>
          <w:sz w:val="22"/>
        </w:rPr>
      </w:pPr>
      <w:r>
        <w:rPr>
          <w:rFonts w:ascii="Calibri" w:hAnsi="Calibri"/>
          <w:sz w:val="22"/>
        </w:rPr>
        <w:t>Tabla 4.30. Discurso común para las radiocomunicaciones; respuestas por nivel de estudios……………………………………………………………………………………………………………………….</w:t>
        <w:tab/>
        <w:t>60</w:t>
      </w:r>
    </w:p>
    <w:p>
      <w:pPr>
        <w:tabs>
          <w:tab w:pos="8509" w:val="right" w:leader="none"/>
        </w:tabs>
        <w:spacing w:before="269"/>
        <w:ind w:left="110" w:right="308" w:firstLine="0"/>
        <w:jc w:val="left"/>
        <w:rPr>
          <w:rFonts w:ascii="Calibri" w:hAnsi="Calibri"/>
          <w:sz w:val="22"/>
        </w:rPr>
      </w:pPr>
      <w:r>
        <w:rPr>
          <w:rFonts w:ascii="Calibri" w:hAnsi="Calibri"/>
          <w:sz w:val="22"/>
        </w:rPr>
        <w:t>Tabla 4.31. Político sin influencia; respuestas en la totalidad de la población y por género………………………………………………………………………………………………………………………….</w:t>
        <w:tab/>
        <w:t>61</w:t>
      </w:r>
    </w:p>
    <w:p>
      <w:pPr>
        <w:tabs>
          <w:tab w:pos="8509" w:val="right" w:leader="none"/>
        </w:tabs>
        <w:spacing w:before="269"/>
        <w:ind w:left="110" w:right="0" w:firstLine="0"/>
        <w:jc w:val="left"/>
        <w:rPr>
          <w:rFonts w:ascii="Calibri" w:hAnsi="Calibri"/>
          <w:sz w:val="22"/>
        </w:rPr>
      </w:pPr>
      <w:r>
        <w:rPr>
          <w:rFonts w:ascii="Calibri" w:hAnsi="Calibri"/>
          <w:sz w:val="22"/>
        </w:rPr>
        <w:t>Tabla 4.32. Político sin influencia; respuestas por grupo</w:t>
      </w:r>
      <w:r>
        <w:rPr>
          <w:rFonts w:ascii="Calibri" w:hAnsi="Calibri"/>
          <w:spacing w:val="-11"/>
          <w:sz w:val="22"/>
        </w:rPr>
        <w:t> </w:t>
      </w:r>
      <w:r>
        <w:rPr>
          <w:rFonts w:ascii="Calibri" w:hAnsi="Calibri"/>
          <w:sz w:val="22"/>
        </w:rPr>
        <w:t>de</w:t>
      </w:r>
      <w:r>
        <w:rPr>
          <w:rFonts w:ascii="Calibri" w:hAnsi="Calibri"/>
          <w:spacing w:val="-3"/>
          <w:sz w:val="22"/>
        </w:rPr>
        <w:t> </w:t>
      </w:r>
      <w:r>
        <w:rPr>
          <w:rFonts w:ascii="Calibri" w:hAnsi="Calibri"/>
          <w:sz w:val="22"/>
        </w:rPr>
        <w:t>edad………………………………..</w:t>
        <w:tab/>
        <w:t>61</w:t>
      </w:r>
    </w:p>
    <w:p>
      <w:pPr>
        <w:spacing w:after="0"/>
        <w:jc w:val="left"/>
        <w:rPr>
          <w:rFonts w:ascii="Calibri" w:hAnsi="Calibri"/>
          <w:sz w:val="22"/>
        </w:rPr>
        <w:sectPr>
          <w:pgSz w:w="12240" w:h="15840"/>
          <w:pgMar w:header="0" w:footer="1003" w:top="1500" w:bottom="1200" w:left="1700" w:right="1720"/>
        </w:sectPr>
      </w:pPr>
    </w:p>
    <w:p>
      <w:pPr>
        <w:tabs>
          <w:tab w:pos="8509" w:val="right" w:leader="none"/>
        </w:tabs>
        <w:spacing w:before="182"/>
        <w:ind w:left="110" w:right="0" w:firstLine="0"/>
        <w:jc w:val="left"/>
        <w:rPr>
          <w:rFonts w:ascii="Calibri" w:hAnsi="Calibri"/>
          <w:sz w:val="22"/>
        </w:rPr>
      </w:pPr>
      <w:r>
        <w:rPr>
          <w:rFonts w:ascii="Calibri" w:hAnsi="Calibri"/>
          <w:sz w:val="22"/>
        </w:rPr>
        <w:t>Tabla 4.33. Político sin influencia; respuestas por nivel</w:t>
      </w:r>
      <w:r>
        <w:rPr>
          <w:rFonts w:ascii="Calibri" w:hAnsi="Calibri"/>
          <w:spacing w:val="-15"/>
          <w:sz w:val="22"/>
        </w:rPr>
        <w:t> </w:t>
      </w:r>
      <w:r>
        <w:rPr>
          <w:rFonts w:ascii="Calibri" w:hAnsi="Calibri"/>
          <w:sz w:val="22"/>
        </w:rPr>
        <w:t>de</w:t>
      </w:r>
      <w:r>
        <w:rPr>
          <w:rFonts w:ascii="Calibri" w:hAnsi="Calibri"/>
          <w:spacing w:val="-1"/>
          <w:sz w:val="22"/>
        </w:rPr>
        <w:t> </w:t>
      </w:r>
      <w:r>
        <w:rPr>
          <w:rFonts w:ascii="Calibri" w:hAnsi="Calibri"/>
          <w:sz w:val="22"/>
        </w:rPr>
        <w:t>estudios…………………………….</w:t>
        <w:tab/>
        <w:t>62</w:t>
      </w:r>
    </w:p>
    <w:p>
      <w:pPr>
        <w:spacing w:before="269"/>
        <w:ind w:left="110" w:right="0" w:firstLine="0"/>
        <w:jc w:val="left"/>
        <w:rPr>
          <w:rFonts w:ascii="Calibri" w:hAnsi="Calibri"/>
          <w:sz w:val="22"/>
        </w:rPr>
      </w:pPr>
      <w:r>
        <w:rPr>
          <w:rFonts w:ascii="Calibri" w:hAnsi="Calibri"/>
          <w:sz w:val="22"/>
        </w:rPr>
        <w:t>Tabla 4.34. Vocabulario de un líder empresarial; respuestas en la totalidad de la</w:t>
      </w:r>
    </w:p>
    <w:p>
      <w:pPr>
        <w:tabs>
          <w:tab w:pos="8509" w:val="right" w:leader="none"/>
        </w:tabs>
        <w:spacing w:before="0"/>
        <w:ind w:left="110" w:right="0" w:firstLine="0"/>
        <w:jc w:val="left"/>
        <w:rPr>
          <w:rFonts w:ascii="Calibri" w:hAnsi="Calibri"/>
          <w:sz w:val="22"/>
        </w:rPr>
      </w:pPr>
      <w:r>
        <w:rPr>
          <w:rFonts w:ascii="Calibri" w:hAnsi="Calibri"/>
          <w:sz w:val="22"/>
        </w:rPr>
        <w:t>población y</w:t>
      </w:r>
      <w:r>
        <w:rPr>
          <w:rFonts w:ascii="Calibri" w:hAnsi="Calibri"/>
          <w:spacing w:val="-6"/>
          <w:sz w:val="22"/>
        </w:rPr>
        <w:t> </w:t>
      </w:r>
      <w:r>
        <w:rPr>
          <w:rFonts w:ascii="Calibri" w:hAnsi="Calibri"/>
          <w:sz w:val="22"/>
        </w:rPr>
        <w:t>por</w:t>
      </w:r>
      <w:r>
        <w:rPr>
          <w:rFonts w:ascii="Calibri" w:hAnsi="Calibri"/>
          <w:spacing w:val="-2"/>
          <w:sz w:val="22"/>
        </w:rPr>
        <w:t> </w:t>
      </w:r>
      <w:r>
        <w:rPr>
          <w:rFonts w:ascii="Calibri" w:hAnsi="Calibri"/>
          <w:sz w:val="22"/>
        </w:rPr>
        <w:t>género…………………………………………………………………………………………………</w:t>
        <w:tab/>
        <w:t>62</w:t>
      </w:r>
    </w:p>
    <w:p>
      <w:pPr>
        <w:tabs>
          <w:tab w:pos="8509" w:val="right" w:leader="none"/>
        </w:tabs>
        <w:spacing w:before="269"/>
        <w:ind w:left="110" w:right="0" w:firstLine="0"/>
        <w:jc w:val="left"/>
        <w:rPr>
          <w:rFonts w:ascii="Calibri" w:hAnsi="Calibri"/>
          <w:sz w:val="22"/>
        </w:rPr>
      </w:pPr>
      <w:r>
        <w:rPr>
          <w:rFonts w:ascii="Calibri" w:hAnsi="Calibri"/>
          <w:sz w:val="22"/>
        </w:rPr>
        <w:t>Tabla 4.35. Vocabulario de un líder empresarial; respuestas por grupo</w:t>
      </w:r>
      <w:r>
        <w:rPr>
          <w:rFonts w:ascii="Calibri" w:hAnsi="Calibri"/>
          <w:spacing w:val="-9"/>
          <w:sz w:val="22"/>
        </w:rPr>
        <w:t> </w:t>
      </w:r>
      <w:r>
        <w:rPr>
          <w:rFonts w:ascii="Calibri" w:hAnsi="Calibri"/>
          <w:sz w:val="22"/>
        </w:rPr>
        <w:t>de</w:t>
      </w:r>
      <w:r>
        <w:rPr>
          <w:rFonts w:ascii="Calibri" w:hAnsi="Calibri"/>
          <w:spacing w:val="-3"/>
          <w:sz w:val="22"/>
        </w:rPr>
        <w:t> </w:t>
      </w:r>
      <w:r>
        <w:rPr>
          <w:rFonts w:ascii="Calibri" w:hAnsi="Calibri"/>
          <w:sz w:val="22"/>
        </w:rPr>
        <w:t>edad…………..</w:t>
        <w:tab/>
        <w:t>63</w:t>
      </w:r>
    </w:p>
    <w:p>
      <w:pPr>
        <w:tabs>
          <w:tab w:pos="8509" w:val="right" w:leader="none"/>
        </w:tabs>
        <w:spacing w:before="269"/>
        <w:ind w:left="110" w:right="0" w:firstLine="0"/>
        <w:jc w:val="left"/>
        <w:rPr>
          <w:rFonts w:ascii="Calibri" w:hAnsi="Calibri"/>
          <w:sz w:val="22"/>
        </w:rPr>
      </w:pPr>
      <w:r>
        <w:rPr>
          <w:rFonts w:ascii="Calibri" w:hAnsi="Calibri"/>
          <w:sz w:val="22"/>
        </w:rPr>
        <w:t>Tabla 4.36. Vocabulario de un líder empresarial; respuestas por nivel</w:t>
      </w:r>
      <w:r>
        <w:rPr>
          <w:rFonts w:ascii="Calibri" w:hAnsi="Calibri"/>
          <w:spacing w:val="-11"/>
          <w:sz w:val="22"/>
        </w:rPr>
        <w:t> </w:t>
      </w:r>
      <w:r>
        <w:rPr>
          <w:rFonts w:ascii="Calibri" w:hAnsi="Calibri"/>
          <w:sz w:val="22"/>
        </w:rPr>
        <w:t>de</w:t>
      </w:r>
      <w:r>
        <w:rPr>
          <w:rFonts w:ascii="Calibri" w:hAnsi="Calibri"/>
          <w:spacing w:val="-3"/>
          <w:sz w:val="22"/>
        </w:rPr>
        <w:t> </w:t>
      </w:r>
      <w:r>
        <w:rPr>
          <w:rFonts w:ascii="Calibri" w:hAnsi="Calibri"/>
          <w:sz w:val="22"/>
        </w:rPr>
        <w:t>estudios……….</w:t>
        <w:tab/>
        <w:t>63</w:t>
      </w:r>
    </w:p>
    <w:p>
      <w:pPr>
        <w:spacing w:before="266"/>
        <w:ind w:left="110" w:right="0" w:firstLine="0"/>
        <w:jc w:val="left"/>
        <w:rPr>
          <w:rFonts w:ascii="Calibri" w:hAnsi="Calibri"/>
          <w:sz w:val="22"/>
        </w:rPr>
      </w:pPr>
      <w:r>
        <w:rPr>
          <w:rFonts w:ascii="Calibri" w:hAnsi="Calibri"/>
          <w:sz w:val="22"/>
        </w:rPr>
        <w:t>Tabla 4.37. Técnico computacional apropiado; respuestas en la totalidad de la</w:t>
      </w:r>
    </w:p>
    <w:p>
      <w:pPr>
        <w:tabs>
          <w:tab w:pos="8509" w:val="right" w:leader="none"/>
        </w:tabs>
        <w:spacing w:before="0"/>
        <w:ind w:left="110" w:right="0" w:firstLine="0"/>
        <w:jc w:val="left"/>
        <w:rPr>
          <w:rFonts w:ascii="Calibri" w:hAnsi="Calibri"/>
          <w:sz w:val="22"/>
        </w:rPr>
      </w:pPr>
      <w:r>
        <w:rPr>
          <w:rFonts w:ascii="Calibri" w:hAnsi="Calibri"/>
          <w:sz w:val="22"/>
        </w:rPr>
        <w:t>población y</w:t>
      </w:r>
      <w:r>
        <w:rPr>
          <w:rFonts w:ascii="Calibri" w:hAnsi="Calibri"/>
          <w:spacing w:val="-6"/>
          <w:sz w:val="22"/>
        </w:rPr>
        <w:t> </w:t>
      </w:r>
      <w:r>
        <w:rPr>
          <w:rFonts w:ascii="Calibri" w:hAnsi="Calibri"/>
          <w:sz w:val="22"/>
        </w:rPr>
        <w:t>por</w:t>
      </w:r>
      <w:r>
        <w:rPr>
          <w:rFonts w:ascii="Calibri" w:hAnsi="Calibri"/>
          <w:spacing w:val="-2"/>
          <w:sz w:val="22"/>
        </w:rPr>
        <w:t> </w:t>
      </w:r>
      <w:r>
        <w:rPr>
          <w:rFonts w:ascii="Calibri" w:hAnsi="Calibri"/>
          <w:sz w:val="22"/>
        </w:rPr>
        <w:t>género…………………………………………………………………………………………………</w:t>
        <w:tab/>
        <w:t>64</w:t>
      </w:r>
    </w:p>
    <w:p>
      <w:pPr>
        <w:tabs>
          <w:tab w:pos="8509" w:val="right" w:leader="none"/>
        </w:tabs>
        <w:spacing w:before="269"/>
        <w:ind w:left="110" w:right="0" w:firstLine="0"/>
        <w:jc w:val="left"/>
        <w:rPr>
          <w:rFonts w:ascii="Calibri" w:hAnsi="Calibri"/>
          <w:sz w:val="22"/>
        </w:rPr>
      </w:pPr>
      <w:r>
        <w:rPr>
          <w:rFonts w:ascii="Calibri" w:hAnsi="Calibri"/>
          <w:sz w:val="22"/>
        </w:rPr>
        <w:t>Tabla 4.38. Técnico computacional apropiado; respuestas por grupo</w:t>
      </w:r>
      <w:r>
        <w:rPr>
          <w:rFonts w:ascii="Calibri" w:hAnsi="Calibri"/>
          <w:spacing w:val="-12"/>
          <w:sz w:val="22"/>
        </w:rPr>
        <w:t> </w:t>
      </w:r>
      <w:r>
        <w:rPr>
          <w:rFonts w:ascii="Calibri" w:hAnsi="Calibri"/>
          <w:sz w:val="22"/>
        </w:rPr>
        <w:t>de</w:t>
      </w:r>
      <w:r>
        <w:rPr>
          <w:rFonts w:ascii="Calibri" w:hAnsi="Calibri"/>
          <w:spacing w:val="-2"/>
          <w:sz w:val="22"/>
        </w:rPr>
        <w:t> </w:t>
      </w:r>
      <w:r>
        <w:rPr>
          <w:rFonts w:ascii="Calibri" w:hAnsi="Calibri"/>
          <w:sz w:val="22"/>
        </w:rPr>
        <w:t>edad..…………..</w:t>
        <w:tab/>
        <w:t>65</w:t>
      </w:r>
    </w:p>
    <w:p>
      <w:pPr>
        <w:tabs>
          <w:tab w:pos="8509" w:val="right" w:leader="none"/>
        </w:tabs>
        <w:spacing w:before="269"/>
        <w:ind w:left="110" w:right="0" w:firstLine="0"/>
        <w:jc w:val="left"/>
        <w:rPr>
          <w:rFonts w:ascii="Calibri" w:hAnsi="Calibri"/>
          <w:sz w:val="22"/>
        </w:rPr>
      </w:pPr>
      <w:r>
        <w:rPr>
          <w:rFonts w:ascii="Calibri" w:hAnsi="Calibri"/>
          <w:sz w:val="22"/>
        </w:rPr>
        <w:t>Tabla 4.39. Técnico computacional apropiado; respuestas por nivel</w:t>
      </w:r>
      <w:r>
        <w:rPr>
          <w:rFonts w:ascii="Calibri" w:hAnsi="Calibri"/>
          <w:spacing w:val="-15"/>
          <w:sz w:val="22"/>
        </w:rPr>
        <w:t> </w:t>
      </w:r>
      <w:r>
        <w:rPr>
          <w:rFonts w:ascii="Calibri" w:hAnsi="Calibri"/>
          <w:sz w:val="22"/>
        </w:rPr>
        <w:t>de</w:t>
      </w:r>
      <w:r>
        <w:rPr>
          <w:rFonts w:ascii="Calibri" w:hAnsi="Calibri"/>
          <w:spacing w:val="-3"/>
          <w:sz w:val="22"/>
        </w:rPr>
        <w:t> </w:t>
      </w:r>
      <w:r>
        <w:rPr>
          <w:rFonts w:ascii="Calibri" w:hAnsi="Calibri"/>
          <w:sz w:val="22"/>
        </w:rPr>
        <w:t>estudios..……….</w:t>
        <w:tab/>
        <w:t>65</w:t>
      </w:r>
    </w:p>
    <w:p>
      <w:pPr>
        <w:spacing w:before="269"/>
        <w:ind w:left="110" w:right="0" w:firstLine="0"/>
        <w:jc w:val="left"/>
        <w:rPr>
          <w:rFonts w:ascii="Calibri" w:hAnsi="Calibri"/>
          <w:sz w:val="22"/>
        </w:rPr>
      </w:pPr>
      <w:r>
        <w:rPr>
          <w:rFonts w:ascii="Calibri" w:hAnsi="Calibri"/>
          <w:sz w:val="22"/>
        </w:rPr>
        <w:t>Tabla 4.40. Anuncio publicitario con fama; respuestas en la totalidad de la población y</w:t>
      </w:r>
    </w:p>
    <w:p>
      <w:pPr>
        <w:tabs>
          <w:tab w:pos="8509" w:val="right" w:leader="none"/>
        </w:tabs>
        <w:spacing w:before="0"/>
        <w:ind w:left="110" w:right="0" w:firstLine="0"/>
        <w:jc w:val="left"/>
        <w:rPr>
          <w:rFonts w:ascii="Calibri" w:hAnsi="Calibri"/>
          <w:sz w:val="22"/>
        </w:rPr>
      </w:pPr>
      <w:r>
        <w:rPr>
          <w:rFonts w:ascii="Calibri" w:hAnsi="Calibri"/>
          <w:sz w:val="22"/>
        </w:rPr>
        <w:t>por</w:t>
      </w:r>
      <w:r>
        <w:rPr>
          <w:rFonts w:ascii="Calibri" w:hAnsi="Calibri"/>
          <w:spacing w:val="-3"/>
          <w:sz w:val="22"/>
        </w:rPr>
        <w:t> </w:t>
      </w:r>
      <w:r>
        <w:rPr>
          <w:rFonts w:ascii="Calibri" w:hAnsi="Calibri"/>
          <w:sz w:val="22"/>
        </w:rPr>
        <w:t>género…………………………………………………………………………………………………………………….</w:t>
        <w:tab/>
        <w:t>66</w:t>
      </w:r>
    </w:p>
    <w:p>
      <w:pPr>
        <w:tabs>
          <w:tab w:pos="8509" w:val="right" w:leader="none"/>
        </w:tabs>
        <w:spacing w:before="266"/>
        <w:ind w:left="110" w:right="0" w:firstLine="0"/>
        <w:jc w:val="left"/>
        <w:rPr>
          <w:rFonts w:ascii="Calibri" w:hAnsi="Calibri"/>
          <w:sz w:val="22"/>
        </w:rPr>
      </w:pPr>
      <w:r>
        <w:rPr>
          <w:rFonts w:ascii="Calibri" w:hAnsi="Calibri"/>
          <w:sz w:val="22"/>
        </w:rPr>
        <w:t>Tabla 4.41. Anuncio publicitario con fama; respuestas por grupo</w:t>
      </w:r>
      <w:r>
        <w:rPr>
          <w:rFonts w:ascii="Calibri" w:hAnsi="Calibri"/>
          <w:spacing w:val="-13"/>
          <w:sz w:val="22"/>
        </w:rPr>
        <w:t> </w:t>
      </w:r>
      <w:r>
        <w:rPr>
          <w:rFonts w:ascii="Calibri" w:hAnsi="Calibri"/>
          <w:sz w:val="22"/>
        </w:rPr>
        <w:t>de</w:t>
      </w:r>
      <w:r>
        <w:rPr>
          <w:rFonts w:ascii="Calibri" w:hAnsi="Calibri"/>
          <w:spacing w:val="-1"/>
          <w:sz w:val="22"/>
        </w:rPr>
        <w:t> </w:t>
      </w:r>
      <w:r>
        <w:rPr>
          <w:rFonts w:ascii="Calibri" w:hAnsi="Calibri"/>
          <w:sz w:val="22"/>
        </w:rPr>
        <w:t>edad……………………</w:t>
        <w:tab/>
        <w:t>66</w:t>
      </w:r>
    </w:p>
    <w:p>
      <w:pPr>
        <w:tabs>
          <w:tab w:pos="8508" w:val="right" w:leader="none"/>
        </w:tabs>
        <w:spacing w:before="269"/>
        <w:ind w:left="110" w:right="0" w:firstLine="0"/>
        <w:jc w:val="left"/>
        <w:rPr>
          <w:rFonts w:ascii="Calibri" w:hAnsi="Calibri"/>
          <w:sz w:val="22"/>
        </w:rPr>
      </w:pPr>
      <w:r>
        <w:rPr>
          <w:rFonts w:ascii="Calibri" w:hAnsi="Calibri"/>
          <w:sz w:val="22"/>
        </w:rPr>
        <w:t>Tabla 4.42. Anuncio publicitario con fama; respuestas por nivel</w:t>
      </w:r>
      <w:r>
        <w:rPr>
          <w:rFonts w:ascii="Calibri" w:hAnsi="Calibri"/>
          <w:spacing w:val="-17"/>
          <w:sz w:val="22"/>
        </w:rPr>
        <w:t> </w:t>
      </w:r>
      <w:r>
        <w:rPr>
          <w:rFonts w:ascii="Calibri" w:hAnsi="Calibri"/>
          <w:sz w:val="22"/>
        </w:rPr>
        <w:t>de</w:t>
      </w:r>
      <w:r>
        <w:rPr>
          <w:rFonts w:ascii="Calibri" w:hAnsi="Calibri"/>
          <w:spacing w:val="-3"/>
          <w:sz w:val="22"/>
        </w:rPr>
        <w:t> </w:t>
      </w:r>
      <w:r>
        <w:rPr>
          <w:rFonts w:ascii="Calibri" w:hAnsi="Calibri"/>
          <w:sz w:val="22"/>
        </w:rPr>
        <w:t>estudios………………..</w:t>
        <w:tab/>
        <w:t>67</w:t>
      </w:r>
    </w:p>
    <w:p>
      <w:pPr>
        <w:tabs>
          <w:tab w:pos="8508" w:val="right" w:leader="none"/>
        </w:tabs>
        <w:spacing w:before="269"/>
        <w:ind w:left="110" w:right="0" w:firstLine="0"/>
        <w:jc w:val="left"/>
        <w:rPr>
          <w:rFonts w:ascii="Calibri" w:hAnsi="Calibri"/>
          <w:sz w:val="22"/>
        </w:rPr>
      </w:pPr>
      <w:r>
        <w:rPr>
          <w:rFonts w:ascii="Calibri" w:hAnsi="Calibri"/>
          <w:sz w:val="22"/>
        </w:rPr>
        <w:t>Tabla 4.43. Contexto informal; respuestas en la totalidad de la población y</w:t>
      </w:r>
      <w:r>
        <w:rPr>
          <w:rFonts w:ascii="Calibri" w:hAnsi="Calibri"/>
          <w:spacing w:val="-15"/>
          <w:sz w:val="22"/>
        </w:rPr>
        <w:t> </w:t>
      </w:r>
      <w:r>
        <w:rPr>
          <w:rFonts w:ascii="Calibri" w:hAnsi="Calibri"/>
          <w:sz w:val="22"/>
        </w:rPr>
        <w:t>por</w:t>
      </w:r>
      <w:r>
        <w:rPr>
          <w:rFonts w:ascii="Calibri" w:hAnsi="Calibri"/>
          <w:spacing w:val="-1"/>
          <w:sz w:val="22"/>
        </w:rPr>
        <w:t> </w:t>
      </w:r>
      <w:r>
        <w:rPr>
          <w:rFonts w:ascii="Calibri" w:hAnsi="Calibri"/>
          <w:sz w:val="22"/>
        </w:rPr>
        <w:t>género</w:t>
        <w:tab/>
        <w:t>67</w:t>
      </w:r>
    </w:p>
    <w:p>
      <w:pPr>
        <w:tabs>
          <w:tab w:pos="8508" w:val="right" w:leader="none"/>
        </w:tabs>
        <w:spacing w:before="269"/>
        <w:ind w:left="110" w:right="0" w:firstLine="0"/>
        <w:jc w:val="left"/>
        <w:rPr>
          <w:rFonts w:ascii="Calibri" w:hAnsi="Calibri"/>
          <w:sz w:val="22"/>
        </w:rPr>
      </w:pPr>
      <w:r>
        <w:rPr>
          <w:rFonts w:ascii="Calibri" w:hAnsi="Calibri"/>
          <w:sz w:val="22"/>
        </w:rPr>
        <w:t>Tabla 4.44. Contexto informal; respuestas por grupo</w:t>
      </w:r>
      <w:r>
        <w:rPr>
          <w:rFonts w:ascii="Calibri" w:hAnsi="Calibri"/>
          <w:spacing w:val="-10"/>
          <w:sz w:val="22"/>
        </w:rPr>
        <w:t> </w:t>
      </w:r>
      <w:r>
        <w:rPr>
          <w:rFonts w:ascii="Calibri" w:hAnsi="Calibri"/>
          <w:sz w:val="22"/>
        </w:rPr>
        <w:t>de</w:t>
      </w:r>
      <w:r>
        <w:rPr>
          <w:rFonts w:ascii="Calibri" w:hAnsi="Calibri"/>
          <w:spacing w:val="-2"/>
          <w:sz w:val="22"/>
        </w:rPr>
        <w:t> </w:t>
      </w:r>
      <w:r>
        <w:rPr>
          <w:rFonts w:ascii="Calibri" w:hAnsi="Calibri"/>
          <w:sz w:val="22"/>
        </w:rPr>
        <w:t>edad……………………………………..</w:t>
        <w:tab/>
        <w:t>68</w:t>
      </w:r>
    </w:p>
    <w:p>
      <w:pPr>
        <w:tabs>
          <w:tab w:pos="8508" w:val="right" w:leader="none"/>
        </w:tabs>
        <w:spacing w:before="269"/>
        <w:ind w:left="110" w:right="0" w:firstLine="0"/>
        <w:jc w:val="left"/>
        <w:rPr>
          <w:rFonts w:ascii="Calibri" w:hAnsi="Calibri"/>
          <w:sz w:val="22"/>
        </w:rPr>
      </w:pPr>
      <w:r>
        <w:rPr>
          <w:rFonts w:ascii="Calibri" w:hAnsi="Calibri"/>
          <w:sz w:val="22"/>
        </w:rPr>
        <w:t>Tabla 4.45. Contexto informal; respuestas por nivel</w:t>
      </w:r>
      <w:r>
        <w:rPr>
          <w:rFonts w:ascii="Calibri" w:hAnsi="Calibri"/>
          <w:spacing w:val="-10"/>
          <w:sz w:val="22"/>
        </w:rPr>
        <w:t> </w:t>
      </w:r>
      <w:r>
        <w:rPr>
          <w:rFonts w:ascii="Calibri" w:hAnsi="Calibri"/>
          <w:sz w:val="22"/>
        </w:rPr>
        <w:t>de</w:t>
      </w:r>
      <w:r>
        <w:rPr>
          <w:rFonts w:ascii="Calibri" w:hAnsi="Calibri"/>
          <w:spacing w:val="-2"/>
          <w:sz w:val="22"/>
        </w:rPr>
        <w:t> </w:t>
      </w:r>
      <w:r>
        <w:rPr>
          <w:rFonts w:ascii="Calibri" w:hAnsi="Calibri"/>
          <w:sz w:val="22"/>
        </w:rPr>
        <w:t>estudios………………………………….</w:t>
        <w:tab/>
        <w:t>68</w:t>
      </w:r>
    </w:p>
    <w:p>
      <w:pPr>
        <w:tabs>
          <w:tab w:pos="8508" w:val="right" w:leader="none"/>
        </w:tabs>
        <w:spacing w:before="266"/>
        <w:ind w:left="110" w:right="309" w:firstLine="0"/>
        <w:jc w:val="left"/>
        <w:rPr>
          <w:rFonts w:ascii="Calibri" w:hAnsi="Calibri"/>
          <w:sz w:val="22"/>
        </w:rPr>
      </w:pPr>
      <w:r>
        <w:rPr>
          <w:rFonts w:ascii="Calibri" w:hAnsi="Calibri"/>
          <w:sz w:val="22"/>
        </w:rPr>
        <w:t>Tabla 4.46. Discurso de un obrero; respuestas en la totalidad de la población y </w:t>
      </w:r>
      <w:r>
        <w:rPr>
          <w:rFonts w:ascii="Calibri" w:hAnsi="Calibri"/>
          <w:spacing w:val="-2"/>
          <w:sz w:val="22"/>
        </w:rPr>
        <w:t>por </w:t>
      </w:r>
      <w:r>
        <w:rPr>
          <w:rFonts w:ascii="Calibri" w:hAnsi="Calibri"/>
          <w:sz w:val="22"/>
        </w:rPr>
        <w:t>género………………………………………………………………………………………………………………………….</w:t>
        <w:tab/>
        <w:t>69</w:t>
      </w:r>
    </w:p>
    <w:p>
      <w:pPr>
        <w:tabs>
          <w:tab w:pos="8508" w:val="right" w:leader="none"/>
        </w:tabs>
        <w:spacing w:before="269"/>
        <w:ind w:left="110" w:right="0" w:firstLine="0"/>
        <w:jc w:val="left"/>
        <w:rPr>
          <w:rFonts w:ascii="Calibri" w:hAnsi="Calibri"/>
          <w:sz w:val="22"/>
        </w:rPr>
      </w:pPr>
      <w:r>
        <w:rPr>
          <w:rFonts w:ascii="Calibri" w:hAnsi="Calibri"/>
          <w:sz w:val="22"/>
        </w:rPr>
        <w:t>Tabla 4.47. Discurso de un obrero; respuestas por grupo</w:t>
      </w:r>
      <w:r>
        <w:rPr>
          <w:rFonts w:ascii="Calibri" w:hAnsi="Calibri"/>
          <w:spacing w:val="-14"/>
          <w:sz w:val="22"/>
        </w:rPr>
        <w:t> </w:t>
      </w:r>
      <w:r>
        <w:rPr>
          <w:rFonts w:ascii="Calibri" w:hAnsi="Calibri"/>
          <w:sz w:val="22"/>
        </w:rPr>
        <w:t>de</w:t>
      </w:r>
      <w:r>
        <w:rPr>
          <w:rFonts w:ascii="Calibri" w:hAnsi="Calibri"/>
          <w:spacing w:val="-3"/>
          <w:sz w:val="22"/>
        </w:rPr>
        <w:t> </w:t>
      </w:r>
      <w:r>
        <w:rPr>
          <w:rFonts w:ascii="Calibri" w:hAnsi="Calibri"/>
          <w:sz w:val="22"/>
        </w:rPr>
        <w:t>edad……………….……………..</w:t>
        <w:tab/>
        <w:t>69</w:t>
      </w:r>
    </w:p>
    <w:p>
      <w:pPr>
        <w:tabs>
          <w:tab w:pos="8509" w:val="right" w:leader="none"/>
        </w:tabs>
        <w:spacing w:before="269"/>
        <w:ind w:left="110" w:right="0" w:firstLine="0"/>
        <w:jc w:val="left"/>
        <w:rPr>
          <w:rFonts w:ascii="Calibri" w:hAnsi="Calibri"/>
          <w:sz w:val="22"/>
        </w:rPr>
      </w:pPr>
      <w:r>
        <w:rPr>
          <w:rFonts w:ascii="Calibri" w:hAnsi="Calibri"/>
          <w:sz w:val="22"/>
        </w:rPr>
        <w:t>Tabla 4.48. Discurso de un obrero; respuestas por nivel</w:t>
      </w:r>
      <w:r>
        <w:rPr>
          <w:rFonts w:ascii="Calibri" w:hAnsi="Calibri"/>
          <w:spacing w:val="-17"/>
          <w:sz w:val="22"/>
        </w:rPr>
        <w:t> </w:t>
      </w:r>
      <w:r>
        <w:rPr>
          <w:rFonts w:ascii="Calibri" w:hAnsi="Calibri"/>
          <w:sz w:val="22"/>
        </w:rPr>
        <w:t>de</w:t>
      </w:r>
      <w:r>
        <w:rPr>
          <w:rFonts w:ascii="Calibri" w:hAnsi="Calibri"/>
          <w:spacing w:val="-2"/>
          <w:sz w:val="22"/>
        </w:rPr>
        <w:t> </w:t>
      </w:r>
      <w:r>
        <w:rPr>
          <w:rFonts w:ascii="Calibri" w:hAnsi="Calibri"/>
          <w:sz w:val="22"/>
        </w:rPr>
        <w:t>estudios…………………..……….</w:t>
        <w:tab/>
        <w:t>70</w:t>
      </w:r>
    </w:p>
    <w:p>
      <w:pPr>
        <w:spacing w:before="269"/>
        <w:ind w:left="110" w:right="0" w:firstLine="0"/>
        <w:jc w:val="left"/>
        <w:rPr>
          <w:rFonts w:ascii="Calibri" w:hAnsi="Calibri"/>
          <w:sz w:val="22"/>
        </w:rPr>
      </w:pPr>
      <w:r>
        <w:rPr>
          <w:rFonts w:ascii="Calibri" w:hAnsi="Calibri"/>
          <w:sz w:val="22"/>
        </w:rPr>
        <w:t>Tabla 4.49. Ingeniero en computación apropiado; respuestas en la totalidad de la</w:t>
      </w:r>
    </w:p>
    <w:p>
      <w:pPr>
        <w:tabs>
          <w:tab w:pos="8509" w:val="right" w:leader="none"/>
        </w:tabs>
        <w:spacing w:before="0"/>
        <w:ind w:left="110" w:right="0" w:firstLine="0"/>
        <w:jc w:val="left"/>
        <w:rPr>
          <w:rFonts w:ascii="Calibri" w:hAnsi="Calibri"/>
          <w:sz w:val="22"/>
        </w:rPr>
      </w:pPr>
      <w:r>
        <w:rPr>
          <w:rFonts w:ascii="Calibri" w:hAnsi="Calibri"/>
          <w:sz w:val="22"/>
        </w:rPr>
        <w:t>población y</w:t>
      </w:r>
      <w:r>
        <w:rPr>
          <w:rFonts w:ascii="Calibri" w:hAnsi="Calibri"/>
          <w:spacing w:val="-6"/>
          <w:sz w:val="22"/>
        </w:rPr>
        <w:t> </w:t>
      </w:r>
      <w:r>
        <w:rPr>
          <w:rFonts w:ascii="Calibri" w:hAnsi="Calibri"/>
          <w:sz w:val="22"/>
        </w:rPr>
        <w:t>por</w:t>
      </w:r>
      <w:r>
        <w:rPr>
          <w:rFonts w:ascii="Calibri" w:hAnsi="Calibri"/>
          <w:spacing w:val="-2"/>
          <w:sz w:val="22"/>
        </w:rPr>
        <w:t> </w:t>
      </w:r>
      <w:r>
        <w:rPr>
          <w:rFonts w:ascii="Calibri" w:hAnsi="Calibri"/>
          <w:sz w:val="22"/>
        </w:rPr>
        <w:t>género…………………………………………………………………………………………………</w:t>
        <w:tab/>
        <w:t>70</w:t>
      </w:r>
    </w:p>
    <w:p>
      <w:pPr>
        <w:tabs>
          <w:tab w:pos="8508" w:val="right" w:leader="none"/>
        </w:tabs>
        <w:spacing w:before="267"/>
        <w:ind w:left="110" w:right="0" w:firstLine="0"/>
        <w:jc w:val="left"/>
        <w:rPr>
          <w:rFonts w:ascii="Calibri" w:hAnsi="Calibri"/>
          <w:sz w:val="22"/>
        </w:rPr>
      </w:pPr>
      <w:r>
        <w:rPr>
          <w:rFonts w:ascii="Calibri" w:hAnsi="Calibri"/>
          <w:sz w:val="22"/>
        </w:rPr>
        <w:t>Tabla 4.50. Ingeniero en computación apropiado; respuestas por grupo</w:t>
      </w:r>
      <w:r>
        <w:rPr>
          <w:rFonts w:ascii="Calibri" w:hAnsi="Calibri"/>
          <w:spacing w:val="-13"/>
          <w:sz w:val="22"/>
        </w:rPr>
        <w:t> </w:t>
      </w:r>
      <w:r>
        <w:rPr>
          <w:rFonts w:ascii="Calibri" w:hAnsi="Calibri"/>
          <w:sz w:val="22"/>
        </w:rPr>
        <w:t>de</w:t>
      </w:r>
      <w:r>
        <w:rPr>
          <w:rFonts w:ascii="Calibri" w:hAnsi="Calibri"/>
          <w:spacing w:val="-2"/>
          <w:sz w:val="22"/>
        </w:rPr>
        <w:t> </w:t>
      </w:r>
      <w:r>
        <w:rPr>
          <w:rFonts w:ascii="Calibri" w:hAnsi="Calibri"/>
          <w:sz w:val="22"/>
        </w:rPr>
        <w:t>edad..……...</w:t>
        <w:tab/>
        <w:t>71</w:t>
      </w:r>
    </w:p>
    <w:p>
      <w:pPr>
        <w:tabs>
          <w:tab w:pos="8508" w:val="right" w:leader="none"/>
        </w:tabs>
        <w:spacing w:before="269"/>
        <w:ind w:left="110" w:right="0" w:firstLine="0"/>
        <w:jc w:val="left"/>
        <w:rPr>
          <w:rFonts w:ascii="Calibri" w:hAnsi="Calibri"/>
          <w:sz w:val="22"/>
        </w:rPr>
      </w:pPr>
      <w:r>
        <w:rPr>
          <w:rFonts w:ascii="Calibri" w:hAnsi="Calibri"/>
          <w:sz w:val="22"/>
        </w:rPr>
        <w:t>Tabla 4.51. Ingeniero en computación apropiado; respuestas por nivel</w:t>
      </w:r>
      <w:r>
        <w:rPr>
          <w:rFonts w:ascii="Calibri" w:hAnsi="Calibri"/>
          <w:spacing w:val="-13"/>
          <w:sz w:val="22"/>
        </w:rPr>
        <w:t> </w:t>
      </w:r>
      <w:r>
        <w:rPr>
          <w:rFonts w:ascii="Calibri" w:hAnsi="Calibri"/>
          <w:sz w:val="22"/>
        </w:rPr>
        <w:t>de</w:t>
      </w:r>
      <w:r>
        <w:rPr>
          <w:rFonts w:ascii="Calibri" w:hAnsi="Calibri"/>
          <w:spacing w:val="-4"/>
          <w:sz w:val="22"/>
        </w:rPr>
        <w:t> </w:t>
      </w:r>
      <w:r>
        <w:rPr>
          <w:rFonts w:ascii="Calibri" w:hAnsi="Calibri"/>
          <w:sz w:val="22"/>
        </w:rPr>
        <w:t>estudios..…..</w:t>
        <w:tab/>
        <w:t>71</w:t>
      </w:r>
    </w:p>
    <w:p>
      <w:pPr>
        <w:spacing w:before="269"/>
        <w:ind w:left="110" w:right="0" w:firstLine="0"/>
        <w:jc w:val="left"/>
        <w:rPr>
          <w:rFonts w:ascii="Calibri" w:hAnsi="Calibri"/>
          <w:sz w:val="22"/>
        </w:rPr>
      </w:pPr>
      <w:r>
        <w:rPr>
          <w:rFonts w:ascii="Calibri" w:hAnsi="Calibri"/>
          <w:sz w:val="22"/>
        </w:rPr>
        <w:t>Tabla 4.52. Anuncio comercial de renombre; respuestas en la totalidad de la población</w:t>
      </w:r>
    </w:p>
    <w:p>
      <w:pPr>
        <w:tabs>
          <w:tab w:pos="8509" w:val="right" w:leader="none"/>
        </w:tabs>
        <w:spacing w:before="0"/>
        <w:ind w:left="110" w:right="0" w:firstLine="0"/>
        <w:jc w:val="left"/>
        <w:rPr>
          <w:rFonts w:ascii="Calibri" w:hAnsi="Calibri"/>
          <w:sz w:val="22"/>
        </w:rPr>
      </w:pPr>
      <w:r>
        <w:rPr>
          <w:rFonts w:ascii="Calibri" w:hAnsi="Calibri"/>
          <w:sz w:val="22"/>
        </w:rPr>
        <w:t>y</w:t>
      </w:r>
      <w:r>
        <w:rPr>
          <w:rFonts w:ascii="Calibri" w:hAnsi="Calibri"/>
          <w:spacing w:val="-2"/>
          <w:sz w:val="22"/>
        </w:rPr>
        <w:t> </w:t>
      </w:r>
      <w:r>
        <w:rPr>
          <w:rFonts w:ascii="Calibri" w:hAnsi="Calibri"/>
          <w:sz w:val="22"/>
        </w:rPr>
        <w:t>por</w:t>
      </w:r>
      <w:r>
        <w:rPr>
          <w:rFonts w:ascii="Calibri" w:hAnsi="Calibri"/>
          <w:spacing w:val="-5"/>
          <w:sz w:val="22"/>
        </w:rPr>
        <w:t> </w:t>
      </w:r>
      <w:r>
        <w:rPr>
          <w:rFonts w:ascii="Calibri" w:hAnsi="Calibri"/>
          <w:sz w:val="22"/>
        </w:rPr>
        <w:t>género………………………………………………………………………………………………....................</w:t>
        <w:tab/>
        <w:t>72</w:t>
      </w:r>
    </w:p>
    <w:p>
      <w:pPr>
        <w:tabs>
          <w:tab w:pos="8509" w:val="right" w:leader="none"/>
        </w:tabs>
        <w:spacing w:before="269"/>
        <w:ind w:left="110" w:right="0" w:firstLine="0"/>
        <w:jc w:val="left"/>
        <w:rPr>
          <w:rFonts w:ascii="Calibri" w:hAnsi="Calibri"/>
          <w:sz w:val="22"/>
        </w:rPr>
      </w:pPr>
      <w:r>
        <w:rPr>
          <w:rFonts w:ascii="Calibri" w:hAnsi="Calibri"/>
          <w:sz w:val="22"/>
        </w:rPr>
        <w:t>Tabla 4.53. Anuncio comercial de renombre; respuestas por grupo</w:t>
      </w:r>
      <w:r>
        <w:rPr>
          <w:rFonts w:ascii="Calibri" w:hAnsi="Calibri"/>
          <w:spacing w:val="-13"/>
          <w:sz w:val="22"/>
        </w:rPr>
        <w:t> </w:t>
      </w:r>
      <w:r>
        <w:rPr>
          <w:rFonts w:ascii="Calibri" w:hAnsi="Calibri"/>
          <w:sz w:val="22"/>
        </w:rPr>
        <w:t>de</w:t>
      </w:r>
      <w:r>
        <w:rPr>
          <w:rFonts w:ascii="Calibri" w:hAnsi="Calibri"/>
          <w:spacing w:val="-3"/>
          <w:sz w:val="22"/>
        </w:rPr>
        <w:t> </w:t>
      </w:r>
      <w:r>
        <w:rPr>
          <w:rFonts w:ascii="Calibri" w:hAnsi="Calibri"/>
          <w:sz w:val="22"/>
        </w:rPr>
        <w:t>edad………………..</w:t>
        <w:tab/>
        <w:t>72</w:t>
      </w:r>
    </w:p>
    <w:p>
      <w:pPr>
        <w:spacing w:after="0"/>
        <w:jc w:val="left"/>
        <w:rPr>
          <w:rFonts w:ascii="Calibri" w:hAnsi="Calibri"/>
          <w:sz w:val="22"/>
        </w:rPr>
        <w:sectPr>
          <w:footerReference w:type="default" r:id="rId10"/>
          <w:pgSz w:w="12240" w:h="15840"/>
          <w:pgMar w:footer="1003" w:header="0" w:top="1500" w:bottom="1200" w:left="1700" w:right="1720"/>
          <w:pgNumType w:start="8"/>
        </w:sectPr>
      </w:pPr>
    </w:p>
    <w:p>
      <w:pPr>
        <w:tabs>
          <w:tab w:pos="8509" w:val="right" w:leader="none"/>
        </w:tabs>
        <w:spacing w:before="182"/>
        <w:ind w:left="110" w:right="0" w:firstLine="0"/>
        <w:jc w:val="left"/>
        <w:rPr>
          <w:rFonts w:ascii="Calibri" w:hAnsi="Calibri"/>
          <w:sz w:val="22"/>
        </w:rPr>
      </w:pPr>
      <w:r>
        <w:rPr>
          <w:rFonts w:ascii="Calibri" w:hAnsi="Calibri"/>
          <w:sz w:val="22"/>
        </w:rPr>
        <w:t>Tabla 4.54. Anuncio comercial de renombre; respuestas por nivel</w:t>
      </w:r>
      <w:r>
        <w:rPr>
          <w:rFonts w:ascii="Calibri" w:hAnsi="Calibri"/>
          <w:spacing w:val="-11"/>
          <w:sz w:val="22"/>
        </w:rPr>
        <w:t> </w:t>
      </w:r>
      <w:r>
        <w:rPr>
          <w:rFonts w:ascii="Calibri" w:hAnsi="Calibri"/>
          <w:sz w:val="22"/>
        </w:rPr>
        <w:t>de</w:t>
      </w:r>
      <w:r>
        <w:rPr>
          <w:rFonts w:ascii="Calibri" w:hAnsi="Calibri"/>
          <w:spacing w:val="-1"/>
          <w:sz w:val="22"/>
        </w:rPr>
        <w:t> </w:t>
      </w:r>
      <w:r>
        <w:rPr>
          <w:rFonts w:ascii="Calibri" w:hAnsi="Calibri"/>
          <w:sz w:val="22"/>
        </w:rPr>
        <w:t>estudios…………….</w:t>
        <w:tab/>
        <w:t>73</w:t>
      </w:r>
    </w:p>
    <w:p>
      <w:pPr>
        <w:tabs>
          <w:tab w:pos="8509" w:val="right" w:leader="none"/>
        </w:tabs>
        <w:spacing w:before="269"/>
        <w:ind w:left="110" w:right="308" w:firstLine="0"/>
        <w:jc w:val="left"/>
        <w:rPr>
          <w:rFonts w:ascii="Calibri" w:hAnsi="Calibri"/>
          <w:sz w:val="22"/>
        </w:rPr>
      </w:pPr>
      <w:r>
        <w:rPr>
          <w:rFonts w:ascii="Calibri" w:hAnsi="Calibri"/>
          <w:sz w:val="22"/>
        </w:rPr>
        <w:t>Tabla 4.55. Entorno formal educativo; respuestas en la totalidad de la población y por género………………………………………………………………………………………………………………………….</w:t>
        <w:tab/>
        <w:t>73</w:t>
      </w:r>
    </w:p>
    <w:p>
      <w:pPr>
        <w:tabs>
          <w:tab w:pos="8509" w:val="right" w:leader="none"/>
        </w:tabs>
        <w:spacing w:before="269"/>
        <w:ind w:left="110" w:right="0" w:firstLine="0"/>
        <w:jc w:val="left"/>
        <w:rPr>
          <w:rFonts w:ascii="Calibri" w:hAnsi="Calibri"/>
          <w:sz w:val="22"/>
        </w:rPr>
      </w:pPr>
      <w:r>
        <w:rPr>
          <w:rFonts w:ascii="Calibri" w:hAnsi="Calibri"/>
          <w:sz w:val="22"/>
        </w:rPr>
        <w:t>Tabla 4.56. Entorno formal educativo; respuestas por grupo</w:t>
      </w:r>
      <w:r>
        <w:rPr>
          <w:rFonts w:ascii="Calibri" w:hAnsi="Calibri"/>
          <w:spacing w:val="-11"/>
          <w:sz w:val="22"/>
        </w:rPr>
        <w:t> </w:t>
      </w:r>
      <w:r>
        <w:rPr>
          <w:rFonts w:ascii="Calibri" w:hAnsi="Calibri"/>
          <w:sz w:val="22"/>
        </w:rPr>
        <w:t>de</w:t>
      </w:r>
      <w:r>
        <w:rPr>
          <w:rFonts w:ascii="Calibri" w:hAnsi="Calibri"/>
          <w:spacing w:val="-1"/>
          <w:sz w:val="22"/>
        </w:rPr>
        <w:t> </w:t>
      </w:r>
      <w:r>
        <w:rPr>
          <w:rFonts w:ascii="Calibri" w:hAnsi="Calibri"/>
          <w:sz w:val="22"/>
        </w:rPr>
        <w:t>edad……….………………..</w:t>
        <w:tab/>
        <w:t>74</w:t>
      </w:r>
    </w:p>
    <w:p>
      <w:pPr>
        <w:tabs>
          <w:tab w:pos="8508" w:val="right" w:leader="none"/>
        </w:tabs>
        <w:spacing w:before="269"/>
        <w:ind w:left="110" w:right="0" w:firstLine="0"/>
        <w:jc w:val="left"/>
        <w:rPr>
          <w:rFonts w:ascii="Calibri" w:hAnsi="Calibri"/>
          <w:sz w:val="22"/>
        </w:rPr>
      </w:pPr>
      <w:r>
        <w:rPr>
          <w:rFonts w:ascii="Calibri" w:hAnsi="Calibri"/>
          <w:sz w:val="22"/>
        </w:rPr>
        <w:t>Tabla 4.57. Entorno formal educativo; respuestas por nivel</w:t>
      </w:r>
      <w:r>
        <w:rPr>
          <w:rFonts w:ascii="Calibri" w:hAnsi="Calibri"/>
          <w:spacing w:val="-12"/>
          <w:sz w:val="22"/>
        </w:rPr>
        <w:t> </w:t>
      </w:r>
      <w:r>
        <w:rPr>
          <w:rFonts w:ascii="Calibri" w:hAnsi="Calibri"/>
          <w:sz w:val="22"/>
        </w:rPr>
        <w:t>de</w:t>
      </w:r>
      <w:r>
        <w:rPr>
          <w:rFonts w:ascii="Calibri" w:hAnsi="Calibri"/>
          <w:spacing w:val="-4"/>
          <w:sz w:val="22"/>
        </w:rPr>
        <w:t> </w:t>
      </w:r>
      <w:r>
        <w:rPr>
          <w:rFonts w:ascii="Calibri" w:hAnsi="Calibri"/>
          <w:sz w:val="22"/>
        </w:rPr>
        <w:t>estudios….…………………..</w:t>
        <w:tab/>
        <w:t>74</w:t>
      </w:r>
    </w:p>
    <w:p>
      <w:pPr>
        <w:tabs>
          <w:tab w:pos="8508" w:val="right" w:leader="none"/>
        </w:tabs>
        <w:spacing w:before="266"/>
        <w:ind w:left="110" w:right="309" w:firstLine="0"/>
        <w:jc w:val="left"/>
        <w:rPr>
          <w:rFonts w:ascii="Calibri" w:hAnsi="Calibri"/>
          <w:sz w:val="22"/>
        </w:rPr>
      </w:pPr>
      <w:r>
        <w:rPr>
          <w:rFonts w:ascii="Calibri" w:hAnsi="Calibri"/>
          <w:sz w:val="22"/>
        </w:rPr>
        <w:t>Tabla 4.58. Influencia en partidarios; respuestas en la totalidad de la población y por género…………………………………………………………………………………………………………………………..</w:t>
        <w:tab/>
        <w:t>75</w:t>
      </w:r>
    </w:p>
    <w:p>
      <w:pPr>
        <w:tabs>
          <w:tab w:pos="8509" w:val="right" w:leader="none"/>
        </w:tabs>
        <w:spacing w:before="269"/>
        <w:ind w:left="110" w:right="0" w:firstLine="0"/>
        <w:jc w:val="left"/>
        <w:rPr>
          <w:rFonts w:ascii="Calibri" w:hAnsi="Calibri"/>
          <w:sz w:val="22"/>
        </w:rPr>
      </w:pPr>
      <w:r>
        <w:rPr>
          <w:rFonts w:ascii="Calibri" w:hAnsi="Calibri"/>
          <w:sz w:val="22"/>
        </w:rPr>
        <w:t>Tabla 4.59. Influencia en partidarios; respuestas por grupo</w:t>
      </w:r>
      <w:r>
        <w:rPr>
          <w:rFonts w:ascii="Calibri" w:hAnsi="Calibri"/>
          <w:spacing w:val="-14"/>
          <w:sz w:val="22"/>
        </w:rPr>
        <w:t> </w:t>
      </w:r>
      <w:r>
        <w:rPr>
          <w:rFonts w:ascii="Calibri" w:hAnsi="Calibri"/>
          <w:sz w:val="22"/>
        </w:rPr>
        <w:t>de</w:t>
      </w:r>
      <w:r>
        <w:rPr>
          <w:rFonts w:ascii="Calibri" w:hAnsi="Calibri"/>
          <w:spacing w:val="-2"/>
          <w:sz w:val="22"/>
        </w:rPr>
        <w:t> </w:t>
      </w:r>
      <w:r>
        <w:rPr>
          <w:rFonts w:ascii="Calibri" w:hAnsi="Calibri"/>
          <w:sz w:val="22"/>
        </w:rPr>
        <w:t>edad………………………..…..</w:t>
        <w:tab/>
        <w:t>75</w:t>
      </w:r>
    </w:p>
    <w:p>
      <w:pPr>
        <w:tabs>
          <w:tab w:pos="8509" w:val="right" w:leader="none"/>
        </w:tabs>
        <w:spacing w:before="269"/>
        <w:ind w:left="110" w:right="0" w:firstLine="0"/>
        <w:jc w:val="left"/>
        <w:rPr>
          <w:rFonts w:ascii="Calibri" w:hAnsi="Calibri"/>
          <w:sz w:val="22"/>
        </w:rPr>
      </w:pPr>
      <w:r>
        <w:rPr>
          <w:rFonts w:ascii="Calibri" w:hAnsi="Calibri"/>
          <w:sz w:val="22"/>
        </w:rPr>
        <w:t>Tabla 4.60. Influencia en partidarios; respuestas por nivel</w:t>
      </w:r>
      <w:r>
        <w:rPr>
          <w:rFonts w:ascii="Calibri" w:hAnsi="Calibri"/>
          <w:spacing w:val="-13"/>
          <w:sz w:val="22"/>
        </w:rPr>
        <w:t> </w:t>
      </w:r>
      <w:r>
        <w:rPr>
          <w:rFonts w:ascii="Calibri" w:hAnsi="Calibri"/>
          <w:sz w:val="22"/>
        </w:rPr>
        <w:t>de</w:t>
      </w:r>
      <w:r>
        <w:rPr>
          <w:rFonts w:ascii="Calibri" w:hAnsi="Calibri"/>
          <w:spacing w:val="-4"/>
          <w:sz w:val="22"/>
        </w:rPr>
        <w:t> </w:t>
      </w:r>
      <w:r>
        <w:rPr>
          <w:rFonts w:ascii="Calibri" w:hAnsi="Calibri"/>
          <w:sz w:val="22"/>
        </w:rPr>
        <w:t>estudios……………………..….</w:t>
        <w:tab/>
        <w:t>76</w:t>
      </w:r>
    </w:p>
    <w:p>
      <w:pPr>
        <w:spacing w:after="0"/>
        <w:jc w:val="left"/>
        <w:rPr>
          <w:rFonts w:ascii="Calibri" w:hAnsi="Calibri"/>
          <w:sz w:val="22"/>
        </w:rPr>
        <w:sectPr>
          <w:footerReference w:type="default" r:id="rId11"/>
          <w:pgSz w:w="12240" w:h="15840"/>
          <w:pgMar w:footer="1003" w:header="0" w:top="1500" w:bottom="1200" w:left="1700" w:right="1720"/>
          <w:pgNumType w:start="9"/>
        </w:sectPr>
      </w:pPr>
    </w:p>
    <w:p>
      <w:pPr>
        <w:pStyle w:val="Heading1"/>
        <w:spacing w:before="51"/>
        <w:ind w:left="3217" w:right="3202"/>
        <w:jc w:val="center"/>
      </w:pPr>
      <w:r>
        <w:rPr/>
        <w:t>ÍNDICE DE FIGURAS</w:t>
      </w:r>
    </w:p>
    <w:p>
      <w:pPr>
        <w:tabs>
          <w:tab w:pos="8197" w:val="left" w:leader="none"/>
        </w:tabs>
        <w:spacing w:before="642"/>
        <w:ind w:left="110" w:right="0" w:firstLine="0"/>
        <w:jc w:val="left"/>
        <w:rPr>
          <w:rFonts w:ascii="Calibri" w:hAnsi="Calibri"/>
          <w:sz w:val="24"/>
        </w:rPr>
      </w:pPr>
      <w:r>
        <w:rPr>
          <w:rFonts w:ascii="Calibri" w:hAnsi="Calibri"/>
          <w:sz w:val="22"/>
        </w:rPr>
        <w:t>Figura 4.2.1. Respuestas de la totalidad de la muestra en</w:t>
      </w:r>
      <w:r>
        <w:rPr>
          <w:rFonts w:ascii="Calibri" w:hAnsi="Calibri"/>
          <w:spacing w:val="-14"/>
          <w:sz w:val="22"/>
        </w:rPr>
        <w:t> </w:t>
      </w:r>
      <w:r>
        <w:rPr>
          <w:rFonts w:ascii="Calibri" w:hAnsi="Calibri"/>
          <w:sz w:val="22"/>
        </w:rPr>
        <w:t>aseveraciones</w:t>
      </w:r>
      <w:r>
        <w:rPr>
          <w:rFonts w:ascii="Calibri" w:hAnsi="Calibri"/>
          <w:spacing w:val="-2"/>
          <w:sz w:val="22"/>
        </w:rPr>
        <w:t> </w:t>
      </w:r>
      <w:r>
        <w:rPr>
          <w:rFonts w:ascii="Calibri" w:hAnsi="Calibri"/>
          <w:sz w:val="22"/>
        </w:rPr>
        <w:t>favorables….</w:t>
      </w:r>
      <w:r>
        <w:rPr>
          <w:rFonts w:ascii="Calibri" w:hAnsi="Calibri"/>
          <w:position w:val="-1"/>
          <w:sz w:val="24"/>
        </w:rPr>
        <w:tab/>
        <w:t>77</w:t>
      </w:r>
    </w:p>
    <w:p>
      <w:pPr>
        <w:tabs>
          <w:tab w:pos="8197" w:val="left" w:leader="none"/>
        </w:tabs>
        <w:spacing w:before="267"/>
        <w:ind w:left="110" w:right="377" w:firstLine="0"/>
        <w:jc w:val="left"/>
        <w:rPr>
          <w:rFonts w:ascii="Calibri" w:hAnsi="Calibri"/>
          <w:sz w:val="24"/>
        </w:rPr>
      </w:pPr>
      <w:r>
        <w:rPr>
          <w:rFonts w:ascii="Calibri" w:hAnsi="Calibri"/>
          <w:sz w:val="22"/>
        </w:rPr>
        <w:t>Figura 4.2.2. Respuestas de la totalidad de la muestra en aseveraciones desfavorables……………………………………………………………………………………………………………..</w:t>
      </w:r>
      <w:r>
        <w:rPr>
          <w:rFonts w:ascii="Calibri" w:hAnsi="Calibri"/>
          <w:position w:val="-4"/>
          <w:sz w:val="24"/>
        </w:rPr>
        <w:tab/>
        <w:t>77</w:t>
      </w:r>
    </w:p>
    <w:p>
      <w:pPr>
        <w:tabs>
          <w:tab w:pos="8197" w:val="left" w:leader="none"/>
        </w:tabs>
        <w:spacing w:before="237"/>
        <w:ind w:left="110" w:right="0" w:firstLine="0"/>
        <w:jc w:val="left"/>
        <w:rPr>
          <w:rFonts w:ascii="Calibri" w:hAnsi="Calibri"/>
          <w:sz w:val="24"/>
        </w:rPr>
      </w:pPr>
      <w:r>
        <w:rPr>
          <w:rFonts w:ascii="Calibri" w:hAnsi="Calibri"/>
          <w:sz w:val="22"/>
        </w:rPr>
        <w:t>Figura 4.2.3. Respuestas de la variable género en</w:t>
      </w:r>
      <w:r>
        <w:rPr>
          <w:rFonts w:ascii="Calibri" w:hAnsi="Calibri"/>
          <w:spacing w:val="-14"/>
          <w:sz w:val="22"/>
        </w:rPr>
        <w:t> </w:t>
      </w:r>
      <w:r>
        <w:rPr>
          <w:rFonts w:ascii="Calibri" w:hAnsi="Calibri"/>
          <w:sz w:val="22"/>
        </w:rPr>
        <w:t>aseveraciones</w:t>
      </w:r>
      <w:r>
        <w:rPr>
          <w:rFonts w:ascii="Calibri" w:hAnsi="Calibri"/>
          <w:spacing w:val="-2"/>
          <w:sz w:val="22"/>
        </w:rPr>
        <w:t> </w:t>
      </w:r>
      <w:r>
        <w:rPr>
          <w:rFonts w:ascii="Calibri" w:hAnsi="Calibri"/>
          <w:sz w:val="22"/>
        </w:rPr>
        <w:t>favorables………………</w:t>
      </w:r>
      <w:r>
        <w:rPr>
          <w:rFonts w:ascii="Calibri" w:hAnsi="Calibri"/>
          <w:position w:val="-1"/>
          <w:sz w:val="24"/>
        </w:rPr>
        <w:tab/>
        <w:t>78</w:t>
      </w:r>
    </w:p>
    <w:p>
      <w:pPr>
        <w:tabs>
          <w:tab w:pos="8197" w:val="left" w:leader="none"/>
        </w:tabs>
        <w:spacing w:before="267"/>
        <w:ind w:left="110" w:right="0" w:firstLine="0"/>
        <w:jc w:val="left"/>
        <w:rPr>
          <w:rFonts w:ascii="Calibri" w:hAnsi="Calibri"/>
          <w:sz w:val="24"/>
        </w:rPr>
      </w:pPr>
      <w:r>
        <w:rPr>
          <w:rFonts w:ascii="Calibri" w:hAnsi="Calibri"/>
          <w:sz w:val="22"/>
        </w:rPr>
        <w:t>Figura 4.2.4. Respuestas de la variable género en</w:t>
      </w:r>
      <w:r>
        <w:rPr>
          <w:rFonts w:ascii="Calibri" w:hAnsi="Calibri"/>
          <w:spacing w:val="-13"/>
          <w:sz w:val="22"/>
        </w:rPr>
        <w:t> </w:t>
      </w:r>
      <w:r>
        <w:rPr>
          <w:rFonts w:ascii="Calibri" w:hAnsi="Calibri"/>
          <w:sz w:val="22"/>
        </w:rPr>
        <w:t>aseveraciones</w:t>
      </w:r>
      <w:r>
        <w:rPr>
          <w:rFonts w:ascii="Calibri" w:hAnsi="Calibri"/>
          <w:spacing w:val="-2"/>
          <w:sz w:val="22"/>
        </w:rPr>
        <w:t> </w:t>
      </w:r>
      <w:r>
        <w:rPr>
          <w:rFonts w:ascii="Calibri" w:hAnsi="Calibri"/>
          <w:sz w:val="22"/>
        </w:rPr>
        <w:t>desfavorables…………</w:t>
      </w:r>
      <w:r>
        <w:rPr>
          <w:rFonts w:ascii="Calibri" w:hAnsi="Calibri"/>
          <w:position w:val="-1"/>
          <w:sz w:val="24"/>
        </w:rPr>
        <w:tab/>
        <w:t>78</w:t>
      </w:r>
    </w:p>
    <w:p>
      <w:pPr>
        <w:tabs>
          <w:tab w:pos="8197" w:val="left" w:leader="none"/>
        </w:tabs>
        <w:spacing w:before="267"/>
        <w:ind w:left="110" w:right="0" w:firstLine="0"/>
        <w:jc w:val="left"/>
        <w:rPr>
          <w:rFonts w:ascii="Calibri" w:hAnsi="Calibri"/>
          <w:sz w:val="24"/>
        </w:rPr>
      </w:pPr>
      <w:r>
        <w:rPr>
          <w:rFonts w:ascii="Calibri" w:hAnsi="Calibri"/>
          <w:sz w:val="22"/>
        </w:rPr>
        <w:t>Figura 4.2.5. Respuestas de la variable edad en</w:t>
      </w:r>
      <w:r>
        <w:rPr>
          <w:rFonts w:ascii="Calibri" w:hAnsi="Calibri"/>
          <w:spacing w:val="-13"/>
          <w:sz w:val="22"/>
        </w:rPr>
        <w:t> </w:t>
      </w:r>
      <w:r>
        <w:rPr>
          <w:rFonts w:ascii="Calibri" w:hAnsi="Calibri"/>
          <w:sz w:val="22"/>
        </w:rPr>
        <w:t>aseveraciones</w:t>
      </w:r>
      <w:r>
        <w:rPr>
          <w:rFonts w:ascii="Calibri" w:hAnsi="Calibri"/>
          <w:spacing w:val="-3"/>
          <w:sz w:val="22"/>
        </w:rPr>
        <w:t> </w:t>
      </w:r>
      <w:r>
        <w:rPr>
          <w:rFonts w:ascii="Calibri" w:hAnsi="Calibri"/>
          <w:sz w:val="22"/>
        </w:rPr>
        <w:t>favorables…………………</w:t>
      </w:r>
      <w:r>
        <w:rPr>
          <w:rFonts w:ascii="Calibri" w:hAnsi="Calibri"/>
          <w:position w:val="-1"/>
          <w:sz w:val="24"/>
        </w:rPr>
        <w:tab/>
        <w:t>79</w:t>
      </w:r>
    </w:p>
    <w:p>
      <w:pPr>
        <w:tabs>
          <w:tab w:pos="8197" w:val="left" w:leader="none"/>
        </w:tabs>
        <w:spacing w:before="268"/>
        <w:ind w:left="110" w:right="0" w:firstLine="0"/>
        <w:jc w:val="left"/>
        <w:rPr>
          <w:rFonts w:ascii="Calibri" w:hAnsi="Calibri"/>
          <w:sz w:val="24"/>
        </w:rPr>
      </w:pPr>
      <w:r>
        <w:rPr>
          <w:rFonts w:ascii="Calibri" w:hAnsi="Calibri"/>
          <w:sz w:val="22"/>
        </w:rPr>
        <w:t>Figura 4.2.6. Respuestas de la variable edad en</w:t>
      </w:r>
      <w:r>
        <w:rPr>
          <w:rFonts w:ascii="Calibri" w:hAnsi="Calibri"/>
          <w:spacing w:val="-15"/>
          <w:sz w:val="22"/>
        </w:rPr>
        <w:t> </w:t>
      </w:r>
      <w:r>
        <w:rPr>
          <w:rFonts w:ascii="Calibri" w:hAnsi="Calibri"/>
          <w:sz w:val="22"/>
        </w:rPr>
        <w:t>aseveraciones</w:t>
      </w:r>
      <w:r>
        <w:rPr>
          <w:rFonts w:ascii="Calibri" w:hAnsi="Calibri"/>
          <w:spacing w:val="-3"/>
          <w:sz w:val="22"/>
        </w:rPr>
        <w:t> </w:t>
      </w:r>
      <w:r>
        <w:rPr>
          <w:rFonts w:ascii="Calibri" w:hAnsi="Calibri"/>
          <w:sz w:val="22"/>
        </w:rPr>
        <w:t>desfavorables……………</w:t>
      </w:r>
      <w:r>
        <w:rPr>
          <w:rFonts w:ascii="Calibri" w:hAnsi="Calibri"/>
          <w:position w:val="-1"/>
          <w:sz w:val="24"/>
        </w:rPr>
        <w:tab/>
        <w:t>79</w:t>
      </w:r>
    </w:p>
    <w:p>
      <w:pPr>
        <w:tabs>
          <w:tab w:pos="8197" w:val="left" w:leader="none"/>
        </w:tabs>
        <w:spacing w:before="241"/>
        <w:ind w:left="110" w:right="377" w:firstLine="0"/>
        <w:jc w:val="left"/>
        <w:rPr>
          <w:rFonts w:ascii="Calibri" w:hAnsi="Calibri"/>
          <w:sz w:val="24"/>
        </w:rPr>
      </w:pPr>
      <w:r>
        <w:rPr>
          <w:rFonts w:ascii="Calibri" w:hAnsi="Calibri"/>
          <w:sz w:val="22"/>
        </w:rPr>
        <w:t>Figura 4.2.7. Respuestas de la variable Nivel de estudios en aseveraciones favorables…………………………………………………………………………………………………………………..</w:t>
      </w:r>
      <w:r>
        <w:rPr>
          <w:rFonts w:ascii="Calibri" w:hAnsi="Calibri"/>
          <w:position w:val="-4"/>
          <w:sz w:val="24"/>
        </w:rPr>
        <w:tab/>
        <w:t>80</w:t>
      </w:r>
    </w:p>
    <w:p>
      <w:pPr>
        <w:tabs>
          <w:tab w:pos="8197" w:val="left" w:leader="none"/>
        </w:tabs>
        <w:spacing w:before="213"/>
        <w:ind w:left="110" w:right="377" w:firstLine="0"/>
        <w:jc w:val="left"/>
        <w:rPr>
          <w:rFonts w:ascii="Calibri" w:hAnsi="Calibri"/>
          <w:sz w:val="24"/>
        </w:rPr>
      </w:pPr>
      <w:r>
        <w:rPr>
          <w:rFonts w:ascii="Calibri" w:hAnsi="Calibri"/>
          <w:sz w:val="22"/>
        </w:rPr>
        <w:t>Figura 4.2.8. Respuestas dela variable nivel de estudios en aseveraciones desfavorables……………………………………………………………………………………………………………..</w:t>
      </w:r>
      <w:r>
        <w:rPr>
          <w:rFonts w:ascii="Calibri" w:hAnsi="Calibri"/>
          <w:position w:val="-4"/>
          <w:sz w:val="24"/>
        </w:rPr>
        <w:tab/>
        <w:t>80</w:t>
      </w:r>
    </w:p>
    <w:p>
      <w:pPr>
        <w:spacing w:after="0"/>
        <w:jc w:val="left"/>
        <w:rPr>
          <w:rFonts w:ascii="Calibri" w:hAnsi="Calibri"/>
          <w:sz w:val="24"/>
        </w:rPr>
        <w:sectPr>
          <w:pgSz w:w="12240" w:h="15840"/>
          <w:pgMar w:header="0" w:footer="1003" w:top="1360" w:bottom="1200" w:left="1700" w:right="1720"/>
        </w:sectPr>
      </w:pPr>
    </w:p>
    <w:p>
      <w:pPr>
        <w:pStyle w:val="BodyText"/>
        <w:spacing w:before="200"/>
        <w:ind w:left="3710" w:right="3722"/>
        <w:jc w:val="center"/>
      </w:pPr>
      <w:r>
        <w:rPr/>
        <w:t>INTRODUCCIÓN</w:t>
      </w:r>
    </w:p>
    <w:p>
      <w:pPr>
        <w:pStyle w:val="BodyText"/>
      </w:pPr>
    </w:p>
    <w:p>
      <w:pPr>
        <w:pStyle w:val="BodyText"/>
      </w:pPr>
    </w:p>
    <w:p>
      <w:pPr>
        <w:pStyle w:val="BodyText"/>
        <w:spacing w:before="7"/>
        <w:rPr>
          <w:sz w:val="22"/>
        </w:rPr>
      </w:pPr>
    </w:p>
    <w:p>
      <w:pPr>
        <w:spacing w:line="333" w:lineRule="auto" w:before="0"/>
        <w:ind w:left="200" w:right="51" w:firstLine="501"/>
        <w:jc w:val="left"/>
        <w:rPr>
          <w:sz w:val="18"/>
        </w:rPr>
      </w:pPr>
      <w:r>
        <w:rPr>
          <w:color w:val="333333"/>
          <w:sz w:val="18"/>
        </w:rPr>
        <w:t>La magia de la lengua es el hechizo más peligroso. Aquel que conoce el poder de la palabra presta mucha atención a su conversación. Vigila las reacciones causadas por sus palabras, pues sabe que ellas "no retornarán</w:t>
      </w:r>
    </w:p>
    <w:p>
      <w:pPr>
        <w:spacing w:line="333" w:lineRule="auto" w:before="2"/>
        <w:ind w:left="5469" w:right="97" w:firstLine="168"/>
        <w:jc w:val="left"/>
        <w:rPr>
          <w:sz w:val="18"/>
        </w:rPr>
      </w:pPr>
      <w:r>
        <w:rPr>
          <w:color w:val="333333"/>
          <w:sz w:val="18"/>
        </w:rPr>
        <w:t>al mismo punto sin haber causado su efecto" Edward Bulwer-Lytton y Florence Scovel Shinn</w:t>
      </w:r>
    </w:p>
    <w:p>
      <w:pPr>
        <w:pStyle w:val="BodyText"/>
        <w:rPr>
          <w:sz w:val="18"/>
        </w:rPr>
      </w:pPr>
    </w:p>
    <w:p>
      <w:pPr>
        <w:pStyle w:val="BodyText"/>
        <w:spacing w:before="3"/>
        <w:rPr>
          <w:sz w:val="19"/>
        </w:rPr>
      </w:pPr>
    </w:p>
    <w:p>
      <w:pPr>
        <w:pStyle w:val="BodyText"/>
        <w:spacing w:line="480" w:lineRule="auto"/>
        <w:ind w:left="102" w:right="115" w:firstLine="707"/>
        <w:jc w:val="both"/>
      </w:pPr>
      <w:r>
        <w:rPr/>
        <w:t>A través de los años se han realizado numerosos estudios con la intención de comprender</w:t>
      </w:r>
      <w:r>
        <w:rPr>
          <w:spacing w:val="-8"/>
        </w:rPr>
        <w:t> </w:t>
      </w:r>
      <w:r>
        <w:rPr/>
        <w:t>y</w:t>
      </w:r>
      <w:r>
        <w:rPr>
          <w:spacing w:val="-10"/>
        </w:rPr>
        <w:t> </w:t>
      </w:r>
      <w:r>
        <w:rPr/>
        <w:t>explicar</w:t>
      </w:r>
      <w:r>
        <w:rPr>
          <w:spacing w:val="-11"/>
        </w:rPr>
        <w:t> </w:t>
      </w:r>
      <w:r>
        <w:rPr/>
        <w:t>las</w:t>
      </w:r>
      <w:r>
        <w:rPr>
          <w:spacing w:val="-7"/>
        </w:rPr>
        <w:t> </w:t>
      </w:r>
      <w:r>
        <w:rPr/>
        <w:t>diferentes</w:t>
      </w:r>
      <w:r>
        <w:rPr>
          <w:spacing w:val="-8"/>
        </w:rPr>
        <w:t> </w:t>
      </w:r>
      <w:r>
        <w:rPr/>
        <w:t>variables</w:t>
      </w:r>
      <w:r>
        <w:rPr>
          <w:spacing w:val="-10"/>
        </w:rPr>
        <w:t> </w:t>
      </w:r>
      <w:r>
        <w:rPr/>
        <w:t>de</w:t>
      </w:r>
      <w:r>
        <w:rPr>
          <w:spacing w:val="-9"/>
        </w:rPr>
        <w:t> </w:t>
      </w:r>
      <w:r>
        <w:rPr/>
        <w:t>una</w:t>
      </w:r>
      <w:r>
        <w:rPr>
          <w:spacing w:val="-9"/>
        </w:rPr>
        <w:t> </w:t>
      </w:r>
      <w:r>
        <w:rPr/>
        <w:t>lengua.</w:t>
      </w:r>
      <w:r>
        <w:rPr>
          <w:spacing w:val="-10"/>
        </w:rPr>
        <w:t> </w:t>
      </w:r>
      <w:r>
        <w:rPr/>
        <w:t>Sin</w:t>
      </w:r>
      <w:r>
        <w:rPr>
          <w:spacing w:val="-10"/>
        </w:rPr>
        <w:t> </w:t>
      </w:r>
      <w:r>
        <w:rPr/>
        <w:t>embargo,</w:t>
      </w:r>
      <w:r>
        <w:rPr>
          <w:spacing w:val="-7"/>
        </w:rPr>
        <w:t> </w:t>
      </w:r>
      <w:r>
        <w:rPr/>
        <w:t>su</w:t>
      </w:r>
      <w:r>
        <w:rPr>
          <w:spacing w:val="-12"/>
        </w:rPr>
        <w:t> </w:t>
      </w:r>
      <w:r>
        <w:rPr/>
        <w:t>estudio parece</w:t>
      </w:r>
      <w:r>
        <w:rPr>
          <w:spacing w:val="-9"/>
        </w:rPr>
        <w:t> </w:t>
      </w:r>
      <w:r>
        <w:rPr/>
        <w:t>imperecedero,</w:t>
      </w:r>
      <w:r>
        <w:rPr>
          <w:spacing w:val="-12"/>
        </w:rPr>
        <w:t> </w:t>
      </w:r>
      <w:r>
        <w:rPr/>
        <w:t>ya</w:t>
      </w:r>
      <w:r>
        <w:rPr>
          <w:spacing w:val="-7"/>
        </w:rPr>
        <w:t> </w:t>
      </w:r>
      <w:r>
        <w:rPr/>
        <w:t>que</w:t>
      </w:r>
      <w:r>
        <w:rPr>
          <w:spacing w:val="-4"/>
        </w:rPr>
        <w:t> </w:t>
      </w:r>
      <w:r>
        <w:rPr/>
        <w:t>mientras</w:t>
      </w:r>
      <w:r>
        <w:rPr>
          <w:spacing w:val="-8"/>
        </w:rPr>
        <w:t> </w:t>
      </w:r>
      <w:r>
        <w:rPr/>
        <w:t>la</w:t>
      </w:r>
      <w:r>
        <w:rPr>
          <w:spacing w:val="-10"/>
        </w:rPr>
        <w:t> </w:t>
      </w:r>
      <w:r>
        <w:rPr/>
        <w:t>lengua</w:t>
      </w:r>
      <w:r>
        <w:rPr>
          <w:spacing w:val="-7"/>
        </w:rPr>
        <w:t> </w:t>
      </w:r>
      <w:r>
        <w:rPr/>
        <w:t>sea</w:t>
      </w:r>
      <w:r>
        <w:rPr>
          <w:spacing w:val="-9"/>
        </w:rPr>
        <w:t> </w:t>
      </w:r>
      <w:r>
        <w:rPr/>
        <w:t>instrumento</w:t>
      </w:r>
      <w:r>
        <w:rPr>
          <w:spacing w:val="-9"/>
        </w:rPr>
        <w:t> </w:t>
      </w:r>
      <w:r>
        <w:rPr/>
        <w:t>de</w:t>
      </w:r>
      <w:r>
        <w:rPr>
          <w:spacing w:val="-7"/>
        </w:rPr>
        <w:t> </w:t>
      </w:r>
      <w:r>
        <w:rPr/>
        <w:t>comunicación</w:t>
      </w:r>
      <w:r>
        <w:rPr>
          <w:spacing w:val="-9"/>
        </w:rPr>
        <w:t> </w:t>
      </w:r>
      <w:r>
        <w:rPr/>
        <w:t>del ser humano en sociedad, las variables en su producción no</w:t>
      </w:r>
      <w:r>
        <w:rPr>
          <w:spacing w:val="-26"/>
        </w:rPr>
        <w:t> </w:t>
      </w:r>
      <w:r>
        <w:rPr/>
        <w:t>cesarán.</w:t>
      </w:r>
    </w:p>
    <w:p>
      <w:pPr>
        <w:pStyle w:val="BodyText"/>
        <w:spacing w:line="480" w:lineRule="auto" w:before="204"/>
        <w:ind w:left="102" w:right="114" w:firstLine="707"/>
        <w:jc w:val="both"/>
      </w:pPr>
      <w:r>
        <w:rPr/>
        <w:t>Los anglicismos en México han sido introducidos por diversos factores y son considerados</w:t>
      </w:r>
      <w:r>
        <w:rPr>
          <w:spacing w:val="-8"/>
        </w:rPr>
        <w:t> </w:t>
      </w:r>
      <w:r>
        <w:rPr/>
        <w:t>variaciones</w:t>
      </w:r>
      <w:r>
        <w:rPr>
          <w:spacing w:val="-8"/>
        </w:rPr>
        <w:t> </w:t>
      </w:r>
      <w:r>
        <w:rPr/>
        <w:t>lingüísticas</w:t>
      </w:r>
      <w:r>
        <w:rPr>
          <w:spacing w:val="-8"/>
        </w:rPr>
        <w:t> </w:t>
      </w:r>
      <w:r>
        <w:rPr/>
        <w:t>de</w:t>
      </w:r>
      <w:r>
        <w:rPr>
          <w:spacing w:val="-7"/>
        </w:rPr>
        <w:t> </w:t>
      </w:r>
      <w:r>
        <w:rPr/>
        <w:t>frecuencia.</w:t>
      </w:r>
      <w:r>
        <w:rPr>
          <w:spacing w:val="-7"/>
        </w:rPr>
        <w:t> </w:t>
      </w:r>
      <w:r>
        <w:rPr/>
        <w:t>Por</w:t>
      </w:r>
      <w:r>
        <w:rPr>
          <w:spacing w:val="-3"/>
        </w:rPr>
        <w:t> </w:t>
      </w:r>
      <w:r>
        <w:rPr/>
        <w:t>dicha</w:t>
      </w:r>
      <w:r>
        <w:rPr>
          <w:spacing w:val="-9"/>
        </w:rPr>
        <w:t> </w:t>
      </w:r>
      <w:r>
        <w:rPr/>
        <w:t>frecuencia</w:t>
      </w:r>
      <w:r>
        <w:rPr>
          <w:spacing w:val="-7"/>
        </w:rPr>
        <w:t> </w:t>
      </w:r>
      <w:r>
        <w:rPr/>
        <w:t>de</w:t>
      </w:r>
      <w:r>
        <w:rPr>
          <w:spacing w:val="-7"/>
        </w:rPr>
        <w:t> </w:t>
      </w:r>
      <w:r>
        <w:rPr/>
        <w:t>uso</w:t>
      </w:r>
      <w:r>
        <w:rPr>
          <w:spacing w:val="-7"/>
        </w:rPr>
        <w:t> </w:t>
      </w:r>
      <w:r>
        <w:rPr/>
        <w:t>en</w:t>
      </w:r>
      <w:r>
        <w:rPr>
          <w:spacing w:val="-7"/>
        </w:rPr>
        <w:t> </w:t>
      </w:r>
      <w:r>
        <w:rPr/>
        <w:t>el habla española, este trabajo de investigación considera a los “anglicismos léxicos” su objeto de</w:t>
      </w:r>
      <w:r>
        <w:rPr>
          <w:spacing w:val="-5"/>
        </w:rPr>
        <w:t> </w:t>
      </w:r>
      <w:r>
        <w:rPr/>
        <w:t>estudio.</w:t>
      </w:r>
    </w:p>
    <w:p>
      <w:pPr>
        <w:pStyle w:val="BodyText"/>
        <w:spacing w:line="480" w:lineRule="auto" w:before="204"/>
        <w:ind w:left="102" w:right="109" w:firstLine="707"/>
        <w:jc w:val="both"/>
      </w:pPr>
      <w:r>
        <w:rPr/>
        <w:t>La sociolingüística permite estudiar los anglicismos como parte de la variación lingüística de una comunidad y la percepción que se tiene de los mismos. Además permite delimitar la comunidad que los usa con mayor frecuencia y el estrato social que es más aceptado usándolos, sin perder de vista las diferentes formas y características de su uso.</w:t>
      </w:r>
    </w:p>
    <w:p>
      <w:pPr>
        <w:pStyle w:val="BodyText"/>
        <w:spacing w:line="480" w:lineRule="auto" w:before="207"/>
        <w:ind w:left="102" w:right="113" w:firstLine="707"/>
        <w:jc w:val="both"/>
      </w:pPr>
      <w:r>
        <w:rPr/>
        <w:t>El uso de anglicismos puede provocar diferentes reacciones en cada oyente dependiendo de las características personales intrínsecas y extrínsecas de quien lo produce y de quien lo recibe.</w:t>
      </w:r>
    </w:p>
    <w:p>
      <w:pPr>
        <w:spacing w:after="0" w:line="480" w:lineRule="auto"/>
        <w:jc w:val="both"/>
        <w:sectPr>
          <w:footerReference w:type="default" r:id="rId12"/>
          <w:pgSz w:w="12240" w:h="15840"/>
          <w:pgMar w:footer="1003" w:header="0" w:top="1500" w:bottom="1200" w:left="1600" w:right="1300"/>
          <w:pgNumType w:start="1"/>
        </w:sectPr>
      </w:pPr>
    </w:p>
    <w:p>
      <w:pPr>
        <w:pStyle w:val="BodyText"/>
        <w:spacing w:before="1"/>
        <w:rPr>
          <w:sz w:val="11"/>
        </w:rPr>
      </w:pPr>
    </w:p>
    <w:p>
      <w:pPr>
        <w:pStyle w:val="BodyText"/>
        <w:spacing w:line="480" w:lineRule="auto" w:before="70"/>
        <w:ind w:left="102" w:right="112" w:firstLine="707"/>
        <w:jc w:val="both"/>
      </w:pPr>
      <w:r>
        <w:rPr/>
        <w:t>Para</w:t>
      </w:r>
      <w:r>
        <w:rPr>
          <w:spacing w:val="-9"/>
        </w:rPr>
        <w:t> </w:t>
      </w:r>
      <w:r>
        <w:rPr/>
        <w:t>formular</w:t>
      </w:r>
      <w:r>
        <w:rPr>
          <w:spacing w:val="-7"/>
        </w:rPr>
        <w:t> </w:t>
      </w:r>
      <w:r>
        <w:rPr/>
        <w:t>el</w:t>
      </w:r>
      <w:r>
        <w:rPr>
          <w:spacing w:val="-10"/>
        </w:rPr>
        <w:t> </w:t>
      </w:r>
      <w:r>
        <w:rPr/>
        <w:t>motivo</w:t>
      </w:r>
      <w:r>
        <w:rPr>
          <w:spacing w:val="-6"/>
        </w:rPr>
        <w:t> </w:t>
      </w:r>
      <w:r>
        <w:rPr/>
        <w:t>principal</w:t>
      </w:r>
      <w:r>
        <w:rPr>
          <w:spacing w:val="-10"/>
        </w:rPr>
        <w:t> </w:t>
      </w:r>
      <w:r>
        <w:rPr/>
        <w:t>de</w:t>
      </w:r>
      <w:r>
        <w:rPr>
          <w:spacing w:val="-8"/>
        </w:rPr>
        <w:t> </w:t>
      </w:r>
      <w:r>
        <w:rPr/>
        <w:t>este</w:t>
      </w:r>
      <w:r>
        <w:rPr>
          <w:spacing w:val="-8"/>
        </w:rPr>
        <w:t> </w:t>
      </w:r>
      <w:r>
        <w:rPr/>
        <w:t>trabajo</w:t>
      </w:r>
      <w:r>
        <w:rPr>
          <w:spacing w:val="-6"/>
        </w:rPr>
        <w:t> </w:t>
      </w:r>
      <w:r>
        <w:rPr/>
        <w:t>de</w:t>
      </w:r>
      <w:r>
        <w:rPr>
          <w:spacing w:val="-6"/>
        </w:rPr>
        <w:t> </w:t>
      </w:r>
      <w:r>
        <w:rPr/>
        <w:t>investigación,</w:t>
      </w:r>
      <w:r>
        <w:rPr>
          <w:spacing w:val="1"/>
        </w:rPr>
        <w:t> </w:t>
      </w:r>
      <w:r>
        <w:rPr/>
        <w:t>se</w:t>
      </w:r>
      <w:r>
        <w:rPr>
          <w:spacing w:val="-6"/>
        </w:rPr>
        <w:t> </w:t>
      </w:r>
      <w:r>
        <w:rPr/>
        <w:t>ha</w:t>
      </w:r>
      <w:r>
        <w:rPr>
          <w:spacing w:val="-8"/>
        </w:rPr>
        <w:t> </w:t>
      </w:r>
      <w:r>
        <w:rPr/>
        <w:t>tomado en</w:t>
      </w:r>
      <w:r>
        <w:rPr>
          <w:spacing w:val="-16"/>
        </w:rPr>
        <w:t> </w:t>
      </w:r>
      <w:r>
        <w:rPr/>
        <w:t>consideración</w:t>
      </w:r>
      <w:r>
        <w:rPr>
          <w:spacing w:val="-16"/>
        </w:rPr>
        <w:t> </w:t>
      </w:r>
      <w:r>
        <w:rPr/>
        <w:t>el</w:t>
      </w:r>
      <w:r>
        <w:rPr>
          <w:spacing w:val="-17"/>
        </w:rPr>
        <w:t> </w:t>
      </w:r>
      <w:r>
        <w:rPr/>
        <w:t>hecho</w:t>
      </w:r>
      <w:r>
        <w:rPr>
          <w:spacing w:val="-16"/>
        </w:rPr>
        <w:t> </w:t>
      </w:r>
      <w:r>
        <w:rPr/>
        <w:t>de</w:t>
      </w:r>
      <w:r>
        <w:rPr>
          <w:spacing w:val="-16"/>
        </w:rPr>
        <w:t> </w:t>
      </w:r>
      <w:r>
        <w:rPr/>
        <w:t>que</w:t>
      </w:r>
      <w:r>
        <w:rPr>
          <w:spacing w:val="-18"/>
        </w:rPr>
        <w:t> </w:t>
      </w:r>
      <w:r>
        <w:rPr/>
        <w:t>así</w:t>
      </w:r>
      <w:r>
        <w:rPr>
          <w:spacing w:val="-18"/>
        </w:rPr>
        <w:t> </w:t>
      </w:r>
      <w:r>
        <w:rPr/>
        <w:t>como</w:t>
      </w:r>
      <w:r>
        <w:rPr>
          <w:spacing w:val="-18"/>
        </w:rPr>
        <w:t> </w:t>
      </w:r>
      <w:r>
        <w:rPr/>
        <w:t>existe</w:t>
      </w:r>
      <w:r>
        <w:rPr>
          <w:spacing w:val="-16"/>
        </w:rPr>
        <w:t> </w:t>
      </w:r>
      <w:r>
        <w:rPr/>
        <w:t>prestigio</w:t>
      </w:r>
      <w:r>
        <w:rPr>
          <w:spacing w:val="-16"/>
        </w:rPr>
        <w:t> </w:t>
      </w:r>
      <w:r>
        <w:rPr/>
        <w:t>entre</w:t>
      </w:r>
      <w:r>
        <w:rPr>
          <w:spacing w:val="-16"/>
        </w:rPr>
        <w:t> </w:t>
      </w:r>
      <w:r>
        <w:rPr/>
        <w:t>grupos</w:t>
      </w:r>
      <w:r>
        <w:rPr>
          <w:spacing w:val="-16"/>
        </w:rPr>
        <w:t> </w:t>
      </w:r>
      <w:r>
        <w:rPr/>
        <w:t>sociales,</w:t>
      </w:r>
      <w:r>
        <w:rPr>
          <w:spacing w:val="-16"/>
        </w:rPr>
        <w:t> </w:t>
      </w:r>
      <w:r>
        <w:rPr/>
        <w:t>éste, existe también entre usos lingüísticos y de manera más concreta de variables a cualquier nivel de la lengua (New York City: Labov, 1966 en Wardhaugh, 1998); caso que pudiera suceder con los anglicismos, por ejemplo. Sin embargo, el uso de anglicismos es más aceptado en determinados grupos sociales que en otros y bajo diferentes</w:t>
      </w:r>
      <w:r>
        <w:rPr>
          <w:spacing w:val="-7"/>
        </w:rPr>
        <w:t> </w:t>
      </w:r>
      <w:r>
        <w:rPr/>
        <w:t>condiciones.</w:t>
      </w:r>
    </w:p>
    <w:p>
      <w:pPr>
        <w:pStyle w:val="BodyText"/>
        <w:spacing w:line="480" w:lineRule="auto" w:before="204"/>
        <w:ind w:left="102" w:right="113" w:firstLine="707"/>
        <w:jc w:val="both"/>
      </w:pPr>
      <w:r>
        <w:rPr/>
        <w:t>Como fenómeno social, es importante estudiar el efecto que provocan en el oyente</w:t>
      </w:r>
      <w:r>
        <w:rPr>
          <w:spacing w:val="-13"/>
        </w:rPr>
        <w:t> </w:t>
      </w:r>
      <w:r>
        <w:rPr/>
        <w:t>y</w:t>
      </w:r>
      <w:r>
        <w:rPr>
          <w:spacing w:val="-16"/>
        </w:rPr>
        <w:t> </w:t>
      </w:r>
      <w:r>
        <w:rPr/>
        <w:t>es</w:t>
      </w:r>
      <w:r>
        <w:rPr>
          <w:spacing w:val="-16"/>
        </w:rPr>
        <w:t> </w:t>
      </w:r>
      <w:r>
        <w:rPr/>
        <w:t>por</w:t>
      </w:r>
      <w:r>
        <w:rPr>
          <w:spacing w:val="-15"/>
        </w:rPr>
        <w:t> </w:t>
      </w:r>
      <w:r>
        <w:rPr/>
        <w:t>ello</w:t>
      </w:r>
      <w:r>
        <w:rPr>
          <w:spacing w:val="-15"/>
        </w:rPr>
        <w:t> </w:t>
      </w:r>
      <w:r>
        <w:rPr/>
        <w:t>que</w:t>
      </w:r>
      <w:r>
        <w:rPr>
          <w:spacing w:val="-13"/>
        </w:rPr>
        <w:t> </w:t>
      </w:r>
      <w:r>
        <w:rPr/>
        <w:t>se</w:t>
      </w:r>
      <w:r>
        <w:rPr>
          <w:spacing w:val="-15"/>
        </w:rPr>
        <w:t> </w:t>
      </w:r>
      <w:r>
        <w:rPr/>
        <w:t>analizan</w:t>
      </w:r>
      <w:r>
        <w:rPr>
          <w:spacing w:val="-13"/>
        </w:rPr>
        <w:t> </w:t>
      </w:r>
      <w:r>
        <w:rPr/>
        <w:t>las</w:t>
      </w:r>
      <w:r>
        <w:rPr>
          <w:spacing w:val="-16"/>
        </w:rPr>
        <w:t> </w:t>
      </w:r>
      <w:r>
        <w:rPr/>
        <w:t>percepciones</w:t>
      </w:r>
      <w:r>
        <w:rPr>
          <w:spacing w:val="-16"/>
        </w:rPr>
        <w:t> </w:t>
      </w:r>
      <w:r>
        <w:rPr/>
        <w:t>de</w:t>
      </w:r>
      <w:r>
        <w:rPr>
          <w:spacing w:val="-16"/>
        </w:rPr>
        <w:t> </w:t>
      </w:r>
      <w:r>
        <w:rPr/>
        <w:t>éstos</w:t>
      </w:r>
      <w:r>
        <w:rPr>
          <w:spacing w:val="-16"/>
        </w:rPr>
        <w:t> </w:t>
      </w:r>
      <w:r>
        <w:rPr/>
        <w:t>a</w:t>
      </w:r>
      <w:r>
        <w:rPr>
          <w:spacing w:val="-15"/>
        </w:rPr>
        <w:t> </w:t>
      </w:r>
      <w:r>
        <w:rPr/>
        <w:t>través</w:t>
      </w:r>
      <w:r>
        <w:rPr>
          <w:spacing w:val="-14"/>
        </w:rPr>
        <w:t> </w:t>
      </w:r>
      <w:r>
        <w:rPr/>
        <w:t>de</w:t>
      </w:r>
      <w:r>
        <w:rPr>
          <w:spacing w:val="-13"/>
        </w:rPr>
        <w:t> </w:t>
      </w:r>
      <w:r>
        <w:rPr/>
        <w:t>las</w:t>
      </w:r>
      <w:r>
        <w:rPr>
          <w:spacing w:val="-16"/>
        </w:rPr>
        <w:t> </w:t>
      </w:r>
      <w:r>
        <w:rPr/>
        <w:t>actitudes lingüísticas</w:t>
      </w:r>
      <w:r>
        <w:rPr>
          <w:spacing w:val="-4"/>
        </w:rPr>
        <w:t> </w:t>
      </w:r>
      <w:r>
        <w:rPr/>
        <w:t>que</w:t>
      </w:r>
      <w:r>
        <w:rPr>
          <w:spacing w:val="-4"/>
        </w:rPr>
        <w:t> </w:t>
      </w:r>
      <w:r>
        <w:rPr/>
        <w:t>surjan</w:t>
      </w:r>
      <w:r>
        <w:rPr>
          <w:spacing w:val="-4"/>
        </w:rPr>
        <w:t> </w:t>
      </w:r>
      <w:r>
        <w:rPr/>
        <w:t>a</w:t>
      </w:r>
      <w:r>
        <w:rPr>
          <w:spacing w:val="-4"/>
        </w:rPr>
        <w:t> </w:t>
      </w:r>
      <w:r>
        <w:rPr/>
        <w:t>partir</w:t>
      </w:r>
      <w:r>
        <w:rPr>
          <w:spacing w:val="-5"/>
        </w:rPr>
        <w:t> </w:t>
      </w:r>
      <w:r>
        <w:rPr/>
        <w:t>de</w:t>
      </w:r>
      <w:r>
        <w:rPr>
          <w:spacing w:val="-4"/>
        </w:rPr>
        <w:t> </w:t>
      </w:r>
      <w:r>
        <w:rPr/>
        <w:t>su</w:t>
      </w:r>
      <w:r>
        <w:rPr>
          <w:spacing w:val="-4"/>
        </w:rPr>
        <w:t> </w:t>
      </w:r>
      <w:r>
        <w:rPr/>
        <w:t>producción.</w:t>
      </w:r>
      <w:r>
        <w:rPr>
          <w:spacing w:val="-4"/>
        </w:rPr>
        <w:t> </w:t>
      </w:r>
      <w:r>
        <w:rPr/>
        <w:t>A</w:t>
      </w:r>
      <w:r>
        <w:rPr>
          <w:spacing w:val="-6"/>
        </w:rPr>
        <w:t> </w:t>
      </w:r>
      <w:r>
        <w:rPr/>
        <w:t>partir</w:t>
      </w:r>
      <w:r>
        <w:rPr>
          <w:spacing w:val="-5"/>
        </w:rPr>
        <w:t> </w:t>
      </w:r>
      <w:r>
        <w:rPr/>
        <w:t>de</w:t>
      </w:r>
      <w:r>
        <w:rPr>
          <w:spacing w:val="-4"/>
        </w:rPr>
        <w:t> </w:t>
      </w:r>
      <w:r>
        <w:rPr/>
        <w:t>lo</w:t>
      </w:r>
      <w:r>
        <w:rPr>
          <w:spacing w:val="-4"/>
        </w:rPr>
        <w:t> </w:t>
      </w:r>
      <w:r>
        <w:rPr/>
        <w:t>anterior</w:t>
      </w:r>
      <w:r>
        <w:rPr>
          <w:spacing w:val="-5"/>
        </w:rPr>
        <w:t> </w:t>
      </w:r>
      <w:r>
        <w:rPr/>
        <w:t>se</w:t>
      </w:r>
      <w:r>
        <w:rPr>
          <w:spacing w:val="-6"/>
        </w:rPr>
        <w:t> </w:t>
      </w:r>
      <w:r>
        <w:rPr/>
        <w:t>formulan</w:t>
      </w:r>
      <w:r>
        <w:rPr>
          <w:spacing w:val="3"/>
        </w:rPr>
        <w:t> </w:t>
      </w:r>
      <w:r>
        <w:rPr/>
        <w:t>las siguientes preguntas de investigación: ¿cuál es el efecto que produce en el oyente el uso</w:t>
      </w:r>
      <w:r>
        <w:rPr>
          <w:spacing w:val="-13"/>
        </w:rPr>
        <w:t> </w:t>
      </w:r>
      <w:r>
        <w:rPr/>
        <w:t>de</w:t>
      </w:r>
      <w:r>
        <w:rPr>
          <w:spacing w:val="-13"/>
        </w:rPr>
        <w:t> </w:t>
      </w:r>
      <w:r>
        <w:rPr/>
        <w:t>anglicismos</w:t>
      </w:r>
      <w:r>
        <w:rPr>
          <w:spacing w:val="-14"/>
        </w:rPr>
        <w:t> </w:t>
      </w:r>
      <w:r>
        <w:rPr/>
        <w:t>léxicos?,</w:t>
      </w:r>
      <w:r>
        <w:rPr>
          <w:spacing w:val="-13"/>
        </w:rPr>
        <w:t> </w:t>
      </w:r>
      <w:r>
        <w:rPr/>
        <w:t>¿cómo</w:t>
      </w:r>
      <w:r>
        <w:rPr>
          <w:spacing w:val="-16"/>
        </w:rPr>
        <w:t> </w:t>
      </w:r>
      <w:r>
        <w:rPr/>
        <w:t>afecta</w:t>
      </w:r>
      <w:r>
        <w:rPr>
          <w:spacing w:val="-13"/>
        </w:rPr>
        <w:t> </w:t>
      </w:r>
      <w:r>
        <w:rPr/>
        <w:t>la</w:t>
      </w:r>
      <w:r>
        <w:rPr>
          <w:spacing w:val="-16"/>
        </w:rPr>
        <w:t> </w:t>
      </w:r>
      <w:r>
        <w:rPr/>
        <w:t>edad</w:t>
      </w:r>
      <w:r>
        <w:rPr>
          <w:spacing w:val="-9"/>
        </w:rPr>
        <w:t> </w:t>
      </w:r>
      <w:r>
        <w:rPr/>
        <w:t>en</w:t>
      </w:r>
      <w:r>
        <w:rPr>
          <w:spacing w:val="-13"/>
        </w:rPr>
        <w:t> </w:t>
      </w:r>
      <w:r>
        <w:rPr/>
        <w:t>la</w:t>
      </w:r>
      <w:r>
        <w:rPr>
          <w:spacing w:val="-13"/>
        </w:rPr>
        <w:t> </w:t>
      </w:r>
      <w:r>
        <w:rPr/>
        <w:t>percepción</w:t>
      </w:r>
      <w:r>
        <w:rPr>
          <w:spacing w:val="-15"/>
        </w:rPr>
        <w:t> </w:t>
      </w:r>
      <w:r>
        <w:rPr/>
        <w:t>de</w:t>
      </w:r>
      <w:r>
        <w:rPr>
          <w:spacing w:val="-13"/>
        </w:rPr>
        <w:t> </w:t>
      </w:r>
      <w:r>
        <w:rPr/>
        <w:t>los</w:t>
      </w:r>
      <w:r>
        <w:rPr>
          <w:spacing w:val="-13"/>
        </w:rPr>
        <w:t> </w:t>
      </w:r>
      <w:r>
        <w:rPr/>
        <w:t>anglicismos léxicos?, ¿cómo afecta el nivel de estudios en la percepción de los anglicismos léxicos? y finalmente, ¿qué género tiene mayor aceptación al uso de anglicismos léxicos?</w:t>
      </w:r>
    </w:p>
    <w:p>
      <w:pPr>
        <w:pStyle w:val="BodyText"/>
        <w:spacing w:line="480" w:lineRule="auto" w:before="204"/>
        <w:ind w:left="102" w:right="112" w:firstLine="707"/>
        <w:jc w:val="both"/>
      </w:pPr>
      <w:r>
        <w:rPr/>
        <w:t>Como objetivo general de investigación se pretende analizar las actitudes lingüísticas de oyentes de anglicismos léxicos que permitan identificar su prestigio lingüístico. Además, comparar las actitudes lingüísticas de los distintos grupos de edad, contrastar las actitudes lingüísticas de los distintos niveles de estudio e identificar las actitudes lingüísticas entre géneros.</w:t>
      </w:r>
    </w:p>
    <w:p>
      <w:pPr>
        <w:spacing w:after="0" w:line="480" w:lineRule="auto"/>
        <w:jc w:val="both"/>
        <w:sectPr>
          <w:pgSz w:w="12240" w:h="15840"/>
          <w:pgMar w:header="0" w:footer="1003" w:top="1500" w:bottom="1200" w:left="1600" w:right="1300"/>
        </w:sectPr>
      </w:pPr>
    </w:p>
    <w:p>
      <w:pPr>
        <w:pStyle w:val="BodyText"/>
        <w:spacing w:before="4"/>
        <w:rPr>
          <w:sz w:val="11"/>
        </w:rPr>
      </w:pPr>
    </w:p>
    <w:p>
      <w:pPr>
        <w:pStyle w:val="BodyText"/>
        <w:spacing w:before="69"/>
        <w:ind w:left="810" w:right="51"/>
      </w:pPr>
      <w:r>
        <w:rPr/>
        <w:t>Con los objetivos anteriores se suponen cuatro diferentes hipótesis:</w:t>
      </w:r>
    </w:p>
    <w:p>
      <w:pPr>
        <w:pStyle w:val="BodyText"/>
      </w:pPr>
    </w:p>
    <w:p>
      <w:pPr>
        <w:pStyle w:val="BodyText"/>
        <w:spacing w:line="362" w:lineRule="auto" w:before="199"/>
        <w:ind w:left="810" w:right="51"/>
      </w:pPr>
      <w:r>
        <w:rPr>
          <w:position w:val="1"/>
        </w:rPr>
        <w:t>H</w:t>
      </w:r>
      <w:r>
        <w:rPr>
          <w:sz w:val="16"/>
        </w:rPr>
        <w:t>1</w:t>
      </w:r>
      <w:r>
        <w:rPr>
          <w:position w:val="1"/>
        </w:rPr>
        <w:t>:</w:t>
      </w:r>
      <w:r>
        <w:rPr>
          <w:spacing w:val="-11"/>
          <w:position w:val="1"/>
        </w:rPr>
        <w:t> </w:t>
      </w:r>
      <w:r>
        <w:rPr>
          <w:position w:val="1"/>
        </w:rPr>
        <w:t>Las</w:t>
      </w:r>
      <w:r>
        <w:rPr>
          <w:spacing w:val="-14"/>
          <w:position w:val="1"/>
        </w:rPr>
        <w:t> </w:t>
      </w:r>
      <w:r>
        <w:rPr>
          <w:position w:val="1"/>
        </w:rPr>
        <w:t>actitudes</w:t>
      </w:r>
      <w:r>
        <w:rPr>
          <w:spacing w:val="-12"/>
          <w:position w:val="1"/>
        </w:rPr>
        <w:t> </w:t>
      </w:r>
      <w:r>
        <w:rPr>
          <w:position w:val="1"/>
        </w:rPr>
        <w:t>lingüísticas</w:t>
      </w:r>
      <w:r>
        <w:rPr>
          <w:spacing w:val="-12"/>
          <w:position w:val="1"/>
        </w:rPr>
        <w:t> </w:t>
      </w:r>
      <w:r>
        <w:rPr>
          <w:position w:val="1"/>
        </w:rPr>
        <w:t>ante</w:t>
      </w:r>
      <w:r>
        <w:rPr>
          <w:spacing w:val="-13"/>
          <w:position w:val="1"/>
        </w:rPr>
        <w:t> </w:t>
      </w:r>
      <w:r>
        <w:rPr>
          <w:position w:val="1"/>
        </w:rPr>
        <w:t>el</w:t>
      </w:r>
      <w:r>
        <w:rPr>
          <w:spacing w:val="-12"/>
          <w:position w:val="1"/>
        </w:rPr>
        <w:t> </w:t>
      </w:r>
      <w:r>
        <w:rPr>
          <w:position w:val="1"/>
        </w:rPr>
        <w:t>uso</w:t>
      </w:r>
      <w:r>
        <w:rPr>
          <w:spacing w:val="-13"/>
          <w:position w:val="1"/>
        </w:rPr>
        <w:t> </w:t>
      </w:r>
      <w:r>
        <w:rPr>
          <w:position w:val="1"/>
        </w:rPr>
        <w:t>de</w:t>
      </w:r>
      <w:r>
        <w:rPr>
          <w:spacing w:val="-13"/>
          <w:position w:val="1"/>
        </w:rPr>
        <w:t> </w:t>
      </w:r>
      <w:r>
        <w:rPr>
          <w:position w:val="1"/>
        </w:rPr>
        <w:t>anglicismos</w:t>
      </w:r>
      <w:r>
        <w:rPr>
          <w:spacing w:val="-12"/>
          <w:position w:val="1"/>
        </w:rPr>
        <w:t> </w:t>
      </w:r>
      <w:r>
        <w:rPr>
          <w:position w:val="1"/>
        </w:rPr>
        <w:t>determinan</w:t>
      </w:r>
      <w:r>
        <w:rPr>
          <w:spacing w:val="-13"/>
          <w:position w:val="1"/>
        </w:rPr>
        <w:t> </w:t>
      </w:r>
      <w:r>
        <w:rPr>
          <w:position w:val="1"/>
        </w:rPr>
        <w:t>su</w:t>
      </w:r>
      <w:r>
        <w:rPr>
          <w:spacing w:val="-11"/>
          <w:position w:val="1"/>
        </w:rPr>
        <w:t> </w:t>
      </w:r>
      <w:r>
        <w:rPr>
          <w:position w:val="1"/>
        </w:rPr>
        <w:t>prestigio </w:t>
      </w:r>
      <w:r>
        <w:rPr/>
        <w:t>o</w:t>
      </w:r>
      <w:r>
        <w:rPr>
          <w:spacing w:val="-4"/>
        </w:rPr>
        <w:t> </w:t>
      </w:r>
      <w:r>
        <w:rPr/>
        <w:t>desprestigio.</w:t>
      </w:r>
    </w:p>
    <w:p>
      <w:pPr>
        <w:pStyle w:val="BodyText"/>
        <w:spacing w:line="480" w:lineRule="auto"/>
        <w:ind w:left="810" w:right="51"/>
      </w:pPr>
      <w:r>
        <w:rPr>
          <w:position w:val="1"/>
        </w:rPr>
        <w:t>H</w:t>
      </w:r>
      <w:r>
        <w:rPr>
          <w:sz w:val="16"/>
        </w:rPr>
        <w:t>2</w:t>
      </w:r>
      <w:r>
        <w:rPr>
          <w:position w:val="1"/>
        </w:rPr>
        <w:t>. Las actitudes lingüísticas son favorables a menor edad de los sujetos en </w:t>
      </w:r>
      <w:r>
        <w:rPr/>
        <w:t>oposición a los de mayor edad.</w:t>
      </w:r>
    </w:p>
    <w:p>
      <w:pPr>
        <w:pStyle w:val="BodyText"/>
        <w:spacing w:line="480" w:lineRule="auto" w:before="7"/>
        <w:ind w:left="810" w:right="51"/>
      </w:pPr>
      <w:r>
        <w:rPr>
          <w:position w:val="1"/>
        </w:rPr>
        <w:t>H</w:t>
      </w:r>
      <w:r>
        <w:rPr>
          <w:sz w:val="16"/>
        </w:rPr>
        <w:t>3</w:t>
      </w:r>
      <w:r>
        <w:rPr>
          <w:position w:val="1"/>
        </w:rPr>
        <w:t>. Las actitudes lingüísticas son favorables a mayor nivel académico que a </w:t>
      </w:r>
      <w:r>
        <w:rPr/>
        <w:t>menor nivel académico.</w:t>
      </w:r>
    </w:p>
    <w:p>
      <w:pPr>
        <w:pStyle w:val="BodyText"/>
        <w:spacing w:line="480" w:lineRule="auto" w:before="8"/>
        <w:ind w:left="810" w:right="51"/>
      </w:pPr>
      <w:r>
        <w:rPr>
          <w:position w:val="1"/>
        </w:rPr>
        <w:t>H</w:t>
      </w:r>
      <w:r>
        <w:rPr>
          <w:sz w:val="16"/>
        </w:rPr>
        <w:t>4</w:t>
      </w:r>
      <w:r>
        <w:rPr>
          <w:position w:val="1"/>
        </w:rPr>
        <w:t>.</w:t>
      </w:r>
      <w:r>
        <w:rPr>
          <w:spacing w:val="-11"/>
          <w:position w:val="1"/>
        </w:rPr>
        <w:t> </w:t>
      </w:r>
      <w:r>
        <w:rPr>
          <w:position w:val="1"/>
        </w:rPr>
        <w:t>El</w:t>
      </w:r>
      <w:r>
        <w:rPr>
          <w:spacing w:val="-12"/>
          <w:position w:val="1"/>
        </w:rPr>
        <w:t> </w:t>
      </w:r>
      <w:r>
        <w:rPr>
          <w:position w:val="1"/>
        </w:rPr>
        <w:t>género</w:t>
      </w:r>
      <w:r>
        <w:rPr>
          <w:spacing w:val="-11"/>
          <w:position w:val="1"/>
        </w:rPr>
        <w:t> </w:t>
      </w:r>
      <w:r>
        <w:rPr>
          <w:position w:val="1"/>
        </w:rPr>
        <w:t>femenino</w:t>
      </w:r>
      <w:r>
        <w:rPr>
          <w:spacing w:val="-11"/>
          <w:position w:val="1"/>
        </w:rPr>
        <w:t> </w:t>
      </w:r>
      <w:r>
        <w:rPr>
          <w:position w:val="1"/>
        </w:rPr>
        <w:t>presenta</w:t>
      </w:r>
      <w:r>
        <w:rPr>
          <w:spacing w:val="-11"/>
          <w:position w:val="1"/>
        </w:rPr>
        <w:t> </w:t>
      </w:r>
      <w:r>
        <w:rPr>
          <w:position w:val="1"/>
        </w:rPr>
        <w:t>actitudes</w:t>
      </w:r>
      <w:r>
        <w:rPr>
          <w:spacing w:val="-12"/>
          <w:position w:val="1"/>
        </w:rPr>
        <w:t> </w:t>
      </w:r>
      <w:r>
        <w:rPr>
          <w:position w:val="1"/>
        </w:rPr>
        <w:t>lingüísticas</w:t>
      </w:r>
      <w:r>
        <w:rPr>
          <w:spacing w:val="-12"/>
          <w:position w:val="1"/>
        </w:rPr>
        <w:t> </w:t>
      </w:r>
      <w:r>
        <w:rPr>
          <w:position w:val="1"/>
        </w:rPr>
        <w:t>favorables</w:t>
      </w:r>
      <w:r>
        <w:rPr>
          <w:spacing w:val="-13"/>
          <w:position w:val="1"/>
        </w:rPr>
        <w:t> </w:t>
      </w:r>
      <w:r>
        <w:rPr>
          <w:position w:val="1"/>
        </w:rPr>
        <w:t>ante</w:t>
      </w:r>
      <w:r>
        <w:rPr>
          <w:spacing w:val="-11"/>
          <w:position w:val="1"/>
        </w:rPr>
        <w:t> </w:t>
      </w:r>
      <w:r>
        <w:rPr>
          <w:position w:val="1"/>
        </w:rPr>
        <w:t>el</w:t>
      </w:r>
      <w:r>
        <w:rPr>
          <w:spacing w:val="-12"/>
          <w:position w:val="1"/>
        </w:rPr>
        <w:t> </w:t>
      </w:r>
      <w:r>
        <w:rPr>
          <w:position w:val="1"/>
        </w:rPr>
        <w:t>uso</w:t>
      </w:r>
      <w:r>
        <w:rPr>
          <w:spacing w:val="-11"/>
          <w:position w:val="1"/>
        </w:rPr>
        <w:t> </w:t>
      </w:r>
      <w:r>
        <w:rPr>
          <w:position w:val="1"/>
        </w:rPr>
        <w:t>de </w:t>
      </w:r>
      <w:r>
        <w:rPr/>
        <w:t>anglicismos léxicos al contrario del género</w:t>
      </w:r>
      <w:r>
        <w:rPr>
          <w:spacing w:val="-21"/>
        </w:rPr>
        <w:t> </w:t>
      </w:r>
      <w:r>
        <w:rPr/>
        <w:t>masculino.</w:t>
      </w:r>
    </w:p>
    <w:p>
      <w:pPr>
        <w:pStyle w:val="BodyText"/>
      </w:pPr>
    </w:p>
    <w:p>
      <w:pPr>
        <w:pStyle w:val="BodyText"/>
        <w:spacing w:before="7"/>
      </w:pPr>
    </w:p>
    <w:p>
      <w:pPr>
        <w:pStyle w:val="BodyText"/>
        <w:spacing w:line="480" w:lineRule="auto" w:before="1"/>
        <w:ind w:left="102" w:right="114" w:firstLine="707"/>
        <w:jc w:val="both"/>
      </w:pPr>
      <w:r>
        <w:rPr/>
        <w:t>Habiendo conocido los pormayores de esta investigación, cabe mencionar que en</w:t>
      </w:r>
      <w:r>
        <w:rPr>
          <w:spacing w:val="-4"/>
        </w:rPr>
        <w:t> </w:t>
      </w:r>
      <w:r>
        <w:rPr/>
        <w:t>el</w:t>
      </w:r>
      <w:r>
        <w:rPr>
          <w:spacing w:val="-4"/>
        </w:rPr>
        <w:t> </w:t>
      </w:r>
      <w:r>
        <w:rPr/>
        <w:t>primer</w:t>
      </w:r>
      <w:r>
        <w:rPr>
          <w:spacing w:val="-5"/>
        </w:rPr>
        <w:t> </w:t>
      </w:r>
      <w:r>
        <w:rPr/>
        <w:t>capítulo</w:t>
      </w:r>
      <w:r>
        <w:rPr>
          <w:spacing w:val="-2"/>
        </w:rPr>
        <w:t> </w:t>
      </w:r>
      <w:r>
        <w:rPr/>
        <w:t>de</w:t>
      </w:r>
      <w:r>
        <w:rPr>
          <w:spacing w:val="-4"/>
        </w:rPr>
        <w:t> </w:t>
      </w:r>
      <w:r>
        <w:rPr/>
        <w:t>este</w:t>
      </w:r>
      <w:r>
        <w:rPr>
          <w:spacing w:val="-5"/>
        </w:rPr>
        <w:t> </w:t>
      </w:r>
      <w:r>
        <w:rPr/>
        <w:t>trabajo</w:t>
      </w:r>
      <w:r>
        <w:rPr>
          <w:spacing w:val="-4"/>
        </w:rPr>
        <w:t> </w:t>
      </w:r>
      <w:r>
        <w:rPr/>
        <w:t>se</w:t>
      </w:r>
      <w:r>
        <w:rPr>
          <w:spacing w:val="-6"/>
        </w:rPr>
        <w:t> </w:t>
      </w:r>
      <w:r>
        <w:rPr/>
        <w:t>puede</w:t>
      </w:r>
      <w:r>
        <w:rPr>
          <w:spacing w:val="-4"/>
        </w:rPr>
        <w:t> </w:t>
      </w:r>
      <w:r>
        <w:rPr/>
        <w:t>encontrar</w:t>
      </w:r>
      <w:r>
        <w:rPr>
          <w:spacing w:val="-5"/>
        </w:rPr>
        <w:t> </w:t>
      </w:r>
      <w:r>
        <w:rPr/>
        <w:t>una</w:t>
      </w:r>
      <w:r>
        <w:rPr>
          <w:spacing w:val="-4"/>
        </w:rPr>
        <w:t> </w:t>
      </w:r>
      <w:r>
        <w:rPr/>
        <w:t>clara</w:t>
      </w:r>
      <w:r>
        <w:rPr>
          <w:spacing w:val="-6"/>
        </w:rPr>
        <w:t> </w:t>
      </w:r>
      <w:r>
        <w:rPr/>
        <w:t>definición</w:t>
      </w:r>
      <w:r>
        <w:rPr>
          <w:spacing w:val="-5"/>
        </w:rPr>
        <w:t> </w:t>
      </w:r>
      <w:r>
        <w:rPr/>
        <w:t>de</w:t>
      </w:r>
      <w:r>
        <w:rPr>
          <w:spacing w:val="-4"/>
        </w:rPr>
        <w:t> </w:t>
      </w:r>
      <w:r>
        <w:rPr/>
        <w:t>lo</w:t>
      </w:r>
      <w:r>
        <w:rPr>
          <w:spacing w:val="-4"/>
        </w:rPr>
        <w:t> </w:t>
      </w:r>
      <w:r>
        <w:rPr/>
        <w:t>que es</w:t>
      </w:r>
      <w:r>
        <w:rPr>
          <w:spacing w:val="-19"/>
        </w:rPr>
        <w:t> </w:t>
      </w:r>
      <w:r>
        <w:rPr/>
        <w:t>un</w:t>
      </w:r>
      <w:r>
        <w:rPr>
          <w:spacing w:val="-20"/>
        </w:rPr>
        <w:t> </w:t>
      </w:r>
      <w:r>
        <w:rPr/>
        <w:t>anglicismo</w:t>
      </w:r>
      <w:r>
        <w:rPr>
          <w:spacing w:val="-19"/>
        </w:rPr>
        <w:t> </w:t>
      </w:r>
      <w:r>
        <w:rPr/>
        <w:t>y</w:t>
      </w:r>
      <w:r>
        <w:rPr>
          <w:spacing w:val="-21"/>
        </w:rPr>
        <w:t> </w:t>
      </w:r>
      <w:r>
        <w:rPr/>
        <w:t>de</w:t>
      </w:r>
      <w:r>
        <w:rPr>
          <w:spacing w:val="-19"/>
        </w:rPr>
        <w:t> </w:t>
      </w:r>
      <w:r>
        <w:rPr/>
        <w:t>sus</w:t>
      </w:r>
      <w:r>
        <w:rPr>
          <w:spacing w:val="-19"/>
        </w:rPr>
        <w:t> </w:t>
      </w:r>
      <w:r>
        <w:rPr/>
        <w:t>diferentes</w:t>
      </w:r>
      <w:r>
        <w:rPr>
          <w:spacing w:val="-19"/>
        </w:rPr>
        <w:t> </w:t>
      </w:r>
      <w:r>
        <w:rPr/>
        <w:t>clasificaciones,</w:t>
      </w:r>
      <w:r>
        <w:rPr>
          <w:spacing w:val="-21"/>
        </w:rPr>
        <w:t> </w:t>
      </w:r>
      <w:r>
        <w:rPr/>
        <w:t>por</w:t>
      </w:r>
      <w:r>
        <w:rPr>
          <w:spacing w:val="-19"/>
        </w:rPr>
        <w:t> </w:t>
      </w:r>
      <w:r>
        <w:rPr/>
        <w:t>ahora</w:t>
      </w:r>
      <w:r>
        <w:rPr>
          <w:spacing w:val="-19"/>
        </w:rPr>
        <w:t> </w:t>
      </w:r>
      <w:r>
        <w:rPr/>
        <w:t>sólo</w:t>
      </w:r>
      <w:r>
        <w:rPr>
          <w:spacing w:val="-19"/>
        </w:rPr>
        <w:t> </w:t>
      </w:r>
      <w:r>
        <w:rPr/>
        <w:t>se</w:t>
      </w:r>
      <w:r>
        <w:rPr>
          <w:spacing w:val="-20"/>
        </w:rPr>
        <w:t> </w:t>
      </w:r>
      <w:r>
        <w:rPr/>
        <w:t>dará</w:t>
      </w:r>
      <w:r>
        <w:rPr>
          <w:spacing w:val="-19"/>
        </w:rPr>
        <w:t> </w:t>
      </w:r>
      <w:r>
        <w:rPr/>
        <w:t>un</w:t>
      </w:r>
      <w:r>
        <w:rPr>
          <w:spacing w:val="-19"/>
        </w:rPr>
        <w:t> </w:t>
      </w:r>
      <w:r>
        <w:rPr/>
        <w:t>pequeño acercamiento</w:t>
      </w:r>
      <w:r>
        <w:rPr>
          <w:spacing w:val="-9"/>
        </w:rPr>
        <w:t> </w:t>
      </w:r>
      <w:r>
        <w:rPr/>
        <w:t>a</w:t>
      </w:r>
      <w:r>
        <w:rPr>
          <w:spacing w:val="-9"/>
        </w:rPr>
        <w:t> </w:t>
      </w:r>
      <w:r>
        <w:rPr/>
        <w:t>su</w:t>
      </w:r>
      <w:r>
        <w:rPr>
          <w:spacing w:val="-9"/>
        </w:rPr>
        <w:t> </w:t>
      </w:r>
      <w:r>
        <w:rPr/>
        <w:t>concepto.</w:t>
      </w:r>
      <w:r>
        <w:rPr>
          <w:spacing w:val="-9"/>
        </w:rPr>
        <w:t> </w:t>
      </w:r>
      <w:r>
        <w:rPr/>
        <w:t>Un</w:t>
      </w:r>
      <w:r>
        <w:rPr>
          <w:spacing w:val="-9"/>
        </w:rPr>
        <w:t> </w:t>
      </w:r>
      <w:r>
        <w:rPr/>
        <w:t>anglicismo</w:t>
      </w:r>
      <w:r>
        <w:rPr>
          <w:spacing w:val="-9"/>
        </w:rPr>
        <w:t> </w:t>
      </w:r>
      <w:r>
        <w:rPr/>
        <w:t>es</w:t>
      </w:r>
      <w:r>
        <w:rPr>
          <w:spacing w:val="-9"/>
        </w:rPr>
        <w:t> </w:t>
      </w:r>
      <w:r>
        <w:rPr/>
        <w:t>el</w:t>
      </w:r>
      <w:r>
        <w:rPr>
          <w:spacing w:val="-10"/>
        </w:rPr>
        <w:t> </w:t>
      </w:r>
      <w:r>
        <w:rPr/>
        <w:t>préstamo</w:t>
      </w:r>
      <w:r>
        <w:rPr>
          <w:spacing w:val="-9"/>
        </w:rPr>
        <w:t> </w:t>
      </w:r>
      <w:r>
        <w:rPr/>
        <w:t>de</w:t>
      </w:r>
      <w:r>
        <w:rPr>
          <w:spacing w:val="-9"/>
        </w:rPr>
        <w:t> </w:t>
      </w:r>
      <w:r>
        <w:rPr/>
        <w:t>una</w:t>
      </w:r>
      <w:r>
        <w:rPr>
          <w:spacing w:val="-9"/>
        </w:rPr>
        <w:t> </w:t>
      </w:r>
      <w:r>
        <w:rPr/>
        <w:t>unidad</w:t>
      </w:r>
      <w:r>
        <w:rPr>
          <w:spacing w:val="-11"/>
        </w:rPr>
        <w:t> </w:t>
      </w:r>
      <w:r>
        <w:rPr/>
        <w:t>o</w:t>
      </w:r>
      <w:r>
        <w:rPr>
          <w:spacing w:val="-9"/>
        </w:rPr>
        <w:t> </w:t>
      </w:r>
      <w:r>
        <w:rPr/>
        <w:t>estructura de la lengua y cultura inglesa, en el cual, se aprecia un continuo desarrollo y cambio, que provoca que el anglicismo sufra diferentes alteraciones en el proceso de apropiación de la lengua de</w:t>
      </w:r>
      <w:r>
        <w:rPr>
          <w:spacing w:val="-14"/>
        </w:rPr>
        <w:t> </w:t>
      </w:r>
      <w:r>
        <w:rPr/>
        <w:t>llegada.</w:t>
      </w:r>
    </w:p>
    <w:p>
      <w:pPr>
        <w:pStyle w:val="BodyText"/>
        <w:spacing w:line="480" w:lineRule="auto" w:before="204"/>
        <w:ind w:left="102" w:right="114" w:firstLine="707"/>
        <w:jc w:val="both"/>
      </w:pPr>
      <w:r>
        <w:rPr/>
        <w:t>Así también se deja de manifiesto la definición de prestigio lingüístico atizada para propósitos de esta investigación en el segundo capítulo. Para ello se retomará</w:t>
      </w:r>
      <w:r>
        <w:rPr>
          <w:spacing w:val="-31"/>
        </w:rPr>
        <w:t> </w:t>
      </w:r>
      <w:r>
        <w:rPr/>
        <w:t>el concepto que Prieto (en Alcalá; 1999) menciona en su estudio, donde se considera que el factor social y cultural es determinante para definirlo como la actitud positiva ante</w:t>
      </w:r>
      <w:r>
        <w:rPr>
          <w:spacing w:val="-16"/>
        </w:rPr>
        <w:t> </w:t>
      </w:r>
      <w:r>
        <w:rPr/>
        <w:t>una</w:t>
      </w:r>
      <w:r>
        <w:rPr>
          <w:spacing w:val="-14"/>
        </w:rPr>
        <w:t> </w:t>
      </w:r>
      <w:r>
        <w:rPr/>
        <w:t>lengua.</w:t>
      </w:r>
      <w:r>
        <w:rPr>
          <w:spacing w:val="-14"/>
        </w:rPr>
        <w:t> </w:t>
      </w:r>
      <w:r>
        <w:rPr/>
        <w:t>El</w:t>
      </w:r>
      <w:r>
        <w:rPr>
          <w:spacing w:val="-15"/>
        </w:rPr>
        <w:t> </w:t>
      </w:r>
      <w:r>
        <w:rPr/>
        <w:t>prestigio</w:t>
      </w:r>
      <w:r>
        <w:rPr>
          <w:spacing w:val="-14"/>
        </w:rPr>
        <w:t> </w:t>
      </w:r>
      <w:r>
        <w:rPr/>
        <w:t>de</w:t>
      </w:r>
      <w:r>
        <w:rPr>
          <w:spacing w:val="-14"/>
        </w:rPr>
        <w:t> </w:t>
      </w:r>
      <w:r>
        <w:rPr/>
        <w:t>una</w:t>
      </w:r>
      <w:r>
        <w:rPr>
          <w:spacing w:val="-14"/>
        </w:rPr>
        <w:t> </w:t>
      </w:r>
      <w:r>
        <w:rPr/>
        <w:t>lengua</w:t>
      </w:r>
      <w:r>
        <w:rPr>
          <w:spacing w:val="-17"/>
        </w:rPr>
        <w:t> </w:t>
      </w:r>
      <w:r>
        <w:rPr/>
        <w:t>forma</w:t>
      </w:r>
      <w:r>
        <w:rPr>
          <w:spacing w:val="-17"/>
        </w:rPr>
        <w:t> </w:t>
      </w:r>
      <w:r>
        <w:rPr/>
        <w:t>parte</w:t>
      </w:r>
      <w:r>
        <w:rPr>
          <w:spacing w:val="-17"/>
        </w:rPr>
        <w:t> </w:t>
      </w:r>
      <w:r>
        <w:rPr/>
        <w:t>de</w:t>
      </w:r>
      <w:r>
        <w:rPr>
          <w:spacing w:val="-14"/>
        </w:rPr>
        <w:t> </w:t>
      </w:r>
      <w:r>
        <w:rPr/>
        <w:t>la</w:t>
      </w:r>
      <w:r>
        <w:rPr>
          <w:spacing w:val="-17"/>
        </w:rPr>
        <w:t> </w:t>
      </w:r>
      <w:r>
        <w:rPr/>
        <w:t>identidad</w:t>
      </w:r>
      <w:r>
        <w:rPr>
          <w:spacing w:val="-14"/>
        </w:rPr>
        <w:t> </w:t>
      </w:r>
      <w:r>
        <w:rPr/>
        <w:t>de</w:t>
      </w:r>
      <w:r>
        <w:rPr>
          <w:spacing w:val="-17"/>
        </w:rPr>
        <w:t> </w:t>
      </w:r>
      <w:r>
        <w:rPr/>
        <w:t>determinado</w:t>
      </w:r>
    </w:p>
    <w:p>
      <w:pPr>
        <w:spacing w:after="0" w:line="480" w:lineRule="auto"/>
        <w:jc w:val="both"/>
        <w:sectPr>
          <w:pgSz w:w="12240" w:h="15840"/>
          <w:pgMar w:header="0" w:footer="1003" w:top="1500" w:bottom="1200" w:left="1600" w:right="1300"/>
        </w:sectPr>
      </w:pPr>
    </w:p>
    <w:p>
      <w:pPr>
        <w:pStyle w:val="BodyText"/>
        <w:spacing w:before="1"/>
        <w:rPr>
          <w:sz w:val="11"/>
        </w:rPr>
      </w:pPr>
    </w:p>
    <w:p>
      <w:pPr>
        <w:pStyle w:val="BodyText"/>
        <w:spacing w:line="482" w:lineRule="auto" w:before="70"/>
        <w:ind w:left="102" w:right="51"/>
      </w:pPr>
      <w:r>
        <w:rPr/>
        <w:t>grupo social que puede influir en otro grupo provocando una variación lingüística en el habla de ambos grupos.</w:t>
      </w:r>
    </w:p>
    <w:p>
      <w:pPr>
        <w:pStyle w:val="BodyText"/>
        <w:spacing w:line="480" w:lineRule="auto" w:before="202"/>
        <w:ind w:left="102" w:right="114" w:firstLine="707"/>
        <w:jc w:val="both"/>
      </w:pPr>
      <w:r>
        <w:rPr/>
        <w:t>Sin embargo, no se puede hablar de prestigio lingüístico sin hablar de otros fenómenos sociolingüísticos como las actitudes lingüísticas que son abordadas en el capítulo dos, en donde se describen como el resultado de un fenómeno que sirve de detonador de dichas actitudes y las cuales servirán de instrumento en esta investigación para determinar si los anglicismos son variables de prestigio o no.</w:t>
      </w:r>
    </w:p>
    <w:p>
      <w:pPr>
        <w:pStyle w:val="BodyText"/>
        <w:spacing w:line="480" w:lineRule="auto" w:before="204"/>
        <w:ind w:left="102" w:right="115" w:firstLine="707"/>
        <w:jc w:val="both"/>
      </w:pPr>
      <w:r>
        <w:rPr/>
        <w:t>Como parte del desarrollo de la investigación, en el tercer capítulo, se describe el</w:t>
      </w:r>
      <w:r>
        <w:rPr>
          <w:spacing w:val="-18"/>
        </w:rPr>
        <w:t> </w:t>
      </w:r>
      <w:r>
        <w:rPr/>
        <w:t>proceso</w:t>
      </w:r>
      <w:r>
        <w:rPr>
          <w:spacing w:val="-17"/>
        </w:rPr>
        <w:t> </w:t>
      </w:r>
      <w:r>
        <w:rPr/>
        <w:t>de</w:t>
      </w:r>
      <w:r>
        <w:rPr>
          <w:spacing w:val="-19"/>
        </w:rPr>
        <w:t> </w:t>
      </w:r>
      <w:r>
        <w:rPr/>
        <w:t>diseño</w:t>
      </w:r>
      <w:r>
        <w:rPr>
          <w:spacing w:val="-19"/>
        </w:rPr>
        <w:t> </w:t>
      </w:r>
      <w:r>
        <w:rPr/>
        <w:t>del</w:t>
      </w:r>
      <w:r>
        <w:rPr>
          <w:spacing w:val="-18"/>
        </w:rPr>
        <w:t> </w:t>
      </w:r>
      <w:r>
        <w:rPr/>
        <w:t>instrumento</w:t>
      </w:r>
      <w:r>
        <w:rPr>
          <w:spacing w:val="-19"/>
        </w:rPr>
        <w:t> </w:t>
      </w:r>
      <w:r>
        <w:rPr/>
        <w:t>de</w:t>
      </w:r>
      <w:r>
        <w:rPr>
          <w:spacing w:val="-17"/>
        </w:rPr>
        <w:t> </w:t>
      </w:r>
      <w:r>
        <w:rPr/>
        <w:t>investigación</w:t>
      </w:r>
      <w:r>
        <w:rPr>
          <w:spacing w:val="-16"/>
        </w:rPr>
        <w:t> </w:t>
      </w:r>
      <w:r>
        <w:rPr/>
        <w:t>que</w:t>
      </w:r>
      <w:r>
        <w:rPr>
          <w:spacing w:val="-17"/>
        </w:rPr>
        <w:t> </w:t>
      </w:r>
      <w:r>
        <w:rPr/>
        <w:t>sirva</w:t>
      </w:r>
      <w:r>
        <w:rPr>
          <w:spacing w:val="-17"/>
        </w:rPr>
        <w:t> </w:t>
      </w:r>
      <w:r>
        <w:rPr/>
        <w:t>para</w:t>
      </w:r>
      <w:r>
        <w:rPr>
          <w:spacing w:val="-20"/>
        </w:rPr>
        <w:t> </w:t>
      </w:r>
      <w:r>
        <w:rPr/>
        <w:t>recopilar</w:t>
      </w:r>
      <w:r>
        <w:rPr>
          <w:spacing w:val="-18"/>
        </w:rPr>
        <w:t> </w:t>
      </w:r>
      <w:r>
        <w:rPr/>
        <w:t>los</w:t>
      </w:r>
      <w:r>
        <w:rPr>
          <w:spacing w:val="-19"/>
        </w:rPr>
        <w:t> </w:t>
      </w:r>
      <w:r>
        <w:rPr/>
        <w:t>datos requeridos y corroborar la validez de éstos en una aplicación piloto y en la aplicación real. El instrumento usado para esta investigación mixta cualitativa es un “Matched Guise” y un segundo cuestionario medido con una escala</w:t>
      </w:r>
      <w:r>
        <w:rPr>
          <w:spacing w:val="-26"/>
        </w:rPr>
        <w:t> </w:t>
      </w:r>
      <w:r>
        <w:rPr/>
        <w:t>Likert.</w:t>
      </w:r>
    </w:p>
    <w:p>
      <w:pPr>
        <w:pStyle w:val="BodyText"/>
        <w:spacing w:line="480" w:lineRule="auto" w:before="207"/>
        <w:ind w:left="102" w:right="113" w:firstLine="707"/>
        <w:jc w:val="both"/>
      </w:pPr>
      <w:r>
        <w:rPr/>
        <w:t>Finalmente, en un cuarto capítulo se proporcionan las evidencias necesarias que ayudan a una mejor lectura y comprensión de los resultados obtenidos en los instrumentos de investigación; se analizan y se interpretan para determinar en definitiva si las hipótesis son verdaderas o falsas. Esta se corrobora de manera concreta con la información incluida en el apartado de discusión y los resultados.</w:t>
      </w:r>
    </w:p>
    <w:p>
      <w:pPr>
        <w:spacing w:after="0" w:line="480" w:lineRule="auto"/>
        <w:jc w:val="both"/>
        <w:sectPr>
          <w:pgSz w:w="12240" w:h="15840"/>
          <w:pgMar w:header="0" w:footer="1003" w:top="1500" w:bottom="1200" w:left="1600" w:right="1300"/>
        </w:sectPr>
      </w:pPr>
    </w:p>
    <w:p>
      <w:pPr>
        <w:pStyle w:val="BodyText"/>
        <w:spacing w:before="4"/>
        <w:rPr>
          <w:sz w:val="11"/>
        </w:rPr>
      </w:pPr>
    </w:p>
    <w:p>
      <w:pPr>
        <w:pStyle w:val="Heading1"/>
        <w:spacing w:line="535" w:lineRule="auto" w:before="69"/>
        <w:ind w:left="3957" w:right="3970" w:firstLine="2"/>
        <w:jc w:val="center"/>
      </w:pPr>
      <w:r>
        <w:rPr/>
        <w:t>CAPÍTULO 1 </w:t>
      </w:r>
      <w:r>
        <w:rPr>
          <w:spacing w:val="-1"/>
        </w:rPr>
        <w:t>ANGLICISMOS</w:t>
      </w:r>
    </w:p>
    <w:p>
      <w:pPr>
        <w:pStyle w:val="BodyText"/>
        <w:rPr>
          <w:b/>
        </w:rPr>
      </w:pPr>
    </w:p>
    <w:p>
      <w:pPr>
        <w:pStyle w:val="BodyText"/>
        <w:spacing w:before="11"/>
        <w:rPr>
          <w:b/>
          <w:sz w:val="29"/>
        </w:rPr>
      </w:pPr>
    </w:p>
    <w:p>
      <w:pPr>
        <w:pStyle w:val="BodyText"/>
        <w:spacing w:line="360" w:lineRule="auto"/>
        <w:ind w:left="102" w:right="111" w:firstLine="707"/>
        <w:jc w:val="both"/>
      </w:pPr>
      <w:r>
        <w:rPr/>
        <w:t>En el presente capítulo se pretende dar un acercamiento a la comprensión de lo que es un anglicismo. Se debatirá la definición proporcionada por varios autores en un análisis comparativo para concluir con la definición que se utilizará para propósitos de esta investigación. Finalmente, se darán a conocer las diferentes clasificaciones de los anglicismos de acuerdo a sus características y a su función en la lengua.</w:t>
      </w:r>
    </w:p>
    <w:p>
      <w:pPr>
        <w:pStyle w:val="BodyText"/>
      </w:pPr>
    </w:p>
    <w:p>
      <w:pPr>
        <w:pStyle w:val="BodyText"/>
      </w:pPr>
    </w:p>
    <w:p>
      <w:pPr>
        <w:pStyle w:val="BodyText"/>
        <w:spacing w:before="2"/>
        <w:rPr>
          <w:sz w:val="23"/>
        </w:rPr>
      </w:pPr>
    </w:p>
    <w:p>
      <w:pPr>
        <w:pStyle w:val="Heading1"/>
        <w:numPr>
          <w:ilvl w:val="1"/>
          <w:numId w:val="1"/>
        </w:numPr>
        <w:tabs>
          <w:tab w:pos="572" w:val="left" w:leader="none"/>
        </w:tabs>
        <w:spacing w:line="240" w:lineRule="auto" w:before="0" w:after="0"/>
        <w:ind w:left="571" w:right="0" w:hanging="469"/>
        <w:jc w:val="left"/>
      </w:pPr>
      <w:r>
        <w:rPr/>
        <w:t>Definiciones</w:t>
      </w:r>
    </w:p>
    <w:p>
      <w:pPr>
        <w:pStyle w:val="BodyText"/>
        <w:spacing w:before="4"/>
        <w:rPr>
          <w:b/>
          <w:sz w:val="29"/>
        </w:rPr>
      </w:pPr>
    </w:p>
    <w:p>
      <w:pPr>
        <w:pStyle w:val="BodyText"/>
        <w:spacing w:line="360" w:lineRule="auto" w:before="1"/>
        <w:ind w:left="102" w:right="106" w:firstLine="707"/>
        <w:jc w:val="both"/>
      </w:pPr>
      <w:r>
        <w:rPr/>
        <w:t>Entre los autores más reconocidos por su trabajo con extranjerismos y específicamente</w:t>
      </w:r>
      <w:r>
        <w:rPr>
          <w:spacing w:val="-5"/>
        </w:rPr>
        <w:t> </w:t>
      </w:r>
      <w:r>
        <w:rPr/>
        <w:t>con</w:t>
      </w:r>
      <w:r>
        <w:rPr>
          <w:spacing w:val="-7"/>
        </w:rPr>
        <w:t> </w:t>
      </w:r>
      <w:r>
        <w:rPr/>
        <w:t>anglicismos,</w:t>
      </w:r>
      <w:r>
        <w:rPr>
          <w:spacing w:val="-5"/>
        </w:rPr>
        <w:t> </w:t>
      </w:r>
      <w:r>
        <w:rPr/>
        <w:t>se</w:t>
      </w:r>
      <w:r>
        <w:rPr>
          <w:spacing w:val="-7"/>
        </w:rPr>
        <w:t> </w:t>
      </w:r>
      <w:r>
        <w:rPr/>
        <w:t>encuentra</w:t>
      </w:r>
      <w:r>
        <w:rPr>
          <w:spacing w:val="-5"/>
        </w:rPr>
        <w:t> </w:t>
      </w:r>
      <w:r>
        <w:rPr/>
        <w:t>Valentín</w:t>
      </w:r>
      <w:r>
        <w:rPr>
          <w:spacing w:val="-5"/>
        </w:rPr>
        <w:t> </w:t>
      </w:r>
      <w:r>
        <w:rPr/>
        <w:t>García</w:t>
      </w:r>
      <w:r>
        <w:rPr>
          <w:spacing w:val="-5"/>
        </w:rPr>
        <w:t> </w:t>
      </w:r>
      <w:r>
        <w:rPr/>
        <w:t>Yebra</w:t>
      </w:r>
      <w:r>
        <w:rPr>
          <w:spacing w:val="-5"/>
        </w:rPr>
        <w:t> </w:t>
      </w:r>
      <w:r>
        <w:rPr/>
        <w:t>(2005:</w:t>
      </w:r>
      <w:r>
        <w:rPr>
          <w:spacing w:val="-7"/>
        </w:rPr>
        <w:t> </w:t>
      </w:r>
      <w:r>
        <w:rPr/>
        <w:t>284)</w:t>
      </w:r>
      <w:r>
        <w:rPr>
          <w:spacing w:val="-6"/>
        </w:rPr>
        <w:t> </w:t>
      </w:r>
      <w:r>
        <w:rPr/>
        <w:t>quien expone que los anglicismos son “los calcos innecesarios que imitan palabras o frases inglesas”, y resalta lo poco útil que resultan, ya que en español existen los equivalentes a</w:t>
      </w:r>
      <w:r>
        <w:rPr>
          <w:spacing w:val="-7"/>
        </w:rPr>
        <w:t> </w:t>
      </w:r>
      <w:r>
        <w:rPr/>
        <w:t>esos</w:t>
      </w:r>
      <w:r>
        <w:rPr>
          <w:spacing w:val="-8"/>
        </w:rPr>
        <w:t> </w:t>
      </w:r>
      <w:r>
        <w:rPr/>
        <w:t>términos,</w:t>
      </w:r>
      <w:r>
        <w:rPr>
          <w:spacing w:val="-10"/>
        </w:rPr>
        <w:t> </w:t>
      </w:r>
      <w:r>
        <w:rPr/>
        <w:t>García</w:t>
      </w:r>
      <w:r>
        <w:rPr>
          <w:spacing w:val="-7"/>
        </w:rPr>
        <w:t> </w:t>
      </w:r>
      <w:r>
        <w:rPr/>
        <w:t>Yebra</w:t>
      </w:r>
      <w:r>
        <w:rPr>
          <w:spacing w:val="-10"/>
        </w:rPr>
        <w:t> </w:t>
      </w:r>
      <w:r>
        <w:rPr/>
        <w:t>(2005)</w:t>
      </w:r>
      <w:r>
        <w:rPr>
          <w:spacing w:val="-8"/>
        </w:rPr>
        <w:t> </w:t>
      </w:r>
      <w:r>
        <w:rPr/>
        <w:t>explica</w:t>
      </w:r>
      <w:r>
        <w:rPr>
          <w:spacing w:val="-9"/>
        </w:rPr>
        <w:t> </w:t>
      </w:r>
      <w:r>
        <w:rPr/>
        <w:t>“hay</w:t>
      </w:r>
      <w:r>
        <w:rPr>
          <w:spacing w:val="-10"/>
        </w:rPr>
        <w:t> </w:t>
      </w:r>
      <w:r>
        <w:rPr/>
        <w:t>palabras</w:t>
      </w:r>
      <w:r>
        <w:rPr>
          <w:spacing w:val="-10"/>
        </w:rPr>
        <w:t> </w:t>
      </w:r>
      <w:r>
        <w:rPr/>
        <w:t>o</w:t>
      </w:r>
      <w:r>
        <w:rPr>
          <w:spacing w:val="-9"/>
        </w:rPr>
        <w:t> </w:t>
      </w:r>
      <w:r>
        <w:rPr/>
        <w:t>expresiones</w:t>
      </w:r>
      <w:r>
        <w:rPr>
          <w:spacing w:val="-10"/>
        </w:rPr>
        <w:t> </w:t>
      </w:r>
      <w:r>
        <w:rPr/>
        <w:t>españolas</w:t>
      </w:r>
      <w:r>
        <w:rPr>
          <w:spacing w:val="-8"/>
        </w:rPr>
        <w:t> </w:t>
      </w:r>
      <w:r>
        <w:rPr/>
        <w:t>tan buenas y tan expresivas como las inglesas” (2005:</w:t>
      </w:r>
      <w:r>
        <w:rPr>
          <w:spacing w:val="-13"/>
        </w:rPr>
        <w:t> </w:t>
      </w:r>
      <w:r>
        <w:rPr/>
        <w:t>284).</w:t>
      </w:r>
    </w:p>
    <w:p>
      <w:pPr>
        <w:pStyle w:val="BodyText"/>
        <w:spacing w:line="360" w:lineRule="auto" w:before="204"/>
        <w:ind w:left="102" w:right="112" w:firstLine="707"/>
        <w:jc w:val="both"/>
      </w:pPr>
      <w:r>
        <w:rPr/>
        <w:t>Considerando que para la lingüística no existen palabras buenas o malas, ni lenguas mejores que otras (Wardhaugh (2010), la afirmación de García Yebra con respecto</w:t>
      </w:r>
      <w:r>
        <w:rPr>
          <w:spacing w:val="-20"/>
        </w:rPr>
        <w:t> </w:t>
      </w:r>
      <w:r>
        <w:rPr/>
        <w:t>a</w:t>
      </w:r>
      <w:r>
        <w:rPr>
          <w:spacing w:val="-18"/>
        </w:rPr>
        <w:t> </w:t>
      </w:r>
      <w:r>
        <w:rPr/>
        <w:t>la</w:t>
      </w:r>
      <w:r>
        <w:rPr>
          <w:spacing w:val="-18"/>
        </w:rPr>
        <w:t> </w:t>
      </w:r>
      <w:r>
        <w:rPr/>
        <w:t>idea</w:t>
      </w:r>
      <w:r>
        <w:rPr>
          <w:spacing w:val="-18"/>
        </w:rPr>
        <w:t> </w:t>
      </w:r>
      <w:r>
        <w:rPr/>
        <w:t>de</w:t>
      </w:r>
      <w:r>
        <w:rPr>
          <w:spacing w:val="-18"/>
        </w:rPr>
        <w:t> </w:t>
      </w:r>
      <w:r>
        <w:rPr/>
        <w:t>que</w:t>
      </w:r>
      <w:r>
        <w:rPr>
          <w:spacing w:val="-18"/>
        </w:rPr>
        <w:t> </w:t>
      </w:r>
      <w:r>
        <w:rPr/>
        <w:t>los</w:t>
      </w:r>
      <w:r>
        <w:rPr>
          <w:spacing w:val="-18"/>
        </w:rPr>
        <w:t> </w:t>
      </w:r>
      <w:r>
        <w:rPr/>
        <w:t>calcos</w:t>
      </w:r>
      <w:r>
        <w:rPr>
          <w:spacing w:val="-18"/>
        </w:rPr>
        <w:t> </w:t>
      </w:r>
      <w:r>
        <w:rPr/>
        <w:t>son</w:t>
      </w:r>
      <w:r>
        <w:rPr>
          <w:spacing w:val="-18"/>
        </w:rPr>
        <w:t> </w:t>
      </w:r>
      <w:r>
        <w:rPr/>
        <w:t>innecesarios</w:t>
      </w:r>
      <w:r>
        <w:rPr>
          <w:spacing w:val="-19"/>
        </w:rPr>
        <w:t> </w:t>
      </w:r>
      <w:r>
        <w:rPr/>
        <w:t>resulta</w:t>
      </w:r>
      <w:r>
        <w:rPr>
          <w:spacing w:val="-20"/>
        </w:rPr>
        <w:t> </w:t>
      </w:r>
      <w:r>
        <w:rPr/>
        <w:t>poco</w:t>
      </w:r>
      <w:r>
        <w:rPr>
          <w:spacing w:val="-18"/>
        </w:rPr>
        <w:t> </w:t>
      </w:r>
      <w:r>
        <w:rPr/>
        <w:t>científica</w:t>
      </w:r>
      <w:r>
        <w:rPr>
          <w:spacing w:val="-18"/>
        </w:rPr>
        <w:t> </w:t>
      </w:r>
      <w:r>
        <w:rPr/>
        <w:t>ya</w:t>
      </w:r>
      <w:r>
        <w:rPr>
          <w:spacing w:val="-18"/>
        </w:rPr>
        <w:t> </w:t>
      </w:r>
      <w:r>
        <w:rPr/>
        <w:t>que</w:t>
      </w:r>
      <w:r>
        <w:rPr>
          <w:spacing w:val="-18"/>
        </w:rPr>
        <w:t> </w:t>
      </w:r>
      <w:r>
        <w:rPr/>
        <w:t>carece de</w:t>
      </w:r>
      <w:r>
        <w:rPr>
          <w:spacing w:val="-6"/>
        </w:rPr>
        <w:t> </w:t>
      </w:r>
      <w:r>
        <w:rPr/>
        <w:t>objetividad</w:t>
      </w:r>
      <w:r>
        <w:rPr>
          <w:spacing w:val="-6"/>
        </w:rPr>
        <w:t> </w:t>
      </w:r>
      <w:r>
        <w:rPr/>
        <w:t>y</w:t>
      </w:r>
      <w:r>
        <w:rPr>
          <w:spacing w:val="-9"/>
        </w:rPr>
        <w:t> </w:t>
      </w:r>
      <w:r>
        <w:rPr/>
        <w:t>se</w:t>
      </w:r>
      <w:r>
        <w:rPr>
          <w:spacing w:val="-6"/>
        </w:rPr>
        <w:t> </w:t>
      </w:r>
      <w:r>
        <w:rPr/>
        <w:t>presenta</w:t>
      </w:r>
      <w:r>
        <w:rPr>
          <w:spacing w:val="-6"/>
        </w:rPr>
        <w:t> </w:t>
      </w:r>
      <w:r>
        <w:rPr/>
        <w:t>como</w:t>
      </w:r>
      <w:r>
        <w:rPr>
          <w:spacing w:val="-6"/>
        </w:rPr>
        <w:t> </w:t>
      </w:r>
      <w:r>
        <w:rPr/>
        <w:t>un</w:t>
      </w:r>
      <w:r>
        <w:rPr>
          <w:spacing w:val="-6"/>
        </w:rPr>
        <w:t> </w:t>
      </w:r>
      <w:r>
        <w:rPr/>
        <w:t>juicio</w:t>
      </w:r>
      <w:r>
        <w:rPr>
          <w:spacing w:val="-6"/>
        </w:rPr>
        <w:t> </w:t>
      </w:r>
      <w:r>
        <w:rPr/>
        <w:t>de</w:t>
      </w:r>
      <w:r>
        <w:rPr>
          <w:spacing w:val="-6"/>
        </w:rPr>
        <w:t> </w:t>
      </w:r>
      <w:r>
        <w:rPr/>
        <w:t>valor</w:t>
      </w:r>
      <w:r>
        <w:rPr>
          <w:spacing w:val="-7"/>
        </w:rPr>
        <w:t> </w:t>
      </w:r>
      <w:r>
        <w:rPr/>
        <w:t>personal.</w:t>
      </w:r>
      <w:r>
        <w:rPr>
          <w:spacing w:val="-7"/>
        </w:rPr>
        <w:t> </w:t>
      </w:r>
      <w:r>
        <w:rPr/>
        <w:t>De</w:t>
      </w:r>
      <w:r>
        <w:rPr>
          <w:spacing w:val="-6"/>
        </w:rPr>
        <w:t> </w:t>
      </w:r>
      <w:r>
        <w:rPr/>
        <w:t>ser</w:t>
      </w:r>
      <w:r>
        <w:rPr>
          <w:spacing w:val="-7"/>
        </w:rPr>
        <w:t> </w:t>
      </w:r>
      <w:r>
        <w:rPr/>
        <w:t>innecesarios,</w:t>
      </w:r>
      <w:r>
        <w:rPr>
          <w:spacing w:val="-6"/>
        </w:rPr>
        <w:t> </w:t>
      </w:r>
      <w:r>
        <w:rPr/>
        <w:t>no</w:t>
      </w:r>
      <w:r>
        <w:rPr>
          <w:spacing w:val="-6"/>
        </w:rPr>
        <w:t> </w:t>
      </w:r>
      <w:r>
        <w:rPr/>
        <w:t>se cuestionaría su empleo en la lengua española, ni las causas de su introducción o bien</w:t>
      </w:r>
      <w:r>
        <w:rPr>
          <w:spacing w:val="-32"/>
        </w:rPr>
        <w:t> </w:t>
      </w:r>
      <w:r>
        <w:rPr/>
        <w:t>el objeto mismo de esta investigación: su preferencia sobre los equivalentes del</w:t>
      </w:r>
      <w:r>
        <w:rPr>
          <w:spacing w:val="-36"/>
        </w:rPr>
        <w:t> </w:t>
      </w:r>
      <w:r>
        <w:rPr/>
        <w:t>español.</w:t>
      </w:r>
    </w:p>
    <w:p>
      <w:pPr>
        <w:pStyle w:val="BodyText"/>
        <w:spacing w:line="360" w:lineRule="auto" w:before="205"/>
        <w:ind w:left="102" w:right="110" w:firstLine="707"/>
        <w:jc w:val="both"/>
      </w:pPr>
      <w:r>
        <w:rPr/>
        <w:t>Con la intención de esclarecer el término “calco”, se presentan las definiciones proporcionadas por Jean-Paul Vinay y Jean Darbelnet (en López Guix y Minette Wilkinson, 1997:242) como aquella palabra extranjera, de la que se toma prestado el sintagma</w:t>
      </w:r>
      <w:r>
        <w:rPr>
          <w:spacing w:val="-13"/>
        </w:rPr>
        <w:t> </w:t>
      </w:r>
      <w:r>
        <w:rPr/>
        <w:t>y</w:t>
      </w:r>
      <w:r>
        <w:rPr>
          <w:spacing w:val="-14"/>
        </w:rPr>
        <w:t> </w:t>
      </w:r>
      <w:r>
        <w:rPr/>
        <w:t>se</w:t>
      </w:r>
      <w:r>
        <w:rPr>
          <w:spacing w:val="-11"/>
        </w:rPr>
        <w:t> </w:t>
      </w:r>
      <w:r>
        <w:rPr/>
        <w:t>traducen</w:t>
      </w:r>
      <w:r>
        <w:rPr>
          <w:spacing w:val="-13"/>
        </w:rPr>
        <w:t> </w:t>
      </w:r>
      <w:r>
        <w:rPr/>
        <w:t>literalmente</w:t>
      </w:r>
      <w:r>
        <w:rPr>
          <w:spacing w:val="-13"/>
        </w:rPr>
        <w:t> </w:t>
      </w:r>
      <w:r>
        <w:rPr/>
        <w:t>los</w:t>
      </w:r>
      <w:r>
        <w:rPr>
          <w:spacing w:val="-13"/>
        </w:rPr>
        <w:t> </w:t>
      </w:r>
      <w:r>
        <w:rPr/>
        <w:t>elementos</w:t>
      </w:r>
      <w:r>
        <w:rPr>
          <w:spacing w:val="-12"/>
        </w:rPr>
        <w:t> </w:t>
      </w:r>
      <w:r>
        <w:rPr/>
        <w:t>que</w:t>
      </w:r>
      <w:r>
        <w:rPr>
          <w:spacing w:val="-13"/>
        </w:rPr>
        <w:t> </w:t>
      </w:r>
      <w:r>
        <w:rPr/>
        <w:t>la</w:t>
      </w:r>
      <w:r>
        <w:rPr>
          <w:spacing w:val="-11"/>
        </w:rPr>
        <w:t> </w:t>
      </w:r>
      <w:r>
        <w:rPr/>
        <w:t>componen.</w:t>
      </w:r>
      <w:r>
        <w:rPr>
          <w:spacing w:val="-13"/>
        </w:rPr>
        <w:t> </w:t>
      </w:r>
      <w:r>
        <w:rPr/>
        <w:t>Los</w:t>
      </w:r>
      <w:r>
        <w:rPr>
          <w:spacing w:val="-14"/>
        </w:rPr>
        <w:t> </w:t>
      </w:r>
      <w:r>
        <w:rPr/>
        <w:t>mismos</w:t>
      </w:r>
      <w:r>
        <w:rPr>
          <w:spacing w:val="-12"/>
        </w:rPr>
        <w:t> </w:t>
      </w:r>
      <w:r>
        <w:rPr/>
        <w:t>autores</w:t>
      </w:r>
    </w:p>
    <w:p>
      <w:pPr>
        <w:spacing w:after="0" w:line="360" w:lineRule="auto"/>
        <w:jc w:val="both"/>
        <w:sectPr>
          <w:pgSz w:w="12240" w:h="15840"/>
          <w:pgMar w:header="0" w:footer="1003" w:top="150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6"/>
        <w:jc w:val="both"/>
      </w:pPr>
      <w:r>
        <w:rPr/>
        <w:t>proporcionan una clasificación de los calcos para distinguir los calcos en los que la estructura de la palabra se toma de su forma original de aquellos calcos que no siguen esta forma exacta:</w:t>
      </w:r>
    </w:p>
    <w:p>
      <w:pPr>
        <w:pStyle w:val="ListParagraph"/>
        <w:numPr>
          <w:ilvl w:val="2"/>
          <w:numId w:val="1"/>
        </w:numPr>
        <w:tabs>
          <w:tab w:pos="1528" w:val="left" w:leader="none"/>
        </w:tabs>
        <w:spacing w:line="360" w:lineRule="auto" w:before="204" w:after="0"/>
        <w:ind w:left="1527" w:right="107" w:hanging="360"/>
        <w:jc w:val="both"/>
        <w:rPr>
          <w:sz w:val="24"/>
        </w:rPr>
      </w:pPr>
      <w:r>
        <w:rPr>
          <w:sz w:val="24"/>
        </w:rPr>
        <w:t>Calcos de expresión se refieren al tipo de calco que respeta la estructura sintáctica</w:t>
      </w:r>
      <w:r>
        <w:rPr>
          <w:spacing w:val="-11"/>
          <w:sz w:val="24"/>
        </w:rPr>
        <w:t> </w:t>
      </w:r>
      <w:r>
        <w:rPr>
          <w:sz w:val="24"/>
        </w:rPr>
        <w:t>de</w:t>
      </w:r>
      <w:r>
        <w:rPr>
          <w:spacing w:val="-11"/>
          <w:sz w:val="24"/>
        </w:rPr>
        <w:t> </w:t>
      </w:r>
      <w:r>
        <w:rPr>
          <w:sz w:val="24"/>
        </w:rPr>
        <w:t>la</w:t>
      </w:r>
      <w:r>
        <w:rPr>
          <w:spacing w:val="-7"/>
          <w:sz w:val="24"/>
        </w:rPr>
        <w:t> </w:t>
      </w:r>
      <w:r>
        <w:rPr>
          <w:sz w:val="24"/>
        </w:rPr>
        <w:t>lengua</w:t>
      </w:r>
      <w:r>
        <w:rPr>
          <w:spacing w:val="-11"/>
          <w:sz w:val="24"/>
        </w:rPr>
        <w:t> </w:t>
      </w:r>
      <w:r>
        <w:rPr>
          <w:sz w:val="24"/>
        </w:rPr>
        <w:t>de</w:t>
      </w:r>
      <w:r>
        <w:rPr>
          <w:spacing w:val="-8"/>
          <w:sz w:val="24"/>
        </w:rPr>
        <w:t> </w:t>
      </w:r>
      <w:r>
        <w:rPr>
          <w:sz w:val="24"/>
        </w:rPr>
        <w:t>llegada;</w:t>
      </w:r>
      <w:r>
        <w:rPr>
          <w:spacing w:val="-9"/>
          <w:sz w:val="24"/>
        </w:rPr>
        <w:t> </w:t>
      </w:r>
      <w:r>
        <w:rPr>
          <w:sz w:val="24"/>
        </w:rPr>
        <w:t>y</w:t>
      </w:r>
      <w:r>
        <w:rPr>
          <w:spacing w:val="-12"/>
          <w:sz w:val="24"/>
        </w:rPr>
        <w:t> </w:t>
      </w:r>
      <w:r>
        <w:rPr>
          <w:sz w:val="24"/>
        </w:rPr>
        <w:t>la</w:t>
      </w:r>
      <w:r>
        <w:rPr>
          <w:spacing w:val="-11"/>
          <w:sz w:val="24"/>
        </w:rPr>
        <w:t> </w:t>
      </w:r>
      <w:r>
        <w:rPr>
          <w:sz w:val="24"/>
        </w:rPr>
        <w:t>ejemplifican</w:t>
      </w:r>
      <w:r>
        <w:rPr>
          <w:spacing w:val="-8"/>
          <w:sz w:val="24"/>
        </w:rPr>
        <w:t> </w:t>
      </w:r>
      <w:r>
        <w:rPr>
          <w:sz w:val="24"/>
        </w:rPr>
        <w:t>con</w:t>
      </w:r>
      <w:r>
        <w:rPr>
          <w:spacing w:val="-8"/>
          <w:sz w:val="24"/>
        </w:rPr>
        <w:t> </w:t>
      </w:r>
      <w:r>
        <w:rPr>
          <w:sz w:val="24"/>
        </w:rPr>
        <w:t>la</w:t>
      </w:r>
      <w:r>
        <w:rPr>
          <w:spacing w:val="-11"/>
          <w:sz w:val="24"/>
        </w:rPr>
        <w:t> </w:t>
      </w:r>
      <w:r>
        <w:rPr>
          <w:sz w:val="24"/>
        </w:rPr>
        <w:t>palabra</w:t>
      </w:r>
      <w:r>
        <w:rPr>
          <w:spacing w:val="-11"/>
          <w:sz w:val="24"/>
        </w:rPr>
        <w:t> </w:t>
      </w:r>
      <w:r>
        <w:rPr>
          <w:sz w:val="24"/>
        </w:rPr>
        <w:t>week-end calcada como fin de</w:t>
      </w:r>
      <w:r>
        <w:rPr>
          <w:spacing w:val="-8"/>
          <w:sz w:val="24"/>
        </w:rPr>
        <w:t> </w:t>
      </w:r>
      <w:r>
        <w:rPr>
          <w:sz w:val="24"/>
        </w:rPr>
        <w:t>semana.</w:t>
      </w:r>
    </w:p>
    <w:p>
      <w:pPr>
        <w:pStyle w:val="ListParagraph"/>
        <w:numPr>
          <w:ilvl w:val="2"/>
          <w:numId w:val="1"/>
        </w:numPr>
        <w:tabs>
          <w:tab w:pos="1528" w:val="left" w:leader="none"/>
        </w:tabs>
        <w:spacing w:line="360" w:lineRule="auto" w:before="2" w:after="0"/>
        <w:ind w:left="1527" w:right="107" w:hanging="360"/>
        <w:jc w:val="both"/>
        <w:rPr>
          <w:sz w:val="24"/>
        </w:rPr>
      </w:pPr>
      <w:r>
        <w:rPr>
          <w:sz w:val="24"/>
        </w:rPr>
        <w:t>Calco de estructura: comúnmente tomadas tal cual ya que la estructura sintáctica resulta novedosa y poco usual para la lengua de llegada. Así lo muestra</w:t>
      </w:r>
      <w:r>
        <w:rPr>
          <w:spacing w:val="-11"/>
          <w:sz w:val="24"/>
        </w:rPr>
        <w:t> </w:t>
      </w:r>
      <w:r>
        <w:rPr>
          <w:sz w:val="24"/>
        </w:rPr>
        <w:t>la</w:t>
      </w:r>
      <w:r>
        <w:rPr>
          <w:spacing w:val="-11"/>
          <w:sz w:val="24"/>
        </w:rPr>
        <w:t> </w:t>
      </w:r>
      <w:r>
        <w:rPr>
          <w:sz w:val="24"/>
        </w:rPr>
        <w:t>palabra</w:t>
      </w:r>
      <w:r>
        <w:rPr>
          <w:spacing w:val="-10"/>
          <w:sz w:val="24"/>
        </w:rPr>
        <w:t> </w:t>
      </w:r>
      <w:r>
        <w:rPr>
          <w:i/>
          <w:sz w:val="24"/>
        </w:rPr>
        <w:t>ciencia</w:t>
      </w:r>
      <w:r>
        <w:rPr>
          <w:i/>
          <w:spacing w:val="-11"/>
          <w:sz w:val="24"/>
        </w:rPr>
        <w:t> </w:t>
      </w:r>
      <w:r>
        <w:rPr>
          <w:i/>
          <w:sz w:val="24"/>
        </w:rPr>
        <w:t>ficción</w:t>
      </w:r>
      <w:r>
        <w:rPr>
          <w:i/>
          <w:spacing w:val="-10"/>
          <w:sz w:val="24"/>
        </w:rPr>
        <w:t> </w:t>
      </w:r>
      <w:r>
        <w:rPr>
          <w:sz w:val="24"/>
        </w:rPr>
        <w:t>que</w:t>
      </w:r>
      <w:r>
        <w:rPr>
          <w:spacing w:val="-11"/>
          <w:sz w:val="24"/>
        </w:rPr>
        <w:t> </w:t>
      </w:r>
      <w:r>
        <w:rPr>
          <w:sz w:val="24"/>
        </w:rPr>
        <w:t>proviene</w:t>
      </w:r>
      <w:r>
        <w:rPr>
          <w:spacing w:val="-11"/>
          <w:sz w:val="24"/>
        </w:rPr>
        <w:t> </w:t>
      </w:r>
      <w:r>
        <w:rPr>
          <w:sz w:val="24"/>
        </w:rPr>
        <w:t>de</w:t>
      </w:r>
      <w:r>
        <w:rPr>
          <w:spacing w:val="-9"/>
          <w:sz w:val="24"/>
        </w:rPr>
        <w:t> </w:t>
      </w:r>
      <w:r>
        <w:rPr>
          <w:i/>
          <w:sz w:val="24"/>
        </w:rPr>
        <w:t>science-fiction</w:t>
      </w:r>
      <w:r>
        <w:rPr>
          <w:i/>
          <w:spacing w:val="-13"/>
          <w:sz w:val="24"/>
        </w:rPr>
        <w:t> </w:t>
      </w:r>
      <w:r>
        <w:rPr>
          <w:sz w:val="24"/>
        </w:rPr>
        <w:t>estructura que no existe en el español ya que ningún adjetivo se antepone a un sustantivo</w:t>
      </w:r>
      <w:r>
        <w:rPr>
          <w:spacing w:val="-11"/>
          <w:sz w:val="24"/>
        </w:rPr>
        <w:t> </w:t>
      </w:r>
      <w:r>
        <w:rPr>
          <w:sz w:val="24"/>
        </w:rPr>
        <w:t>(Vinay</w:t>
      </w:r>
      <w:r>
        <w:rPr>
          <w:spacing w:val="-13"/>
          <w:sz w:val="24"/>
        </w:rPr>
        <w:t> </w:t>
      </w:r>
      <w:r>
        <w:rPr>
          <w:sz w:val="24"/>
        </w:rPr>
        <w:t>y</w:t>
      </w:r>
      <w:r>
        <w:rPr>
          <w:spacing w:val="-13"/>
          <w:sz w:val="24"/>
        </w:rPr>
        <w:t> </w:t>
      </w:r>
      <w:r>
        <w:rPr>
          <w:sz w:val="24"/>
        </w:rPr>
        <w:t>Darbelnet</w:t>
      </w:r>
      <w:r>
        <w:rPr>
          <w:spacing w:val="-11"/>
          <w:sz w:val="24"/>
        </w:rPr>
        <w:t> </w:t>
      </w:r>
      <w:r>
        <w:rPr>
          <w:sz w:val="24"/>
        </w:rPr>
        <w:t>en</w:t>
      </w:r>
      <w:r>
        <w:rPr>
          <w:spacing w:val="-12"/>
          <w:sz w:val="24"/>
        </w:rPr>
        <w:t> </w:t>
      </w:r>
      <w:r>
        <w:rPr>
          <w:sz w:val="24"/>
        </w:rPr>
        <w:t>López</w:t>
      </w:r>
      <w:r>
        <w:rPr>
          <w:spacing w:val="-13"/>
          <w:sz w:val="24"/>
        </w:rPr>
        <w:t> </w:t>
      </w:r>
      <w:r>
        <w:rPr>
          <w:sz w:val="24"/>
        </w:rPr>
        <w:t>Guix</w:t>
      </w:r>
      <w:r>
        <w:rPr>
          <w:spacing w:val="-13"/>
          <w:sz w:val="24"/>
        </w:rPr>
        <w:t> </w:t>
      </w:r>
      <w:r>
        <w:rPr>
          <w:sz w:val="24"/>
        </w:rPr>
        <w:t>y</w:t>
      </w:r>
      <w:r>
        <w:rPr>
          <w:spacing w:val="-12"/>
          <w:sz w:val="24"/>
        </w:rPr>
        <w:t> </w:t>
      </w:r>
      <w:r>
        <w:rPr>
          <w:sz w:val="24"/>
        </w:rPr>
        <w:t>Minette</w:t>
      </w:r>
      <w:r>
        <w:rPr>
          <w:spacing w:val="-17"/>
          <w:sz w:val="24"/>
        </w:rPr>
        <w:t> </w:t>
      </w:r>
      <w:r>
        <w:rPr>
          <w:sz w:val="24"/>
        </w:rPr>
        <w:t>Wilkinson,</w:t>
      </w:r>
      <w:r>
        <w:rPr>
          <w:spacing w:val="-12"/>
          <w:sz w:val="24"/>
        </w:rPr>
        <w:t> </w:t>
      </w:r>
      <w:r>
        <w:rPr>
          <w:sz w:val="24"/>
        </w:rPr>
        <w:t>1997:242)</w:t>
      </w:r>
    </w:p>
    <w:p>
      <w:pPr>
        <w:pStyle w:val="BodyText"/>
        <w:spacing w:line="360" w:lineRule="auto" w:before="204"/>
        <w:ind w:left="102" w:right="108" w:firstLine="707"/>
        <w:jc w:val="both"/>
      </w:pPr>
      <w:r>
        <w:rPr/>
        <w:t>García Yebra (2005) menciona que a través de los años los extranjerismos provenientes del inglés fueron desplazando a los provenientes del francés que fueron muy recurridos en la época Porfiriana. Añade que todos los extranjerismos pasan por un proceso</w:t>
      </w:r>
      <w:r>
        <w:rPr>
          <w:spacing w:val="-6"/>
        </w:rPr>
        <w:t> </w:t>
      </w:r>
      <w:r>
        <w:rPr/>
        <w:t>de</w:t>
      </w:r>
      <w:r>
        <w:rPr>
          <w:spacing w:val="-4"/>
        </w:rPr>
        <w:t> </w:t>
      </w:r>
      <w:r>
        <w:rPr/>
        <w:t>naturalización</w:t>
      </w:r>
      <w:r>
        <w:rPr>
          <w:spacing w:val="-3"/>
        </w:rPr>
        <w:t> </w:t>
      </w:r>
      <w:r>
        <w:rPr/>
        <w:t>a</w:t>
      </w:r>
      <w:r>
        <w:rPr>
          <w:spacing w:val="-4"/>
        </w:rPr>
        <w:t> </w:t>
      </w:r>
      <w:r>
        <w:rPr/>
        <w:t>la</w:t>
      </w:r>
      <w:r>
        <w:rPr>
          <w:spacing w:val="-4"/>
        </w:rPr>
        <w:t> </w:t>
      </w:r>
      <w:r>
        <w:rPr/>
        <w:t>lengua</w:t>
      </w:r>
      <w:r>
        <w:rPr>
          <w:spacing w:val="-4"/>
        </w:rPr>
        <w:t> </w:t>
      </w:r>
      <w:r>
        <w:rPr/>
        <w:t>que</w:t>
      </w:r>
      <w:r>
        <w:rPr>
          <w:spacing w:val="-4"/>
        </w:rPr>
        <w:t> </w:t>
      </w:r>
      <w:r>
        <w:rPr/>
        <w:t>los</w:t>
      </w:r>
      <w:r>
        <w:rPr>
          <w:spacing w:val="-6"/>
        </w:rPr>
        <w:t> </w:t>
      </w:r>
      <w:r>
        <w:rPr/>
        <w:t>acoge,</w:t>
      </w:r>
      <w:r>
        <w:rPr>
          <w:spacing w:val="-4"/>
        </w:rPr>
        <w:t> </w:t>
      </w:r>
      <w:r>
        <w:rPr/>
        <w:t>es</w:t>
      </w:r>
      <w:r>
        <w:rPr>
          <w:spacing w:val="-7"/>
        </w:rPr>
        <w:t> </w:t>
      </w:r>
      <w:r>
        <w:rPr/>
        <w:t>decir,</w:t>
      </w:r>
      <w:r>
        <w:rPr>
          <w:spacing w:val="-4"/>
        </w:rPr>
        <w:t> </w:t>
      </w:r>
      <w:r>
        <w:rPr/>
        <w:t>los</w:t>
      </w:r>
      <w:r>
        <w:rPr>
          <w:spacing w:val="-4"/>
        </w:rPr>
        <w:t> </w:t>
      </w:r>
      <w:r>
        <w:rPr/>
        <w:t>anglicismos</w:t>
      </w:r>
      <w:r>
        <w:rPr>
          <w:spacing w:val="-4"/>
        </w:rPr>
        <w:t> </w:t>
      </w:r>
      <w:r>
        <w:rPr/>
        <w:t>se</w:t>
      </w:r>
      <w:r>
        <w:rPr>
          <w:spacing w:val="-4"/>
        </w:rPr>
        <w:t> </w:t>
      </w:r>
      <w:r>
        <w:rPr/>
        <w:t>ajustan a la estructura del español y muchos de ellos acaban siendo aceptados no solo por la sociedad, sino por la Real Academia de la Lengua Española (RAE) quien finalmente los incluye dentro del acervo léxico del español y los publican en sus</w:t>
      </w:r>
      <w:r>
        <w:rPr>
          <w:spacing w:val="-26"/>
        </w:rPr>
        <w:t> </w:t>
      </w:r>
      <w:r>
        <w:rPr/>
        <w:t>diccionarios.</w:t>
      </w:r>
    </w:p>
    <w:p>
      <w:pPr>
        <w:pStyle w:val="BodyText"/>
        <w:spacing w:line="360" w:lineRule="auto" w:before="202"/>
        <w:ind w:left="102" w:right="107" w:firstLine="707"/>
        <w:jc w:val="both"/>
      </w:pPr>
      <w:r>
        <w:rPr/>
        <w:t>Entre los procesos de adaptación se encuentra la adición de la “e” epentética, la cual se añade cuando las palabras inglesas comienzan por un sonido líquido como “s”, por</w:t>
      </w:r>
      <w:r>
        <w:rPr>
          <w:spacing w:val="-8"/>
        </w:rPr>
        <w:t> </w:t>
      </w:r>
      <w:r>
        <w:rPr/>
        <w:t>ejemplo</w:t>
      </w:r>
      <w:r>
        <w:rPr>
          <w:spacing w:val="-6"/>
        </w:rPr>
        <w:t> </w:t>
      </w:r>
      <w:r>
        <w:rPr>
          <w:i/>
        </w:rPr>
        <w:t>escáner</w:t>
      </w:r>
      <w:r>
        <w:rPr>
          <w:i/>
          <w:spacing w:val="-9"/>
        </w:rPr>
        <w:t> </w:t>
      </w:r>
      <w:r>
        <w:rPr/>
        <w:t>por</w:t>
      </w:r>
      <w:r>
        <w:rPr>
          <w:spacing w:val="-8"/>
        </w:rPr>
        <w:t> </w:t>
      </w:r>
      <w:r>
        <w:rPr>
          <w:i/>
        </w:rPr>
        <w:t>scanner</w:t>
      </w:r>
      <w:r>
        <w:rPr/>
        <w:t>;</w:t>
      </w:r>
      <w:r>
        <w:rPr>
          <w:spacing w:val="-10"/>
        </w:rPr>
        <w:t> </w:t>
      </w:r>
      <w:r>
        <w:rPr/>
        <w:t>o</w:t>
      </w:r>
      <w:r>
        <w:rPr>
          <w:spacing w:val="-7"/>
        </w:rPr>
        <w:t> </w:t>
      </w:r>
      <w:r>
        <w:rPr/>
        <w:t>puede</w:t>
      </w:r>
      <w:r>
        <w:rPr>
          <w:spacing w:val="-7"/>
        </w:rPr>
        <w:t> </w:t>
      </w:r>
      <w:r>
        <w:rPr/>
        <w:t>cambiarse</w:t>
      </w:r>
      <w:r>
        <w:rPr>
          <w:spacing w:val="-9"/>
        </w:rPr>
        <w:t> </w:t>
      </w:r>
      <w:r>
        <w:rPr/>
        <w:t>la</w:t>
      </w:r>
      <w:r>
        <w:rPr>
          <w:spacing w:val="-8"/>
        </w:rPr>
        <w:t> </w:t>
      </w:r>
      <w:r>
        <w:rPr/>
        <w:t>acentuación</w:t>
      </w:r>
      <w:r>
        <w:rPr>
          <w:spacing w:val="-7"/>
        </w:rPr>
        <w:t> </w:t>
      </w:r>
      <w:r>
        <w:rPr/>
        <w:t>de</w:t>
      </w:r>
      <w:r>
        <w:rPr>
          <w:spacing w:val="-7"/>
        </w:rPr>
        <w:t> </w:t>
      </w:r>
      <w:r>
        <w:rPr/>
        <w:t>las</w:t>
      </w:r>
      <w:r>
        <w:rPr>
          <w:spacing w:val="-10"/>
        </w:rPr>
        <w:t> </w:t>
      </w:r>
      <w:r>
        <w:rPr/>
        <w:t>palabras,</w:t>
      </w:r>
      <w:r>
        <w:rPr>
          <w:spacing w:val="-10"/>
        </w:rPr>
        <w:t> </w:t>
      </w:r>
      <w:r>
        <w:rPr/>
        <w:t>por ejemplo:</w:t>
      </w:r>
      <w:r>
        <w:rPr>
          <w:spacing w:val="-18"/>
        </w:rPr>
        <w:t> </w:t>
      </w:r>
      <w:r>
        <w:rPr>
          <w:i/>
        </w:rPr>
        <w:t>pro</w:t>
      </w:r>
      <w:r>
        <w:rPr>
          <w:i/>
          <w:u w:val="single"/>
        </w:rPr>
        <w:t>fe</w:t>
      </w:r>
      <w:r>
        <w:rPr>
          <w:i/>
        </w:rPr>
        <w:t>sor</w:t>
      </w:r>
      <w:r>
        <w:rPr>
          <w:i/>
          <w:spacing w:val="-16"/>
        </w:rPr>
        <w:t> </w:t>
      </w:r>
      <w:r>
        <w:rPr/>
        <w:t>por</w:t>
      </w:r>
      <w:r>
        <w:rPr>
          <w:spacing w:val="-19"/>
        </w:rPr>
        <w:t> </w:t>
      </w:r>
      <w:r>
        <w:rPr>
          <w:i/>
        </w:rPr>
        <w:t>profe</w:t>
      </w:r>
      <w:r>
        <w:rPr>
          <w:i/>
          <w:u w:val="single"/>
        </w:rPr>
        <w:t>sor</w:t>
      </w:r>
      <w:r>
        <w:rPr>
          <w:i/>
          <w:spacing w:val="-17"/>
          <w:u w:val="single"/>
        </w:rPr>
        <w:t> </w:t>
      </w:r>
      <w:r>
        <w:rPr/>
        <w:t>(este</w:t>
      </w:r>
      <w:r>
        <w:rPr>
          <w:spacing w:val="-16"/>
        </w:rPr>
        <w:t> </w:t>
      </w:r>
      <w:r>
        <w:rPr/>
        <w:t>último</w:t>
      </w:r>
      <w:r>
        <w:rPr>
          <w:spacing w:val="-16"/>
        </w:rPr>
        <w:t> </w:t>
      </w:r>
      <w:r>
        <w:rPr/>
        <w:t>término</w:t>
      </w:r>
      <w:r>
        <w:rPr>
          <w:spacing w:val="-18"/>
        </w:rPr>
        <w:t> </w:t>
      </w:r>
      <w:r>
        <w:rPr/>
        <w:t>tomado</w:t>
      </w:r>
      <w:r>
        <w:rPr>
          <w:spacing w:val="-16"/>
        </w:rPr>
        <w:t> </w:t>
      </w:r>
      <w:r>
        <w:rPr/>
        <w:t>del</w:t>
      </w:r>
      <w:r>
        <w:rPr>
          <w:spacing w:val="-17"/>
        </w:rPr>
        <w:t> </w:t>
      </w:r>
      <w:r>
        <w:rPr/>
        <w:t>latín</w:t>
      </w:r>
      <w:r>
        <w:rPr>
          <w:spacing w:val="-16"/>
        </w:rPr>
        <w:t> </w:t>
      </w:r>
      <w:r>
        <w:rPr/>
        <w:t>que</w:t>
      </w:r>
      <w:r>
        <w:rPr>
          <w:spacing w:val="-16"/>
        </w:rPr>
        <w:t> </w:t>
      </w:r>
      <w:r>
        <w:rPr/>
        <w:t>ha</w:t>
      </w:r>
      <w:r>
        <w:rPr>
          <w:spacing w:val="-16"/>
        </w:rPr>
        <w:t> </w:t>
      </w:r>
      <w:r>
        <w:rPr/>
        <w:t>sido</w:t>
      </w:r>
      <w:r>
        <w:rPr>
          <w:spacing w:val="-17"/>
        </w:rPr>
        <w:t> </w:t>
      </w:r>
      <w:r>
        <w:rPr/>
        <w:t>empleado con</w:t>
      </w:r>
      <w:r>
        <w:rPr>
          <w:spacing w:val="-4"/>
        </w:rPr>
        <w:t> </w:t>
      </w:r>
      <w:r>
        <w:rPr/>
        <w:t>la</w:t>
      </w:r>
      <w:r>
        <w:rPr>
          <w:spacing w:val="-4"/>
        </w:rPr>
        <w:t> </w:t>
      </w:r>
      <w:r>
        <w:rPr/>
        <w:t>única</w:t>
      </w:r>
      <w:r>
        <w:rPr>
          <w:spacing w:val="-4"/>
        </w:rPr>
        <w:t> </w:t>
      </w:r>
      <w:r>
        <w:rPr/>
        <w:t>intención</w:t>
      </w:r>
      <w:r>
        <w:rPr>
          <w:spacing w:val="-6"/>
        </w:rPr>
        <w:t> </w:t>
      </w:r>
      <w:r>
        <w:rPr/>
        <w:t>de</w:t>
      </w:r>
      <w:r>
        <w:rPr>
          <w:spacing w:val="-4"/>
        </w:rPr>
        <w:t> </w:t>
      </w:r>
      <w:r>
        <w:rPr/>
        <w:t>mostrar</w:t>
      </w:r>
      <w:r>
        <w:rPr>
          <w:spacing w:val="-5"/>
        </w:rPr>
        <w:t> </w:t>
      </w:r>
      <w:r>
        <w:rPr/>
        <w:t>los</w:t>
      </w:r>
      <w:r>
        <w:rPr>
          <w:spacing w:val="-4"/>
        </w:rPr>
        <w:t> </w:t>
      </w:r>
      <w:r>
        <w:rPr/>
        <w:t>procesos</w:t>
      </w:r>
      <w:r>
        <w:rPr>
          <w:spacing w:val="-4"/>
        </w:rPr>
        <w:t> </w:t>
      </w:r>
      <w:r>
        <w:rPr/>
        <w:t>de</w:t>
      </w:r>
      <w:r>
        <w:rPr>
          <w:spacing w:val="-4"/>
        </w:rPr>
        <w:t> </w:t>
      </w:r>
      <w:r>
        <w:rPr/>
        <w:t>adaptación</w:t>
      </w:r>
      <w:r>
        <w:rPr>
          <w:spacing w:val="-6"/>
        </w:rPr>
        <w:t> </w:t>
      </w:r>
      <w:r>
        <w:rPr/>
        <w:t>al</w:t>
      </w:r>
      <w:r>
        <w:rPr>
          <w:spacing w:val="-5"/>
        </w:rPr>
        <w:t> </w:t>
      </w:r>
      <w:r>
        <w:rPr/>
        <w:t>español</w:t>
      </w:r>
      <w:r>
        <w:rPr>
          <w:spacing w:val="-5"/>
        </w:rPr>
        <w:t> </w:t>
      </w:r>
      <w:r>
        <w:rPr/>
        <w:t>del</w:t>
      </w:r>
      <w:r>
        <w:rPr>
          <w:spacing w:val="-5"/>
        </w:rPr>
        <w:t> </w:t>
      </w:r>
      <w:r>
        <w:rPr/>
        <w:t>que</w:t>
      </w:r>
      <w:r>
        <w:rPr>
          <w:spacing w:val="-4"/>
        </w:rPr>
        <w:t> </w:t>
      </w:r>
      <w:r>
        <w:rPr/>
        <w:t>habla</w:t>
      </w:r>
      <w:r>
        <w:rPr>
          <w:spacing w:val="-4"/>
        </w:rPr>
        <w:t> </w:t>
      </w:r>
      <w:r>
        <w:rPr/>
        <w:t>el autor García Yebra en 2005). Si estos procesos de </w:t>
      </w:r>
      <w:r>
        <w:rPr>
          <w:i/>
        </w:rPr>
        <w:t>españolización </w:t>
      </w:r>
      <w:r>
        <w:rPr/>
        <w:t>resultan útiles, se logran adherir al público, quienes son considerados por el autor como árbitros, jueces y norma de la lengua (García Yebra, 2005) por ejemplo </w:t>
      </w:r>
      <w:r>
        <w:rPr>
          <w:i/>
        </w:rPr>
        <w:t>control remote </w:t>
      </w:r>
      <w:r>
        <w:rPr/>
        <w:t>(palabra en</w:t>
      </w:r>
      <w:r>
        <w:rPr>
          <w:spacing w:val="-45"/>
        </w:rPr>
        <w:t> </w:t>
      </w:r>
      <w:r>
        <w:rPr/>
        <w:t>inglés), </w:t>
      </w:r>
      <w:r>
        <w:rPr>
          <w:i/>
        </w:rPr>
        <w:t>control remoto </w:t>
      </w:r>
      <w:r>
        <w:rPr/>
        <w:t>(calco) y el equivalente, éste último con menos frecuencia de</w:t>
      </w:r>
      <w:r>
        <w:rPr>
          <w:spacing w:val="-19"/>
        </w:rPr>
        <w:t> </w:t>
      </w:r>
      <w:r>
        <w:rPr/>
        <w:t>uso.</w:t>
      </w:r>
    </w:p>
    <w:p>
      <w:pPr>
        <w:spacing w:after="0" w:line="360" w:lineRule="auto"/>
        <w:jc w:val="both"/>
        <w:sectPr>
          <w:headerReference w:type="default" r:id="rId13"/>
          <w:footerReference w:type="default" r:id="rId14"/>
          <w:pgSz w:w="12240" w:h="15840"/>
          <w:pgMar w:header="749" w:footer="1003" w:top="960" w:bottom="1200" w:left="1600" w:right="1020"/>
          <w:pgNumType w:start="6"/>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8" w:firstLine="707"/>
        <w:jc w:val="both"/>
      </w:pPr>
      <w:r>
        <w:rPr/>
        <w:t>Ahora</w:t>
      </w:r>
      <w:r>
        <w:rPr>
          <w:spacing w:val="-15"/>
        </w:rPr>
        <w:t> </w:t>
      </w:r>
      <w:r>
        <w:rPr/>
        <w:t>bien,</w:t>
      </w:r>
      <w:r>
        <w:rPr>
          <w:spacing w:val="-14"/>
        </w:rPr>
        <w:t> </w:t>
      </w:r>
      <w:r>
        <w:rPr/>
        <w:t>si</w:t>
      </w:r>
      <w:r>
        <w:rPr>
          <w:spacing w:val="-13"/>
        </w:rPr>
        <w:t> </w:t>
      </w:r>
      <w:r>
        <w:rPr/>
        <w:t>los</w:t>
      </w:r>
      <w:r>
        <w:rPr>
          <w:spacing w:val="-14"/>
        </w:rPr>
        <w:t> </w:t>
      </w:r>
      <w:r>
        <w:rPr/>
        <w:t>anglicismos</w:t>
      </w:r>
      <w:r>
        <w:rPr>
          <w:spacing w:val="-15"/>
        </w:rPr>
        <w:t> </w:t>
      </w:r>
      <w:r>
        <w:rPr/>
        <w:t>son</w:t>
      </w:r>
      <w:r>
        <w:rPr>
          <w:spacing w:val="-14"/>
        </w:rPr>
        <w:t> </w:t>
      </w:r>
      <w:r>
        <w:rPr/>
        <w:t>calcos</w:t>
      </w:r>
      <w:r>
        <w:rPr>
          <w:spacing w:val="-13"/>
        </w:rPr>
        <w:t> </w:t>
      </w:r>
      <w:r>
        <w:rPr/>
        <w:t>innecesarios,</w:t>
      </w:r>
      <w:r>
        <w:rPr>
          <w:spacing w:val="-14"/>
        </w:rPr>
        <w:t> </w:t>
      </w:r>
      <w:r>
        <w:rPr/>
        <w:t>entonces</w:t>
      </w:r>
      <w:r>
        <w:rPr>
          <w:spacing w:val="-15"/>
        </w:rPr>
        <w:t> </w:t>
      </w:r>
      <w:r>
        <w:rPr/>
        <w:t>es</w:t>
      </w:r>
      <w:r>
        <w:rPr>
          <w:spacing w:val="-13"/>
        </w:rPr>
        <w:t> </w:t>
      </w:r>
      <w:r>
        <w:rPr/>
        <w:t>imprescindible definir estos últimos; los autores Herbey Sandor, Ian Higgins y Haywood (1995: 26) lo definen</w:t>
      </w:r>
      <w:r>
        <w:rPr>
          <w:spacing w:val="-5"/>
        </w:rPr>
        <w:t> </w:t>
      </w:r>
      <w:r>
        <w:rPr/>
        <w:t>como:</w:t>
      </w:r>
    </w:p>
    <w:p>
      <w:pPr>
        <w:spacing w:line="360" w:lineRule="auto" w:before="204"/>
        <w:ind w:left="1518" w:right="107" w:firstLine="0"/>
        <w:jc w:val="both"/>
        <w:rPr>
          <w:sz w:val="22"/>
        </w:rPr>
      </w:pPr>
      <w:r>
        <w:rPr>
          <w:sz w:val="22"/>
        </w:rPr>
        <w:t>Una forma de traducción literal…un mal calco es aquel que imita la estructura de la lengua proveniente a pesar de ser agramatical para la lengua de llegada, al contrario de un buen calco en el que se compromete la imitación de la estructura de</w:t>
      </w:r>
      <w:r>
        <w:rPr>
          <w:spacing w:val="-7"/>
          <w:sz w:val="22"/>
        </w:rPr>
        <w:t> </w:t>
      </w:r>
      <w:r>
        <w:rPr>
          <w:sz w:val="22"/>
        </w:rPr>
        <w:t>la</w:t>
      </w:r>
      <w:r>
        <w:rPr>
          <w:spacing w:val="-6"/>
          <w:sz w:val="22"/>
        </w:rPr>
        <w:t> </w:t>
      </w:r>
      <w:r>
        <w:rPr>
          <w:sz w:val="22"/>
        </w:rPr>
        <w:t>lengua</w:t>
      </w:r>
      <w:r>
        <w:rPr>
          <w:spacing w:val="-9"/>
          <w:sz w:val="22"/>
        </w:rPr>
        <w:t> </w:t>
      </w:r>
      <w:r>
        <w:rPr>
          <w:sz w:val="22"/>
        </w:rPr>
        <w:t>proveniente</w:t>
      </w:r>
      <w:r>
        <w:rPr>
          <w:spacing w:val="-10"/>
          <w:sz w:val="22"/>
        </w:rPr>
        <w:t> </w:t>
      </w:r>
      <w:r>
        <w:rPr>
          <w:sz w:val="22"/>
        </w:rPr>
        <w:t>sin</w:t>
      </w:r>
      <w:r>
        <w:rPr>
          <w:spacing w:val="-6"/>
          <w:sz w:val="22"/>
        </w:rPr>
        <w:t> </w:t>
      </w:r>
      <w:r>
        <w:rPr>
          <w:sz w:val="22"/>
        </w:rPr>
        <w:t>ofender</w:t>
      </w:r>
      <w:r>
        <w:rPr>
          <w:spacing w:val="-8"/>
          <w:sz w:val="22"/>
        </w:rPr>
        <w:t> </w:t>
      </w:r>
      <w:r>
        <w:rPr>
          <w:sz w:val="22"/>
        </w:rPr>
        <w:t>la</w:t>
      </w:r>
      <w:r>
        <w:rPr>
          <w:spacing w:val="-9"/>
          <w:sz w:val="22"/>
        </w:rPr>
        <w:t> </w:t>
      </w:r>
      <w:r>
        <w:rPr>
          <w:sz w:val="22"/>
        </w:rPr>
        <w:t>gramática</w:t>
      </w:r>
      <w:r>
        <w:rPr>
          <w:spacing w:val="-9"/>
          <w:sz w:val="22"/>
        </w:rPr>
        <w:t> </w:t>
      </w:r>
      <w:r>
        <w:rPr>
          <w:sz w:val="22"/>
        </w:rPr>
        <w:t>de</w:t>
      </w:r>
      <w:r>
        <w:rPr>
          <w:spacing w:val="-7"/>
          <w:sz w:val="22"/>
        </w:rPr>
        <w:t> </w:t>
      </w:r>
      <w:r>
        <w:rPr>
          <w:sz w:val="22"/>
        </w:rPr>
        <w:t>la</w:t>
      </w:r>
      <w:r>
        <w:rPr>
          <w:spacing w:val="-6"/>
          <w:sz w:val="22"/>
        </w:rPr>
        <w:t> </w:t>
      </w:r>
      <w:r>
        <w:rPr>
          <w:sz w:val="22"/>
        </w:rPr>
        <w:t>lengua</w:t>
      </w:r>
      <w:r>
        <w:rPr>
          <w:spacing w:val="-9"/>
          <w:sz w:val="22"/>
        </w:rPr>
        <w:t> </w:t>
      </w:r>
      <w:r>
        <w:rPr>
          <w:sz w:val="22"/>
        </w:rPr>
        <w:t>de</w:t>
      </w:r>
      <w:r>
        <w:rPr>
          <w:spacing w:val="-9"/>
          <w:sz w:val="22"/>
        </w:rPr>
        <w:t> </w:t>
      </w:r>
      <w:r>
        <w:rPr>
          <w:sz w:val="22"/>
        </w:rPr>
        <w:t>llegada</w:t>
      </w:r>
      <w:r>
        <w:rPr>
          <w:spacing w:val="-9"/>
          <w:sz w:val="22"/>
        </w:rPr>
        <w:t> </w:t>
      </w:r>
      <w:r>
        <w:rPr>
          <w:sz w:val="22"/>
        </w:rPr>
        <w:t>(Sandor, Higgins y Haywood, 1995:</w:t>
      </w:r>
      <w:r>
        <w:rPr>
          <w:spacing w:val="-8"/>
          <w:sz w:val="22"/>
        </w:rPr>
        <w:t> </w:t>
      </w:r>
      <w:r>
        <w:rPr>
          <w:sz w:val="22"/>
        </w:rPr>
        <w:t>26).</w:t>
      </w:r>
    </w:p>
    <w:p>
      <w:pPr>
        <w:pStyle w:val="BodyText"/>
        <w:rPr>
          <w:sz w:val="22"/>
        </w:rPr>
      </w:pPr>
    </w:p>
    <w:p>
      <w:pPr>
        <w:pStyle w:val="BodyText"/>
        <w:spacing w:line="360" w:lineRule="auto" w:before="130"/>
        <w:ind w:left="102" w:right="107" w:firstLine="707"/>
        <w:jc w:val="both"/>
      </w:pPr>
      <w:r>
        <w:rPr/>
        <w:t>Siguiendo</w:t>
      </w:r>
      <w:r>
        <w:rPr>
          <w:spacing w:val="-17"/>
        </w:rPr>
        <w:t> </w:t>
      </w:r>
      <w:r>
        <w:rPr/>
        <w:t>con</w:t>
      </w:r>
      <w:r>
        <w:rPr>
          <w:spacing w:val="-17"/>
        </w:rPr>
        <w:t> </w:t>
      </w:r>
      <w:r>
        <w:rPr/>
        <w:t>Sandor,</w:t>
      </w:r>
      <w:r>
        <w:rPr>
          <w:spacing w:val="-20"/>
        </w:rPr>
        <w:t> </w:t>
      </w:r>
      <w:r>
        <w:rPr/>
        <w:t>Higgins</w:t>
      </w:r>
      <w:r>
        <w:rPr>
          <w:spacing w:val="-15"/>
        </w:rPr>
        <w:t> </w:t>
      </w:r>
      <w:r>
        <w:rPr/>
        <w:t>y</w:t>
      </w:r>
      <w:r>
        <w:rPr>
          <w:spacing w:val="-20"/>
        </w:rPr>
        <w:t> </w:t>
      </w:r>
      <w:r>
        <w:rPr/>
        <w:t>Haywood</w:t>
      </w:r>
      <w:r>
        <w:rPr>
          <w:spacing w:val="-16"/>
        </w:rPr>
        <w:t> </w:t>
      </w:r>
      <w:r>
        <w:rPr/>
        <w:t>(1995),</w:t>
      </w:r>
      <w:r>
        <w:rPr>
          <w:spacing w:val="-18"/>
        </w:rPr>
        <w:t> </w:t>
      </w:r>
      <w:r>
        <w:rPr/>
        <w:t>el</w:t>
      </w:r>
      <w:r>
        <w:rPr>
          <w:spacing w:val="-18"/>
        </w:rPr>
        <w:t> </w:t>
      </w:r>
      <w:r>
        <w:rPr/>
        <w:t>calco</w:t>
      </w:r>
      <w:r>
        <w:rPr>
          <w:spacing w:val="-17"/>
        </w:rPr>
        <w:t> </w:t>
      </w:r>
      <w:r>
        <w:rPr/>
        <w:t>es</w:t>
      </w:r>
      <w:r>
        <w:rPr>
          <w:spacing w:val="-17"/>
        </w:rPr>
        <w:t> </w:t>
      </w:r>
      <w:r>
        <w:rPr/>
        <w:t>un</w:t>
      </w:r>
      <w:r>
        <w:rPr>
          <w:spacing w:val="-19"/>
        </w:rPr>
        <w:t> </w:t>
      </w:r>
      <w:r>
        <w:rPr/>
        <w:t>préstamo</w:t>
      </w:r>
      <w:r>
        <w:rPr>
          <w:spacing w:val="-16"/>
        </w:rPr>
        <w:t> </w:t>
      </w:r>
      <w:r>
        <w:rPr/>
        <w:t>cultural. Sin embargo, en vez de tomar prestado la expresión en sí, sólo se toma prestado el modelo de la estructura de la lengua proveniente, ya que el riesgo de calcar la frase completa sería que su significado en la lengua meta no sea claro. No obstante, este proceso le añade cierto exotismo a la lengua de llegada, según los autores, le añade cierto sabor de cultura extranjera a la lengua meta (ejemplo, los play-offs de la liga de football</w:t>
      </w:r>
      <w:r>
        <w:rPr>
          <w:spacing w:val="-7"/>
        </w:rPr>
        <w:t> </w:t>
      </w:r>
      <w:r>
        <w:rPr/>
        <w:t>americano).</w:t>
      </w:r>
    </w:p>
    <w:p>
      <w:pPr>
        <w:pStyle w:val="BodyText"/>
        <w:spacing w:line="360" w:lineRule="auto" w:before="204"/>
        <w:ind w:left="102" w:right="107" w:firstLine="707"/>
        <w:jc w:val="both"/>
      </w:pPr>
      <w:r>
        <w:rPr/>
        <w:t>Para esta investigación resultan más coherente las últimas aseveraciones de los autores donde se habla de préstamos culturales, los cuales añadirían cierta originalidad y singularidad a la lengua de llegada. Con lo anterior se podría insinuar otra causa de la introducción de anglicismos a la lengua española; sin caer en la errónea evaluación de dichas</w:t>
      </w:r>
      <w:r>
        <w:rPr>
          <w:spacing w:val="-12"/>
        </w:rPr>
        <w:t> </w:t>
      </w:r>
      <w:r>
        <w:rPr/>
        <w:t>palabras</w:t>
      </w:r>
      <w:r>
        <w:rPr>
          <w:spacing w:val="-9"/>
        </w:rPr>
        <w:t> </w:t>
      </w:r>
      <w:r>
        <w:rPr/>
        <w:t>como</w:t>
      </w:r>
      <w:r>
        <w:rPr>
          <w:spacing w:val="-11"/>
        </w:rPr>
        <w:t> </w:t>
      </w:r>
      <w:r>
        <w:rPr/>
        <w:t>buenas</w:t>
      </w:r>
      <w:r>
        <w:rPr>
          <w:spacing w:val="-12"/>
        </w:rPr>
        <w:t> </w:t>
      </w:r>
      <w:r>
        <w:rPr/>
        <w:t>o</w:t>
      </w:r>
      <w:r>
        <w:rPr>
          <w:spacing w:val="-11"/>
        </w:rPr>
        <w:t> </w:t>
      </w:r>
      <w:r>
        <w:rPr/>
        <w:t>malas,</w:t>
      </w:r>
      <w:r>
        <w:rPr>
          <w:spacing w:val="-9"/>
        </w:rPr>
        <w:t> </w:t>
      </w:r>
      <w:r>
        <w:rPr/>
        <w:t>adjetivos</w:t>
      </w:r>
      <w:r>
        <w:rPr>
          <w:spacing w:val="-9"/>
        </w:rPr>
        <w:t> </w:t>
      </w:r>
      <w:r>
        <w:rPr/>
        <w:t>con</w:t>
      </w:r>
      <w:r>
        <w:rPr>
          <w:spacing w:val="-8"/>
        </w:rPr>
        <w:t> </w:t>
      </w:r>
      <w:r>
        <w:rPr/>
        <w:t>los</w:t>
      </w:r>
      <w:r>
        <w:rPr>
          <w:spacing w:val="-9"/>
        </w:rPr>
        <w:t> </w:t>
      </w:r>
      <w:r>
        <w:rPr/>
        <w:t>cuales</w:t>
      </w:r>
      <w:r>
        <w:rPr>
          <w:spacing w:val="-11"/>
        </w:rPr>
        <w:t> </w:t>
      </w:r>
      <w:r>
        <w:rPr/>
        <w:t>los</w:t>
      </w:r>
      <w:r>
        <w:rPr>
          <w:spacing w:val="-11"/>
        </w:rPr>
        <w:t> </w:t>
      </w:r>
      <w:r>
        <w:rPr/>
        <w:t>autores</w:t>
      </w:r>
      <w:r>
        <w:rPr>
          <w:spacing w:val="-8"/>
        </w:rPr>
        <w:t> </w:t>
      </w:r>
      <w:r>
        <w:rPr/>
        <w:t>califican</w:t>
      </w:r>
      <w:r>
        <w:rPr>
          <w:spacing w:val="-8"/>
        </w:rPr>
        <w:t> </w:t>
      </w:r>
      <w:r>
        <w:rPr/>
        <w:t>a</w:t>
      </w:r>
      <w:r>
        <w:rPr>
          <w:spacing w:val="-11"/>
        </w:rPr>
        <w:t> </w:t>
      </w:r>
      <w:r>
        <w:rPr/>
        <w:t>los anglicismos de manera poco científica emitiendo juicios de valor. De igual forma los autores incurren en la falsa idea de que la gramática de alguna legua pueda sentirse ofendida, los hablantes podrían hacerlo al convertirse en jueces puristas de la lengua como lo menciona García Yebra, sin embargo, así se</w:t>
      </w:r>
      <w:r>
        <w:rPr>
          <w:spacing w:val="-22"/>
        </w:rPr>
        <w:t> </w:t>
      </w:r>
      <w:r>
        <w:rPr/>
        <w:t>usan.</w:t>
      </w:r>
    </w:p>
    <w:p>
      <w:pPr>
        <w:pStyle w:val="BodyText"/>
        <w:spacing w:line="360" w:lineRule="auto" w:before="205"/>
        <w:ind w:left="102" w:right="110" w:firstLine="707"/>
        <w:jc w:val="both"/>
      </w:pPr>
      <w:r>
        <w:rPr/>
        <w:t>Por</w:t>
      </w:r>
      <w:r>
        <w:rPr>
          <w:spacing w:val="-19"/>
        </w:rPr>
        <w:t> </w:t>
      </w:r>
      <w:r>
        <w:rPr/>
        <w:t>otro</w:t>
      </w:r>
      <w:r>
        <w:rPr>
          <w:spacing w:val="-18"/>
        </w:rPr>
        <w:t> </w:t>
      </w:r>
      <w:r>
        <w:rPr/>
        <w:t>lado,</w:t>
      </w:r>
      <w:r>
        <w:rPr>
          <w:spacing w:val="-21"/>
        </w:rPr>
        <w:t> </w:t>
      </w:r>
      <w:r>
        <w:rPr/>
        <w:t>para</w:t>
      </w:r>
      <w:r>
        <w:rPr>
          <w:spacing w:val="-19"/>
        </w:rPr>
        <w:t> </w:t>
      </w:r>
      <w:r>
        <w:rPr/>
        <w:t>Jean-Paul</w:t>
      </w:r>
      <w:r>
        <w:rPr>
          <w:spacing w:val="-19"/>
        </w:rPr>
        <w:t> </w:t>
      </w:r>
      <w:r>
        <w:rPr/>
        <w:t>Vinay</w:t>
      </w:r>
      <w:r>
        <w:rPr>
          <w:spacing w:val="-21"/>
        </w:rPr>
        <w:t> </w:t>
      </w:r>
      <w:r>
        <w:rPr/>
        <w:t>y</w:t>
      </w:r>
      <w:r>
        <w:rPr>
          <w:spacing w:val="-21"/>
        </w:rPr>
        <w:t> </w:t>
      </w:r>
      <w:r>
        <w:rPr/>
        <w:t>Jean</w:t>
      </w:r>
      <w:r>
        <w:rPr>
          <w:spacing w:val="-18"/>
        </w:rPr>
        <w:t> </w:t>
      </w:r>
      <w:r>
        <w:rPr/>
        <w:t>Darbelnet</w:t>
      </w:r>
      <w:r>
        <w:rPr>
          <w:spacing w:val="-18"/>
        </w:rPr>
        <w:t> </w:t>
      </w:r>
      <w:r>
        <w:rPr/>
        <w:t>(1977,</w:t>
      </w:r>
      <w:r>
        <w:rPr>
          <w:spacing w:val="-18"/>
        </w:rPr>
        <w:t> </w:t>
      </w:r>
      <w:r>
        <w:rPr/>
        <w:t>en</w:t>
      </w:r>
      <w:r>
        <w:rPr>
          <w:spacing w:val="-18"/>
        </w:rPr>
        <w:t> </w:t>
      </w:r>
      <w:r>
        <w:rPr/>
        <w:t>Juan</w:t>
      </w:r>
      <w:r>
        <w:rPr>
          <w:spacing w:val="-20"/>
        </w:rPr>
        <w:t> </w:t>
      </w:r>
      <w:r>
        <w:rPr/>
        <w:t>Gabriel</w:t>
      </w:r>
      <w:r>
        <w:rPr>
          <w:spacing w:val="-19"/>
        </w:rPr>
        <w:t> </w:t>
      </w:r>
      <w:r>
        <w:rPr/>
        <w:t>López Guix</w:t>
      </w:r>
      <w:r>
        <w:rPr>
          <w:spacing w:val="-19"/>
        </w:rPr>
        <w:t> </w:t>
      </w:r>
      <w:r>
        <w:rPr/>
        <w:t>y</w:t>
      </w:r>
      <w:r>
        <w:rPr>
          <w:spacing w:val="-19"/>
        </w:rPr>
        <w:t> </w:t>
      </w:r>
      <w:r>
        <w:rPr/>
        <w:t>Jaqueline</w:t>
      </w:r>
      <w:r>
        <w:rPr>
          <w:spacing w:val="-16"/>
        </w:rPr>
        <w:t> </w:t>
      </w:r>
      <w:r>
        <w:rPr/>
        <w:t>Minett</w:t>
      </w:r>
      <w:r>
        <w:rPr>
          <w:spacing w:val="-21"/>
        </w:rPr>
        <w:t> </w:t>
      </w:r>
      <w:r>
        <w:rPr/>
        <w:t>Wilkinson,</w:t>
      </w:r>
      <w:r>
        <w:rPr>
          <w:spacing w:val="-18"/>
        </w:rPr>
        <w:t> </w:t>
      </w:r>
      <w:r>
        <w:rPr/>
        <w:t>1997)</w:t>
      </w:r>
      <w:r>
        <w:rPr>
          <w:spacing w:val="-19"/>
        </w:rPr>
        <w:t> </w:t>
      </w:r>
      <w:r>
        <w:rPr/>
        <w:t>el</w:t>
      </w:r>
      <w:r>
        <w:rPr>
          <w:spacing w:val="-17"/>
        </w:rPr>
        <w:t> </w:t>
      </w:r>
      <w:r>
        <w:rPr/>
        <w:t>anglicismo</w:t>
      </w:r>
      <w:r>
        <w:rPr>
          <w:spacing w:val="-13"/>
        </w:rPr>
        <w:t> </w:t>
      </w:r>
      <w:r>
        <w:rPr/>
        <w:t>tiene</w:t>
      </w:r>
      <w:r>
        <w:rPr>
          <w:spacing w:val="-18"/>
        </w:rPr>
        <w:t> </w:t>
      </w:r>
      <w:r>
        <w:rPr/>
        <w:t>que</w:t>
      </w:r>
      <w:r>
        <w:rPr>
          <w:spacing w:val="-18"/>
        </w:rPr>
        <w:t> </w:t>
      </w:r>
      <w:r>
        <w:rPr/>
        <w:t>ver</w:t>
      </w:r>
      <w:r>
        <w:rPr>
          <w:spacing w:val="-17"/>
        </w:rPr>
        <w:t> </w:t>
      </w:r>
      <w:r>
        <w:rPr/>
        <w:t>más</w:t>
      </w:r>
      <w:r>
        <w:rPr>
          <w:spacing w:val="-19"/>
        </w:rPr>
        <w:t> </w:t>
      </w:r>
      <w:r>
        <w:rPr/>
        <w:t>con</w:t>
      </w:r>
      <w:r>
        <w:rPr>
          <w:spacing w:val="-18"/>
        </w:rPr>
        <w:t> </w:t>
      </w:r>
      <w:r>
        <w:rPr/>
        <w:t>un</w:t>
      </w:r>
      <w:r>
        <w:rPr>
          <w:spacing w:val="-18"/>
        </w:rPr>
        <w:t> </w:t>
      </w:r>
      <w:r>
        <w:rPr/>
        <w:t>préstamo que con un calco. Definen el préstamo como “…palabra que se toma de una lengua sin traducirla, el préstamo da fe de un vacío léxico en la lengua de llegada…” (1997:</w:t>
      </w:r>
      <w:r>
        <w:rPr>
          <w:spacing w:val="-34"/>
        </w:rPr>
        <w:t> </w:t>
      </w:r>
      <w:r>
        <w:rPr/>
        <w:t>236).</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10" w:firstLine="707"/>
        <w:jc w:val="both"/>
      </w:pPr>
      <w:r>
        <w:rPr/>
        <w:t>Distinguen entre préstamo necesario e innecesario. El préstamo necesario es considerado de tal manera ya que el préstamo se ha adaptado a la lengua de llegada, y dicha</w:t>
      </w:r>
      <w:r>
        <w:rPr>
          <w:spacing w:val="-11"/>
        </w:rPr>
        <w:t> </w:t>
      </w:r>
      <w:r>
        <w:rPr/>
        <w:t>naturalización</w:t>
      </w:r>
      <w:r>
        <w:rPr>
          <w:spacing w:val="-7"/>
        </w:rPr>
        <w:t> </w:t>
      </w:r>
      <w:r>
        <w:rPr/>
        <w:t>se</w:t>
      </w:r>
      <w:r>
        <w:rPr>
          <w:spacing w:val="-12"/>
        </w:rPr>
        <w:t> </w:t>
      </w:r>
      <w:r>
        <w:rPr/>
        <w:t>produce</w:t>
      </w:r>
      <w:r>
        <w:rPr>
          <w:spacing w:val="-12"/>
        </w:rPr>
        <w:t> </w:t>
      </w:r>
      <w:r>
        <w:rPr/>
        <w:t>ante</w:t>
      </w:r>
      <w:r>
        <w:rPr>
          <w:spacing w:val="-12"/>
        </w:rPr>
        <w:t> </w:t>
      </w:r>
      <w:r>
        <w:rPr/>
        <w:t>una</w:t>
      </w:r>
      <w:r>
        <w:rPr>
          <w:spacing w:val="-12"/>
        </w:rPr>
        <w:t> </w:t>
      </w:r>
      <w:r>
        <w:rPr/>
        <w:t>laguna</w:t>
      </w:r>
      <w:r>
        <w:rPr>
          <w:spacing w:val="-9"/>
        </w:rPr>
        <w:t> </w:t>
      </w:r>
      <w:r>
        <w:rPr/>
        <w:t>lingüística</w:t>
      </w:r>
      <w:r>
        <w:rPr>
          <w:spacing w:val="48"/>
        </w:rPr>
        <w:t> </w:t>
      </w:r>
      <w:r>
        <w:rPr/>
        <w:t>y</w:t>
      </w:r>
      <w:r>
        <w:rPr>
          <w:spacing w:val="-13"/>
        </w:rPr>
        <w:t> </w:t>
      </w:r>
      <w:r>
        <w:rPr/>
        <w:t>de</w:t>
      </w:r>
      <w:r>
        <w:rPr>
          <w:spacing w:val="-9"/>
        </w:rPr>
        <w:t> </w:t>
      </w:r>
      <w:r>
        <w:rPr/>
        <w:t>acuerdo</w:t>
      </w:r>
      <w:r>
        <w:rPr>
          <w:spacing w:val="-9"/>
        </w:rPr>
        <w:t> </w:t>
      </w:r>
      <w:r>
        <w:rPr/>
        <w:t>con</w:t>
      </w:r>
      <w:r>
        <w:rPr>
          <w:spacing w:val="-9"/>
        </w:rPr>
        <w:t> </w:t>
      </w:r>
      <w:r>
        <w:rPr/>
        <w:t>los</w:t>
      </w:r>
      <w:r>
        <w:rPr>
          <w:spacing w:val="-10"/>
        </w:rPr>
        <w:t> </w:t>
      </w:r>
      <w:r>
        <w:rPr/>
        <w:t>autores López Guix y Minett Wilkinson (1997: 237) sin duda el préstamo naturalizado contribuye al enriquecimiento de la lengua receptora. Para definir un préstamo innecesario los autores</w:t>
      </w:r>
      <w:r>
        <w:rPr>
          <w:spacing w:val="-16"/>
        </w:rPr>
        <w:t> </w:t>
      </w:r>
      <w:r>
        <w:rPr/>
        <w:t>se</w:t>
      </w:r>
      <w:r>
        <w:rPr>
          <w:spacing w:val="-16"/>
        </w:rPr>
        <w:t> </w:t>
      </w:r>
      <w:r>
        <w:rPr/>
        <w:t>auxilian</w:t>
      </w:r>
      <w:r>
        <w:rPr>
          <w:spacing w:val="-15"/>
        </w:rPr>
        <w:t> </w:t>
      </w:r>
      <w:r>
        <w:rPr/>
        <w:t>de</w:t>
      </w:r>
      <w:r>
        <w:rPr>
          <w:spacing w:val="-16"/>
        </w:rPr>
        <w:t> </w:t>
      </w:r>
      <w:r>
        <w:rPr/>
        <w:t>los</w:t>
      </w:r>
      <w:r>
        <w:rPr>
          <w:spacing w:val="-16"/>
        </w:rPr>
        <w:t> </w:t>
      </w:r>
      <w:r>
        <w:rPr/>
        <w:t>términos</w:t>
      </w:r>
      <w:r>
        <w:rPr>
          <w:spacing w:val="-16"/>
        </w:rPr>
        <w:t> </w:t>
      </w:r>
      <w:r>
        <w:rPr/>
        <w:t>“software”</w:t>
      </w:r>
      <w:r>
        <w:rPr>
          <w:spacing w:val="-17"/>
        </w:rPr>
        <w:t> </w:t>
      </w:r>
      <w:r>
        <w:rPr/>
        <w:t>y</w:t>
      </w:r>
      <w:r>
        <w:rPr>
          <w:spacing w:val="-16"/>
        </w:rPr>
        <w:t> </w:t>
      </w:r>
      <w:r>
        <w:rPr/>
        <w:t>“hardware”,</w:t>
      </w:r>
      <w:r>
        <w:rPr>
          <w:spacing w:val="-16"/>
        </w:rPr>
        <w:t> </w:t>
      </w:r>
      <w:r>
        <w:rPr/>
        <w:t>de</w:t>
      </w:r>
      <w:r>
        <w:rPr>
          <w:spacing w:val="-16"/>
        </w:rPr>
        <w:t> </w:t>
      </w:r>
      <w:r>
        <w:rPr/>
        <w:t>los</w:t>
      </w:r>
      <w:r>
        <w:rPr>
          <w:spacing w:val="-16"/>
        </w:rPr>
        <w:t> </w:t>
      </w:r>
      <w:r>
        <w:rPr/>
        <w:t>cuales,</w:t>
      </w:r>
      <w:r>
        <w:rPr>
          <w:spacing w:val="-16"/>
        </w:rPr>
        <w:t> </w:t>
      </w:r>
      <w:r>
        <w:rPr/>
        <w:t>el</w:t>
      </w:r>
      <w:r>
        <w:rPr>
          <w:spacing w:val="-17"/>
        </w:rPr>
        <w:t> </w:t>
      </w:r>
      <w:r>
        <w:rPr/>
        <w:t>español</w:t>
      </w:r>
      <w:r>
        <w:rPr>
          <w:spacing w:val="-17"/>
        </w:rPr>
        <w:t> </w:t>
      </w:r>
      <w:r>
        <w:rPr/>
        <w:t>tiene sus equivalentes “soporte lógico” y “soporte físico” como formas propuestas para el castellano. No representan una traducción literal como el calco pero fueron introducidas, probablemente, por economicidad de la</w:t>
      </w:r>
      <w:r>
        <w:rPr>
          <w:spacing w:val="-19"/>
        </w:rPr>
        <w:t> </w:t>
      </w:r>
      <w:r>
        <w:rPr/>
        <w:t>lengua.</w:t>
      </w:r>
    </w:p>
    <w:p>
      <w:pPr>
        <w:pStyle w:val="BodyText"/>
        <w:spacing w:line="360" w:lineRule="auto" w:before="202"/>
        <w:ind w:left="102" w:right="108" w:firstLine="707"/>
        <w:jc w:val="both"/>
      </w:pPr>
      <w:r>
        <w:rPr/>
        <w:t>Los</w:t>
      </w:r>
      <w:r>
        <w:rPr>
          <w:spacing w:val="-16"/>
        </w:rPr>
        <w:t> </w:t>
      </w:r>
      <w:r>
        <w:rPr/>
        <w:t>autores</w:t>
      </w:r>
      <w:r>
        <w:rPr>
          <w:spacing w:val="-19"/>
        </w:rPr>
        <w:t> </w:t>
      </w:r>
      <w:r>
        <w:rPr/>
        <w:t>aclaran</w:t>
      </w:r>
      <w:r>
        <w:rPr>
          <w:spacing w:val="-16"/>
        </w:rPr>
        <w:t> </w:t>
      </w:r>
      <w:r>
        <w:rPr/>
        <w:t>la</w:t>
      </w:r>
      <w:r>
        <w:rPr>
          <w:spacing w:val="-18"/>
        </w:rPr>
        <w:t> </w:t>
      </w:r>
      <w:r>
        <w:rPr/>
        <w:t>oposición</w:t>
      </w:r>
      <w:r>
        <w:rPr>
          <w:spacing w:val="-18"/>
        </w:rPr>
        <w:t> </w:t>
      </w:r>
      <w:r>
        <w:rPr/>
        <w:t>entre</w:t>
      </w:r>
      <w:r>
        <w:rPr>
          <w:spacing w:val="-14"/>
        </w:rPr>
        <w:t> </w:t>
      </w:r>
      <w:r>
        <w:rPr/>
        <w:t>calco</w:t>
      </w:r>
      <w:r>
        <w:rPr>
          <w:spacing w:val="-16"/>
        </w:rPr>
        <w:t> </w:t>
      </w:r>
      <w:r>
        <w:rPr/>
        <w:t>y</w:t>
      </w:r>
      <w:r>
        <w:rPr>
          <w:spacing w:val="-18"/>
        </w:rPr>
        <w:t> </w:t>
      </w:r>
      <w:r>
        <w:rPr/>
        <w:t>préstamo:</w:t>
      </w:r>
      <w:r>
        <w:rPr>
          <w:spacing w:val="-17"/>
        </w:rPr>
        <w:t> </w:t>
      </w:r>
      <w:r>
        <w:rPr/>
        <w:t>“A</w:t>
      </w:r>
      <w:r>
        <w:rPr>
          <w:spacing w:val="-16"/>
        </w:rPr>
        <w:t> </w:t>
      </w:r>
      <w:r>
        <w:rPr/>
        <w:t>diferencia</w:t>
      </w:r>
      <w:r>
        <w:rPr>
          <w:spacing w:val="-18"/>
        </w:rPr>
        <w:t> </w:t>
      </w:r>
      <w:r>
        <w:rPr/>
        <w:t>del</w:t>
      </w:r>
      <w:r>
        <w:rPr>
          <w:spacing w:val="-17"/>
        </w:rPr>
        <w:t> </w:t>
      </w:r>
      <w:r>
        <w:rPr/>
        <w:t>préstamo que es una adaptación fónica y morfológica, el calco es una construcción. Así, </w:t>
      </w:r>
      <w:r>
        <w:rPr>
          <w:i/>
        </w:rPr>
        <w:t>football </w:t>
      </w:r>
      <w:r>
        <w:rPr/>
        <w:t>sería un extranjerismo puro; </w:t>
      </w:r>
      <w:r>
        <w:rPr>
          <w:i/>
        </w:rPr>
        <w:t>futbol</w:t>
      </w:r>
      <w:r>
        <w:rPr/>
        <w:t>, un préstamo; y </w:t>
      </w:r>
      <w:r>
        <w:rPr>
          <w:i/>
        </w:rPr>
        <w:t>balompié</w:t>
      </w:r>
      <w:r>
        <w:rPr/>
        <w:t>, un calco.” (López Guix y Minett, 1997:243). Mencionan que el calco es sólo otro recurso para evitar los extranjerismos.</w:t>
      </w:r>
    </w:p>
    <w:p>
      <w:pPr>
        <w:pStyle w:val="BodyText"/>
        <w:spacing w:line="360" w:lineRule="auto" w:before="204"/>
        <w:ind w:left="102" w:right="114" w:firstLine="775"/>
        <w:jc w:val="both"/>
      </w:pPr>
      <w:r>
        <w:rPr/>
        <w:t>López</w:t>
      </w:r>
      <w:r>
        <w:rPr>
          <w:spacing w:val="-7"/>
        </w:rPr>
        <w:t> </w:t>
      </w:r>
      <w:r>
        <w:rPr/>
        <w:t>Guix</w:t>
      </w:r>
      <w:r>
        <w:rPr>
          <w:spacing w:val="-7"/>
        </w:rPr>
        <w:t> </w:t>
      </w:r>
      <w:r>
        <w:rPr/>
        <w:t>y</w:t>
      </w:r>
      <w:r>
        <w:rPr>
          <w:spacing w:val="-7"/>
        </w:rPr>
        <w:t> </w:t>
      </w:r>
      <w:r>
        <w:rPr/>
        <w:t>Minett</w:t>
      </w:r>
      <w:r>
        <w:rPr>
          <w:spacing w:val="-6"/>
        </w:rPr>
        <w:t> </w:t>
      </w:r>
      <w:r>
        <w:rPr/>
        <w:t>Wilkinson</w:t>
      </w:r>
      <w:r>
        <w:rPr>
          <w:spacing w:val="-6"/>
        </w:rPr>
        <w:t> </w:t>
      </w:r>
      <w:r>
        <w:rPr/>
        <w:t>(1997)</w:t>
      </w:r>
      <w:r>
        <w:rPr>
          <w:spacing w:val="-5"/>
        </w:rPr>
        <w:t> </w:t>
      </w:r>
      <w:r>
        <w:rPr/>
        <w:t>aseguran</w:t>
      </w:r>
      <w:r>
        <w:rPr>
          <w:spacing w:val="-3"/>
        </w:rPr>
        <w:t> </w:t>
      </w:r>
      <w:r>
        <w:rPr/>
        <w:t>que</w:t>
      </w:r>
      <w:r>
        <w:rPr>
          <w:spacing w:val="-6"/>
        </w:rPr>
        <w:t> </w:t>
      </w:r>
      <w:r>
        <w:rPr/>
        <w:t>a</w:t>
      </w:r>
      <w:r>
        <w:rPr>
          <w:spacing w:val="-6"/>
        </w:rPr>
        <w:t> </w:t>
      </w:r>
      <w:r>
        <w:rPr/>
        <w:t>partir</w:t>
      </w:r>
      <w:r>
        <w:rPr>
          <w:spacing w:val="-5"/>
        </w:rPr>
        <w:t> </w:t>
      </w:r>
      <w:r>
        <w:rPr/>
        <w:t>de</w:t>
      </w:r>
      <w:r>
        <w:rPr>
          <w:spacing w:val="-6"/>
        </w:rPr>
        <w:t> </w:t>
      </w:r>
      <w:r>
        <w:rPr/>
        <w:t>los</w:t>
      </w:r>
      <w:r>
        <w:rPr>
          <w:spacing w:val="-6"/>
        </w:rPr>
        <w:t> </w:t>
      </w:r>
      <w:r>
        <w:rPr/>
        <w:t>anglicismos</w:t>
      </w:r>
      <w:r>
        <w:rPr>
          <w:spacing w:val="-7"/>
        </w:rPr>
        <w:t> </w:t>
      </w:r>
      <w:r>
        <w:rPr/>
        <w:t>ya existentes,</w:t>
      </w:r>
      <w:r>
        <w:rPr>
          <w:spacing w:val="-5"/>
        </w:rPr>
        <w:t> </w:t>
      </w:r>
      <w:r>
        <w:rPr/>
        <w:t>se</w:t>
      </w:r>
      <w:r>
        <w:rPr>
          <w:spacing w:val="-6"/>
        </w:rPr>
        <w:t> </w:t>
      </w:r>
      <w:r>
        <w:rPr/>
        <w:t>pueden</w:t>
      </w:r>
      <w:r>
        <w:rPr>
          <w:spacing w:val="-8"/>
        </w:rPr>
        <w:t> </w:t>
      </w:r>
      <w:r>
        <w:rPr/>
        <w:t>producir</w:t>
      </w:r>
      <w:r>
        <w:rPr>
          <w:spacing w:val="-6"/>
        </w:rPr>
        <w:t> </w:t>
      </w:r>
      <w:r>
        <w:rPr/>
        <w:t>nuevas</w:t>
      </w:r>
      <w:r>
        <w:rPr>
          <w:spacing w:val="-5"/>
        </w:rPr>
        <w:t> </w:t>
      </w:r>
      <w:r>
        <w:rPr/>
        <w:t>variantes</w:t>
      </w:r>
      <w:r>
        <w:rPr>
          <w:spacing w:val="-5"/>
        </w:rPr>
        <w:t> </w:t>
      </w:r>
      <w:r>
        <w:rPr/>
        <w:t>en</w:t>
      </w:r>
      <w:r>
        <w:rPr>
          <w:spacing w:val="-6"/>
        </w:rPr>
        <w:t> </w:t>
      </w:r>
      <w:r>
        <w:rPr/>
        <w:t>el</w:t>
      </w:r>
      <w:r>
        <w:rPr>
          <w:spacing w:val="-6"/>
        </w:rPr>
        <w:t> </w:t>
      </w:r>
      <w:r>
        <w:rPr/>
        <w:t>mismo</w:t>
      </w:r>
      <w:r>
        <w:rPr>
          <w:spacing w:val="-6"/>
        </w:rPr>
        <w:t> </w:t>
      </w:r>
      <w:r>
        <w:rPr/>
        <w:t>idioma</w:t>
      </w:r>
      <w:r>
        <w:rPr>
          <w:spacing w:val="-6"/>
        </w:rPr>
        <w:t> </w:t>
      </w:r>
      <w:r>
        <w:rPr/>
        <w:t>e</w:t>
      </w:r>
      <w:r>
        <w:rPr>
          <w:spacing w:val="-5"/>
        </w:rPr>
        <w:t> </w:t>
      </w:r>
      <w:r>
        <w:rPr/>
        <w:t>incluso</w:t>
      </w:r>
      <w:r>
        <w:rPr>
          <w:spacing w:val="-6"/>
        </w:rPr>
        <w:t> </w:t>
      </w:r>
      <w:r>
        <w:rPr/>
        <w:t>a</w:t>
      </w:r>
      <w:r>
        <w:rPr>
          <w:spacing w:val="-5"/>
        </w:rPr>
        <w:t> </w:t>
      </w:r>
      <w:r>
        <w:rPr/>
        <w:t>partir</w:t>
      </w:r>
      <w:r>
        <w:rPr>
          <w:spacing w:val="-6"/>
        </w:rPr>
        <w:t> </w:t>
      </w:r>
      <w:r>
        <w:rPr/>
        <w:t>de las variantes entre inglés británico y americano, mencionan que a partir de los años sesenta se han ido unificando estas dos variantes del</w:t>
      </w:r>
      <w:r>
        <w:rPr>
          <w:spacing w:val="-14"/>
        </w:rPr>
        <w:t> </w:t>
      </w:r>
      <w:r>
        <w:rPr/>
        <w:t>inglés.</w:t>
      </w:r>
    </w:p>
    <w:p>
      <w:pPr>
        <w:pStyle w:val="BodyText"/>
        <w:spacing w:line="360" w:lineRule="auto" w:before="202"/>
        <w:ind w:left="102" w:right="107" w:firstLine="707"/>
        <w:jc w:val="both"/>
      </w:pPr>
      <w:r>
        <w:rPr/>
        <w:t>Para propósitos de esta investigación, se entiende como anglicismo el préstamo de una unidad o estructura de la lengua y cultura inglesa. Al ser la lengua un ente en continuo desarrollo y cambio, provoca que el anglicismo sufra diferentes modificaciones en el proceso de apropiación y acogimiento de la lengua de llegada, proceso que le incumbe</w:t>
      </w:r>
      <w:r>
        <w:rPr>
          <w:spacing w:val="-8"/>
        </w:rPr>
        <w:t> </w:t>
      </w:r>
      <w:r>
        <w:rPr/>
        <w:t>al</w:t>
      </w:r>
      <w:r>
        <w:rPr>
          <w:spacing w:val="-12"/>
        </w:rPr>
        <w:t> </w:t>
      </w:r>
      <w:r>
        <w:rPr/>
        <w:t>uso</w:t>
      </w:r>
      <w:r>
        <w:rPr>
          <w:spacing w:val="-8"/>
        </w:rPr>
        <w:t> </w:t>
      </w:r>
      <w:r>
        <w:rPr/>
        <w:t>real</w:t>
      </w:r>
      <w:r>
        <w:rPr>
          <w:spacing w:val="-12"/>
        </w:rPr>
        <w:t> </w:t>
      </w:r>
      <w:r>
        <w:rPr/>
        <w:t>en</w:t>
      </w:r>
      <w:r>
        <w:rPr>
          <w:spacing w:val="-11"/>
        </w:rPr>
        <w:t> </w:t>
      </w:r>
      <w:r>
        <w:rPr/>
        <w:t>un</w:t>
      </w:r>
      <w:r>
        <w:rPr>
          <w:spacing w:val="-8"/>
        </w:rPr>
        <w:t> </w:t>
      </w:r>
      <w:r>
        <w:rPr/>
        <w:t>contexto</w:t>
      </w:r>
      <w:r>
        <w:rPr>
          <w:spacing w:val="-8"/>
        </w:rPr>
        <w:t> </w:t>
      </w:r>
      <w:r>
        <w:rPr/>
        <w:t>específico</w:t>
      </w:r>
      <w:r>
        <w:rPr>
          <w:spacing w:val="-11"/>
        </w:rPr>
        <w:t> </w:t>
      </w:r>
      <w:r>
        <w:rPr/>
        <w:t>y</w:t>
      </w:r>
      <w:r>
        <w:rPr>
          <w:spacing w:val="-12"/>
        </w:rPr>
        <w:t> </w:t>
      </w:r>
      <w:r>
        <w:rPr/>
        <w:t>por</w:t>
      </w:r>
      <w:r>
        <w:rPr>
          <w:spacing w:val="-10"/>
        </w:rPr>
        <w:t> </w:t>
      </w:r>
      <w:r>
        <w:rPr/>
        <w:t>una</w:t>
      </w:r>
      <w:r>
        <w:rPr>
          <w:spacing w:val="-8"/>
        </w:rPr>
        <w:t> </w:t>
      </w:r>
      <w:r>
        <w:rPr/>
        <w:t>convención</w:t>
      </w:r>
      <w:r>
        <w:rPr>
          <w:spacing w:val="-8"/>
        </w:rPr>
        <w:t> </w:t>
      </w:r>
      <w:r>
        <w:rPr/>
        <w:t>social. Este</w:t>
      </w:r>
      <w:r>
        <w:rPr>
          <w:spacing w:val="-10"/>
        </w:rPr>
        <w:t> </w:t>
      </w:r>
      <w:r>
        <w:rPr/>
        <w:t>proyecto se</w:t>
      </w:r>
      <w:r>
        <w:rPr>
          <w:spacing w:val="-11"/>
        </w:rPr>
        <w:t> </w:t>
      </w:r>
      <w:r>
        <w:rPr/>
        <w:t>deslinda</w:t>
      </w:r>
      <w:r>
        <w:rPr>
          <w:spacing w:val="-13"/>
        </w:rPr>
        <w:t> </w:t>
      </w:r>
      <w:r>
        <w:rPr/>
        <w:t>del</w:t>
      </w:r>
      <w:r>
        <w:rPr>
          <w:spacing w:val="-14"/>
        </w:rPr>
        <w:t> </w:t>
      </w:r>
      <w:r>
        <w:rPr/>
        <w:t>uso</w:t>
      </w:r>
      <w:r>
        <w:rPr>
          <w:spacing w:val="-13"/>
        </w:rPr>
        <w:t> </w:t>
      </w:r>
      <w:r>
        <w:rPr/>
        <w:t>de</w:t>
      </w:r>
      <w:r>
        <w:rPr>
          <w:spacing w:val="-13"/>
        </w:rPr>
        <w:t> </w:t>
      </w:r>
      <w:r>
        <w:rPr/>
        <w:t>calcos</w:t>
      </w:r>
      <w:r>
        <w:rPr>
          <w:spacing w:val="-11"/>
        </w:rPr>
        <w:t> </w:t>
      </w:r>
      <w:r>
        <w:rPr/>
        <w:t>ya</w:t>
      </w:r>
      <w:r>
        <w:rPr>
          <w:spacing w:val="-11"/>
        </w:rPr>
        <w:t> </w:t>
      </w:r>
      <w:r>
        <w:rPr/>
        <w:t>que</w:t>
      </w:r>
      <w:r>
        <w:rPr>
          <w:spacing w:val="-15"/>
        </w:rPr>
        <w:t> </w:t>
      </w:r>
      <w:r>
        <w:rPr/>
        <w:t>al</w:t>
      </w:r>
      <w:r>
        <w:rPr>
          <w:spacing w:val="-12"/>
        </w:rPr>
        <w:t> </w:t>
      </w:r>
      <w:r>
        <w:rPr/>
        <w:t>considerarse</w:t>
      </w:r>
      <w:r>
        <w:rPr>
          <w:spacing w:val="-13"/>
        </w:rPr>
        <w:t> </w:t>
      </w:r>
      <w:r>
        <w:rPr/>
        <w:t>una</w:t>
      </w:r>
      <w:r>
        <w:rPr>
          <w:spacing w:val="-13"/>
        </w:rPr>
        <w:t> </w:t>
      </w:r>
      <w:r>
        <w:rPr/>
        <w:t>traducción</w:t>
      </w:r>
      <w:r>
        <w:rPr>
          <w:spacing w:val="-11"/>
        </w:rPr>
        <w:t> </w:t>
      </w:r>
      <w:r>
        <w:rPr/>
        <w:t>literal</w:t>
      </w:r>
      <w:r>
        <w:rPr>
          <w:spacing w:val="-12"/>
        </w:rPr>
        <w:t> </w:t>
      </w:r>
      <w:r>
        <w:rPr/>
        <w:t>de</w:t>
      </w:r>
      <w:r>
        <w:rPr>
          <w:spacing w:val="-13"/>
        </w:rPr>
        <w:t> </w:t>
      </w:r>
      <w:r>
        <w:rPr/>
        <w:t>una</w:t>
      </w:r>
      <w:r>
        <w:rPr>
          <w:spacing w:val="-13"/>
        </w:rPr>
        <w:t> </w:t>
      </w:r>
      <w:r>
        <w:rPr/>
        <w:t>palabra en otro idioma pueda perjudicar la percepción de los sujetos de la investigación, ya que podrían no distinguir su origen inglés a través de la estructura de la</w:t>
      </w:r>
      <w:r>
        <w:rPr>
          <w:spacing w:val="-22"/>
        </w:rPr>
        <w:t> </w:t>
      </w:r>
      <w:r>
        <w:rPr/>
        <w:t>palabra.</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Heading1"/>
        <w:numPr>
          <w:ilvl w:val="1"/>
          <w:numId w:val="1"/>
        </w:numPr>
        <w:tabs>
          <w:tab w:pos="592" w:val="left" w:leader="none"/>
        </w:tabs>
        <w:spacing w:line="240" w:lineRule="auto" w:before="70" w:after="0"/>
        <w:ind w:left="591" w:right="0" w:hanging="469"/>
        <w:jc w:val="left"/>
      </w:pPr>
      <w:r>
        <w:rPr/>
        <w:t>Clasificaciones</w:t>
      </w:r>
    </w:p>
    <w:p>
      <w:pPr>
        <w:pStyle w:val="BodyText"/>
        <w:spacing w:before="4"/>
        <w:rPr>
          <w:b/>
          <w:sz w:val="29"/>
        </w:rPr>
      </w:pPr>
    </w:p>
    <w:p>
      <w:pPr>
        <w:pStyle w:val="BodyText"/>
        <w:spacing w:line="360" w:lineRule="auto" w:before="1"/>
        <w:ind w:left="122" w:right="113" w:firstLine="707"/>
        <w:jc w:val="both"/>
      </w:pPr>
      <w:r>
        <w:rPr/>
        <w:t>Varios autores proponen diferentes clasificaciones de los anglicismos de acuerdo a su función en la lengua y a las características que adquieren a diferentes niveles de la lengua.</w:t>
      </w:r>
    </w:p>
    <w:p>
      <w:pPr>
        <w:pStyle w:val="BodyText"/>
        <w:spacing w:line="360" w:lineRule="auto" w:before="202"/>
        <w:ind w:left="122" w:right="108" w:firstLine="707"/>
        <w:jc w:val="both"/>
      </w:pPr>
      <w:r>
        <w:rPr/>
        <w:t>La primer clasificación que se proporciona, es la proporcionada por López Guix y Minett</w:t>
      </w:r>
      <w:r>
        <w:rPr>
          <w:spacing w:val="-4"/>
        </w:rPr>
        <w:t> </w:t>
      </w:r>
      <w:r>
        <w:rPr/>
        <w:t>(1997),</w:t>
      </w:r>
      <w:r>
        <w:rPr>
          <w:spacing w:val="-5"/>
        </w:rPr>
        <w:t> </w:t>
      </w:r>
      <w:r>
        <w:rPr/>
        <w:t>ellos</w:t>
      </w:r>
      <w:r>
        <w:rPr>
          <w:spacing w:val="-7"/>
        </w:rPr>
        <w:t> </w:t>
      </w:r>
      <w:r>
        <w:rPr/>
        <w:t>marcan</w:t>
      </w:r>
      <w:r>
        <w:rPr>
          <w:spacing w:val="-3"/>
        </w:rPr>
        <w:t> </w:t>
      </w:r>
      <w:r>
        <w:rPr/>
        <w:t>la</w:t>
      </w:r>
      <w:r>
        <w:rPr>
          <w:spacing w:val="-4"/>
        </w:rPr>
        <w:t> </w:t>
      </w:r>
      <w:r>
        <w:rPr/>
        <w:t>diferencia</w:t>
      </w:r>
      <w:r>
        <w:rPr>
          <w:spacing w:val="-6"/>
        </w:rPr>
        <w:t> </w:t>
      </w:r>
      <w:r>
        <w:rPr/>
        <w:t>entre</w:t>
      </w:r>
      <w:r>
        <w:rPr>
          <w:spacing w:val="-6"/>
        </w:rPr>
        <w:t> </w:t>
      </w:r>
      <w:r>
        <w:rPr/>
        <w:t>anglicismo</w:t>
      </w:r>
      <w:r>
        <w:rPr>
          <w:spacing w:val="-4"/>
        </w:rPr>
        <w:t> </w:t>
      </w:r>
      <w:r>
        <w:rPr/>
        <w:t>puro</w:t>
      </w:r>
      <w:r>
        <w:rPr>
          <w:spacing w:val="-4"/>
        </w:rPr>
        <w:t> </w:t>
      </w:r>
      <w:r>
        <w:rPr/>
        <w:t>y</w:t>
      </w:r>
      <w:r>
        <w:rPr>
          <w:spacing w:val="-7"/>
        </w:rPr>
        <w:t> </w:t>
      </w:r>
      <w:r>
        <w:rPr/>
        <w:t>adaptado.</w:t>
      </w:r>
      <w:r>
        <w:rPr>
          <w:spacing w:val="-4"/>
        </w:rPr>
        <w:t> </w:t>
      </w:r>
      <w:r>
        <w:rPr/>
        <w:t>El</w:t>
      </w:r>
      <w:r>
        <w:rPr>
          <w:spacing w:val="-7"/>
        </w:rPr>
        <w:t> </w:t>
      </w:r>
      <w:r>
        <w:rPr/>
        <w:t>primero</w:t>
      </w:r>
      <w:r>
        <w:rPr>
          <w:spacing w:val="-4"/>
        </w:rPr>
        <w:t> </w:t>
      </w:r>
      <w:r>
        <w:rPr/>
        <w:t>se refiere a las palabras que son tomadas del inglés tal cual su morfología en la lengua origen. Por el contrario, los anglicismos adaptados han sido introducidos al castellano con algunas variaciones fonológicas y/o morfológicas que los hablantes realizan a modo de apropiarlas a las estructuras y reglas de su propia lengua. A partir de lo anterior, se desglosan</w:t>
      </w:r>
      <w:r>
        <w:rPr>
          <w:spacing w:val="-6"/>
        </w:rPr>
        <w:t> </w:t>
      </w:r>
      <w:r>
        <w:rPr/>
        <w:t>los</w:t>
      </w:r>
      <w:r>
        <w:rPr>
          <w:spacing w:val="-4"/>
        </w:rPr>
        <w:t> </w:t>
      </w:r>
      <w:r>
        <w:rPr/>
        <w:t>términos</w:t>
      </w:r>
      <w:r>
        <w:rPr>
          <w:spacing w:val="-5"/>
        </w:rPr>
        <w:t> </w:t>
      </w:r>
      <w:r>
        <w:rPr>
          <w:i/>
        </w:rPr>
        <w:t>chip,</w:t>
      </w:r>
      <w:r>
        <w:rPr>
          <w:i/>
          <w:spacing w:val="-6"/>
        </w:rPr>
        <w:t> </w:t>
      </w:r>
      <w:r>
        <w:rPr>
          <w:i/>
        </w:rPr>
        <w:t>byte</w:t>
      </w:r>
      <w:r>
        <w:rPr>
          <w:i/>
          <w:spacing w:val="-4"/>
        </w:rPr>
        <w:t> </w:t>
      </w:r>
      <w:r>
        <w:rPr>
          <w:i/>
        </w:rPr>
        <w:t>y</w:t>
      </w:r>
      <w:r>
        <w:rPr>
          <w:i/>
          <w:spacing w:val="-7"/>
        </w:rPr>
        <w:t> </w:t>
      </w:r>
      <w:r>
        <w:rPr>
          <w:i/>
        </w:rPr>
        <w:t>pixel</w:t>
      </w:r>
      <w:r>
        <w:rPr>
          <w:i/>
          <w:spacing w:val="-3"/>
        </w:rPr>
        <w:t> </w:t>
      </w:r>
      <w:r>
        <w:rPr/>
        <w:t>que</w:t>
      </w:r>
      <w:r>
        <w:rPr>
          <w:spacing w:val="-6"/>
        </w:rPr>
        <w:t> </w:t>
      </w:r>
      <w:r>
        <w:rPr/>
        <w:t>funcionan</w:t>
      </w:r>
      <w:r>
        <w:rPr>
          <w:spacing w:val="-6"/>
        </w:rPr>
        <w:t> </w:t>
      </w:r>
      <w:r>
        <w:rPr/>
        <w:t>como</w:t>
      </w:r>
      <w:r>
        <w:rPr>
          <w:spacing w:val="-6"/>
        </w:rPr>
        <w:t> </w:t>
      </w:r>
      <w:r>
        <w:rPr/>
        <w:t>anglicismos</w:t>
      </w:r>
      <w:r>
        <w:rPr>
          <w:spacing w:val="-7"/>
        </w:rPr>
        <w:t> </w:t>
      </w:r>
      <w:r>
        <w:rPr/>
        <w:t>puros</w:t>
      </w:r>
      <w:r>
        <w:rPr>
          <w:spacing w:val="-7"/>
        </w:rPr>
        <w:t> </w:t>
      </w:r>
      <w:r>
        <w:rPr/>
        <w:t>y</w:t>
      </w:r>
      <w:r>
        <w:rPr>
          <w:spacing w:val="-3"/>
        </w:rPr>
        <w:t> </w:t>
      </w:r>
      <w:r>
        <w:rPr>
          <w:i/>
        </w:rPr>
        <w:t>format </w:t>
      </w:r>
      <w:r>
        <w:rPr/>
        <w:t>o </w:t>
      </w:r>
      <w:r>
        <w:rPr>
          <w:i/>
        </w:rPr>
        <w:t>reset </w:t>
      </w:r>
      <w:r>
        <w:rPr/>
        <w:t>que fueron adaptados a </w:t>
      </w:r>
      <w:r>
        <w:rPr>
          <w:i/>
        </w:rPr>
        <w:t>formatear </w:t>
      </w:r>
      <w:r>
        <w:rPr/>
        <w:t>y</w:t>
      </w:r>
      <w:r>
        <w:rPr>
          <w:spacing w:val="-14"/>
        </w:rPr>
        <w:t> </w:t>
      </w:r>
      <w:r>
        <w:rPr>
          <w:i/>
        </w:rPr>
        <w:t>resetear</w:t>
      </w:r>
      <w:r>
        <w:rPr/>
        <w:t>.</w:t>
      </w:r>
    </w:p>
    <w:p>
      <w:pPr>
        <w:pStyle w:val="BodyText"/>
        <w:spacing w:line="360" w:lineRule="auto" w:before="206"/>
        <w:ind w:left="122" w:right="109" w:firstLine="707"/>
        <w:jc w:val="both"/>
      </w:pPr>
      <w:r>
        <w:rPr/>
        <w:t>Otra</w:t>
      </w:r>
      <w:r>
        <w:rPr>
          <w:spacing w:val="-12"/>
        </w:rPr>
        <w:t> </w:t>
      </w:r>
      <w:r>
        <w:rPr/>
        <w:t>clasificación</w:t>
      </w:r>
      <w:r>
        <w:rPr>
          <w:spacing w:val="-12"/>
        </w:rPr>
        <w:t> </w:t>
      </w:r>
      <w:r>
        <w:rPr/>
        <w:t>es</w:t>
      </w:r>
      <w:r>
        <w:rPr>
          <w:spacing w:val="-15"/>
        </w:rPr>
        <w:t> </w:t>
      </w:r>
      <w:r>
        <w:rPr/>
        <w:t>la</w:t>
      </w:r>
      <w:r>
        <w:rPr>
          <w:spacing w:val="-14"/>
        </w:rPr>
        <w:t> </w:t>
      </w:r>
      <w:r>
        <w:rPr/>
        <w:t>proporcionada</w:t>
      </w:r>
      <w:r>
        <w:rPr>
          <w:spacing w:val="-12"/>
        </w:rPr>
        <w:t> </w:t>
      </w:r>
      <w:r>
        <w:rPr/>
        <w:t>por</w:t>
      </w:r>
      <w:r>
        <w:rPr>
          <w:spacing w:val="-10"/>
        </w:rPr>
        <w:t> </w:t>
      </w:r>
      <w:r>
        <w:rPr/>
        <w:t>García</w:t>
      </w:r>
      <w:r>
        <w:rPr>
          <w:spacing w:val="-11"/>
        </w:rPr>
        <w:t> </w:t>
      </w:r>
      <w:r>
        <w:rPr/>
        <w:t>Yebra</w:t>
      </w:r>
      <w:r>
        <w:rPr>
          <w:spacing w:val="-12"/>
        </w:rPr>
        <w:t> </w:t>
      </w:r>
      <w:r>
        <w:rPr/>
        <w:t>(2005)</w:t>
      </w:r>
      <w:r>
        <w:rPr>
          <w:spacing w:val="-13"/>
        </w:rPr>
        <w:t> </w:t>
      </w:r>
      <w:r>
        <w:rPr/>
        <w:t>quien</w:t>
      </w:r>
      <w:r>
        <w:rPr>
          <w:spacing w:val="-14"/>
        </w:rPr>
        <w:t> </w:t>
      </w:r>
      <w:r>
        <w:rPr/>
        <w:t>identifica</w:t>
      </w:r>
      <w:r>
        <w:rPr>
          <w:spacing w:val="-12"/>
        </w:rPr>
        <w:t> </w:t>
      </w:r>
      <w:r>
        <w:rPr/>
        <w:t>tres tipos de anglicismos: léxico, morfológico y</w:t>
      </w:r>
      <w:r>
        <w:rPr>
          <w:spacing w:val="-18"/>
        </w:rPr>
        <w:t> </w:t>
      </w:r>
      <w:r>
        <w:rPr/>
        <w:t>sintáctico.</w:t>
      </w:r>
    </w:p>
    <w:p>
      <w:pPr>
        <w:pStyle w:val="BodyText"/>
        <w:spacing w:line="360" w:lineRule="auto" w:before="204"/>
        <w:ind w:left="122" w:right="105" w:firstLine="707"/>
        <w:jc w:val="both"/>
      </w:pPr>
      <w:r>
        <w:rPr/>
        <w:t>Por</w:t>
      </w:r>
      <w:r>
        <w:rPr>
          <w:spacing w:val="-10"/>
        </w:rPr>
        <w:t> </w:t>
      </w:r>
      <w:r>
        <w:rPr/>
        <w:t>anglicismo</w:t>
      </w:r>
      <w:r>
        <w:rPr>
          <w:spacing w:val="-8"/>
        </w:rPr>
        <w:t> </w:t>
      </w:r>
      <w:r>
        <w:rPr/>
        <w:t>léxico</w:t>
      </w:r>
      <w:r>
        <w:rPr>
          <w:spacing w:val="-9"/>
        </w:rPr>
        <w:t> </w:t>
      </w:r>
      <w:r>
        <w:rPr/>
        <w:t>se</w:t>
      </w:r>
      <w:r>
        <w:rPr>
          <w:spacing w:val="-8"/>
        </w:rPr>
        <w:t> </w:t>
      </w:r>
      <w:r>
        <w:rPr/>
        <w:t>entiende</w:t>
      </w:r>
      <w:r>
        <w:rPr>
          <w:spacing w:val="-8"/>
        </w:rPr>
        <w:t> </w:t>
      </w:r>
      <w:r>
        <w:rPr/>
        <w:t>que</w:t>
      </w:r>
      <w:r>
        <w:rPr>
          <w:spacing w:val="-8"/>
        </w:rPr>
        <w:t> </w:t>
      </w:r>
      <w:r>
        <w:rPr/>
        <w:t>es</w:t>
      </w:r>
      <w:r>
        <w:rPr>
          <w:spacing w:val="-9"/>
        </w:rPr>
        <w:t> </w:t>
      </w:r>
      <w:r>
        <w:rPr/>
        <w:t>aquel</w:t>
      </w:r>
      <w:r>
        <w:rPr>
          <w:spacing w:val="-10"/>
        </w:rPr>
        <w:t> </w:t>
      </w:r>
      <w:r>
        <w:rPr/>
        <w:t>que</w:t>
      </w:r>
      <w:r>
        <w:rPr>
          <w:spacing w:val="-8"/>
        </w:rPr>
        <w:t> </w:t>
      </w:r>
      <w:r>
        <w:rPr/>
        <w:t>es</w:t>
      </w:r>
      <w:r>
        <w:rPr>
          <w:spacing w:val="-9"/>
        </w:rPr>
        <w:t> </w:t>
      </w:r>
      <w:r>
        <w:rPr/>
        <w:t>usado</w:t>
      </w:r>
      <w:r>
        <w:rPr>
          <w:spacing w:val="-8"/>
        </w:rPr>
        <w:t> </w:t>
      </w:r>
      <w:r>
        <w:rPr>
          <w:spacing w:val="2"/>
        </w:rPr>
        <w:t>tal</w:t>
      </w:r>
      <w:r>
        <w:rPr>
          <w:spacing w:val="-10"/>
        </w:rPr>
        <w:t> </w:t>
      </w:r>
      <w:r>
        <w:rPr/>
        <w:t>cual</w:t>
      </w:r>
      <w:r>
        <w:rPr>
          <w:spacing w:val="-10"/>
        </w:rPr>
        <w:t> </w:t>
      </w:r>
      <w:r>
        <w:rPr/>
        <w:t>la</w:t>
      </w:r>
      <w:r>
        <w:rPr>
          <w:spacing w:val="-9"/>
        </w:rPr>
        <w:t> </w:t>
      </w:r>
      <w:r>
        <w:rPr/>
        <w:t>palabra</w:t>
      </w:r>
      <w:r>
        <w:rPr>
          <w:spacing w:val="-9"/>
        </w:rPr>
        <w:t> </w:t>
      </w:r>
      <w:r>
        <w:rPr/>
        <w:t>en inglés, para simplificarlo, es el calco indebido (como lo indica el autor) de una palabra o frase de la cual no se buscó un equivalente y sólo se calcó el significado. García Yebra (2005)</w:t>
      </w:r>
      <w:r>
        <w:rPr>
          <w:spacing w:val="-10"/>
        </w:rPr>
        <w:t> </w:t>
      </w:r>
      <w:r>
        <w:rPr/>
        <w:t>proporciona</w:t>
      </w:r>
      <w:r>
        <w:rPr>
          <w:spacing w:val="-9"/>
        </w:rPr>
        <w:t> </w:t>
      </w:r>
      <w:r>
        <w:rPr/>
        <w:t>como</w:t>
      </w:r>
      <w:r>
        <w:rPr>
          <w:spacing w:val="-9"/>
        </w:rPr>
        <w:t> </w:t>
      </w:r>
      <w:r>
        <w:rPr/>
        <w:t>ejemplo</w:t>
      </w:r>
      <w:r>
        <w:rPr>
          <w:spacing w:val="-7"/>
        </w:rPr>
        <w:t> </w:t>
      </w:r>
      <w:r>
        <w:rPr>
          <w:i/>
        </w:rPr>
        <w:t>on</w:t>
      </w:r>
      <w:r>
        <w:rPr>
          <w:i/>
          <w:spacing w:val="-7"/>
        </w:rPr>
        <w:t> </w:t>
      </w:r>
      <w:r>
        <w:rPr>
          <w:i/>
        </w:rPr>
        <w:t>line</w:t>
      </w:r>
      <w:r>
        <w:rPr>
          <w:i/>
          <w:spacing w:val="-9"/>
        </w:rPr>
        <w:t> </w:t>
      </w:r>
      <w:r>
        <w:rPr/>
        <w:t>el</w:t>
      </w:r>
      <w:r>
        <w:rPr>
          <w:spacing w:val="-8"/>
        </w:rPr>
        <w:t> </w:t>
      </w:r>
      <w:r>
        <w:rPr/>
        <w:t>cual</w:t>
      </w:r>
      <w:r>
        <w:rPr>
          <w:spacing w:val="-8"/>
        </w:rPr>
        <w:t> </w:t>
      </w:r>
      <w:r>
        <w:rPr/>
        <w:t>se</w:t>
      </w:r>
      <w:r>
        <w:rPr>
          <w:spacing w:val="-7"/>
        </w:rPr>
        <w:t> </w:t>
      </w:r>
      <w:r>
        <w:rPr/>
        <w:t>calcó</w:t>
      </w:r>
      <w:r>
        <w:rPr>
          <w:spacing w:val="-9"/>
        </w:rPr>
        <w:t> </w:t>
      </w:r>
      <w:r>
        <w:rPr/>
        <w:t>palabra</w:t>
      </w:r>
      <w:r>
        <w:rPr>
          <w:spacing w:val="-9"/>
        </w:rPr>
        <w:t> </w:t>
      </w:r>
      <w:r>
        <w:rPr/>
        <w:t>por</w:t>
      </w:r>
      <w:r>
        <w:rPr>
          <w:spacing w:val="-8"/>
        </w:rPr>
        <w:t> </w:t>
      </w:r>
      <w:r>
        <w:rPr/>
        <w:t>palabra</w:t>
      </w:r>
      <w:r>
        <w:rPr>
          <w:spacing w:val="-9"/>
        </w:rPr>
        <w:t> </w:t>
      </w:r>
      <w:r>
        <w:rPr/>
        <w:t>on-en,</w:t>
      </w:r>
      <w:r>
        <w:rPr>
          <w:spacing w:val="-7"/>
        </w:rPr>
        <w:t> </w:t>
      </w:r>
      <w:r>
        <w:rPr/>
        <w:t>line- línea;</w:t>
      </w:r>
      <w:r>
        <w:rPr>
          <w:spacing w:val="-6"/>
        </w:rPr>
        <w:t> </w:t>
      </w:r>
      <w:r>
        <w:rPr/>
        <w:t>los</w:t>
      </w:r>
      <w:r>
        <w:rPr>
          <w:spacing w:val="-9"/>
        </w:rPr>
        <w:t> </w:t>
      </w:r>
      <w:r>
        <w:rPr/>
        <w:t>usos</w:t>
      </w:r>
      <w:r>
        <w:rPr>
          <w:spacing w:val="-9"/>
        </w:rPr>
        <w:t> </w:t>
      </w:r>
      <w:r>
        <w:rPr/>
        <w:t>del</w:t>
      </w:r>
      <w:r>
        <w:rPr>
          <w:spacing w:val="-10"/>
        </w:rPr>
        <w:t> </w:t>
      </w:r>
      <w:r>
        <w:rPr/>
        <w:t>verbo</w:t>
      </w:r>
      <w:r>
        <w:rPr>
          <w:spacing w:val="-4"/>
        </w:rPr>
        <w:t> </w:t>
      </w:r>
      <w:r>
        <w:rPr>
          <w:i/>
        </w:rPr>
        <w:t>take</w:t>
      </w:r>
      <w:r>
        <w:rPr>
          <w:i/>
          <w:spacing w:val="-6"/>
        </w:rPr>
        <w:t> </w:t>
      </w:r>
      <w:r>
        <w:rPr/>
        <w:t>como</w:t>
      </w:r>
      <w:r>
        <w:rPr>
          <w:spacing w:val="-6"/>
        </w:rPr>
        <w:t> </w:t>
      </w:r>
      <w:r>
        <w:rPr/>
        <w:t>en</w:t>
      </w:r>
      <w:r>
        <w:rPr>
          <w:spacing w:val="-6"/>
        </w:rPr>
        <w:t> </w:t>
      </w:r>
      <w:r>
        <w:rPr/>
        <w:t>“tomar</w:t>
      </w:r>
      <w:r>
        <w:rPr>
          <w:spacing w:val="-10"/>
        </w:rPr>
        <w:t> </w:t>
      </w:r>
      <w:r>
        <w:rPr/>
        <w:t>acción”</w:t>
      </w:r>
      <w:r>
        <w:rPr>
          <w:spacing w:val="-7"/>
        </w:rPr>
        <w:t> </w:t>
      </w:r>
      <w:r>
        <w:rPr/>
        <w:t>en</w:t>
      </w:r>
      <w:r>
        <w:rPr>
          <w:spacing w:val="-6"/>
        </w:rPr>
        <w:t> </w:t>
      </w:r>
      <w:r>
        <w:rPr/>
        <w:t>vez</w:t>
      </w:r>
      <w:r>
        <w:rPr>
          <w:spacing w:val="-9"/>
        </w:rPr>
        <w:t> </w:t>
      </w:r>
      <w:r>
        <w:rPr/>
        <w:t>de</w:t>
      </w:r>
      <w:r>
        <w:rPr>
          <w:spacing w:val="-6"/>
        </w:rPr>
        <w:t> </w:t>
      </w:r>
      <w:r>
        <w:rPr/>
        <w:t>“emprender</w:t>
      </w:r>
      <w:r>
        <w:rPr>
          <w:spacing w:val="-7"/>
        </w:rPr>
        <w:t> </w:t>
      </w:r>
      <w:r>
        <w:rPr/>
        <w:t>una</w:t>
      </w:r>
      <w:r>
        <w:rPr>
          <w:spacing w:val="-8"/>
        </w:rPr>
        <w:t> </w:t>
      </w:r>
      <w:r>
        <w:rPr/>
        <w:t>acción”; y las terminaciones–</w:t>
      </w:r>
      <w:r>
        <w:rPr>
          <w:i/>
        </w:rPr>
        <w:t>able</w:t>
      </w:r>
      <w:r>
        <w:rPr/>
        <w:t>,-</w:t>
      </w:r>
      <w:r>
        <w:rPr>
          <w:i/>
        </w:rPr>
        <w:t>ible </w:t>
      </w:r>
      <w:r>
        <w:rPr/>
        <w:t>en los adverbios como “inescapable” apropiado como “inescapable”</w:t>
      </w:r>
      <w:r>
        <w:rPr>
          <w:position w:val="8"/>
          <w:sz w:val="16"/>
        </w:rPr>
        <w:t>1</w:t>
      </w:r>
      <w:r>
        <w:rPr/>
        <w:t>.</w:t>
      </w:r>
    </w:p>
    <w:p>
      <w:pPr>
        <w:pStyle w:val="BodyText"/>
        <w:spacing w:line="360" w:lineRule="auto" w:before="200"/>
        <w:ind w:left="122" w:right="112" w:firstLine="707"/>
        <w:jc w:val="both"/>
      </w:pPr>
      <w:r>
        <w:rPr/>
        <w:t>Existen también anglicismos léxicos naturalizados, los cuales han sido tan bien recibidos en el español que ya son parte del repertorio de habla cotidiana con tan solo hacerles</w:t>
      </w:r>
      <w:r>
        <w:rPr>
          <w:spacing w:val="-15"/>
        </w:rPr>
        <w:t> </w:t>
      </w:r>
      <w:r>
        <w:rPr/>
        <w:t>modificaciones</w:t>
      </w:r>
      <w:r>
        <w:rPr>
          <w:spacing w:val="-13"/>
        </w:rPr>
        <w:t> </w:t>
      </w:r>
      <w:r>
        <w:rPr/>
        <w:t>para</w:t>
      </w:r>
      <w:r>
        <w:rPr>
          <w:spacing w:val="-12"/>
        </w:rPr>
        <w:t> </w:t>
      </w:r>
      <w:r>
        <w:rPr/>
        <w:t>naturalizarlo</w:t>
      </w:r>
      <w:r>
        <w:rPr>
          <w:spacing w:val="-12"/>
        </w:rPr>
        <w:t> </w:t>
      </w:r>
      <w:r>
        <w:rPr/>
        <w:t>al</w:t>
      </w:r>
      <w:r>
        <w:rPr>
          <w:spacing w:val="-15"/>
        </w:rPr>
        <w:t> </w:t>
      </w:r>
      <w:r>
        <w:rPr/>
        <w:t>español,</w:t>
      </w:r>
      <w:r>
        <w:rPr>
          <w:spacing w:val="-13"/>
        </w:rPr>
        <w:t> </w:t>
      </w:r>
      <w:r>
        <w:rPr/>
        <w:t>ejemplo,</w:t>
      </w:r>
      <w:r>
        <w:rPr>
          <w:spacing w:val="-12"/>
        </w:rPr>
        <w:t> </w:t>
      </w:r>
      <w:r>
        <w:rPr/>
        <w:t>“fútbol”</w:t>
      </w:r>
      <w:r>
        <w:rPr>
          <w:spacing w:val="-14"/>
        </w:rPr>
        <w:t> </w:t>
      </w:r>
      <w:r>
        <w:rPr/>
        <w:t>o</w:t>
      </w:r>
      <w:r>
        <w:rPr>
          <w:spacing w:val="-12"/>
        </w:rPr>
        <w:t> </w:t>
      </w:r>
      <w:r>
        <w:rPr/>
        <w:t>“penalti”</w:t>
      </w:r>
      <w:r>
        <w:rPr>
          <w:spacing w:val="-14"/>
        </w:rPr>
        <w:t> </w:t>
      </w:r>
      <w:r>
        <w:rPr/>
        <w:t>(García Yebra,</w:t>
      </w:r>
      <w:r>
        <w:rPr>
          <w:spacing w:val="-4"/>
        </w:rPr>
        <w:t> </w:t>
      </w:r>
      <w:r>
        <w:rPr/>
        <w:t>2005).</w:t>
      </w:r>
    </w:p>
    <w:p>
      <w:pPr>
        <w:pStyle w:val="BodyText"/>
        <w:rPr>
          <w:sz w:val="20"/>
        </w:rPr>
      </w:pPr>
    </w:p>
    <w:p>
      <w:pPr>
        <w:pStyle w:val="BodyText"/>
        <w:rPr>
          <w:sz w:val="20"/>
        </w:rPr>
      </w:pPr>
    </w:p>
    <w:p>
      <w:pPr>
        <w:pStyle w:val="BodyText"/>
        <w:spacing w:before="5"/>
        <w:rPr>
          <w:sz w:val="20"/>
        </w:rPr>
      </w:pPr>
      <w:r>
        <w:rPr/>
        <w:pict>
          <v:line style="position:absolute;mso-position-horizontal-relative:page;mso-position-vertical-relative:paragraph;z-index:1072;mso-wrap-distance-left:0;mso-wrap-distance-right:0" from="85.103996pt,14.075847pt" to="229.123996pt,14.075847pt" stroked="true" strokeweight=".72003pt" strokecolor="#000000">
            <w10:wrap type="topAndBottom"/>
          </v:line>
        </w:pict>
      </w:r>
    </w:p>
    <w:p>
      <w:pPr>
        <w:spacing w:before="69"/>
        <w:ind w:left="122" w:right="0" w:firstLine="0"/>
        <w:jc w:val="left"/>
        <w:rPr>
          <w:rFonts w:ascii="Calibri" w:hAnsi="Calibri"/>
          <w:sz w:val="20"/>
        </w:rPr>
      </w:pPr>
      <w:r>
        <w:rPr>
          <w:rFonts w:ascii="Calibri" w:hAnsi="Calibri"/>
          <w:position w:val="7"/>
          <w:sz w:val="13"/>
        </w:rPr>
        <w:t>1 </w:t>
      </w:r>
      <w:r>
        <w:rPr>
          <w:rFonts w:ascii="Calibri" w:hAnsi="Calibri"/>
          <w:sz w:val="20"/>
        </w:rPr>
        <w:t>Ejemplos proporcionados por García Yebra (2005)</w:t>
      </w:r>
    </w:p>
    <w:p>
      <w:pPr>
        <w:spacing w:after="0"/>
        <w:jc w:val="left"/>
        <w:rPr>
          <w:rFonts w:ascii="Calibri" w:hAnsi="Calibri"/>
          <w:sz w:val="20"/>
        </w:rPr>
        <w:sectPr>
          <w:pgSz w:w="12240" w:h="15840"/>
          <w:pgMar w:header="749" w:footer="1003" w:top="960" w:bottom="1200" w:left="1580" w:right="1020"/>
        </w:sectPr>
      </w:pPr>
    </w:p>
    <w:p>
      <w:pPr>
        <w:pStyle w:val="BodyText"/>
        <w:rPr>
          <w:rFonts w:ascii="Calibri"/>
          <w:sz w:val="20"/>
        </w:rPr>
      </w:pPr>
    </w:p>
    <w:p>
      <w:pPr>
        <w:pStyle w:val="BodyText"/>
        <w:rPr>
          <w:rFonts w:ascii="Calibri"/>
          <w:sz w:val="20"/>
        </w:rPr>
      </w:pPr>
    </w:p>
    <w:p>
      <w:pPr>
        <w:pStyle w:val="BodyText"/>
        <w:spacing w:before="10"/>
        <w:rPr>
          <w:rFonts w:ascii="Calibri"/>
          <w:sz w:val="19"/>
        </w:rPr>
      </w:pPr>
    </w:p>
    <w:p>
      <w:pPr>
        <w:pStyle w:val="BodyText"/>
        <w:spacing w:line="360" w:lineRule="auto"/>
        <w:ind w:left="102" w:right="107" w:firstLine="707"/>
        <w:jc w:val="both"/>
      </w:pPr>
      <w:r>
        <w:rPr/>
        <w:t>Para hablar de anglicismos morfológicos, es necesario saber que la raíz de la palabra inglesa se debe mantener y sólo se la añadirán a éstas sufijos, prefijos, etc., en otras palabras tiene que ver con la forma de construir palabras y ejemplifica </w:t>
      </w:r>
      <w:r>
        <w:rPr>
          <w:i/>
        </w:rPr>
        <w:t>Japanology </w:t>
      </w:r>
      <w:r>
        <w:rPr/>
        <w:t>con su anglicismo “japanología” que no respeta la ortografía del español pero si la del inglés (Jap</w:t>
      </w:r>
      <w:r>
        <w:rPr>
          <w:b/>
          <w:i/>
        </w:rPr>
        <w:t>a</w:t>
      </w:r>
      <w:r>
        <w:rPr/>
        <w:t>n-Jap</w:t>
      </w:r>
      <w:r>
        <w:rPr>
          <w:b/>
          <w:i/>
        </w:rPr>
        <w:t>o</w:t>
      </w:r>
      <w:r>
        <w:rPr/>
        <w:t>n). Siguiendo con García Yebra (2005), éste menciona que con el propósito</w:t>
      </w:r>
      <w:r>
        <w:rPr>
          <w:spacing w:val="-17"/>
        </w:rPr>
        <w:t> </w:t>
      </w:r>
      <w:r>
        <w:rPr/>
        <w:t>de</w:t>
      </w:r>
      <w:r>
        <w:rPr>
          <w:spacing w:val="-17"/>
        </w:rPr>
        <w:t> </w:t>
      </w:r>
      <w:r>
        <w:rPr/>
        <w:t>que</w:t>
      </w:r>
      <w:r>
        <w:rPr>
          <w:spacing w:val="-17"/>
        </w:rPr>
        <w:t> </w:t>
      </w:r>
      <w:r>
        <w:rPr/>
        <w:t>un</w:t>
      </w:r>
      <w:r>
        <w:rPr>
          <w:spacing w:val="-17"/>
        </w:rPr>
        <w:t> </w:t>
      </w:r>
      <w:r>
        <w:rPr/>
        <w:t>verbo</w:t>
      </w:r>
      <w:r>
        <w:rPr>
          <w:spacing w:val="-16"/>
        </w:rPr>
        <w:t> </w:t>
      </w:r>
      <w:r>
        <w:rPr/>
        <w:t>funcione</w:t>
      </w:r>
      <w:r>
        <w:rPr>
          <w:spacing w:val="-17"/>
        </w:rPr>
        <w:t> </w:t>
      </w:r>
      <w:r>
        <w:rPr/>
        <w:t>como</w:t>
      </w:r>
      <w:r>
        <w:rPr>
          <w:spacing w:val="-17"/>
        </w:rPr>
        <w:t> </w:t>
      </w:r>
      <w:r>
        <w:rPr/>
        <w:t>reflexivo,</w:t>
      </w:r>
      <w:r>
        <w:rPr>
          <w:spacing w:val="-17"/>
        </w:rPr>
        <w:t> </w:t>
      </w:r>
      <w:r>
        <w:rPr/>
        <w:t>basta</w:t>
      </w:r>
      <w:r>
        <w:rPr>
          <w:spacing w:val="-16"/>
        </w:rPr>
        <w:t> </w:t>
      </w:r>
      <w:r>
        <w:rPr/>
        <w:t>quitarle</w:t>
      </w:r>
      <w:r>
        <w:rPr>
          <w:spacing w:val="-17"/>
        </w:rPr>
        <w:t> </w:t>
      </w:r>
      <w:r>
        <w:rPr/>
        <w:t>el</w:t>
      </w:r>
      <w:r>
        <w:rPr>
          <w:spacing w:val="-18"/>
        </w:rPr>
        <w:t> </w:t>
      </w:r>
      <w:r>
        <w:rPr/>
        <w:t>complemento</w:t>
      </w:r>
      <w:r>
        <w:rPr>
          <w:spacing w:val="-17"/>
        </w:rPr>
        <w:t> </w:t>
      </w:r>
      <w:r>
        <w:rPr/>
        <w:t>directo; </w:t>
      </w:r>
      <w:r>
        <w:rPr>
          <w:i/>
        </w:rPr>
        <w:t>I</w:t>
      </w:r>
      <w:r>
        <w:rPr>
          <w:i/>
          <w:spacing w:val="-9"/>
        </w:rPr>
        <w:t> </w:t>
      </w:r>
      <w:r>
        <w:rPr>
          <w:i/>
        </w:rPr>
        <w:t>washed</w:t>
      </w:r>
      <w:r>
        <w:rPr>
          <w:i/>
          <w:spacing w:val="-10"/>
        </w:rPr>
        <w:t> </w:t>
      </w:r>
      <w:r>
        <w:rPr/>
        <w:t>por</w:t>
      </w:r>
      <w:r>
        <w:rPr>
          <w:spacing w:val="-9"/>
        </w:rPr>
        <w:t> </w:t>
      </w:r>
      <w:r>
        <w:rPr>
          <w:i/>
        </w:rPr>
        <w:t>me</w:t>
      </w:r>
      <w:r>
        <w:rPr>
          <w:i/>
          <w:spacing w:val="-8"/>
        </w:rPr>
        <w:t> </w:t>
      </w:r>
      <w:r>
        <w:rPr>
          <w:i/>
        </w:rPr>
        <w:t>lavé,</w:t>
      </w:r>
      <w:r>
        <w:rPr>
          <w:i/>
          <w:spacing w:val="-9"/>
        </w:rPr>
        <w:t> </w:t>
      </w:r>
      <w:r>
        <w:rPr>
          <w:i/>
        </w:rPr>
        <w:t>I</w:t>
      </w:r>
      <w:r>
        <w:rPr>
          <w:i/>
          <w:spacing w:val="-9"/>
        </w:rPr>
        <w:t> </w:t>
      </w:r>
      <w:r>
        <w:rPr>
          <w:i/>
        </w:rPr>
        <w:t>dressed</w:t>
      </w:r>
      <w:r>
        <w:rPr>
          <w:i/>
          <w:spacing w:val="-7"/>
        </w:rPr>
        <w:t> </w:t>
      </w:r>
      <w:r>
        <w:rPr/>
        <w:t>por</w:t>
      </w:r>
      <w:r>
        <w:rPr>
          <w:spacing w:val="-10"/>
        </w:rPr>
        <w:t> </w:t>
      </w:r>
      <w:r>
        <w:rPr/>
        <w:t>me</w:t>
      </w:r>
      <w:r>
        <w:rPr>
          <w:spacing w:val="-8"/>
        </w:rPr>
        <w:t> </w:t>
      </w:r>
      <w:r>
        <w:rPr>
          <w:i/>
        </w:rPr>
        <w:t>vestí</w:t>
      </w:r>
      <w:r>
        <w:rPr>
          <w:i/>
          <w:spacing w:val="-10"/>
        </w:rPr>
        <w:t> </w:t>
      </w:r>
      <w:r>
        <w:rPr/>
        <w:t>dejando</w:t>
      </w:r>
      <w:r>
        <w:rPr>
          <w:spacing w:val="-8"/>
        </w:rPr>
        <w:t> </w:t>
      </w:r>
      <w:r>
        <w:rPr/>
        <w:t>ver</w:t>
      </w:r>
      <w:r>
        <w:rPr>
          <w:spacing w:val="-10"/>
        </w:rPr>
        <w:t> </w:t>
      </w:r>
      <w:r>
        <w:rPr/>
        <w:t>que</w:t>
      </w:r>
      <w:r>
        <w:rPr>
          <w:spacing w:val="-8"/>
        </w:rPr>
        <w:t> </w:t>
      </w:r>
      <w:r>
        <w:rPr/>
        <w:t>para</w:t>
      </w:r>
      <w:r>
        <w:rPr>
          <w:spacing w:val="-11"/>
        </w:rPr>
        <w:t> </w:t>
      </w:r>
      <w:r>
        <w:rPr/>
        <w:t>formar</w:t>
      </w:r>
      <w:r>
        <w:rPr>
          <w:spacing w:val="-10"/>
        </w:rPr>
        <w:t> </w:t>
      </w:r>
      <w:r>
        <w:rPr/>
        <w:t>un</w:t>
      </w:r>
      <w:r>
        <w:rPr>
          <w:spacing w:val="-8"/>
        </w:rPr>
        <w:t> </w:t>
      </w:r>
      <w:r>
        <w:rPr/>
        <w:t>reflexivo</w:t>
      </w:r>
      <w:r>
        <w:rPr>
          <w:spacing w:val="-8"/>
        </w:rPr>
        <w:t> </w:t>
      </w:r>
      <w:r>
        <w:rPr/>
        <w:t>en español es necesario añadir el pronombre personal</w:t>
      </w:r>
      <w:r>
        <w:rPr>
          <w:spacing w:val="-33"/>
        </w:rPr>
        <w:t> </w:t>
      </w:r>
      <w:r>
        <w:rPr/>
        <w:t>correspondiente.</w:t>
      </w:r>
    </w:p>
    <w:p>
      <w:pPr>
        <w:pStyle w:val="BodyText"/>
        <w:spacing w:line="360" w:lineRule="auto" w:before="205"/>
        <w:ind w:left="102" w:right="106" w:firstLine="707"/>
        <w:jc w:val="both"/>
      </w:pPr>
      <w:r>
        <w:rPr/>
        <w:t>Finalizando con esta clasificación, el mismo García Yebra (2005) define los anglicismos sintácticos de la siguiente manera “consiste en la anteposición sistemática del adjetivo al sustantivo” (García Yebra, 2005: 246), éste proporciona los siguientes ejemplos, </w:t>
      </w:r>
      <w:r>
        <w:rPr>
          <w:i/>
        </w:rPr>
        <w:t>the whole family </w:t>
      </w:r>
      <w:r>
        <w:rPr/>
        <w:t>por “la familia entera” y no “toda la familia”; </w:t>
      </w:r>
      <w:r>
        <w:rPr>
          <w:i/>
        </w:rPr>
        <w:t>The last ten</w:t>
      </w:r>
      <w:r>
        <w:rPr>
          <w:i/>
          <w:spacing w:val="-31"/>
        </w:rPr>
        <w:t> </w:t>
      </w:r>
      <w:r>
        <w:rPr>
          <w:i/>
        </w:rPr>
        <w:t>years </w:t>
      </w:r>
      <w:r>
        <w:rPr/>
        <w:t>por “los últimos diez años” y lo mismo con </w:t>
      </w:r>
      <w:r>
        <w:rPr>
          <w:i/>
        </w:rPr>
        <w:t>next ten years </w:t>
      </w:r>
      <w:r>
        <w:rPr/>
        <w:t>por “los próximos diez años”, donde,</w:t>
      </w:r>
      <w:r>
        <w:rPr>
          <w:spacing w:val="-9"/>
        </w:rPr>
        <w:t> </w:t>
      </w:r>
      <w:r>
        <w:rPr/>
        <w:t>de</w:t>
      </w:r>
      <w:r>
        <w:rPr>
          <w:spacing w:val="-8"/>
        </w:rPr>
        <w:t> </w:t>
      </w:r>
      <w:r>
        <w:rPr/>
        <w:t>acuerdo</w:t>
      </w:r>
      <w:r>
        <w:rPr>
          <w:spacing w:val="-8"/>
        </w:rPr>
        <w:t> </w:t>
      </w:r>
      <w:r>
        <w:rPr/>
        <w:t>al</w:t>
      </w:r>
      <w:r>
        <w:rPr>
          <w:spacing w:val="-10"/>
        </w:rPr>
        <w:t> </w:t>
      </w:r>
      <w:r>
        <w:rPr/>
        <w:t>español</w:t>
      </w:r>
      <w:r>
        <w:rPr>
          <w:spacing w:val="-10"/>
        </w:rPr>
        <w:t> </w:t>
      </w:r>
      <w:r>
        <w:rPr/>
        <w:t>el</w:t>
      </w:r>
      <w:r>
        <w:rPr>
          <w:spacing w:val="-10"/>
        </w:rPr>
        <w:t> </w:t>
      </w:r>
      <w:r>
        <w:rPr/>
        <w:t>número</w:t>
      </w:r>
      <w:r>
        <w:rPr>
          <w:spacing w:val="-11"/>
        </w:rPr>
        <w:t> </w:t>
      </w:r>
      <w:r>
        <w:rPr/>
        <w:t>funciona</w:t>
      </w:r>
      <w:r>
        <w:rPr>
          <w:spacing w:val="-8"/>
        </w:rPr>
        <w:t> </w:t>
      </w:r>
      <w:r>
        <w:rPr/>
        <w:t>como</w:t>
      </w:r>
      <w:r>
        <w:rPr>
          <w:spacing w:val="-8"/>
        </w:rPr>
        <w:t> </w:t>
      </w:r>
      <w:r>
        <w:rPr/>
        <w:t>sustantivo</w:t>
      </w:r>
      <w:r>
        <w:rPr>
          <w:spacing w:val="-8"/>
        </w:rPr>
        <w:t> </w:t>
      </w:r>
      <w:r>
        <w:rPr/>
        <w:t>y</w:t>
      </w:r>
      <w:r>
        <w:rPr>
          <w:spacing w:val="-7"/>
        </w:rPr>
        <w:t> </w:t>
      </w:r>
      <w:r>
        <w:rPr/>
        <w:t>“próximos</w:t>
      </w:r>
      <w:r>
        <w:rPr>
          <w:spacing w:val="-9"/>
        </w:rPr>
        <w:t> </w:t>
      </w:r>
      <w:r>
        <w:rPr/>
        <w:t>o</w:t>
      </w:r>
      <w:r>
        <w:rPr>
          <w:spacing w:val="-8"/>
        </w:rPr>
        <w:t> </w:t>
      </w:r>
      <w:r>
        <w:rPr/>
        <w:t>últimos” son adjetivos, por lo tanto debieran ir después del sustantivo “los diez últimos/próximos años”</w:t>
      </w:r>
      <w:r>
        <w:rPr>
          <w:spacing w:val="22"/>
        </w:rPr>
        <w:t> </w:t>
      </w:r>
      <w:r>
        <w:rPr/>
        <w:t>y</w:t>
      </w:r>
      <w:r>
        <w:rPr>
          <w:spacing w:val="21"/>
        </w:rPr>
        <w:t> </w:t>
      </w:r>
      <w:r>
        <w:rPr/>
        <w:t>reflexiona</w:t>
      </w:r>
      <w:r>
        <w:rPr>
          <w:spacing w:val="22"/>
        </w:rPr>
        <w:t> </w:t>
      </w:r>
      <w:r>
        <w:rPr/>
        <w:t>“No</w:t>
      </w:r>
      <w:r>
        <w:rPr>
          <w:spacing w:val="22"/>
        </w:rPr>
        <w:t> </w:t>
      </w:r>
      <w:r>
        <w:rPr/>
        <w:t>es</w:t>
      </w:r>
      <w:r>
        <w:rPr>
          <w:spacing w:val="23"/>
        </w:rPr>
        <w:t> </w:t>
      </w:r>
      <w:r>
        <w:rPr/>
        <w:t>que</w:t>
      </w:r>
      <w:r>
        <w:rPr>
          <w:spacing w:val="24"/>
        </w:rPr>
        <w:t> </w:t>
      </w:r>
      <w:r>
        <w:rPr/>
        <w:t>esa</w:t>
      </w:r>
      <w:r>
        <w:rPr>
          <w:spacing w:val="24"/>
        </w:rPr>
        <w:t> </w:t>
      </w:r>
      <w:r>
        <w:rPr/>
        <w:t>construcción</w:t>
      </w:r>
      <w:r>
        <w:rPr>
          <w:spacing w:val="24"/>
        </w:rPr>
        <w:t> </w:t>
      </w:r>
      <w:r>
        <w:rPr/>
        <w:t>sea</w:t>
      </w:r>
      <w:r>
        <w:rPr>
          <w:spacing w:val="24"/>
        </w:rPr>
        <w:t> </w:t>
      </w:r>
      <w:r>
        <w:rPr/>
        <w:t>inadmisible</w:t>
      </w:r>
      <w:r>
        <w:rPr>
          <w:spacing w:val="21"/>
        </w:rPr>
        <w:t> </w:t>
      </w:r>
      <w:r>
        <w:rPr/>
        <w:t>para</w:t>
      </w:r>
      <w:r>
        <w:rPr>
          <w:spacing w:val="23"/>
        </w:rPr>
        <w:t> </w:t>
      </w:r>
      <w:r>
        <w:rPr/>
        <w:t>el</w:t>
      </w:r>
      <w:r>
        <w:rPr>
          <w:spacing w:val="20"/>
        </w:rPr>
        <w:t> </w:t>
      </w:r>
      <w:r>
        <w:rPr/>
        <w:t>español.</w:t>
      </w:r>
      <w:r>
        <w:rPr>
          <w:spacing w:val="21"/>
        </w:rPr>
        <w:t> </w:t>
      </w:r>
      <w:r>
        <w:rPr/>
        <w:t>Pero</w:t>
      </w:r>
    </w:p>
    <w:p>
      <w:pPr>
        <w:pStyle w:val="BodyText"/>
        <w:spacing w:line="360" w:lineRule="auto" w:before="5"/>
        <w:ind w:left="102" w:right="108"/>
        <w:jc w:val="both"/>
      </w:pPr>
      <w:r>
        <w:rPr/>
        <w:t>¿debemos sacrificar la libertad tradicional de nuestra lengua…?” (García Yebra, 2005: 247). Nuevamente resulta imprescindible aclarar la postura presentada en este proyecto de investigación, en la que no se considera que la introducción de palabras extranjeras pueda</w:t>
      </w:r>
      <w:r>
        <w:rPr>
          <w:spacing w:val="-8"/>
        </w:rPr>
        <w:t> </w:t>
      </w:r>
      <w:r>
        <w:rPr/>
        <w:t>afectar</w:t>
      </w:r>
      <w:r>
        <w:rPr>
          <w:spacing w:val="-10"/>
        </w:rPr>
        <w:t> </w:t>
      </w:r>
      <w:r>
        <w:rPr/>
        <w:t>o</w:t>
      </w:r>
      <w:r>
        <w:rPr>
          <w:spacing w:val="-8"/>
        </w:rPr>
        <w:t> </w:t>
      </w:r>
      <w:r>
        <w:rPr/>
        <w:t>perjudicar</w:t>
      </w:r>
      <w:r>
        <w:rPr>
          <w:spacing w:val="-7"/>
        </w:rPr>
        <w:t> </w:t>
      </w:r>
      <w:r>
        <w:rPr/>
        <w:t>la</w:t>
      </w:r>
      <w:r>
        <w:rPr>
          <w:spacing w:val="-9"/>
        </w:rPr>
        <w:t> </w:t>
      </w:r>
      <w:r>
        <w:rPr/>
        <w:t>pureza</w:t>
      </w:r>
      <w:r>
        <w:rPr>
          <w:spacing w:val="-8"/>
        </w:rPr>
        <w:t> </w:t>
      </w:r>
      <w:r>
        <w:rPr/>
        <w:t>de</w:t>
      </w:r>
      <w:r>
        <w:rPr>
          <w:spacing w:val="-8"/>
        </w:rPr>
        <w:t> </w:t>
      </w:r>
      <w:r>
        <w:rPr/>
        <w:t>una</w:t>
      </w:r>
      <w:r>
        <w:rPr>
          <w:spacing w:val="-8"/>
        </w:rPr>
        <w:t> </w:t>
      </w:r>
      <w:r>
        <w:rPr/>
        <w:t>lengua.</w:t>
      </w:r>
      <w:r>
        <w:rPr>
          <w:spacing w:val="-9"/>
        </w:rPr>
        <w:t> </w:t>
      </w:r>
      <w:r>
        <w:rPr/>
        <w:t>Los</w:t>
      </w:r>
      <w:r>
        <w:rPr>
          <w:spacing w:val="-9"/>
        </w:rPr>
        <w:t> </w:t>
      </w:r>
      <w:r>
        <w:rPr/>
        <w:t>hablantes</w:t>
      </w:r>
      <w:r>
        <w:rPr>
          <w:spacing w:val="-9"/>
        </w:rPr>
        <w:t> </w:t>
      </w:r>
      <w:r>
        <w:rPr/>
        <w:t>como</w:t>
      </w:r>
      <w:r>
        <w:rPr>
          <w:spacing w:val="-8"/>
        </w:rPr>
        <w:t> </w:t>
      </w:r>
      <w:r>
        <w:rPr/>
        <w:t>usuarios</w:t>
      </w:r>
      <w:r>
        <w:rPr>
          <w:spacing w:val="-1"/>
        </w:rPr>
        <w:t> </w:t>
      </w:r>
      <w:r>
        <w:rPr/>
        <w:t>de</w:t>
      </w:r>
      <w:r>
        <w:rPr>
          <w:spacing w:val="-11"/>
        </w:rPr>
        <w:t> </w:t>
      </w:r>
      <w:r>
        <w:rPr/>
        <w:t>una lengua son el instrumento y medio para introducir variables en su lengua madre, y además de que resulta inevitable, es un proceso común para la parte léxica de</w:t>
      </w:r>
      <w:r>
        <w:rPr>
          <w:spacing w:val="-45"/>
        </w:rPr>
        <w:t> </w:t>
      </w:r>
      <w:r>
        <w:rPr/>
        <w:t>cualquier lengua y no sigue ningún paradigma</w:t>
      </w:r>
      <w:r>
        <w:rPr>
          <w:spacing w:val="56"/>
        </w:rPr>
        <w:t> </w:t>
      </w:r>
      <w:r>
        <w:rPr/>
        <w:t>tradicional.</w:t>
      </w:r>
    </w:p>
    <w:p>
      <w:pPr>
        <w:pStyle w:val="BodyText"/>
        <w:spacing w:line="360" w:lineRule="auto" w:before="204"/>
        <w:ind w:left="102" w:right="110" w:firstLine="707"/>
        <w:jc w:val="both"/>
      </w:pPr>
      <w:r>
        <w:rPr/>
        <w:t>Barriga y Butragueño (2010) sugieren otra clasificación muy relacionada con los usos reales de los anglicismos en México. Comienzan definiendo anglicismo sintáctico como aquellas palabras que añaden nuevos significados a vocablos españoles ya existentes,</w:t>
      </w:r>
      <w:r>
        <w:rPr>
          <w:spacing w:val="-14"/>
        </w:rPr>
        <w:t> </w:t>
      </w:r>
      <w:r>
        <w:rPr/>
        <w:t>por</w:t>
      </w:r>
      <w:r>
        <w:rPr>
          <w:spacing w:val="-16"/>
        </w:rPr>
        <w:t> </w:t>
      </w:r>
      <w:r>
        <w:rPr/>
        <w:t>ejemplo:</w:t>
      </w:r>
      <w:r>
        <w:rPr>
          <w:spacing w:val="-12"/>
        </w:rPr>
        <w:t> </w:t>
      </w:r>
      <w:r>
        <w:rPr/>
        <w:t>asumir</w:t>
      </w:r>
      <w:r>
        <w:rPr>
          <w:spacing w:val="-16"/>
        </w:rPr>
        <w:t> </w:t>
      </w:r>
      <w:r>
        <w:rPr/>
        <w:t>por</w:t>
      </w:r>
      <w:r>
        <w:rPr>
          <w:spacing w:val="-16"/>
        </w:rPr>
        <w:t> </w:t>
      </w:r>
      <w:r>
        <w:rPr/>
        <w:t>“suponer”,</w:t>
      </w:r>
      <w:r>
        <w:rPr>
          <w:spacing w:val="-17"/>
        </w:rPr>
        <w:t> </w:t>
      </w:r>
      <w:r>
        <w:rPr/>
        <w:t>estimar</w:t>
      </w:r>
      <w:r>
        <w:rPr>
          <w:spacing w:val="-16"/>
        </w:rPr>
        <w:t> </w:t>
      </w:r>
      <w:r>
        <w:rPr/>
        <w:t>por</w:t>
      </w:r>
      <w:r>
        <w:rPr>
          <w:spacing w:val="-13"/>
        </w:rPr>
        <w:t> </w:t>
      </w:r>
      <w:r>
        <w:rPr/>
        <w:t>“calcular”,</w:t>
      </w:r>
      <w:r>
        <w:rPr>
          <w:spacing w:val="-17"/>
        </w:rPr>
        <w:t> </w:t>
      </w:r>
      <w:r>
        <w:rPr/>
        <w:t>agresivo</w:t>
      </w:r>
      <w:r>
        <w:rPr>
          <w:spacing w:val="-12"/>
        </w:rPr>
        <w:t> </w:t>
      </w:r>
      <w:r>
        <w:rPr/>
        <w:t>por</w:t>
      </w:r>
      <w:r>
        <w:rPr>
          <w:spacing w:val="-13"/>
        </w:rPr>
        <w:t> </w:t>
      </w:r>
      <w:r>
        <w:rPr/>
        <w:t>“activo” y muchos casos más. Identifican también latinismos anglicados que son términos latinos que</w:t>
      </w:r>
      <w:r>
        <w:rPr>
          <w:spacing w:val="-5"/>
        </w:rPr>
        <w:t> </w:t>
      </w:r>
      <w:r>
        <w:rPr/>
        <w:t>el</w:t>
      </w:r>
      <w:r>
        <w:rPr>
          <w:spacing w:val="-7"/>
        </w:rPr>
        <w:t> </w:t>
      </w:r>
      <w:r>
        <w:rPr/>
        <w:t>español</w:t>
      </w:r>
      <w:r>
        <w:rPr>
          <w:spacing w:val="-7"/>
        </w:rPr>
        <w:t> </w:t>
      </w:r>
      <w:r>
        <w:rPr/>
        <w:t>poseyó</w:t>
      </w:r>
      <w:r>
        <w:rPr>
          <w:spacing w:val="-6"/>
        </w:rPr>
        <w:t> </w:t>
      </w:r>
      <w:r>
        <w:rPr/>
        <w:t>y</w:t>
      </w:r>
      <w:r>
        <w:rPr>
          <w:spacing w:val="-7"/>
        </w:rPr>
        <w:t> </w:t>
      </w:r>
      <w:r>
        <w:rPr/>
        <w:t>había</w:t>
      </w:r>
      <w:r>
        <w:rPr>
          <w:spacing w:val="-5"/>
        </w:rPr>
        <w:t> </w:t>
      </w:r>
      <w:r>
        <w:rPr/>
        <w:t>olvidado</w:t>
      </w:r>
      <w:r>
        <w:rPr>
          <w:spacing w:val="-6"/>
        </w:rPr>
        <w:t> </w:t>
      </w:r>
      <w:r>
        <w:rPr/>
        <w:t>hasta</w:t>
      </w:r>
      <w:r>
        <w:rPr>
          <w:spacing w:val="-8"/>
        </w:rPr>
        <w:t> </w:t>
      </w:r>
      <w:r>
        <w:rPr/>
        <w:t>ser</w:t>
      </w:r>
      <w:r>
        <w:rPr>
          <w:spacing w:val="-5"/>
        </w:rPr>
        <w:t> </w:t>
      </w:r>
      <w:r>
        <w:rPr/>
        <w:t>introducidos</w:t>
      </w:r>
      <w:r>
        <w:rPr>
          <w:spacing w:val="-7"/>
        </w:rPr>
        <w:t> </w:t>
      </w:r>
      <w:r>
        <w:rPr/>
        <w:t>nuevamente</w:t>
      </w:r>
      <w:r>
        <w:rPr>
          <w:spacing w:val="-5"/>
        </w:rPr>
        <w:t> </w:t>
      </w:r>
      <w:r>
        <w:rPr/>
        <w:t>por</w:t>
      </w:r>
      <w:r>
        <w:rPr>
          <w:spacing w:val="-7"/>
        </w:rPr>
        <w:t> </w:t>
      </w:r>
      <w:r>
        <w:rPr/>
        <w:t>el</w:t>
      </w:r>
      <w:r>
        <w:rPr>
          <w:spacing w:val="-5"/>
        </w:rPr>
        <w:t> </w:t>
      </w:r>
      <w:r>
        <w:rPr/>
        <w:t>inglés,</w:t>
      </w:r>
    </w:p>
    <w:p>
      <w:pPr>
        <w:spacing w:after="0" w:line="360" w:lineRule="auto"/>
        <w:jc w:val="both"/>
        <w:sectPr>
          <w:footerReference w:type="default" r:id="rId15"/>
          <w:pgSz w:w="12240" w:h="15840"/>
          <w:pgMar w:footer="1003" w:header="749"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14"/>
        <w:jc w:val="both"/>
      </w:pPr>
      <w:r>
        <w:rPr/>
        <w:t>ejemplo, discriminar, emergencia, contemplar, etc. Al final de la clasificación, añaden</w:t>
      </w:r>
      <w:r>
        <w:rPr>
          <w:spacing w:val="-37"/>
        </w:rPr>
        <w:t> </w:t>
      </w:r>
      <w:r>
        <w:rPr/>
        <w:t>los términos nuevos como reluctancia, enfatizar, etc. que están en cierto modo aunados a los calcos o traducciones y ejemplifican con aire acondicionado, alta fidelidad (discos), de alto nivel, desempleo, autoservicio, supermercado, indeseable y</w:t>
      </w:r>
      <w:r>
        <w:rPr>
          <w:spacing w:val="-32"/>
        </w:rPr>
        <w:t> </w:t>
      </w:r>
      <w:r>
        <w:rPr/>
        <w:t>más.</w:t>
      </w:r>
    </w:p>
    <w:p>
      <w:pPr>
        <w:pStyle w:val="BodyText"/>
        <w:spacing w:line="360" w:lineRule="auto" w:before="204"/>
        <w:ind w:left="102" w:right="109" w:firstLine="707"/>
        <w:jc w:val="both"/>
      </w:pPr>
      <w:r>
        <w:rPr/>
        <w:t>En lo que ha esta investigación atañe se tomarán como objeto de estudio los anglicismos léxicos de la clasificación de García Yebra (2005), ya que de acuerdo a sus características y complejidad su uso es de fácil reconocimiento. De estos anglicismos léxicos, ninguna diferencia se hará entre anglicismo puro y adaptado (López Guix y Minett, 1997), ambos serán objeto de estudio.</w:t>
      </w:r>
    </w:p>
    <w:p>
      <w:pPr>
        <w:pStyle w:val="BodyText"/>
      </w:pPr>
    </w:p>
    <w:p>
      <w:pPr>
        <w:pStyle w:val="BodyText"/>
      </w:pPr>
    </w:p>
    <w:p>
      <w:pPr>
        <w:pStyle w:val="BodyText"/>
        <w:spacing w:before="2"/>
        <w:rPr>
          <w:sz w:val="23"/>
        </w:rPr>
      </w:pPr>
    </w:p>
    <w:p>
      <w:pPr>
        <w:pStyle w:val="Heading1"/>
        <w:numPr>
          <w:ilvl w:val="1"/>
          <w:numId w:val="1"/>
        </w:numPr>
        <w:tabs>
          <w:tab w:pos="572" w:val="left" w:leader="none"/>
        </w:tabs>
        <w:spacing w:line="240" w:lineRule="auto" w:before="0" w:after="0"/>
        <w:ind w:left="571" w:right="0" w:hanging="469"/>
        <w:jc w:val="both"/>
      </w:pPr>
      <w:r>
        <w:rPr/>
        <w:t>Causas que producen el</w:t>
      </w:r>
      <w:r>
        <w:rPr>
          <w:spacing w:val="-11"/>
        </w:rPr>
        <w:t> </w:t>
      </w:r>
      <w:r>
        <w:rPr/>
        <w:t>anglicismo</w:t>
      </w:r>
    </w:p>
    <w:p>
      <w:pPr>
        <w:pStyle w:val="BodyText"/>
        <w:spacing w:before="2"/>
        <w:rPr>
          <w:b/>
          <w:sz w:val="29"/>
        </w:rPr>
      </w:pPr>
    </w:p>
    <w:p>
      <w:pPr>
        <w:pStyle w:val="BodyText"/>
        <w:spacing w:line="360" w:lineRule="auto"/>
        <w:ind w:left="102" w:right="110" w:firstLine="707"/>
        <w:jc w:val="both"/>
      </w:pPr>
      <w:r>
        <w:rPr/>
        <w:t>Entendiendo a qué se refiere un anglicismo, es necesario determinar los rasgos que los hacen ser aceptados en la lengua de llegada. Weinreich (1953 en René Appel y Pieter Muysken 1996: 247) menciona algunas de las razones por las que se toman palabras de otras lenguas:</w:t>
      </w:r>
    </w:p>
    <w:p>
      <w:pPr>
        <w:spacing w:line="360" w:lineRule="auto" w:before="204"/>
        <w:ind w:left="1518" w:right="109" w:firstLine="0"/>
        <w:jc w:val="both"/>
        <w:rPr>
          <w:sz w:val="22"/>
        </w:rPr>
      </w:pPr>
      <w:r>
        <w:rPr>
          <w:sz w:val="22"/>
        </w:rPr>
        <w:t>Por la influencia cultural; porque hay palabras nativas raras que se pierden y se sustituyen</w:t>
      </w:r>
      <w:r>
        <w:rPr>
          <w:spacing w:val="-8"/>
          <w:sz w:val="22"/>
        </w:rPr>
        <w:t> </w:t>
      </w:r>
      <w:r>
        <w:rPr>
          <w:sz w:val="22"/>
        </w:rPr>
        <w:t>por</w:t>
      </w:r>
      <w:r>
        <w:rPr>
          <w:spacing w:val="-7"/>
          <w:sz w:val="22"/>
        </w:rPr>
        <w:t> </w:t>
      </w:r>
      <w:r>
        <w:rPr>
          <w:sz w:val="22"/>
        </w:rPr>
        <w:t>palabras</w:t>
      </w:r>
      <w:r>
        <w:rPr>
          <w:spacing w:val="-7"/>
          <w:sz w:val="22"/>
        </w:rPr>
        <w:t> </w:t>
      </w:r>
      <w:r>
        <w:rPr>
          <w:sz w:val="22"/>
        </w:rPr>
        <w:t>extranjeras;</w:t>
      </w:r>
      <w:r>
        <w:rPr>
          <w:spacing w:val="-7"/>
          <w:sz w:val="22"/>
        </w:rPr>
        <w:t> </w:t>
      </w:r>
      <w:r>
        <w:rPr>
          <w:sz w:val="22"/>
        </w:rPr>
        <w:t>porque</w:t>
      </w:r>
      <w:r>
        <w:rPr>
          <w:spacing w:val="-8"/>
          <w:sz w:val="22"/>
        </w:rPr>
        <w:t> </w:t>
      </w:r>
      <w:r>
        <w:rPr>
          <w:sz w:val="22"/>
        </w:rPr>
        <w:t>hay</w:t>
      </w:r>
      <w:r>
        <w:rPr>
          <w:spacing w:val="-10"/>
          <w:sz w:val="22"/>
        </w:rPr>
        <w:t> </w:t>
      </w:r>
      <w:r>
        <w:rPr>
          <w:sz w:val="22"/>
        </w:rPr>
        <w:t>palabras</w:t>
      </w:r>
      <w:r>
        <w:rPr>
          <w:spacing w:val="-10"/>
          <w:sz w:val="22"/>
        </w:rPr>
        <w:t> </w:t>
      </w:r>
      <w:r>
        <w:rPr>
          <w:sz w:val="22"/>
        </w:rPr>
        <w:t>que</w:t>
      </w:r>
      <w:r>
        <w:rPr>
          <w:spacing w:val="-8"/>
          <w:sz w:val="22"/>
        </w:rPr>
        <w:t> </w:t>
      </w:r>
      <w:r>
        <w:rPr>
          <w:sz w:val="22"/>
        </w:rPr>
        <w:t>suenan</w:t>
      </w:r>
      <w:r>
        <w:rPr>
          <w:spacing w:val="-8"/>
          <w:sz w:val="22"/>
        </w:rPr>
        <w:t> </w:t>
      </w:r>
      <w:r>
        <w:rPr>
          <w:sz w:val="22"/>
        </w:rPr>
        <w:t>de</w:t>
      </w:r>
      <w:r>
        <w:rPr>
          <w:spacing w:val="-13"/>
          <w:sz w:val="22"/>
        </w:rPr>
        <w:t> </w:t>
      </w:r>
      <w:r>
        <w:rPr>
          <w:sz w:val="22"/>
        </w:rPr>
        <w:t>forma</w:t>
      </w:r>
      <w:r>
        <w:rPr>
          <w:spacing w:val="-10"/>
          <w:sz w:val="22"/>
        </w:rPr>
        <w:t> </w:t>
      </w:r>
      <w:r>
        <w:rPr>
          <w:sz w:val="22"/>
        </w:rPr>
        <w:t>tan similar que la sustitución de ellas por una palabra extranjera resuelve posibles ambigüedades; porque hay una necesidad constante de sinónimos de palabras afectivas</w:t>
      </w:r>
      <w:r>
        <w:rPr>
          <w:spacing w:val="-10"/>
          <w:sz w:val="22"/>
        </w:rPr>
        <w:t> </w:t>
      </w:r>
      <w:r>
        <w:rPr>
          <w:sz w:val="22"/>
        </w:rPr>
        <w:t>que</w:t>
      </w:r>
      <w:r>
        <w:rPr>
          <w:spacing w:val="-8"/>
          <w:sz w:val="22"/>
        </w:rPr>
        <w:t> </w:t>
      </w:r>
      <w:r>
        <w:rPr>
          <w:sz w:val="22"/>
        </w:rPr>
        <w:t>han</w:t>
      </w:r>
      <w:r>
        <w:rPr>
          <w:spacing w:val="-10"/>
          <w:sz w:val="22"/>
        </w:rPr>
        <w:t> </w:t>
      </w:r>
      <w:r>
        <w:rPr>
          <w:sz w:val="22"/>
        </w:rPr>
        <w:t>perdido</w:t>
      </w:r>
      <w:r>
        <w:rPr>
          <w:spacing w:val="-8"/>
          <w:sz w:val="22"/>
        </w:rPr>
        <w:t> </w:t>
      </w:r>
      <w:r>
        <w:rPr>
          <w:sz w:val="22"/>
        </w:rPr>
        <w:t>su</w:t>
      </w:r>
      <w:r>
        <w:rPr>
          <w:spacing w:val="-10"/>
          <w:sz w:val="22"/>
        </w:rPr>
        <w:t> </w:t>
      </w:r>
      <w:r>
        <w:rPr>
          <w:sz w:val="22"/>
        </w:rPr>
        <w:t>fuerza</w:t>
      </w:r>
      <w:r>
        <w:rPr>
          <w:spacing w:val="-8"/>
          <w:sz w:val="22"/>
        </w:rPr>
        <w:t> </w:t>
      </w:r>
      <w:r>
        <w:rPr>
          <w:sz w:val="22"/>
        </w:rPr>
        <w:t>expresiva;</w:t>
      </w:r>
      <w:r>
        <w:rPr>
          <w:spacing w:val="-7"/>
          <w:sz w:val="22"/>
        </w:rPr>
        <w:t> </w:t>
      </w:r>
      <w:r>
        <w:rPr>
          <w:sz w:val="22"/>
        </w:rPr>
        <w:t>porque</w:t>
      </w:r>
      <w:r>
        <w:rPr>
          <w:spacing w:val="-8"/>
          <w:sz w:val="22"/>
        </w:rPr>
        <w:t> </w:t>
      </w:r>
      <w:r>
        <w:rPr>
          <w:sz w:val="22"/>
        </w:rPr>
        <w:t>por</w:t>
      </w:r>
      <w:r>
        <w:rPr>
          <w:spacing w:val="-11"/>
          <w:sz w:val="22"/>
        </w:rPr>
        <w:t> </w:t>
      </w:r>
      <w:r>
        <w:rPr>
          <w:sz w:val="22"/>
        </w:rPr>
        <w:t>medio</w:t>
      </w:r>
      <w:r>
        <w:rPr>
          <w:spacing w:val="-8"/>
          <w:sz w:val="22"/>
        </w:rPr>
        <w:t> </w:t>
      </w:r>
      <w:r>
        <w:rPr>
          <w:sz w:val="22"/>
        </w:rPr>
        <w:t>de</w:t>
      </w:r>
      <w:r>
        <w:rPr>
          <w:spacing w:val="-8"/>
          <w:sz w:val="22"/>
        </w:rPr>
        <w:t> </w:t>
      </w:r>
      <w:r>
        <w:rPr>
          <w:sz w:val="22"/>
        </w:rPr>
        <w:t>los</w:t>
      </w:r>
      <w:r>
        <w:rPr>
          <w:spacing w:val="-8"/>
          <w:sz w:val="22"/>
        </w:rPr>
        <w:t> </w:t>
      </w:r>
      <w:r>
        <w:rPr>
          <w:sz w:val="22"/>
        </w:rPr>
        <w:t>préstamos se pueden establecer nuevas distinciones semánticas;…porque se puede tomar una palabra de una lengua de estatus alto y emplearla para causar una impresión ante alguien; y finalmente porque una palabra puede introducirse sin que el hablante se percate a causa del bilingüismo </w:t>
      </w:r>
      <w:r>
        <w:rPr>
          <w:sz w:val="24"/>
        </w:rPr>
        <w:t>(Weinreich, 1953 en Appel y Muysken, 1996:</w:t>
      </w:r>
      <w:r>
        <w:rPr>
          <w:spacing w:val="-9"/>
          <w:sz w:val="24"/>
        </w:rPr>
        <w:t> </w:t>
      </w:r>
      <w:r>
        <w:rPr>
          <w:sz w:val="24"/>
        </w:rPr>
        <w:t>247)</w:t>
      </w:r>
      <w:r>
        <w:rPr>
          <w:sz w:val="22"/>
        </w:rPr>
        <w:t>.</w:t>
      </w:r>
    </w:p>
    <w:p>
      <w:pPr>
        <w:pStyle w:val="BodyText"/>
        <w:spacing w:line="360" w:lineRule="auto" w:before="204"/>
        <w:ind w:left="102" w:right="109" w:firstLine="707"/>
        <w:jc w:val="both"/>
      </w:pPr>
      <w:r>
        <w:rPr/>
        <w:t>En un intento por explicar de mejor manera la cita anterior, se tratará de ejemplificar cada uno de los puntos que Weinreich aborda. En el caso de la influencia cultural se podría pensar en el género de música </w:t>
      </w:r>
      <w:r>
        <w:rPr>
          <w:i/>
        </w:rPr>
        <w:t>hip-hop </w:t>
      </w:r>
      <w:r>
        <w:rPr/>
        <w:t>o </w:t>
      </w:r>
      <w:r>
        <w:rPr>
          <w:i/>
        </w:rPr>
        <w:t>rap </w:t>
      </w:r>
      <w:r>
        <w:rPr/>
        <w:t>del cual no se tiene</w:t>
      </w:r>
    </w:p>
    <w:p>
      <w:pPr>
        <w:spacing w:after="0" w:line="360" w:lineRule="auto"/>
        <w:jc w:val="both"/>
        <w:sectPr>
          <w:footerReference w:type="default" r:id="rId16"/>
          <w:pgSz w:w="12240" w:h="15840"/>
          <w:pgMar w:footer="1003" w:header="749" w:top="960" w:bottom="1200" w:left="1600" w:right="1020"/>
          <w:pgNumType w:start="11"/>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7"/>
        <w:jc w:val="both"/>
      </w:pPr>
      <w:r>
        <w:rPr/>
        <w:t>equivalente y representa la cultura musical neoyorkina de los Estados Unidos. Emparedado pudiera resultar extraño y su desuso implicó su sustitución por </w:t>
      </w:r>
      <w:r>
        <w:rPr>
          <w:i/>
        </w:rPr>
        <w:t>sándwich</w:t>
      </w:r>
      <w:r>
        <w:rPr/>
        <w:t>. Con la intensión de evitar ambigüedades se introdujo </w:t>
      </w:r>
      <w:r>
        <w:rPr>
          <w:i/>
        </w:rPr>
        <w:t>mistake </w:t>
      </w:r>
      <w:r>
        <w:rPr/>
        <w:t>contra </w:t>
      </w:r>
      <w:r>
        <w:rPr>
          <w:i/>
        </w:rPr>
        <w:t>error </w:t>
      </w:r>
      <w:r>
        <w:rPr/>
        <w:t>en el área de la lingüística o </w:t>
      </w:r>
      <w:r>
        <w:rPr>
          <w:i/>
        </w:rPr>
        <w:t>lap top </w:t>
      </w:r>
      <w:r>
        <w:rPr/>
        <w:t>para diferenciar una computadora portátil de cualquier computadora de escritorio. En México la palabra confortable (del inglés </w:t>
      </w:r>
      <w:r>
        <w:rPr>
          <w:i/>
        </w:rPr>
        <w:t>comfortable</w:t>
      </w:r>
      <w:r>
        <w:rPr/>
        <w:t>) como estrategia de mercadotecnia para indicar que algo es más que cómodo la fuerza expresiva aumenta y de la misma manera la carga semántica aumenta aunque pudieran usarse como sinónimos en un mismo discurso. Por último</w:t>
      </w:r>
      <w:r>
        <w:rPr>
          <w:i/>
        </w:rPr>
        <w:t>, penthouse </w:t>
      </w:r>
      <w:r>
        <w:rPr/>
        <w:t>sería un claro ejemplo de un anglicismo introducido por mostrar un nivel económico alto ya que un </w:t>
      </w:r>
      <w:r>
        <w:rPr>
          <w:i/>
        </w:rPr>
        <w:t>penthouse </w:t>
      </w:r>
      <w:r>
        <w:rPr/>
        <w:t>podría ser costeado por la clase social alta.</w:t>
      </w:r>
    </w:p>
    <w:p>
      <w:pPr>
        <w:pStyle w:val="BodyText"/>
        <w:spacing w:line="360" w:lineRule="auto" w:before="206"/>
        <w:ind w:left="102" w:right="107" w:firstLine="775"/>
        <w:jc w:val="both"/>
      </w:pPr>
      <w:r>
        <w:rPr/>
        <w:t>Según</w:t>
      </w:r>
      <w:r>
        <w:rPr>
          <w:spacing w:val="-13"/>
        </w:rPr>
        <w:t> </w:t>
      </w:r>
      <w:r>
        <w:rPr/>
        <w:t>Joaquín</w:t>
      </w:r>
      <w:r>
        <w:rPr>
          <w:spacing w:val="-13"/>
        </w:rPr>
        <w:t> </w:t>
      </w:r>
      <w:r>
        <w:rPr/>
        <w:t>Alfaro</w:t>
      </w:r>
      <w:r>
        <w:rPr>
          <w:spacing w:val="-16"/>
        </w:rPr>
        <w:t> </w:t>
      </w:r>
      <w:r>
        <w:rPr/>
        <w:t>(1970,</w:t>
      </w:r>
      <w:r>
        <w:rPr>
          <w:spacing w:val="-16"/>
        </w:rPr>
        <w:t> </w:t>
      </w:r>
      <w:r>
        <w:rPr/>
        <w:t>en</w:t>
      </w:r>
      <w:r>
        <w:rPr>
          <w:spacing w:val="-13"/>
        </w:rPr>
        <w:t> </w:t>
      </w:r>
      <w:r>
        <w:rPr/>
        <w:t>Moreno</w:t>
      </w:r>
      <w:r>
        <w:rPr>
          <w:spacing w:val="-13"/>
        </w:rPr>
        <w:t> </w:t>
      </w:r>
      <w:r>
        <w:rPr/>
        <w:t>de</w:t>
      </w:r>
      <w:r>
        <w:rPr>
          <w:spacing w:val="-13"/>
        </w:rPr>
        <w:t> </w:t>
      </w:r>
      <w:r>
        <w:rPr/>
        <w:t>Alba,</w:t>
      </w:r>
      <w:r>
        <w:rPr>
          <w:spacing w:val="-13"/>
        </w:rPr>
        <w:t> </w:t>
      </w:r>
      <w:r>
        <w:rPr/>
        <w:t>1998)</w:t>
      </w:r>
      <w:r>
        <w:rPr>
          <w:spacing w:val="-15"/>
        </w:rPr>
        <w:t> </w:t>
      </w:r>
      <w:r>
        <w:rPr/>
        <w:t>enlista</w:t>
      </w:r>
      <w:r>
        <w:rPr>
          <w:spacing w:val="-13"/>
        </w:rPr>
        <w:t> </w:t>
      </w:r>
      <w:r>
        <w:rPr/>
        <w:t>tres</w:t>
      </w:r>
      <w:r>
        <w:rPr>
          <w:spacing w:val="-14"/>
        </w:rPr>
        <w:t> </w:t>
      </w:r>
      <w:r>
        <w:rPr/>
        <w:t>puntos:</w:t>
      </w:r>
      <w:r>
        <w:rPr>
          <w:spacing w:val="-13"/>
        </w:rPr>
        <w:t> </w:t>
      </w:r>
      <w:r>
        <w:rPr/>
        <w:t>a)</w:t>
      </w:r>
      <w:r>
        <w:rPr>
          <w:spacing w:val="-17"/>
        </w:rPr>
        <w:t> </w:t>
      </w:r>
      <w:r>
        <w:rPr/>
        <w:t>falta de</w:t>
      </w:r>
      <w:r>
        <w:rPr>
          <w:spacing w:val="-10"/>
        </w:rPr>
        <w:t> </w:t>
      </w:r>
      <w:r>
        <w:rPr/>
        <w:t>un</w:t>
      </w:r>
      <w:r>
        <w:rPr>
          <w:spacing w:val="-10"/>
        </w:rPr>
        <w:t> </w:t>
      </w:r>
      <w:r>
        <w:rPr/>
        <w:t>equivalente</w:t>
      </w:r>
      <w:r>
        <w:rPr>
          <w:spacing w:val="-9"/>
        </w:rPr>
        <w:t> </w:t>
      </w:r>
      <w:r>
        <w:rPr/>
        <w:t>léxico,</w:t>
      </w:r>
      <w:r>
        <w:rPr>
          <w:spacing w:val="-10"/>
        </w:rPr>
        <w:t> </w:t>
      </w:r>
      <w:r>
        <w:rPr/>
        <w:t>como</w:t>
      </w:r>
      <w:r>
        <w:rPr>
          <w:spacing w:val="-10"/>
        </w:rPr>
        <w:t> </w:t>
      </w:r>
      <w:r>
        <w:rPr/>
        <w:t>en</w:t>
      </w:r>
      <w:r>
        <w:rPr>
          <w:spacing w:val="-9"/>
        </w:rPr>
        <w:t> </w:t>
      </w:r>
      <w:r>
        <w:rPr>
          <w:i/>
        </w:rPr>
        <w:t>chip</w:t>
      </w:r>
      <w:r>
        <w:rPr>
          <w:i/>
          <w:spacing w:val="-10"/>
        </w:rPr>
        <w:t> </w:t>
      </w:r>
      <w:r>
        <w:rPr/>
        <w:t>y</w:t>
      </w:r>
      <w:r>
        <w:rPr>
          <w:spacing w:val="-13"/>
        </w:rPr>
        <w:t> </w:t>
      </w:r>
      <w:r>
        <w:rPr>
          <w:i/>
        </w:rPr>
        <w:t>pixel</w:t>
      </w:r>
      <w:r>
        <w:rPr/>
        <w:t>;</w:t>
      </w:r>
      <w:r>
        <w:rPr>
          <w:spacing w:val="-8"/>
        </w:rPr>
        <w:t> </w:t>
      </w:r>
      <w:r>
        <w:rPr/>
        <w:t>b)</w:t>
      </w:r>
      <w:r>
        <w:rPr>
          <w:spacing w:val="-11"/>
        </w:rPr>
        <w:t> </w:t>
      </w:r>
      <w:r>
        <w:rPr/>
        <w:t>su</w:t>
      </w:r>
      <w:r>
        <w:rPr>
          <w:spacing w:val="-10"/>
        </w:rPr>
        <w:t> </w:t>
      </w:r>
      <w:r>
        <w:rPr/>
        <w:t>uso</w:t>
      </w:r>
      <w:r>
        <w:rPr>
          <w:spacing w:val="-10"/>
        </w:rPr>
        <w:t> </w:t>
      </w:r>
      <w:r>
        <w:rPr/>
        <w:t>en</w:t>
      </w:r>
      <w:r>
        <w:rPr>
          <w:spacing w:val="-10"/>
        </w:rPr>
        <w:t> </w:t>
      </w:r>
      <w:r>
        <w:rPr/>
        <w:t>hablantes</w:t>
      </w:r>
      <w:r>
        <w:rPr>
          <w:spacing w:val="-11"/>
        </w:rPr>
        <w:t> </w:t>
      </w:r>
      <w:r>
        <w:rPr/>
        <w:t>respetables,</w:t>
      </w:r>
      <w:r>
        <w:rPr>
          <w:spacing w:val="-10"/>
        </w:rPr>
        <w:t> </w:t>
      </w:r>
      <w:r>
        <w:rPr/>
        <w:t>lo</w:t>
      </w:r>
      <w:r>
        <w:rPr>
          <w:spacing w:val="-10"/>
        </w:rPr>
        <w:t> </w:t>
      </w:r>
      <w:r>
        <w:rPr/>
        <w:t>que se referiría al prestigio lingüístico; y c) que se ajusten a la morfología española, en otras palabras que sea adaptable al español, </w:t>
      </w:r>
      <w:r>
        <w:rPr>
          <w:i/>
        </w:rPr>
        <w:t>scanner </w:t>
      </w:r>
      <w:r>
        <w:rPr/>
        <w:t>por</w:t>
      </w:r>
      <w:r>
        <w:rPr>
          <w:spacing w:val="-18"/>
        </w:rPr>
        <w:t> </w:t>
      </w:r>
      <w:r>
        <w:rPr/>
        <w:t>escáner.</w:t>
      </w:r>
    </w:p>
    <w:p>
      <w:pPr>
        <w:pStyle w:val="BodyText"/>
        <w:spacing w:line="360" w:lineRule="auto" w:before="206"/>
        <w:ind w:left="102" w:right="106" w:firstLine="707"/>
        <w:jc w:val="both"/>
      </w:pPr>
      <w:r>
        <w:rPr/>
        <w:t>Las anteriores muestran causas provocadas por el mismo hablante debido a la necesidad</w:t>
      </w:r>
      <w:r>
        <w:rPr>
          <w:spacing w:val="-13"/>
        </w:rPr>
        <w:t> </w:t>
      </w:r>
      <w:r>
        <w:rPr/>
        <w:t>de</w:t>
      </w:r>
      <w:r>
        <w:rPr>
          <w:spacing w:val="-13"/>
        </w:rPr>
        <w:t> </w:t>
      </w:r>
      <w:r>
        <w:rPr/>
        <w:t>cubrir</w:t>
      </w:r>
      <w:r>
        <w:rPr>
          <w:spacing w:val="-12"/>
        </w:rPr>
        <w:t> </w:t>
      </w:r>
      <w:r>
        <w:rPr/>
        <w:t>ciertas</w:t>
      </w:r>
      <w:r>
        <w:rPr>
          <w:spacing w:val="-12"/>
        </w:rPr>
        <w:t> </w:t>
      </w:r>
      <w:r>
        <w:rPr/>
        <w:t>insuficiencias</w:t>
      </w:r>
      <w:r>
        <w:rPr>
          <w:spacing w:val="-10"/>
        </w:rPr>
        <w:t> </w:t>
      </w:r>
      <w:r>
        <w:rPr/>
        <w:t>de</w:t>
      </w:r>
      <w:r>
        <w:rPr>
          <w:spacing w:val="-11"/>
        </w:rPr>
        <w:t> </w:t>
      </w:r>
      <w:r>
        <w:rPr/>
        <w:t>la</w:t>
      </w:r>
      <w:r>
        <w:rPr>
          <w:spacing w:val="-13"/>
        </w:rPr>
        <w:t> </w:t>
      </w:r>
      <w:r>
        <w:rPr/>
        <w:t>propia</w:t>
      </w:r>
      <w:r>
        <w:rPr>
          <w:spacing w:val="-13"/>
        </w:rPr>
        <w:t> </w:t>
      </w:r>
      <w:r>
        <w:rPr/>
        <w:t>lengua</w:t>
      </w:r>
      <w:r>
        <w:rPr>
          <w:spacing w:val="-13"/>
        </w:rPr>
        <w:t> </w:t>
      </w:r>
      <w:r>
        <w:rPr/>
        <w:t>para</w:t>
      </w:r>
      <w:r>
        <w:rPr>
          <w:spacing w:val="-14"/>
        </w:rPr>
        <w:t> </w:t>
      </w:r>
      <w:r>
        <w:rPr/>
        <w:t>ayudarlo</w:t>
      </w:r>
      <w:r>
        <w:rPr>
          <w:spacing w:val="-13"/>
        </w:rPr>
        <w:t> </w:t>
      </w:r>
      <w:r>
        <w:rPr/>
        <w:t>a</w:t>
      </w:r>
      <w:r>
        <w:rPr>
          <w:spacing w:val="-13"/>
        </w:rPr>
        <w:t> </w:t>
      </w:r>
      <w:r>
        <w:rPr/>
        <w:t>expresarse. No obstante, no son las únicas razones de su introducción, las “lenguas en contacto” se considera un fenómeno de variación lingüística y Max Weinreich (1953, en Theodor Ebneter, 1982:122) lo explica de la siguiente manera: “dos lenguas están en contacto si se emplean alternativamente por las mismas personas, los hablantes son el lugar de contacto”.</w:t>
      </w:r>
      <w:r>
        <w:rPr>
          <w:spacing w:val="-18"/>
        </w:rPr>
        <w:t> </w:t>
      </w:r>
      <w:r>
        <w:rPr/>
        <w:t>Weinreich</w:t>
      </w:r>
      <w:r>
        <w:rPr>
          <w:spacing w:val="-12"/>
        </w:rPr>
        <w:t> </w:t>
      </w:r>
      <w:r>
        <w:rPr/>
        <w:t>(1953)</w:t>
      </w:r>
      <w:r>
        <w:rPr>
          <w:spacing w:val="-14"/>
        </w:rPr>
        <w:t> </w:t>
      </w:r>
      <w:r>
        <w:rPr/>
        <w:t>añade</w:t>
      </w:r>
      <w:r>
        <w:rPr>
          <w:spacing w:val="-12"/>
        </w:rPr>
        <w:t> </w:t>
      </w:r>
      <w:r>
        <w:rPr/>
        <w:t>que</w:t>
      </w:r>
      <w:r>
        <w:rPr>
          <w:spacing w:val="-12"/>
        </w:rPr>
        <w:t> </w:t>
      </w:r>
      <w:r>
        <w:rPr/>
        <w:t>no</w:t>
      </w:r>
      <w:r>
        <w:rPr>
          <w:spacing w:val="-15"/>
        </w:rPr>
        <w:t> </w:t>
      </w:r>
      <w:r>
        <w:rPr/>
        <w:t>hay</w:t>
      </w:r>
      <w:r>
        <w:rPr>
          <w:spacing w:val="-15"/>
        </w:rPr>
        <w:t> </w:t>
      </w:r>
      <w:r>
        <w:rPr/>
        <w:t>límites</w:t>
      </w:r>
      <w:r>
        <w:rPr>
          <w:spacing w:val="-13"/>
        </w:rPr>
        <w:t> </w:t>
      </w:r>
      <w:r>
        <w:rPr/>
        <w:t>para</w:t>
      </w:r>
      <w:r>
        <w:rPr>
          <w:spacing w:val="-13"/>
        </w:rPr>
        <w:t> </w:t>
      </w:r>
      <w:r>
        <w:rPr/>
        <w:t>las</w:t>
      </w:r>
      <w:r>
        <w:rPr>
          <w:spacing w:val="-12"/>
        </w:rPr>
        <w:t> </w:t>
      </w:r>
      <w:r>
        <w:rPr/>
        <w:t>lenguas,</w:t>
      </w:r>
      <w:r>
        <w:rPr>
          <w:spacing w:val="-12"/>
        </w:rPr>
        <w:t> </w:t>
      </w:r>
      <w:r>
        <w:rPr/>
        <w:t>siempre</w:t>
      </w:r>
      <w:r>
        <w:rPr>
          <w:spacing w:val="-13"/>
        </w:rPr>
        <w:t> </w:t>
      </w:r>
      <w:r>
        <w:rPr/>
        <w:t>y</w:t>
      </w:r>
      <w:r>
        <w:rPr>
          <w:spacing w:val="-15"/>
        </w:rPr>
        <w:t> </w:t>
      </w:r>
      <w:r>
        <w:rPr/>
        <w:t>cuando haya</w:t>
      </w:r>
      <w:r>
        <w:rPr>
          <w:spacing w:val="-4"/>
        </w:rPr>
        <w:t> </w:t>
      </w:r>
      <w:r>
        <w:rPr/>
        <w:t>un</w:t>
      </w:r>
      <w:r>
        <w:rPr>
          <w:spacing w:val="-4"/>
        </w:rPr>
        <w:t> </w:t>
      </w:r>
      <w:r>
        <w:rPr/>
        <w:t>contacto</w:t>
      </w:r>
      <w:r>
        <w:rPr>
          <w:spacing w:val="-5"/>
        </w:rPr>
        <w:t> </w:t>
      </w:r>
      <w:r>
        <w:rPr/>
        <w:t>entre</w:t>
      </w:r>
      <w:r>
        <w:rPr>
          <w:spacing w:val="-6"/>
        </w:rPr>
        <w:t> </w:t>
      </w:r>
      <w:r>
        <w:rPr/>
        <w:t>las</w:t>
      </w:r>
      <w:r>
        <w:rPr>
          <w:spacing w:val="-4"/>
        </w:rPr>
        <w:t> </w:t>
      </w:r>
      <w:r>
        <w:rPr/>
        <w:t>mismas,</w:t>
      </w:r>
      <w:r>
        <w:rPr>
          <w:spacing w:val="-6"/>
        </w:rPr>
        <w:t> </w:t>
      </w:r>
      <w:r>
        <w:rPr/>
        <w:t>lo</w:t>
      </w:r>
      <w:r>
        <w:rPr>
          <w:spacing w:val="-4"/>
        </w:rPr>
        <w:t> </w:t>
      </w:r>
      <w:r>
        <w:rPr/>
        <w:t>cual</w:t>
      </w:r>
      <w:r>
        <w:rPr>
          <w:spacing w:val="-5"/>
        </w:rPr>
        <w:t> </w:t>
      </w:r>
      <w:r>
        <w:rPr/>
        <w:t>sucede</w:t>
      </w:r>
      <w:r>
        <w:rPr>
          <w:spacing w:val="-6"/>
        </w:rPr>
        <w:t> </w:t>
      </w:r>
      <w:r>
        <w:rPr/>
        <w:t>entre</w:t>
      </w:r>
      <w:r>
        <w:rPr>
          <w:spacing w:val="-6"/>
        </w:rPr>
        <w:t> </w:t>
      </w:r>
      <w:r>
        <w:rPr/>
        <w:t>el</w:t>
      </w:r>
      <w:r>
        <w:rPr>
          <w:spacing w:val="-5"/>
        </w:rPr>
        <w:t> </w:t>
      </w:r>
      <w:r>
        <w:rPr/>
        <w:t>inglés</w:t>
      </w:r>
      <w:r>
        <w:rPr>
          <w:spacing w:val="-4"/>
        </w:rPr>
        <w:t> </w:t>
      </w:r>
      <w:r>
        <w:rPr/>
        <w:t>y</w:t>
      </w:r>
      <w:r>
        <w:rPr>
          <w:spacing w:val="-7"/>
        </w:rPr>
        <w:t> </w:t>
      </w:r>
      <w:r>
        <w:rPr/>
        <w:t>el</w:t>
      </w:r>
      <w:r>
        <w:rPr>
          <w:spacing w:val="-5"/>
        </w:rPr>
        <w:t> </w:t>
      </w:r>
      <w:r>
        <w:rPr/>
        <w:t>español</w:t>
      </w:r>
      <w:r>
        <w:rPr>
          <w:spacing w:val="-5"/>
        </w:rPr>
        <w:t> </w:t>
      </w:r>
      <w:r>
        <w:rPr/>
        <w:t>en</w:t>
      </w:r>
      <w:r>
        <w:rPr>
          <w:spacing w:val="-4"/>
        </w:rPr>
        <w:t> </w:t>
      </w:r>
      <w:r>
        <w:rPr/>
        <w:t>México debido a sus límites geográficos. Lo anterior es sustentado cuando el mismo autor menciona</w:t>
      </w:r>
      <w:r>
        <w:rPr>
          <w:spacing w:val="-16"/>
        </w:rPr>
        <w:t> </w:t>
      </w:r>
      <w:r>
        <w:rPr/>
        <w:t>que</w:t>
      </w:r>
      <w:r>
        <w:rPr>
          <w:spacing w:val="-14"/>
        </w:rPr>
        <w:t> </w:t>
      </w:r>
      <w:r>
        <w:rPr/>
        <w:t>existen</w:t>
      </w:r>
      <w:r>
        <w:rPr>
          <w:spacing w:val="-19"/>
        </w:rPr>
        <w:t> </w:t>
      </w:r>
      <w:r>
        <w:rPr/>
        <w:t>diversos</w:t>
      </w:r>
      <w:r>
        <w:rPr>
          <w:spacing w:val="-15"/>
        </w:rPr>
        <w:t> </w:t>
      </w:r>
      <w:r>
        <w:rPr/>
        <w:t>fenómenos</w:t>
      </w:r>
      <w:r>
        <w:rPr>
          <w:spacing w:val="-15"/>
        </w:rPr>
        <w:t> </w:t>
      </w:r>
      <w:r>
        <w:rPr/>
        <w:t>que</w:t>
      </w:r>
      <w:r>
        <w:rPr>
          <w:spacing w:val="-14"/>
        </w:rPr>
        <w:t> </w:t>
      </w:r>
      <w:r>
        <w:rPr/>
        <w:t>sobrepasan</w:t>
      </w:r>
      <w:r>
        <w:rPr>
          <w:spacing w:val="-16"/>
        </w:rPr>
        <w:t> </w:t>
      </w:r>
      <w:r>
        <w:rPr/>
        <w:t>las</w:t>
      </w:r>
      <w:r>
        <w:rPr>
          <w:spacing w:val="-14"/>
        </w:rPr>
        <w:t> </w:t>
      </w:r>
      <w:r>
        <w:rPr/>
        <w:t>líneas</w:t>
      </w:r>
      <w:r>
        <w:rPr>
          <w:spacing w:val="-15"/>
        </w:rPr>
        <w:t> </w:t>
      </w:r>
      <w:r>
        <w:rPr/>
        <w:t>divisorias</w:t>
      </w:r>
      <w:r>
        <w:rPr>
          <w:spacing w:val="-15"/>
        </w:rPr>
        <w:t> </w:t>
      </w:r>
      <w:r>
        <w:rPr/>
        <w:t>del</w:t>
      </w:r>
      <w:r>
        <w:rPr>
          <w:spacing w:val="-18"/>
        </w:rPr>
        <w:t> </w:t>
      </w:r>
      <w:r>
        <w:rPr/>
        <w:t>mapa dialectal llamadas </w:t>
      </w:r>
      <w:r>
        <w:rPr>
          <w:i/>
        </w:rPr>
        <w:t>isoglosas (</w:t>
      </w:r>
      <w:r>
        <w:rPr/>
        <w:t>Weinreich, 1953 en Ebneter,</w:t>
      </w:r>
      <w:r>
        <w:rPr>
          <w:spacing w:val="-21"/>
        </w:rPr>
        <w:t> </w:t>
      </w:r>
      <w:r>
        <w:rPr/>
        <w:t>1982).</w:t>
      </w:r>
    </w:p>
    <w:p>
      <w:pPr>
        <w:pStyle w:val="BodyText"/>
        <w:spacing w:line="360" w:lineRule="auto" w:before="206"/>
        <w:ind w:left="102" w:right="115" w:firstLine="707"/>
        <w:jc w:val="both"/>
      </w:pPr>
      <w:r>
        <w:rPr/>
        <w:t>Otro</w:t>
      </w:r>
      <w:r>
        <w:rPr>
          <w:spacing w:val="-12"/>
        </w:rPr>
        <w:t> </w:t>
      </w:r>
      <w:r>
        <w:rPr/>
        <w:t>fenómeno</w:t>
      </w:r>
      <w:r>
        <w:rPr>
          <w:spacing w:val="-9"/>
        </w:rPr>
        <w:t> </w:t>
      </w:r>
      <w:r>
        <w:rPr/>
        <w:t>lingüístico</w:t>
      </w:r>
      <w:r>
        <w:rPr>
          <w:spacing w:val="-9"/>
        </w:rPr>
        <w:t> </w:t>
      </w:r>
      <w:r>
        <w:rPr/>
        <w:t>que</w:t>
      </w:r>
      <w:r>
        <w:rPr>
          <w:spacing w:val="-9"/>
        </w:rPr>
        <w:t> </w:t>
      </w:r>
      <w:r>
        <w:rPr/>
        <w:t>provoca</w:t>
      </w:r>
      <w:r>
        <w:rPr>
          <w:spacing w:val="-9"/>
        </w:rPr>
        <w:t> </w:t>
      </w:r>
      <w:r>
        <w:rPr/>
        <w:t>el</w:t>
      </w:r>
      <w:r>
        <w:rPr>
          <w:spacing w:val="-11"/>
        </w:rPr>
        <w:t> </w:t>
      </w:r>
      <w:r>
        <w:rPr/>
        <w:t>contacto</w:t>
      </w:r>
      <w:r>
        <w:rPr>
          <w:spacing w:val="-9"/>
        </w:rPr>
        <w:t> </w:t>
      </w:r>
      <w:r>
        <w:rPr/>
        <w:t>entre</w:t>
      </w:r>
      <w:r>
        <w:rPr>
          <w:spacing w:val="-10"/>
        </w:rPr>
        <w:t> </w:t>
      </w:r>
      <w:r>
        <w:rPr/>
        <w:t>lenguas</w:t>
      </w:r>
      <w:r>
        <w:rPr>
          <w:spacing w:val="-10"/>
        </w:rPr>
        <w:t> </w:t>
      </w:r>
      <w:r>
        <w:rPr/>
        <w:t>es</w:t>
      </w:r>
      <w:r>
        <w:rPr>
          <w:spacing w:val="-13"/>
        </w:rPr>
        <w:t> </w:t>
      </w:r>
      <w:r>
        <w:rPr/>
        <w:t>el</w:t>
      </w:r>
      <w:r>
        <w:rPr>
          <w:spacing w:val="-11"/>
        </w:rPr>
        <w:t> </w:t>
      </w:r>
      <w:r>
        <w:rPr/>
        <w:t>de</w:t>
      </w:r>
      <w:r>
        <w:rPr>
          <w:spacing w:val="-9"/>
        </w:rPr>
        <w:t> </w:t>
      </w:r>
      <w:r>
        <w:rPr/>
        <w:t>adstrato, este</w:t>
      </w:r>
      <w:r>
        <w:rPr>
          <w:spacing w:val="-10"/>
        </w:rPr>
        <w:t> </w:t>
      </w:r>
      <w:r>
        <w:rPr/>
        <w:t>fenómeno</w:t>
      </w:r>
      <w:r>
        <w:rPr>
          <w:spacing w:val="-11"/>
        </w:rPr>
        <w:t> </w:t>
      </w:r>
      <w:r>
        <w:rPr/>
        <w:t>habla</w:t>
      </w:r>
      <w:r>
        <w:rPr>
          <w:spacing w:val="-8"/>
        </w:rPr>
        <w:t> </w:t>
      </w:r>
      <w:r>
        <w:rPr/>
        <w:t>de</w:t>
      </w:r>
      <w:r>
        <w:rPr>
          <w:spacing w:val="-8"/>
        </w:rPr>
        <w:t> </w:t>
      </w:r>
      <w:r>
        <w:rPr/>
        <w:t>la</w:t>
      </w:r>
      <w:r>
        <w:rPr>
          <w:spacing w:val="-9"/>
        </w:rPr>
        <w:t> </w:t>
      </w:r>
      <w:r>
        <w:rPr/>
        <w:t>influencia</w:t>
      </w:r>
      <w:r>
        <w:rPr>
          <w:spacing w:val="-11"/>
        </w:rPr>
        <w:t> </w:t>
      </w:r>
      <w:r>
        <w:rPr/>
        <w:t>mutua</w:t>
      </w:r>
      <w:r>
        <w:rPr>
          <w:spacing w:val="-11"/>
        </w:rPr>
        <w:t> </w:t>
      </w:r>
      <w:r>
        <w:rPr/>
        <w:t>entre</w:t>
      </w:r>
      <w:r>
        <w:rPr>
          <w:spacing w:val="-9"/>
        </w:rPr>
        <w:t> </w:t>
      </w:r>
      <w:r>
        <w:rPr/>
        <w:t>dos</w:t>
      </w:r>
      <w:r>
        <w:rPr>
          <w:spacing w:val="-12"/>
        </w:rPr>
        <w:t> </w:t>
      </w:r>
      <w:r>
        <w:rPr/>
        <w:t>lenguas,</w:t>
      </w:r>
      <w:r>
        <w:rPr>
          <w:spacing w:val="-11"/>
        </w:rPr>
        <w:t> </w:t>
      </w:r>
      <w:r>
        <w:rPr/>
        <w:t>donde</w:t>
      </w:r>
      <w:r>
        <w:rPr>
          <w:spacing w:val="-8"/>
        </w:rPr>
        <w:t> </w:t>
      </w:r>
      <w:r>
        <w:rPr/>
        <w:t>ninguna</w:t>
      </w:r>
      <w:r>
        <w:rPr>
          <w:spacing w:val="-11"/>
        </w:rPr>
        <w:t> </w:t>
      </w:r>
      <w:r>
        <w:rPr/>
        <w:t>de</w:t>
      </w:r>
      <w:r>
        <w:rPr>
          <w:spacing w:val="-8"/>
        </w:rPr>
        <w:t> </w:t>
      </w:r>
      <w:r>
        <w:rPr/>
        <w:t>las</w:t>
      </w:r>
      <w:r>
        <w:rPr>
          <w:spacing w:val="-9"/>
        </w:rPr>
        <w:t> </w:t>
      </w:r>
      <w:r>
        <w:rPr/>
        <w:t>dos</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26"/>
      </w:pPr>
      <w:r>
        <w:rPr/>
        <w:t>es dominante, este es el caso de las regiones fronterizas de nuestro país (José Luis Blas Arroyo, 1999).</w:t>
      </w:r>
    </w:p>
    <w:p>
      <w:pPr>
        <w:pStyle w:val="BodyText"/>
        <w:spacing w:line="360" w:lineRule="auto" w:before="204"/>
        <w:ind w:left="102" w:right="107" w:firstLine="707"/>
        <w:jc w:val="both"/>
      </w:pPr>
      <w:r>
        <w:rPr/>
        <w:t>Los factores sociales contribuyen al contacto entre lenguas. La expansión del inglés se atribuye a su carácter de ser lengua franca. El inglés es utilizado para la educación (es impartido como lengua extranjera en la mayoría de los países alrededor del mundo), para los negocios, como tecnicismos en diferentes áreas de las ciencias y es propagado en gran cantidad y velocidad por los medios de comunicación masivos (Guy Cook, 2003).</w:t>
      </w:r>
    </w:p>
    <w:p>
      <w:pPr>
        <w:pStyle w:val="BodyText"/>
        <w:spacing w:line="360" w:lineRule="auto" w:before="205"/>
        <w:ind w:left="102" w:right="115" w:firstLine="707"/>
        <w:jc w:val="both"/>
      </w:pPr>
      <w:r>
        <w:rPr/>
        <w:t>Jack Child (1992) menciona que los medios de comunicación son grandes introductores</w:t>
      </w:r>
      <w:r>
        <w:rPr>
          <w:spacing w:val="-17"/>
        </w:rPr>
        <w:t> </w:t>
      </w:r>
      <w:r>
        <w:rPr/>
        <w:t>de</w:t>
      </w:r>
      <w:r>
        <w:rPr>
          <w:spacing w:val="-17"/>
        </w:rPr>
        <w:t> </w:t>
      </w:r>
      <w:r>
        <w:rPr/>
        <w:t>anglicismos</w:t>
      </w:r>
      <w:r>
        <w:rPr>
          <w:spacing w:val="-17"/>
        </w:rPr>
        <w:t> </w:t>
      </w:r>
      <w:r>
        <w:rPr/>
        <w:t>al</w:t>
      </w:r>
      <w:r>
        <w:rPr>
          <w:spacing w:val="-15"/>
        </w:rPr>
        <w:t> </w:t>
      </w:r>
      <w:r>
        <w:rPr/>
        <w:t>español</w:t>
      </w:r>
      <w:r>
        <w:rPr>
          <w:spacing w:val="-15"/>
        </w:rPr>
        <w:t> </w:t>
      </w:r>
      <w:r>
        <w:rPr/>
        <w:t>en</w:t>
      </w:r>
      <w:r>
        <w:rPr>
          <w:spacing w:val="-14"/>
        </w:rPr>
        <w:t> </w:t>
      </w:r>
      <w:r>
        <w:rPr/>
        <w:t>México.</w:t>
      </w:r>
      <w:r>
        <w:rPr>
          <w:spacing w:val="-14"/>
        </w:rPr>
        <w:t> </w:t>
      </w:r>
      <w:r>
        <w:rPr/>
        <w:t>Y</w:t>
      </w:r>
      <w:r>
        <w:rPr>
          <w:spacing w:val="-17"/>
        </w:rPr>
        <w:t> </w:t>
      </w:r>
      <w:r>
        <w:rPr/>
        <w:t>recalca</w:t>
      </w:r>
      <w:r>
        <w:rPr>
          <w:spacing w:val="-14"/>
        </w:rPr>
        <w:t> </w:t>
      </w:r>
      <w:r>
        <w:rPr/>
        <w:t>que</w:t>
      </w:r>
      <w:r>
        <w:rPr>
          <w:spacing w:val="-14"/>
        </w:rPr>
        <w:t> </w:t>
      </w:r>
      <w:r>
        <w:rPr/>
        <w:t>en</w:t>
      </w:r>
      <w:r>
        <w:rPr>
          <w:spacing w:val="-17"/>
        </w:rPr>
        <w:t> </w:t>
      </w:r>
      <w:r>
        <w:rPr/>
        <w:t>este</w:t>
      </w:r>
      <w:r>
        <w:rPr>
          <w:spacing w:val="-16"/>
        </w:rPr>
        <w:t> </w:t>
      </w:r>
      <w:r>
        <w:rPr/>
        <w:t>proceso</w:t>
      </w:r>
      <w:r>
        <w:rPr>
          <w:spacing w:val="-14"/>
        </w:rPr>
        <w:t> </w:t>
      </w:r>
      <w:r>
        <w:rPr/>
        <w:t>no</w:t>
      </w:r>
      <w:r>
        <w:rPr>
          <w:spacing w:val="-14"/>
        </w:rPr>
        <w:t> </w:t>
      </w:r>
      <w:r>
        <w:rPr/>
        <w:t>sólo se transfiere una lengua, sino la cultura también a lo que le llama </w:t>
      </w:r>
      <w:r>
        <w:rPr>
          <w:i/>
        </w:rPr>
        <w:t>cultural</w:t>
      </w:r>
      <w:r>
        <w:rPr>
          <w:i/>
          <w:spacing w:val="-20"/>
        </w:rPr>
        <w:t> </w:t>
      </w:r>
      <w:r>
        <w:rPr>
          <w:i/>
        </w:rPr>
        <w:t>transposition</w:t>
      </w:r>
      <w:r>
        <w:rPr/>
        <w:t>.</w:t>
      </w:r>
    </w:p>
    <w:p>
      <w:pPr>
        <w:pStyle w:val="BodyText"/>
        <w:spacing w:line="360" w:lineRule="auto" w:before="206"/>
        <w:ind w:left="102" w:right="106" w:firstLine="707"/>
        <w:jc w:val="both"/>
      </w:pPr>
      <w:r>
        <w:rPr/>
        <w:t>Para Prieto (2005) el inglés es el idioma que más palabras ha aportado a otros idiomas, y lo justifica proveyendo dos razones primordiales: 1) por ser una lengua dominante y por poseer prestigio lingüístico, y 2) añade que los adelantos científicos y tecnológicos son determinantes en este proceso: “El 80% de las comunicaciones en la internet se hacen en inglés” (Prieto, 2005: 105).</w:t>
      </w:r>
    </w:p>
    <w:p>
      <w:pPr>
        <w:pStyle w:val="BodyText"/>
        <w:spacing w:line="360" w:lineRule="auto" w:before="204"/>
        <w:ind w:left="102" w:right="109" w:firstLine="707"/>
        <w:jc w:val="both"/>
      </w:pPr>
      <w:r>
        <w:rPr/>
        <w:t>La</w:t>
      </w:r>
      <w:r>
        <w:rPr>
          <w:spacing w:val="-8"/>
        </w:rPr>
        <w:t> </w:t>
      </w:r>
      <w:r>
        <w:rPr/>
        <w:t>importancia</w:t>
      </w:r>
      <w:r>
        <w:rPr>
          <w:spacing w:val="-11"/>
        </w:rPr>
        <w:t> </w:t>
      </w:r>
      <w:r>
        <w:rPr/>
        <w:t>de</w:t>
      </w:r>
      <w:r>
        <w:rPr>
          <w:spacing w:val="-11"/>
        </w:rPr>
        <w:t> </w:t>
      </w:r>
      <w:r>
        <w:rPr/>
        <w:t>añadir</w:t>
      </w:r>
      <w:r>
        <w:rPr>
          <w:spacing w:val="-10"/>
        </w:rPr>
        <w:t> </w:t>
      </w:r>
      <w:r>
        <w:rPr/>
        <w:t>la</w:t>
      </w:r>
      <w:r>
        <w:rPr>
          <w:spacing w:val="-9"/>
        </w:rPr>
        <w:t> </w:t>
      </w:r>
      <w:r>
        <w:rPr/>
        <w:t>cita</w:t>
      </w:r>
      <w:r>
        <w:rPr>
          <w:spacing w:val="-11"/>
        </w:rPr>
        <w:t> </w:t>
      </w:r>
      <w:r>
        <w:rPr/>
        <w:t>anterior</w:t>
      </w:r>
      <w:r>
        <w:rPr>
          <w:spacing w:val="-12"/>
        </w:rPr>
        <w:t> </w:t>
      </w:r>
      <w:r>
        <w:rPr/>
        <w:t>de</w:t>
      </w:r>
      <w:r>
        <w:rPr>
          <w:spacing w:val="-11"/>
        </w:rPr>
        <w:t> </w:t>
      </w:r>
      <w:r>
        <w:rPr/>
        <w:t>Prieto</w:t>
      </w:r>
      <w:r>
        <w:rPr>
          <w:spacing w:val="-5"/>
        </w:rPr>
        <w:t> </w:t>
      </w:r>
      <w:r>
        <w:rPr/>
        <w:t>es</w:t>
      </w:r>
      <w:r>
        <w:rPr>
          <w:spacing w:val="-12"/>
        </w:rPr>
        <w:t> </w:t>
      </w:r>
      <w:r>
        <w:rPr/>
        <w:t>para</w:t>
      </w:r>
      <w:r>
        <w:rPr>
          <w:spacing w:val="-11"/>
        </w:rPr>
        <w:t> </w:t>
      </w:r>
      <w:r>
        <w:rPr/>
        <w:t>indicarle</w:t>
      </w:r>
      <w:r>
        <w:rPr>
          <w:spacing w:val="-11"/>
        </w:rPr>
        <w:t> </w:t>
      </w:r>
      <w:r>
        <w:rPr/>
        <w:t>al</w:t>
      </w:r>
      <w:r>
        <w:rPr>
          <w:spacing w:val="-12"/>
        </w:rPr>
        <w:t> </w:t>
      </w:r>
      <w:r>
        <w:rPr/>
        <w:t>lector</w:t>
      </w:r>
      <w:r>
        <w:rPr>
          <w:spacing w:val="-12"/>
        </w:rPr>
        <w:t> </w:t>
      </w:r>
      <w:r>
        <w:rPr/>
        <w:t>que</w:t>
      </w:r>
      <w:r>
        <w:rPr>
          <w:spacing w:val="-8"/>
        </w:rPr>
        <w:t> </w:t>
      </w:r>
      <w:r>
        <w:rPr/>
        <w:t>los medios</w:t>
      </w:r>
      <w:r>
        <w:rPr>
          <w:spacing w:val="-8"/>
        </w:rPr>
        <w:t> </w:t>
      </w:r>
      <w:r>
        <w:rPr/>
        <w:t>masivos</w:t>
      </w:r>
      <w:r>
        <w:rPr>
          <w:spacing w:val="-8"/>
        </w:rPr>
        <w:t> </w:t>
      </w:r>
      <w:r>
        <w:rPr/>
        <w:t>de</w:t>
      </w:r>
      <w:r>
        <w:rPr>
          <w:spacing w:val="-7"/>
        </w:rPr>
        <w:t> </w:t>
      </w:r>
      <w:r>
        <w:rPr/>
        <w:t>comunicación</w:t>
      </w:r>
      <w:r>
        <w:rPr>
          <w:spacing w:val="-7"/>
        </w:rPr>
        <w:t> </w:t>
      </w:r>
      <w:r>
        <w:rPr/>
        <w:t>son</w:t>
      </w:r>
      <w:r>
        <w:rPr>
          <w:spacing w:val="-7"/>
        </w:rPr>
        <w:t> </w:t>
      </w:r>
      <w:r>
        <w:rPr/>
        <w:t>un</w:t>
      </w:r>
      <w:r>
        <w:rPr>
          <w:spacing w:val="-7"/>
        </w:rPr>
        <w:t> </w:t>
      </w:r>
      <w:r>
        <w:rPr/>
        <w:t>potente</w:t>
      </w:r>
      <w:r>
        <w:rPr>
          <w:spacing w:val="-7"/>
        </w:rPr>
        <w:t> </w:t>
      </w:r>
      <w:r>
        <w:rPr/>
        <w:t>introductor</w:t>
      </w:r>
      <w:r>
        <w:rPr>
          <w:spacing w:val="-8"/>
        </w:rPr>
        <w:t> </w:t>
      </w:r>
      <w:r>
        <w:rPr/>
        <w:t>de</w:t>
      </w:r>
      <w:r>
        <w:rPr>
          <w:spacing w:val="-7"/>
        </w:rPr>
        <w:t> </w:t>
      </w:r>
      <w:r>
        <w:rPr/>
        <w:t>anglicismos,</w:t>
      </w:r>
      <w:r>
        <w:rPr>
          <w:spacing w:val="-7"/>
        </w:rPr>
        <w:t> </w:t>
      </w:r>
      <w:r>
        <w:rPr/>
        <w:t>y</w:t>
      </w:r>
      <w:r>
        <w:rPr>
          <w:spacing w:val="-10"/>
        </w:rPr>
        <w:t> </w:t>
      </w:r>
      <w:r>
        <w:rPr/>
        <w:t>que</w:t>
      </w:r>
      <w:r>
        <w:rPr>
          <w:spacing w:val="-7"/>
        </w:rPr>
        <w:t> </w:t>
      </w:r>
      <w:r>
        <w:rPr/>
        <w:t>estos anglicismos son de los que presentan mayor frecuencia de uso debido a las exigencias tecnológicas y sociales que la actualidad impone (García, 2011). Asimismo, vale la pena adelantar</w:t>
      </w:r>
      <w:r>
        <w:rPr>
          <w:spacing w:val="-11"/>
        </w:rPr>
        <w:t> </w:t>
      </w:r>
      <w:r>
        <w:rPr/>
        <w:t>que</w:t>
      </w:r>
      <w:r>
        <w:rPr>
          <w:spacing w:val="-9"/>
        </w:rPr>
        <w:t> </w:t>
      </w:r>
      <w:r>
        <w:rPr/>
        <w:t>el</w:t>
      </w:r>
      <w:r>
        <w:rPr>
          <w:spacing w:val="-13"/>
        </w:rPr>
        <w:t> </w:t>
      </w:r>
      <w:r>
        <w:rPr/>
        <w:t>instrumento</w:t>
      </w:r>
      <w:r>
        <w:rPr>
          <w:spacing w:val="-11"/>
        </w:rPr>
        <w:t> </w:t>
      </w:r>
      <w:r>
        <w:rPr/>
        <w:t>empleado</w:t>
      </w:r>
      <w:r>
        <w:rPr>
          <w:spacing w:val="-12"/>
        </w:rPr>
        <w:t> </w:t>
      </w:r>
      <w:r>
        <w:rPr/>
        <w:t>en</w:t>
      </w:r>
      <w:r>
        <w:rPr>
          <w:spacing w:val="-9"/>
        </w:rPr>
        <w:t> </w:t>
      </w:r>
      <w:r>
        <w:rPr/>
        <w:t>esta</w:t>
      </w:r>
      <w:r>
        <w:rPr>
          <w:spacing w:val="-9"/>
        </w:rPr>
        <w:t> </w:t>
      </w:r>
      <w:r>
        <w:rPr/>
        <w:t>investigación</w:t>
      </w:r>
      <w:r>
        <w:rPr>
          <w:spacing w:val="-11"/>
        </w:rPr>
        <w:t> </w:t>
      </w:r>
      <w:r>
        <w:rPr/>
        <w:t>basa</w:t>
      </w:r>
      <w:r>
        <w:rPr>
          <w:spacing w:val="-9"/>
        </w:rPr>
        <w:t> </w:t>
      </w:r>
      <w:r>
        <w:rPr/>
        <w:t>su</w:t>
      </w:r>
      <w:r>
        <w:rPr>
          <w:spacing w:val="-9"/>
        </w:rPr>
        <w:t> </w:t>
      </w:r>
      <w:r>
        <w:rPr/>
        <w:t>contenido</w:t>
      </w:r>
      <w:r>
        <w:rPr>
          <w:spacing w:val="-11"/>
        </w:rPr>
        <w:t> </w:t>
      </w:r>
      <w:r>
        <w:rPr/>
        <w:t>léxico</w:t>
      </w:r>
      <w:r>
        <w:rPr>
          <w:spacing w:val="-10"/>
        </w:rPr>
        <w:t> </w:t>
      </w:r>
      <w:r>
        <w:rPr/>
        <w:t>en el uso de anglicismos a partir del internet y las nuevas</w:t>
      </w:r>
      <w:r>
        <w:rPr>
          <w:spacing w:val="-29"/>
        </w:rPr>
        <w:t> </w:t>
      </w:r>
      <w:r>
        <w:rPr/>
        <w:t>tecnologías.</w:t>
      </w:r>
    </w:p>
    <w:p>
      <w:pPr>
        <w:pStyle w:val="BodyText"/>
        <w:spacing w:line="360" w:lineRule="auto" w:before="202"/>
        <w:ind w:left="102" w:right="111" w:firstLine="707"/>
        <w:jc w:val="both"/>
      </w:pPr>
      <w:r>
        <w:rPr/>
        <w:t>Estos fenómenos (de adstrato, </w:t>
      </w:r>
      <w:r>
        <w:rPr>
          <w:i/>
        </w:rPr>
        <w:t>cultural transpositon </w:t>
      </w:r>
      <w:r>
        <w:rPr/>
        <w:t>y expansión de una lengua) muestran</w:t>
      </w:r>
      <w:r>
        <w:rPr>
          <w:spacing w:val="-6"/>
        </w:rPr>
        <w:t> </w:t>
      </w:r>
      <w:r>
        <w:rPr/>
        <w:t>los</w:t>
      </w:r>
      <w:r>
        <w:rPr>
          <w:spacing w:val="-9"/>
        </w:rPr>
        <w:t> </w:t>
      </w:r>
      <w:r>
        <w:rPr/>
        <w:t>diferentes</w:t>
      </w:r>
      <w:r>
        <w:rPr>
          <w:spacing w:val="-7"/>
        </w:rPr>
        <w:t> </w:t>
      </w:r>
      <w:r>
        <w:rPr/>
        <w:t>cambios</w:t>
      </w:r>
      <w:r>
        <w:rPr>
          <w:spacing w:val="-6"/>
        </w:rPr>
        <w:t> </w:t>
      </w:r>
      <w:r>
        <w:rPr/>
        <w:t>que</w:t>
      </w:r>
      <w:r>
        <w:rPr>
          <w:spacing w:val="-6"/>
        </w:rPr>
        <w:t> </w:t>
      </w:r>
      <w:r>
        <w:rPr/>
        <w:t>puede</w:t>
      </w:r>
      <w:r>
        <w:rPr>
          <w:spacing w:val="-8"/>
        </w:rPr>
        <w:t> </w:t>
      </w:r>
      <w:r>
        <w:rPr/>
        <w:t>provocar</w:t>
      </w:r>
      <w:r>
        <w:rPr>
          <w:spacing w:val="-7"/>
        </w:rPr>
        <w:t> </w:t>
      </w:r>
      <w:r>
        <w:rPr/>
        <w:t>el</w:t>
      </w:r>
      <w:r>
        <w:rPr>
          <w:spacing w:val="-7"/>
        </w:rPr>
        <w:t> </w:t>
      </w:r>
      <w:r>
        <w:rPr/>
        <w:t>contacto</w:t>
      </w:r>
      <w:r>
        <w:rPr>
          <w:spacing w:val="-8"/>
        </w:rPr>
        <w:t> </w:t>
      </w:r>
      <w:r>
        <w:rPr/>
        <w:t>entre</w:t>
      </w:r>
      <w:r>
        <w:rPr>
          <w:spacing w:val="-6"/>
        </w:rPr>
        <w:t> </w:t>
      </w:r>
      <w:r>
        <w:rPr/>
        <w:t>lenguas,</w:t>
      </w:r>
      <w:r>
        <w:rPr>
          <w:spacing w:val="-6"/>
        </w:rPr>
        <w:t> </w:t>
      </w:r>
      <w:r>
        <w:rPr/>
        <w:t>debido</w:t>
      </w:r>
      <w:r>
        <w:rPr>
          <w:spacing w:val="-8"/>
        </w:rPr>
        <w:t> </w:t>
      </w:r>
      <w:r>
        <w:rPr/>
        <w:t>a la relación entre hablantes de distintas lenguas (en este caso inglés y español) que producen un efecto de </w:t>
      </w:r>
      <w:r>
        <w:rPr>
          <w:i/>
        </w:rPr>
        <w:t>monolingüismo productivo</w:t>
      </w:r>
      <w:r>
        <w:rPr/>
        <w:t>, según Charles Hocket (1971), que resulta en el enriquecimiento de las dos</w:t>
      </w:r>
      <w:r>
        <w:rPr>
          <w:spacing w:val="-14"/>
        </w:rPr>
        <w:t> </w:t>
      </w:r>
      <w:r>
        <w:rPr/>
        <w:t>lenguas.</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8" w:firstLine="707"/>
        <w:jc w:val="both"/>
      </w:pPr>
      <w:r>
        <w:rPr/>
        <w:t>La influencia de los distintos elementos lingüísticos se puede dar a cualquier nivel de</w:t>
      </w:r>
      <w:r>
        <w:rPr>
          <w:spacing w:val="-18"/>
        </w:rPr>
        <w:t> </w:t>
      </w:r>
      <w:r>
        <w:rPr/>
        <w:t>la</w:t>
      </w:r>
      <w:r>
        <w:rPr>
          <w:spacing w:val="-18"/>
        </w:rPr>
        <w:t> </w:t>
      </w:r>
      <w:r>
        <w:rPr/>
        <w:t>lengua,</w:t>
      </w:r>
      <w:r>
        <w:rPr>
          <w:spacing w:val="-18"/>
        </w:rPr>
        <w:t> </w:t>
      </w:r>
      <w:r>
        <w:rPr/>
        <w:t>Juhász</w:t>
      </w:r>
      <w:r>
        <w:rPr>
          <w:spacing w:val="-21"/>
        </w:rPr>
        <w:t> </w:t>
      </w:r>
      <w:r>
        <w:rPr/>
        <w:t>(1970,</w:t>
      </w:r>
      <w:r>
        <w:rPr>
          <w:spacing w:val="-21"/>
        </w:rPr>
        <w:t> </w:t>
      </w:r>
      <w:r>
        <w:rPr/>
        <w:t>en</w:t>
      </w:r>
      <w:r>
        <w:rPr>
          <w:spacing w:val="-20"/>
        </w:rPr>
        <w:t> </w:t>
      </w:r>
      <w:r>
        <w:rPr/>
        <w:t>Ebneter,</w:t>
      </w:r>
      <w:r>
        <w:rPr>
          <w:spacing w:val="-21"/>
        </w:rPr>
        <w:t> </w:t>
      </w:r>
      <w:r>
        <w:rPr/>
        <w:t>1982:123)</w:t>
      </w:r>
      <w:r>
        <w:rPr>
          <w:spacing w:val="-19"/>
        </w:rPr>
        <w:t> </w:t>
      </w:r>
      <w:r>
        <w:rPr/>
        <w:t>explica</w:t>
      </w:r>
      <w:r>
        <w:rPr>
          <w:spacing w:val="-18"/>
        </w:rPr>
        <w:t> </w:t>
      </w:r>
      <w:r>
        <w:rPr/>
        <w:t>“en</w:t>
      </w:r>
      <w:r>
        <w:rPr>
          <w:spacing w:val="-20"/>
        </w:rPr>
        <w:t> </w:t>
      </w:r>
      <w:r>
        <w:rPr/>
        <w:t>el</w:t>
      </w:r>
      <w:r>
        <w:rPr>
          <w:spacing w:val="-19"/>
        </w:rPr>
        <w:t> </w:t>
      </w:r>
      <w:r>
        <w:rPr/>
        <w:t>plano</w:t>
      </w:r>
      <w:r>
        <w:rPr>
          <w:spacing w:val="-20"/>
        </w:rPr>
        <w:t> </w:t>
      </w:r>
      <w:r>
        <w:rPr/>
        <w:t>fónico</w:t>
      </w:r>
      <w:r>
        <w:rPr>
          <w:spacing w:val="-18"/>
        </w:rPr>
        <w:t> </w:t>
      </w:r>
      <w:r>
        <w:rPr/>
        <w:t>morfológico, léxico o sintáctico. Esta interferencia parcial, permite la introducción de extranjerismos como los</w:t>
      </w:r>
      <w:r>
        <w:rPr>
          <w:spacing w:val="-6"/>
        </w:rPr>
        <w:t> </w:t>
      </w:r>
      <w:r>
        <w:rPr/>
        <w:t>anglicismos”.</w:t>
      </w:r>
    </w:p>
    <w:p>
      <w:pPr>
        <w:pStyle w:val="BodyText"/>
        <w:spacing w:line="360" w:lineRule="auto" w:before="204"/>
        <w:ind w:left="102" w:right="111" w:firstLine="707"/>
        <w:jc w:val="both"/>
      </w:pPr>
      <w:r>
        <w:rPr/>
        <w:t>En resumen, el uso determinará la frecuencia y el tipo de anglicismos que se añadan al habla cotidiana de los hablantes, enriqueciendo o desplazando una lengua (cuestión que no se presenta en México con referencia al inglés). Lo que los fortalecerá será el imposible aislamiento entre comunidades; la globalización y los medios de comunicación que rompen las barreras de la cultura y la lengua; y a la sociedad misma “porque a muchos les parece elegante usar términos anglosajones en vez de los que ya existen en sus propias lenguas” (Prieto, 2005: 105).</w:t>
      </w:r>
    </w:p>
    <w:p>
      <w:pPr>
        <w:pStyle w:val="BodyText"/>
      </w:pPr>
    </w:p>
    <w:p>
      <w:pPr>
        <w:pStyle w:val="BodyText"/>
      </w:pPr>
    </w:p>
    <w:p>
      <w:pPr>
        <w:pStyle w:val="BodyText"/>
        <w:spacing w:before="2"/>
        <w:rPr>
          <w:sz w:val="23"/>
        </w:rPr>
      </w:pPr>
    </w:p>
    <w:p>
      <w:pPr>
        <w:pStyle w:val="Heading1"/>
        <w:ind w:right="339"/>
      </w:pPr>
      <w:r>
        <w:rPr/>
        <w:t>1.3.1. La influencia del inglés y los Estados Unidos en México</w:t>
      </w:r>
    </w:p>
    <w:p>
      <w:pPr>
        <w:pStyle w:val="BodyText"/>
        <w:spacing w:before="2"/>
        <w:rPr>
          <w:b/>
          <w:sz w:val="29"/>
        </w:rPr>
      </w:pPr>
    </w:p>
    <w:p>
      <w:pPr>
        <w:pStyle w:val="BodyText"/>
        <w:spacing w:line="360" w:lineRule="auto"/>
        <w:ind w:left="102" w:right="106" w:firstLine="707"/>
        <w:jc w:val="both"/>
      </w:pPr>
      <w:r>
        <w:rPr/>
        <w:t>La historia de un país con identidad social y lingüística propia influye en las costumbres</w:t>
      </w:r>
      <w:r>
        <w:rPr>
          <w:spacing w:val="-4"/>
        </w:rPr>
        <w:t> </w:t>
      </w:r>
      <w:r>
        <w:rPr/>
        <w:t>y</w:t>
      </w:r>
      <w:r>
        <w:rPr>
          <w:spacing w:val="-7"/>
        </w:rPr>
        <w:t> </w:t>
      </w:r>
      <w:r>
        <w:rPr/>
        <w:t>usos</w:t>
      </w:r>
      <w:r>
        <w:rPr>
          <w:spacing w:val="-4"/>
        </w:rPr>
        <w:t> </w:t>
      </w:r>
      <w:r>
        <w:rPr/>
        <w:t>de</w:t>
      </w:r>
      <w:r>
        <w:rPr>
          <w:spacing w:val="-4"/>
        </w:rPr>
        <w:t> </w:t>
      </w:r>
      <w:r>
        <w:rPr/>
        <w:t>la</w:t>
      </w:r>
      <w:r>
        <w:rPr>
          <w:spacing w:val="-4"/>
        </w:rPr>
        <w:t> </w:t>
      </w:r>
      <w:r>
        <w:rPr/>
        <w:t>lengua</w:t>
      </w:r>
      <w:r>
        <w:rPr>
          <w:spacing w:val="-4"/>
        </w:rPr>
        <w:t> </w:t>
      </w:r>
      <w:r>
        <w:rPr/>
        <w:t>de</w:t>
      </w:r>
      <w:r>
        <w:rPr>
          <w:spacing w:val="-4"/>
        </w:rPr>
        <w:t> </w:t>
      </w:r>
      <w:r>
        <w:rPr/>
        <w:t>la</w:t>
      </w:r>
      <w:r>
        <w:rPr>
          <w:spacing w:val="-6"/>
        </w:rPr>
        <w:t> </w:t>
      </w:r>
      <w:r>
        <w:rPr/>
        <w:t>misma</w:t>
      </w:r>
      <w:r>
        <w:rPr>
          <w:spacing w:val="-6"/>
        </w:rPr>
        <w:t> </w:t>
      </w:r>
      <w:r>
        <w:rPr/>
        <w:t>población.</w:t>
      </w:r>
      <w:r>
        <w:rPr>
          <w:spacing w:val="-4"/>
        </w:rPr>
        <w:t> </w:t>
      </w:r>
      <w:r>
        <w:rPr/>
        <w:t>Los</w:t>
      </w:r>
      <w:r>
        <w:rPr>
          <w:spacing w:val="-4"/>
        </w:rPr>
        <w:t> </w:t>
      </w:r>
      <w:r>
        <w:rPr/>
        <w:t>hechos</w:t>
      </w:r>
      <w:r>
        <w:rPr>
          <w:spacing w:val="-7"/>
        </w:rPr>
        <w:t> </w:t>
      </w:r>
      <w:r>
        <w:rPr/>
        <w:t>históricos</w:t>
      </w:r>
      <w:r>
        <w:rPr>
          <w:spacing w:val="-4"/>
        </w:rPr>
        <w:t> </w:t>
      </w:r>
      <w:r>
        <w:rPr/>
        <w:t>en</w:t>
      </w:r>
      <w:r>
        <w:rPr>
          <w:spacing w:val="-4"/>
        </w:rPr>
        <w:t> </w:t>
      </w:r>
      <w:r>
        <w:rPr/>
        <w:t>México dictan</w:t>
      </w:r>
      <w:r>
        <w:rPr>
          <w:spacing w:val="-12"/>
        </w:rPr>
        <w:t> </w:t>
      </w:r>
      <w:r>
        <w:rPr/>
        <w:t>que</w:t>
      </w:r>
      <w:r>
        <w:rPr>
          <w:spacing w:val="-12"/>
        </w:rPr>
        <w:t> </w:t>
      </w:r>
      <w:r>
        <w:rPr/>
        <w:t>el</w:t>
      </w:r>
      <w:r>
        <w:rPr>
          <w:spacing w:val="-13"/>
        </w:rPr>
        <w:t> </w:t>
      </w:r>
      <w:r>
        <w:rPr/>
        <w:t>país</w:t>
      </w:r>
      <w:r>
        <w:rPr>
          <w:spacing w:val="-10"/>
        </w:rPr>
        <w:t> </w:t>
      </w:r>
      <w:r>
        <w:rPr/>
        <w:t>ha</w:t>
      </w:r>
      <w:r>
        <w:rPr>
          <w:spacing w:val="-9"/>
        </w:rPr>
        <w:t> </w:t>
      </w:r>
      <w:r>
        <w:rPr/>
        <w:t>sido</w:t>
      </w:r>
      <w:r>
        <w:rPr>
          <w:spacing w:val="-9"/>
        </w:rPr>
        <w:t> </w:t>
      </w:r>
      <w:r>
        <w:rPr/>
        <w:t>influenciado</w:t>
      </w:r>
      <w:r>
        <w:rPr>
          <w:spacing w:val="-9"/>
        </w:rPr>
        <w:t> </w:t>
      </w:r>
      <w:r>
        <w:rPr/>
        <w:t>lingüísticamente</w:t>
      </w:r>
      <w:r>
        <w:rPr>
          <w:spacing w:val="-11"/>
        </w:rPr>
        <w:t> </w:t>
      </w:r>
      <w:r>
        <w:rPr/>
        <w:t>por</w:t>
      </w:r>
      <w:r>
        <w:rPr>
          <w:spacing w:val="-11"/>
        </w:rPr>
        <w:t> </w:t>
      </w:r>
      <w:r>
        <w:rPr/>
        <w:t>varios</w:t>
      </w:r>
      <w:r>
        <w:rPr>
          <w:spacing w:val="-10"/>
        </w:rPr>
        <w:t> </w:t>
      </w:r>
      <w:r>
        <w:rPr/>
        <w:t>países,</w:t>
      </w:r>
      <w:r>
        <w:rPr>
          <w:spacing w:val="-10"/>
        </w:rPr>
        <w:t> </w:t>
      </w:r>
      <w:r>
        <w:rPr/>
        <w:t>en</w:t>
      </w:r>
      <w:r>
        <w:rPr>
          <w:spacing w:val="-12"/>
        </w:rPr>
        <w:t> </w:t>
      </w:r>
      <w:r>
        <w:rPr/>
        <w:t>primer</w:t>
      </w:r>
      <w:r>
        <w:rPr>
          <w:spacing w:val="-11"/>
        </w:rPr>
        <w:t> </w:t>
      </w:r>
      <w:r>
        <w:rPr/>
        <w:t>lugar Francia. El francés en México es perceptible en tiempos coloniales y se multiplica después de la Independencia, pero durante el porfiriato fue cuando la influencia de la cultura</w:t>
      </w:r>
      <w:r>
        <w:rPr>
          <w:spacing w:val="-7"/>
        </w:rPr>
        <w:t> </w:t>
      </w:r>
      <w:r>
        <w:rPr/>
        <w:t>y</w:t>
      </w:r>
      <w:r>
        <w:rPr>
          <w:spacing w:val="-9"/>
        </w:rPr>
        <w:t> </w:t>
      </w:r>
      <w:r>
        <w:rPr/>
        <w:t>lengua</w:t>
      </w:r>
      <w:r>
        <w:rPr>
          <w:spacing w:val="-11"/>
        </w:rPr>
        <w:t> </w:t>
      </w:r>
      <w:r>
        <w:rPr/>
        <w:t>francesa</w:t>
      </w:r>
      <w:r>
        <w:rPr>
          <w:spacing w:val="-6"/>
        </w:rPr>
        <w:t> </w:t>
      </w:r>
      <w:r>
        <w:rPr/>
        <w:t>dictaba</w:t>
      </w:r>
      <w:r>
        <w:rPr>
          <w:spacing w:val="-8"/>
        </w:rPr>
        <w:t> </w:t>
      </w:r>
      <w:r>
        <w:rPr/>
        <w:t>las</w:t>
      </w:r>
      <w:r>
        <w:rPr>
          <w:spacing w:val="-6"/>
        </w:rPr>
        <w:t> </w:t>
      </w:r>
      <w:r>
        <w:rPr/>
        <w:t>clases</w:t>
      </w:r>
      <w:r>
        <w:rPr>
          <w:spacing w:val="-7"/>
        </w:rPr>
        <w:t> </w:t>
      </w:r>
      <w:r>
        <w:rPr/>
        <w:t>acomodadas</w:t>
      </w:r>
      <w:r>
        <w:rPr>
          <w:spacing w:val="-7"/>
        </w:rPr>
        <w:t> </w:t>
      </w:r>
      <w:r>
        <w:rPr/>
        <w:t>y</w:t>
      </w:r>
      <w:r>
        <w:rPr>
          <w:spacing w:val="-9"/>
        </w:rPr>
        <w:t> </w:t>
      </w:r>
      <w:r>
        <w:rPr/>
        <w:t>se</w:t>
      </w:r>
      <w:r>
        <w:rPr>
          <w:spacing w:val="-8"/>
        </w:rPr>
        <w:t> </w:t>
      </w:r>
      <w:r>
        <w:rPr/>
        <w:t>percibía</w:t>
      </w:r>
      <w:r>
        <w:rPr>
          <w:spacing w:val="-6"/>
        </w:rPr>
        <w:t> </w:t>
      </w:r>
      <w:r>
        <w:rPr/>
        <w:t>como</w:t>
      </w:r>
      <w:r>
        <w:rPr>
          <w:spacing w:val="-8"/>
        </w:rPr>
        <w:t> </w:t>
      </w:r>
      <w:r>
        <w:rPr/>
        <w:t>de</w:t>
      </w:r>
      <w:r>
        <w:rPr>
          <w:spacing w:val="-6"/>
        </w:rPr>
        <w:t> </w:t>
      </w:r>
      <w:r>
        <w:rPr/>
        <w:t>prestigio marcando la </w:t>
      </w:r>
      <w:r>
        <w:rPr>
          <w:i/>
        </w:rPr>
        <w:t>Belle Époque, </w:t>
      </w:r>
      <w:r>
        <w:rPr/>
        <w:t>dejando como huella de su legado un gran repertorio léxico (Rebeca Barriga y Pedro Martín Butragueño,</w:t>
      </w:r>
      <w:r>
        <w:rPr>
          <w:spacing w:val="-20"/>
        </w:rPr>
        <w:t> </w:t>
      </w:r>
      <w:r>
        <w:rPr/>
        <w:t>2010).</w:t>
      </w:r>
    </w:p>
    <w:p>
      <w:pPr>
        <w:spacing w:line="360" w:lineRule="auto" w:before="204"/>
        <w:ind w:left="102" w:right="108" w:firstLine="707"/>
        <w:jc w:val="both"/>
        <w:rPr>
          <w:sz w:val="24"/>
        </w:rPr>
      </w:pPr>
      <w:r>
        <w:rPr>
          <w:sz w:val="24"/>
        </w:rPr>
        <w:t>Tardíamente, el inglés y la cultura americana se hacen notar hasta el siglo XVIII. Posteriormente se empiezan a introducir los anglicismos como parte del vocabulario general del español, ejemplo: </w:t>
      </w:r>
      <w:r>
        <w:rPr>
          <w:i/>
          <w:sz w:val="24"/>
        </w:rPr>
        <w:t>vagón, tranvía, yate, bote, confort, mitin, líder, reportero, </w:t>
      </w:r>
      <w:r>
        <w:rPr>
          <w:i/>
          <w:sz w:val="24"/>
        </w:rPr>
        <w:t>revolver, turista, futbol, tenis, golf</w:t>
      </w:r>
      <w:r>
        <w:rPr>
          <w:sz w:val="24"/>
        </w:rPr>
        <w:t>, entre otros que se usan de manera indiferente en la actualidad (Barriga y Butragueño, 2010).</w:t>
      </w:r>
    </w:p>
    <w:p>
      <w:pPr>
        <w:spacing w:after="0" w:line="360" w:lineRule="auto"/>
        <w:jc w:val="both"/>
        <w:rPr>
          <w:sz w:val="24"/>
        </w:rPr>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10" w:firstLine="707"/>
        <w:jc w:val="both"/>
      </w:pPr>
      <w:r>
        <w:rPr/>
        <w:t>De acuerdo con Rafael Lapesa (1984, en Barriga y Butragueño, 2010: 1202) “el fenómeno se produce primero en los países hispanoamericanos estrechamente afectados</w:t>
      </w:r>
      <w:r>
        <w:rPr>
          <w:spacing w:val="-14"/>
        </w:rPr>
        <w:t> </w:t>
      </w:r>
      <w:r>
        <w:rPr/>
        <w:t>por</w:t>
      </w:r>
      <w:r>
        <w:rPr>
          <w:spacing w:val="-12"/>
        </w:rPr>
        <w:t> </w:t>
      </w:r>
      <w:r>
        <w:rPr/>
        <w:t>el</w:t>
      </w:r>
      <w:r>
        <w:rPr>
          <w:spacing w:val="-12"/>
        </w:rPr>
        <w:t> </w:t>
      </w:r>
      <w:r>
        <w:rPr/>
        <w:t>auge</w:t>
      </w:r>
      <w:r>
        <w:rPr>
          <w:spacing w:val="-13"/>
        </w:rPr>
        <w:t> </w:t>
      </w:r>
      <w:r>
        <w:rPr/>
        <w:t>político</w:t>
      </w:r>
      <w:r>
        <w:rPr>
          <w:spacing w:val="-11"/>
        </w:rPr>
        <w:t> </w:t>
      </w:r>
      <w:r>
        <w:rPr/>
        <w:t>y</w:t>
      </w:r>
      <w:r>
        <w:rPr>
          <w:spacing w:val="-14"/>
        </w:rPr>
        <w:t> </w:t>
      </w:r>
      <w:r>
        <w:rPr/>
        <w:t>económico</w:t>
      </w:r>
      <w:r>
        <w:rPr>
          <w:spacing w:val="-11"/>
        </w:rPr>
        <w:t> </w:t>
      </w:r>
      <w:r>
        <w:rPr/>
        <w:t>de</w:t>
      </w:r>
      <w:r>
        <w:rPr>
          <w:spacing w:val="-11"/>
        </w:rPr>
        <w:t> </w:t>
      </w:r>
      <w:r>
        <w:rPr/>
        <w:t>los</w:t>
      </w:r>
      <w:r>
        <w:rPr>
          <w:spacing w:val="-11"/>
        </w:rPr>
        <w:t> </w:t>
      </w:r>
      <w:r>
        <w:rPr/>
        <w:t>Estados</w:t>
      </w:r>
      <w:r>
        <w:rPr>
          <w:spacing w:val="-12"/>
        </w:rPr>
        <w:t> </w:t>
      </w:r>
      <w:r>
        <w:rPr/>
        <w:t>Unidos</w:t>
      </w:r>
      <w:r>
        <w:rPr>
          <w:spacing w:val="-12"/>
        </w:rPr>
        <w:t> </w:t>
      </w:r>
      <w:r>
        <w:rPr/>
        <w:t>y</w:t>
      </w:r>
      <w:r>
        <w:rPr>
          <w:spacing w:val="-14"/>
        </w:rPr>
        <w:t> </w:t>
      </w:r>
      <w:r>
        <w:rPr/>
        <w:t>después</w:t>
      </w:r>
      <w:r>
        <w:rPr>
          <w:spacing w:val="-12"/>
        </w:rPr>
        <w:t> </w:t>
      </w:r>
      <w:r>
        <w:rPr/>
        <w:t>en</w:t>
      </w:r>
      <w:r>
        <w:rPr>
          <w:spacing w:val="-11"/>
        </w:rPr>
        <w:t> </w:t>
      </w:r>
      <w:r>
        <w:rPr/>
        <w:t>España”. Sin</w:t>
      </w:r>
      <w:r>
        <w:rPr>
          <w:spacing w:val="-5"/>
        </w:rPr>
        <w:t> </w:t>
      </w:r>
      <w:r>
        <w:rPr/>
        <w:t>embargo,</w:t>
      </w:r>
      <w:r>
        <w:rPr>
          <w:spacing w:val="-5"/>
        </w:rPr>
        <w:t> </w:t>
      </w:r>
      <w:r>
        <w:rPr/>
        <w:t>no</w:t>
      </w:r>
      <w:r>
        <w:rPr>
          <w:spacing w:val="-7"/>
        </w:rPr>
        <w:t> </w:t>
      </w:r>
      <w:r>
        <w:rPr/>
        <w:t>todos</w:t>
      </w:r>
      <w:r>
        <w:rPr>
          <w:spacing w:val="-8"/>
        </w:rPr>
        <w:t> </w:t>
      </w:r>
      <w:r>
        <w:rPr/>
        <w:t>los</w:t>
      </w:r>
      <w:r>
        <w:rPr>
          <w:spacing w:val="-7"/>
        </w:rPr>
        <w:t> </w:t>
      </w:r>
      <w:r>
        <w:rPr/>
        <w:t>países</w:t>
      </w:r>
      <w:r>
        <w:rPr>
          <w:spacing w:val="-8"/>
        </w:rPr>
        <w:t> </w:t>
      </w:r>
      <w:r>
        <w:rPr/>
        <w:t>fueron</w:t>
      </w:r>
      <w:r>
        <w:rPr>
          <w:spacing w:val="-5"/>
        </w:rPr>
        <w:t> </w:t>
      </w:r>
      <w:r>
        <w:rPr/>
        <w:t>igualmente</w:t>
      </w:r>
      <w:r>
        <w:rPr>
          <w:spacing w:val="-6"/>
        </w:rPr>
        <w:t> </w:t>
      </w:r>
      <w:r>
        <w:rPr/>
        <w:t>afectados,</w:t>
      </w:r>
      <w:r>
        <w:rPr>
          <w:spacing w:val="-1"/>
        </w:rPr>
        <w:t> </w:t>
      </w:r>
      <w:r>
        <w:rPr/>
        <w:t>se</w:t>
      </w:r>
      <w:r>
        <w:rPr>
          <w:spacing w:val="-7"/>
        </w:rPr>
        <w:t> </w:t>
      </w:r>
      <w:r>
        <w:rPr/>
        <w:t>puede</w:t>
      </w:r>
      <w:r>
        <w:rPr>
          <w:spacing w:val="-5"/>
        </w:rPr>
        <w:t> </w:t>
      </w:r>
      <w:r>
        <w:rPr/>
        <w:t>decir</w:t>
      </w:r>
      <w:r>
        <w:rPr>
          <w:spacing w:val="-7"/>
        </w:rPr>
        <w:t> </w:t>
      </w:r>
      <w:r>
        <w:rPr/>
        <w:t>que</w:t>
      </w:r>
      <w:r>
        <w:rPr>
          <w:spacing w:val="-7"/>
        </w:rPr>
        <w:t> </w:t>
      </w:r>
      <w:r>
        <w:rPr/>
        <w:t>entre los más dañados se encuentran: las Antillas, Centroamérica y</w:t>
      </w:r>
      <w:r>
        <w:rPr>
          <w:spacing w:val="-24"/>
        </w:rPr>
        <w:t> </w:t>
      </w:r>
      <w:r>
        <w:rPr/>
        <w:t>México.</w:t>
      </w:r>
    </w:p>
    <w:p>
      <w:pPr>
        <w:pStyle w:val="BodyText"/>
        <w:spacing w:line="360" w:lineRule="auto" w:before="204"/>
        <w:ind w:left="102" w:right="114" w:firstLine="707"/>
        <w:jc w:val="both"/>
      </w:pPr>
      <w:r>
        <w:rPr/>
        <w:t>Siguiendo con los autores Barriga y Butragueño (2010: 1202), pocos anglicismos pueden</w:t>
      </w:r>
      <w:r>
        <w:rPr>
          <w:spacing w:val="-6"/>
        </w:rPr>
        <w:t> </w:t>
      </w:r>
      <w:r>
        <w:rPr/>
        <w:t>considerarse</w:t>
      </w:r>
      <w:r>
        <w:rPr>
          <w:spacing w:val="-9"/>
        </w:rPr>
        <w:t> </w:t>
      </w:r>
      <w:r>
        <w:rPr/>
        <w:t>pasajeros</w:t>
      </w:r>
      <w:r>
        <w:rPr>
          <w:spacing w:val="-7"/>
        </w:rPr>
        <w:t> </w:t>
      </w:r>
      <w:r>
        <w:rPr/>
        <w:t>y</w:t>
      </w:r>
      <w:r>
        <w:rPr>
          <w:spacing w:val="-9"/>
        </w:rPr>
        <w:t> </w:t>
      </w:r>
      <w:r>
        <w:rPr/>
        <w:t>citan</w:t>
      </w:r>
      <w:r>
        <w:rPr>
          <w:spacing w:val="-8"/>
        </w:rPr>
        <w:t> </w:t>
      </w:r>
      <w:r>
        <w:rPr/>
        <w:t>a</w:t>
      </w:r>
      <w:r>
        <w:rPr>
          <w:spacing w:val="-6"/>
        </w:rPr>
        <w:t> </w:t>
      </w:r>
      <w:r>
        <w:rPr/>
        <w:t>Emilio</w:t>
      </w:r>
      <w:r>
        <w:rPr>
          <w:spacing w:val="-6"/>
        </w:rPr>
        <w:t> </w:t>
      </w:r>
      <w:r>
        <w:rPr/>
        <w:t>Lorenzo</w:t>
      </w:r>
      <w:r>
        <w:rPr>
          <w:spacing w:val="-6"/>
        </w:rPr>
        <w:t> </w:t>
      </w:r>
      <w:r>
        <w:rPr/>
        <w:t>(1996)</w:t>
      </w:r>
      <w:r>
        <w:rPr>
          <w:spacing w:val="-7"/>
        </w:rPr>
        <w:t> </w:t>
      </w:r>
      <w:r>
        <w:rPr/>
        <w:t>“Es</w:t>
      </w:r>
      <w:r>
        <w:rPr>
          <w:spacing w:val="-7"/>
        </w:rPr>
        <w:t> </w:t>
      </w:r>
      <w:r>
        <w:rPr/>
        <w:t>el</w:t>
      </w:r>
      <w:r>
        <w:rPr>
          <w:spacing w:val="-7"/>
        </w:rPr>
        <w:t> </w:t>
      </w:r>
      <w:r>
        <w:rPr/>
        <w:t>inglés</w:t>
      </w:r>
      <w:r>
        <w:rPr>
          <w:spacing w:val="-6"/>
        </w:rPr>
        <w:t> </w:t>
      </w:r>
      <w:r>
        <w:rPr/>
        <w:t>la</w:t>
      </w:r>
      <w:r>
        <w:rPr>
          <w:spacing w:val="-6"/>
        </w:rPr>
        <w:t> </w:t>
      </w:r>
      <w:r>
        <w:rPr/>
        <w:t>lengua</w:t>
      </w:r>
      <w:r>
        <w:rPr>
          <w:spacing w:val="-8"/>
        </w:rPr>
        <w:t> </w:t>
      </w:r>
      <w:r>
        <w:rPr/>
        <w:t>en que convergen los hechos culturales (con su correlato lingüístico) en casi todas las sociedades humanas” y en este trabajo la frase anterior se deja a análisis del</w:t>
      </w:r>
      <w:r>
        <w:rPr>
          <w:spacing w:val="-29"/>
        </w:rPr>
        <w:t> </w:t>
      </w:r>
      <w:r>
        <w:rPr/>
        <w:t>lector.</w:t>
      </w:r>
    </w:p>
    <w:p>
      <w:pPr>
        <w:pStyle w:val="BodyText"/>
        <w:spacing w:line="360" w:lineRule="auto" w:before="204"/>
        <w:ind w:left="102" w:right="109" w:firstLine="707"/>
        <w:jc w:val="both"/>
      </w:pPr>
      <w:r>
        <w:rPr/>
        <w:t>Durante</w:t>
      </w:r>
      <w:r>
        <w:rPr>
          <w:spacing w:val="-6"/>
        </w:rPr>
        <w:t> </w:t>
      </w:r>
      <w:r>
        <w:rPr/>
        <w:t>las</w:t>
      </w:r>
      <w:r>
        <w:rPr>
          <w:spacing w:val="-7"/>
        </w:rPr>
        <w:t> </w:t>
      </w:r>
      <w:r>
        <w:rPr/>
        <w:t>primeras</w:t>
      </w:r>
      <w:r>
        <w:rPr>
          <w:spacing w:val="-8"/>
        </w:rPr>
        <w:t> </w:t>
      </w:r>
      <w:r>
        <w:rPr/>
        <w:t>décadas</w:t>
      </w:r>
      <w:r>
        <w:rPr>
          <w:spacing w:val="-8"/>
        </w:rPr>
        <w:t> </w:t>
      </w:r>
      <w:r>
        <w:rPr/>
        <w:t>del</w:t>
      </w:r>
      <w:r>
        <w:rPr>
          <w:spacing w:val="-6"/>
        </w:rPr>
        <w:t> </w:t>
      </w:r>
      <w:r>
        <w:rPr/>
        <w:t>siglo</w:t>
      </w:r>
      <w:r>
        <w:rPr>
          <w:spacing w:val="-7"/>
        </w:rPr>
        <w:t> </w:t>
      </w:r>
      <w:r>
        <w:rPr/>
        <w:t>pasado</w:t>
      </w:r>
      <w:r>
        <w:rPr>
          <w:spacing w:val="-5"/>
        </w:rPr>
        <w:t> </w:t>
      </w:r>
      <w:r>
        <w:rPr/>
        <w:t>(1908),</w:t>
      </w:r>
      <w:r>
        <w:rPr>
          <w:spacing w:val="-8"/>
        </w:rPr>
        <w:t> </w:t>
      </w:r>
      <w:r>
        <w:rPr/>
        <w:t>el</w:t>
      </w:r>
      <w:r>
        <w:rPr>
          <w:spacing w:val="-8"/>
        </w:rPr>
        <w:t> </w:t>
      </w:r>
      <w:r>
        <w:rPr/>
        <w:t>inglés</w:t>
      </w:r>
      <w:r>
        <w:rPr>
          <w:spacing w:val="-5"/>
        </w:rPr>
        <w:t> </w:t>
      </w:r>
      <w:r>
        <w:rPr/>
        <w:t>se</w:t>
      </w:r>
      <w:r>
        <w:rPr>
          <w:spacing w:val="-7"/>
        </w:rPr>
        <w:t> </w:t>
      </w:r>
      <w:r>
        <w:rPr/>
        <w:t>introdujo</w:t>
      </w:r>
      <w:r>
        <w:rPr>
          <w:spacing w:val="-5"/>
        </w:rPr>
        <w:t> </w:t>
      </w:r>
      <w:r>
        <w:rPr/>
        <w:t>como lengua extranjera en la mayoría de las escuelas en México, inicialmente en el nivel de educación secundaria pública y en todos los niveles en las instituciones privadas. En añadidura, los jóvenes no conformes con los conocimientos en la lengua de una manera académica, viajan año con año a países anglófonos para enriquecer su dominio y en cierta forma, comienzan a introducir en su habla cotidiana términos del inglés (Milada Bazant, 2006 en Barriga y Butragueño,</w:t>
      </w:r>
      <w:r>
        <w:rPr>
          <w:spacing w:val="-17"/>
        </w:rPr>
        <w:t> </w:t>
      </w:r>
      <w:r>
        <w:rPr/>
        <w:t>2010).</w:t>
      </w:r>
    </w:p>
    <w:p>
      <w:pPr>
        <w:pStyle w:val="BodyText"/>
        <w:spacing w:line="360" w:lineRule="auto" w:before="204"/>
        <w:ind w:left="102" w:right="106" w:firstLine="707"/>
        <w:jc w:val="both"/>
      </w:pPr>
      <w:r>
        <w:rPr/>
        <w:t>No sólo en el ámbito académico se vio el cambio, el mundo cinematográfico hizo su</w:t>
      </w:r>
      <w:r>
        <w:rPr>
          <w:spacing w:val="-8"/>
        </w:rPr>
        <w:t> </w:t>
      </w:r>
      <w:r>
        <w:rPr/>
        <w:t>parte</w:t>
      </w:r>
      <w:r>
        <w:rPr>
          <w:spacing w:val="-11"/>
        </w:rPr>
        <w:t> </w:t>
      </w:r>
      <w:r>
        <w:rPr/>
        <w:t>al</w:t>
      </w:r>
      <w:r>
        <w:rPr>
          <w:spacing w:val="-10"/>
        </w:rPr>
        <w:t> </w:t>
      </w:r>
      <w:r>
        <w:rPr/>
        <w:t>mostrar</w:t>
      </w:r>
      <w:r>
        <w:rPr>
          <w:spacing w:val="-10"/>
        </w:rPr>
        <w:t> </w:t>
      </w:r>
      <w:r>
        <w:rPr/>
        <w:t>en</w:t>
      </w:r>
      <w:r>
        <w:rPr>
          <w:spacing w:val="-8"/>
        </w:rPr>
        <w:t> </w:t>
      </w:r>
      <w:r>
        <w:rPr/>
        <w:t>la</w:t>
      </w:r>
      <w:r>
        <w:rPr>
          <w:spacing w:val="-8"/>
        </w:rPr>
        <w:t> </w:t>
      </w:r>
      <w:r>
        <w:rPr/>
        <w:t>pantalla</w:t>
      </w:r>
      <w:r>
        <w:rPr>
          <w:spacing w:val="-8"/>
        </w:rPr>
        <w:t> </w:t>
      </w:r>
      <w:r>
        <w:rPr/>
        <w:t>grande</w:t>
      </w:r>
      <w:r>
        <w:rPr>
          <w:spacing w:val="-4"/>
        </w:rPr>
        <w:t> </w:t>
      </w:r>
      <w:r>
        <w:rPr>
          <w:i/>
        </w:rPr>
        <w:t>The</w:t>
      </w:r>
      <w:r>
        <w:rPr>
          <w:i/>
          <w:spacing w:val="-11"/>
        </w:rPr>
        <w:t> </w:t>
      </w:r>
      <w:r>
        <w:rPr>
          <w:i/>
        </w:rPr>
        <w:t>American</w:t>
      </w:r>
      <w:r>
        <w:rPr>
          <w:i/>
          <w:spacing w:val="-8"/>
        </w:rPr>
        <w:t> </w:t>
      </w:r>
      <w:r>
        <w:rPr>
          <w:i/>
        </w:rPr>
        <w:t>Way</w:t>
      </w:r>
      <w:r>
        <w:rPr>
          <w:i/>
          <w:spacing w:val="-9"/>
        </w:rPr>
        <w:t> </w:t>
      </w:r>
      <w:r>
        <w:rPr>
          <w:i/>
        </w:rPr>
        <w:t>of</w:t>
      </w:r>
      <w:r>
        <w:rPr>
          <w:i/>
          <w:spacing w:val="-10"/>
        </w:rPr>
        <w:t> </w:t>
      </w:r>
      <w:r>
        <w:rPr>
          <w:i/>
        </w:rPr>
        <w:t>Life,</w:t>
      </w:r>
      <w:r>
        <w:rPr>
          <w:i/>
          <w:spacing w:val="-11"/>
        </w:rPr>
        <w:t> </w:t>
      </w:r>
      <w:r>
        <w:rPr/>
        <w:t>que</w:t>
      </w:r>
      <w:r>
        <w:rPr>
          <w:spacing w:val="-8"/>
        </w:rPr>
        <w:t> </w:t>
      </w:r>
      <w:r>
        <w:rPr/>
        <w:t>repercutió</w:t>
      </w:r>
      <w:r>
        <w:rPr>
          <w:spacing w:val="-11"/>
        </w:rPr>
        <w:t> </w:t>
      </w:r>
      <w:r>
        <w:rPr/>
        <w:t>en</w:t>
      </w:r>
      <w:r>
        <w:rPr>
          <w:spacing w:val="-8"/>
        </w:rPr>
        <w:t> </w:t>
      </w:r>
      <w:r>
        <w:rPr/>
        <w:t>los ideales</w:t>
      </w:r>
      <w:r>
        <w:rPr>
          <w:spacing w:val="-13"/>
        </w:rPr>
        <w:t> </w:t>
      </w:r>
      <w:r>
        <w:rPr/>
        <w:t>de</w:t>
      </w:r>
      <w:r>
        <w:rPr>
          <w:spacing w:val="-13"/>
        </w:rPr>
        <w:t> </w:t>
      </w:r>
      <w:r>
        <w:rPr/>
        <w:t>la</w:t>
      </w:r>
      <w:r>
        <w:rPr>
          <w:spacing w:val="-13"/>
        </w:rPr>
        <w:t> </w:t>
      </w:r>
      <w:r>
        <w:rPr/>
        <w:t>comunidad</w:t>
      </w:r>
      <w:r>
        <w:rPr>
          <w:spacing w:val="-13"/>
        </w:rPr>
        <w:t> </w:t>
      </w:r>
      <w:r>
        <w:rPr/>
        <w:t>mexicana</w:t>
      </w:r>
      <w:r>
        <w:rPr>
          <w:spacing w:val="-13"/>
        </w:rPr>
        <w:t> </w:t>
      </w:r>
      <w:r>
        <w:rPr/>
        <w:t>gracias</w:t>
      </w:r>
      <w:r>
        <w:rPr>
          <w:spacing w:val="-14"/>
        </w:rPr>
        <w:t> </w:t>
      </w:r>
      <w:r>
        <w:rPr/>
        <w:t>a</w:t>
      </w:r>
      <w:r>
        <w:rPr>
          <w:spacing w:val="-16"/>
        </w:rPr>
        <w:t> </w:t>
      </w:r>
      <w:r>
        <w:rPr/>
        <w:t>Hollywood</w:t>
      </w:r>
      <w:r>
        <w:rPr>
          <w:spacing w:val="-13"/>
        </w:rPr>
        <w:t> </w:t>
      </w:r>
      <w:r>
        <w:rPr/>
        <w:t>(Barriga</w:t>
      </w:r>
      <w:r>
        <w:rPr>
          <w:spacing w:val="-13"/>
        </w:rPr>
        <w:t> </w:t>
      </w:r>
      <w:r>
        <w:rPr/>
        <w:t>y</w:t>
      </w:r>
      <w:r>
        <w:rPr>
          <w:spacing w:val="-16"/>
        </w:rPr>
        <w:t> </w:t>
      </w:r>
      <w:r>
        <w:rPr/>
        <w:t>Butragueño,</w:t>
      </w:r>
      <w:r>
        <w:rPr>
          <w:spacing w:val="-13"/>
        </w:rPr>
        <w:t> </w:t>
      </w:r>
      <w:r>
        <w:rPr/>
        <w:t>2010).</w:t>
      </w:r>
      <w:r>
        <w:rPr>
          <w:spacing w:val="-14"/>
        </w:rPr>
        <w:t> </w:t>
      </w:r>
      <w:r>
        <w:rPr/>
        <w:t>Así mismo, como ya se mencionaba anteriormente en este trabajo de investigación, la televisión, como medio de comunicación masivo, llega con poderío a las familias mexicanas y particularmente en los niños introduciendo “el léxico técnico, la tiranía del show,</w:t>
      </w:r>
      <w:r>
        <w:rPr>
          <w:spacing w:val="-9"/>
        </w:rPr>
        <w:t> </w:t>
      </w:r>
      <w:r>
        <w:rPr/>
        <w:t>un</w:t>
      </w:r>
      <w:r>
        <w:rPr>
          <w:spacing w:val="-8"/>
        </w:rPr>
        <w:t> </w:t>
      </w:r>
      <w:r>
        <w:rPr/>
        <w:t>tipo</w:t>
      </w:r>
      <w:r>
        <w:rPr>
          <w:spacing w:val="-11"/>
        </w:rPr>
        <w:t> </w:t>
      </w:r>
      <w:r>
        <w:rPr/>
        <w:t>particular</w:t>
      </w:r>
      <w:r>
        <w:rPr>
          <w:spacing w:val="-12"/>
        </w:rPr>
        <w:t> </w:t>
      </w:r>
      <w:r>
        <w:rPr/>
        <w:t>de</w:t>
      </w:r>
      <w:r>
        <w:rPr>
          <w:spacing w:val="-11"/>
        </w:rPr>
        <w:t> </w:t>
      </w:r>
      <w:r>
        <w:rPr/>
        <w:t>publicidad,</w:t>
      </w:r>
      <w:r>
        <w:rPr>
          <w:spacing w:val="-11"/>
        </w:rPr>
        <w:t> </w:t>
      </w:r>
      <w:r>
        <w:rPr/>
        <w:t>la</w:t>
      </w:r>
      <w:r>
        <w:rPr>
          <w:spacing w:val="-9"/>
        </w:rPr>
        <w:t> </w:t>
      </w:r>
      <w:r>
        <w:rPr/>
        <w:t>veneración</w:t>
      </w:r>
      <w:r>
        <w:rPr>
          <w:spacing w:val="-10"/>
        </w:rPr>
        <w:t> </w:t>
      </w:r>
      <w:r>
        <w:rPr/>
        <w:t>por</w:t>
      </w:r>
      <w:r>
        <w:rPr>
          <w:spacing w:val="-10"/>
        </w:rPr>
        <w:t> </w:t>
      </w:r>
      <w:r>
        <w:rPr/>
        <w:t>el</w:t>
      </w:r>
      <w:r>
        <w:rPr>
          <w:spacing w:val="-12"/>
        </w:rPr>
        <w:t> </w:t>
      </w:r>
      <w:r>
        <w:rPr/>
        <w:t>rating</w:t>
      </w:r>
      <w:r>
        <w:rPr>
          <w:spacing w:val="-11"/>
        </w:rPr>
        <w:t> </w:t>
      </w:r>
      <w:r>
        <w:rPr/>
        <w:t>y</w:t>
      </w:r>
      <w:r>
        <w:rPr>
          <w:spacing w:val="-12"/>
        </w:rPr>
        <w:t> </w:t>
      </w:r>
      <w:r>
        <w:rPr/>
        <w:t>la</w:t>
      </w:r>
      <w:r>
        <w:rPr>
          <w:spacing w:val="-11"/>
        </w:rPr>
        <w:t> </w:t>
      </w:r>
      <w:r>
        <w:rPr/>
        <w:t>gran</w:t>
      </w:r>
      <w:r>
        <w:rPr>
          <w:spacing w:val="-8"/>
        </w:rPr>
        <w:t> </w:t>
      </w:r>
      <w:r>
        <w:rPr/>
        <w:t>variedad</w:t>
      </w:r>
      <w:r>
        <w:rPr>
          <w:spacing w:val="-8"/>
        </w:rPr>
        <w:t> </w:t>
      </w:r>
      <w:r>
        <w:rPr/>
        <w:t>de</w:t>
      </w:r>
      <w:r>
        <w:rPr>
          <w:spacing w:val="-8"/>
        </w:rPr>
        <w:t> </w:t>
      </w:r>
      <w:r>
        <w:rPr/>
        <w:t>los géneros” (Barriga y Butragueño, 2010:</w:t>
      </w:r>
      <w:r>
        <w:rPr>
          <w:spacing w:val="-18"/>
        </w:rPr>
        <w:t> </w:t>
      </w:r>
      <w:r>
        <w:rPr/>
        <w:t>1211).</w:t>
      </w:r>
    </w:p>
    <w:p>
      <w:pPr>
        <w:pStyle w:val="BodyText"/>
        <w:spacing w:line="360" w:lineRule="auto" w:before="205"/>
        <w:ind w:left="102" w:right="108" w:firstLine="707"/>
        <w:jc w:val="both"/>
      </w:pPr>
      <w:r>
        <w:rPr/>
        <w:t>Debido a que los Estados Unidos muestran gran poderío económico, militar y tecnológico y se declara al inglés como </w:t>
      </w:r>
      <w:r>
        <w:rPr>
          <w:i/>
        </w:rPr>
        <w:t>lingua franca</w:t>
      </w:r>
      <w:r>
        <w:rPr/>
        <w:t>; los gobiernos mexicanos comienzan a preocuparse por la conservación de la lengua española. Así que se crea la </w:t>
      </w:r>
      <w:r>
        <w:rPr>
          <w:i/>
        </w:rPr>
        <w:t>Comisión</w:t>
      </w:r>
      <w:r>
        <w:rPr>
          <w:i/>
          <w:spacing w:val="-16"/>
        </w:rPr>
        <w:t> </w:t>
      </w:r>
      <w:r>
        <w:rPr>
          <w:i/>
        </w:rPr>
        <w:t>Pro</w:t>
      </w:r>
      <w:r>
        <w:rPr>
          <w:i/>
          <w:spacing w:val="-17"/>
        </w:rPr>
        <w:t> </w:t>
      </w:r>
      <w:r>
        <w:rPr>
          <w:i/>
        </w:rPr>
        <w:t>Defensa</w:t>
      </w:r>
      <w:r>
        <w:rPr>
          <w:i/>
          <w:spacing w:val="-20"/>
        </w:rPr>
        <w:t> </w:t>
      </w:r>
      <w:r>
        <w:rPr>
          <w:i/>
        </w:rPr>
        <w:t>del</w:t>
      </w:r>
      <w:r>
        <w:rPr>
          <w:i/>
          <w:spacing w:val="-18"/>
        </w:rPr>
        <w:t> </w:t>
      </w:r>
      <w:r>
        <w:rPr>
          <w:i/>
        </w:rPr>
        <w:t>Idioma</w:t>
      </w:r>
      <w:r>
        <w:rPr>
          <w:i/>
          <w:spacing w:val="-14"/>
        </w:rPr>
        <w:t> </w:t>
      </w:r>
      <w:r>
        <w:rPr/>
        <w:t>durante</w:t>
      </w:r>
      <w:r>
        <w:rPr>
          <w:spacing w:val="-17"/>
        </w:rPr>
        <w:t> </w:t>
      </w:r>
      <w:r>
        <w:rPr/>
        <w:t>el</w:t>
      </w:r>
      <w:r>
        <w:rPr>
          <w:spacing w:val="-19"/>
        </w:rPr>
        <w:t> </w:t>
      </w:r>
      <w:r>
        <w:rPr/>
        <w:t>mandato</w:t>
      </w:r>
      <w:r>
        <w:rPr>
          <w:spacing w:val="-18"/>
        </w:rPr>
        <w:t> </w:t>
      </w:r>
      <w:r>
        <w:rPr/>
        <w:t>de</w:t>
      </w:r>
      <w:r>
        <w:rPr>
          <w:spacing w:val="-17"/>
        </w:rPr>
        <w:t> </w:t>
      </w:r>
      <w:r>
        <w:rPr/>
        <w:t>José</w:t>
      </w:r>
      <w:r>
        <w:rPr>
          <w:spacing w:val="-18"/>
        </w:rPr>
        <w:t> </w:t>
      </w:r>
      <w:r>
        <w:rPr/>
        <w:t>López</w:t>
      </w:r>
      <w:r>
        <w:rPr>
          <w:spacing w:val="-19"/>
        </w:rPr>
        <w:t> </w:t>
      </w:r>
      <w:r>
        <w:rPr/>
        <w:t>Portillo,</w:t>
      </w:r>
      <w:r>
        <w:rPr>
          <w:spacing w:val="-17"/>
        </w:rPr>
        <w:t> </w:t>
      </w:r>
      <w:r>
        <w:rPr/>
        <w:t>no</w:t>
      </w:r>
      <w:r>
        <w:rPr>
          <w:spacing w:val="-17"/>
        </w:rPr>
        <w:t> </w:t>
      </w:r>
      <w:r>
        <w:rPr/>
        <w:t>obstante,</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9"/>
        <w:jc w:val="both"/>
      </w:pPr>
      <w:r>
        <w:rPr/>
        <w:t>ésta fracasa debido a su colindancia con el país del norte y su necesidad por mantener buenas relaciones, relaciones que no resultaran ofensivas o a la defensiva (Barriga y Butragueño, 2010).</w:t>
      </w:r>
    </w:p>
    <w:p>
      <w:pPr>
        <w:pStyle w:val="BodyText"/>
        <w:spacing w:line="360" w:lineRule="auto" w:before="204"/>
        <w:ind w:left="102" w:right="113" w:firstLine="707"/>
        <w:jc w:val="both"/>
      </w:pPr>
      <w:r>
        <w:rPr/>
        <w:t>A</w:t>
      </w:r>
      <w:r>
        <w:rPr>
          <w:spacing w:val="-12"/>
        </w:rPr>
        <w:t> </w:t>
      </w:r>
      <w:r>
        <w:rPr/>
        <w:t>este</w:t>
      </w:r>
      <w:r>
        <w:rPr>
          <w:spacing w:val="-12"/>
        </w:rPr>
        <w:t> </w:t>
      </w:r>
      <w:r>
        <w:rPr/>
        <w:t>respecto</w:t>
      </w:r>
      <w:r>
        <w:rPr>
          <w:spacing w:val="-14"/>
        </w:rPr>
        <w:t> </w:t>
      </w:r>
      <w:r>
        <w:rPr/>
        <w:t>Carlos</w:t>
      </w:r>
      <w:r>
        <w:rPr>
          <w:spacing w:val="-15"/>
        </w:rPr>
        <w:t> </w:t>
      </w:r>
      <w:r>
        <w:rPr/>
        <w:t>Monsivais</w:t>
      </w:r>
      <w:r>
        <w:rPr>
          <w:spacing w:val="-13"/>
        </w:rPr>
        <w:t> </w:t>
      </w:r>
      <w:r>
        <w:rPr/>
        <w:t>(1993)</w:t>
      </w:r>
      <w:r>
        <w:rPr>
          <w:spacing w:val="-13"/>
        </w:rPr>
        <w:t> </w:t>
      </w:r>
      <w:r>
        <w:rPr/>
        <w:t>da</w:t>
      </w:r>
      <w:r>
        <w:rPr>
          <w:spacing w:val="-12"/>
        </w:rPr>
        <w:t> </w:t>
      </w:r>
      <w:r>
        <w:rPr/>
        <w:t>el</w:t>
      </w:r>
      <w:r>
        <w:rPr>
          <w:spacing w:val="-15"/>
        </w:rPr>
        <w:t> </w:t>
      </w:r>
      <w:r>
        <w:rPr/>
        <w:t>siguiente</w:t>
      </w:r>
      <w:r>
        <w:rPr>
          <w:spacing w:val="-11"/>
        </w:rPr>
        <w:t> </w:t>
      </w:r>
      <w:r>
        <w:rPr/>
        <w:t>análisis</w:t>
      </w:r>
      <w:r>
        <w:rPr>
          <w:spacing w:val="-13"/>
        </w:rPr>
        <w:t> </w:t>
      </w:r>
      <w:r>
        <w:rPr/>
        <w:t>“…México</w:t>
      </w:r>
      <w:r>
        <w:rPr>
          <w:spacing w:val="-12"/>
        </w:rPr>
        <w:t> </w:t>
      </w:r>
      <w:r>
        <w:rPr/>
        <w:t>seguirá americanizándose...sin afectarse todavía valores básicos, entre ellos el idioma español, cuya</w:t>
      </w:r>
      <w:r>
        <w:rPr>
          <w:spacing w:val="-6"/>
        </w:rPr>
        <w:t> </w:t>
      </w:r>
      <w:r>
        <w:rPr/>
        <w:t>vitalidad</w:t>
      </w:r>
      <w:r>
        <w:rPr>
          <w:spacing w:val="-6"/>
        </w:rPr>
        <w:t> </w:t>
      </w:r>
      <w:r>
        <w:rPr/>
        <w:t>y</w:t>
      </w:r>
      <w:r>
        <w:rPr>
          <w:spacing w:val="-9"/>
        </w:rPr>
        <w:t> </w:t>
      </w:r>
      <w:r>
        <w:rPr/>
        <w:t>poder</w:t>
      </w:r>
      <w:r>
        <w:rPr>
          <w:spacing w:val="-7"/>
        </w:rPr>
        <w:t> </w:t>
      </w:r>
      <w:r>
        <w:rPr/>
        <w:t>de</w:t>
      </w:r>
      <w:r>
        <w:rPr>
          <w:spacing w:val="-6"/>
        </w:rPr>
        <w:t> </w:t>
      </w:r>
      <w:r>
        <w:rPr/>
        <w:t>asimilación</w:t>
      </w:r>
      <w:r>
        <w:rPr>
          <w:spacing w:val="-6"/>
        </w:rPr>
        <w:t> </w:t>
      </w:r>
      <w:r>
        <w:rPr/>
        <w:t>no</w:t>
      </w:r>
      <w:r>
        <w:rPr>
          <w:spacing w:val="-6"/>
        </w:rPr>
        <w:t> </w:t>
      </w:r>
      <w:r>
        <w:rPr/>
        <w:t>requiere</w:t>
      </w:r>
      <w:r>
        <w:rPr>
          <w:spacing w:val="-7"/>
        </w:rPr>
        <w:t> </w:t>
      </w:r>
      <w:r>
        <w:rPr/>
        <w:t>de</w:t>
      </w:r>
      <w:r>
        <w:rPr>
          <w:spacing w:val="-6"/>
        </w:rPr>
        <w:t> </w:t>
      </w:r>
      <w:r>
        <w:rPr/>
        <w:t>patrocinios</w:t>
      </w:r>
      <w:r>
        <w:rPr>
          <w:spacing w:val="-7"/>
        </w:rPr>
        <w:t> </w:t>
      </w:r>
      <w:r>
        <w:rPr/>
        <w:t>gubernamentales</w:t>
      </w:r>
      <w:r>
        <w:rPr>
          <w:spacing w:val="-6"/>
        </w:rPr>
        <w:t> </w:t>
      </w:r>
      <w:r>
        <w:rPr/>
        <w:t>ajenos al proceso educativo mismo.” (en Barriga y Butragueño, 2010:</w:t>
      </w:r>
      <w:r>
        <w:rPr>
          <w:spacing w:val="-29"/>
        </w:rPr>
        <w:t> </w:t>
      </w:r>
      <w:r>
        <w:rPr/>
        <w:t>1211)</w:t>
      </w:r>
    </w:p>
    <w:p>
      <w:pPr>
        <w:pStyle w:val="BodyText"/>
        <w:spacing w:line="360" w:lineRule="auto" w:before="205"/>
        <w:ind w:left="102" w:right="109" w:firstLine="707"/>
        <w:jc w:val="both"/>
      </w:pPr>
      <w:r>
        <w:rPr/>
        <w:t>Por lo anterior, en este trabajo no se pondrá en duda qué tan necesarios o innecesarios resultan los anglicismos. Sólo se les estudiará como un fenómeno que coexiste</w:t>
      </w:r>
      <w:r>
        <w:rPr>
          <w:spacing w:val="-13"/>
        </w:rPr>
        <w:t> </w:t>
      </w:r>
      <w:r>
        <w:rPr/>
        <w:t>en</w:t>
      </w:r>
      <w:r>
        <w:rPr>
          <w:spacing w:val="-13"/>
        </w:rPr>
        <w:t> </w:t>
      </w:r>
      <w:r>
        <w:rPr/>
        <w:t>nuestra</w:t>
      </w:r>
      <w:r>
        <w:rPr>
          <w:spacing w:val="-16"/>
        </w:rPr>
        <w:t> </w:t>
      </w:r>
      <w:r>
        <w:rPr/>
        <w:t>actualidad</w:t>
      </w:r>
      <w:r>
        <w:rPr>
          <w:spacing w:val="-13"/>
        </w:rPr>
        <w:t> </w:t>
      </w:r>
      <w:r>
        <w:rPr/>
        <w:t>y</w:t>
      </w:r>
      <w:r>
        <w:rPr>
          <w:spacing w:val="-16"/>
        </w:rPr>
        <w:t> </w:t>
      </w:r>
      <w:r>
        <w:rPr/>
        <w:t>los</w:t>
      </w:r>
      <w:r>
        <w:rPr>
          <w:spacing w:val="-13"/>
        </w:rPr>
        <w:t> </w:t>
      </w:r>
      <w:r>
        <w:rPr/>
        <w:t>efectos</w:t>
      </w:r>
      <w:r>
        <w:rPr>
          <w:spacing w:val="-14"/>
        </w:rPr>
        <w:t> </w:t>
      </w:r>
      <w:r>
        <w:rPr/>
        <w:t>que</w:t>
      </w:r>
      <w:r>
        <w:rPr>
          <w:spacing w:val="-13"/>
        </w:rPr>
        <w:t> </w:t>
      </w:r>
      <w:r>
        <w:rPr/>
        <w:t>producen</w:t>
      </w:r>
      <w:r>
        <w:rPr>
          <w:spacing w:val="-13"/>
        </w:rPr>
        <w:t> </w:t>
      </w:r>
      <w:r>
        <w:rPr/>
        <w:t>en</w:t>
      </w:r>
      <w:r>
        <w:rPr>
          <w:spacing w:val="-13"/>
        </w:rPr>
        <w:t> </w:t>
      </w:r>
      <w:r>
        <w:rPr/>
        <w:t>hablantes</w:t>
      </w:r>
      <w:r>
        <w:rPr>
          <w:spacing w:val="-14"/>
        </w:rPr>
        <w:t> </w:t>
      </w:r>
      <w:r>
        <w:rPr/>
        <w:t>y</w:t>
      </w:r>
      <w:r>
        <w:rPr>
          <w:spacing w:val="-16"/>
        </w:rPr>
        <w:t> </w:t>
      </w:r>
      <w:r>
        <w:rPr/>
        <w:t>oyentes</w:t>
      </w:r>
      <w:r>
        <w:rPr>
          <w:spacing w:val="-14"/>
        </w:rPr>
        <w:t> </w:t>
      </w:r>
      <w:r>
        <w:rPr/>
        <w:t>de</w:t>
      </w:r>
      <w:r>
        <w:rPr>
          <w:spacing w:val="-16"/>
        </w:rPr>
        <w:t> </w:t>
      </w:r>
      <w:r>
        <w:rPr/>
        <w:t>esta variable.</w:t>
      </w:r>
    </w:p>
    <w:p>
      <w:pPr>
        <w:pStyle w:val="BodyText"/>
      </w:pPr>
    </w:p>
    <w:p>
      <w:pPr>
        <w:pStyle w:val="BodyText"/>
      </w:pPr>
    </w:p>
    <w:p>
      <w:pPr>
        <w:pStyle w:val="BodyText"/>
        <w:spacing w:before="2"/>
        <w:rPr>
          <w:sz w:val="23"/>
        </w:rPr>
      </w:pPr>
    </w:p>
    <w:p>
      <w:pPr>
        <w:pStyle w:val="Heading1"/>
        <w:jc w:val="both"/>
      </w:pPr>
      <w:r>
        <w:rPr/>
        <w:t>1.4. Prestigio lingüístico y anglicismos</w:t>
      </w:r>
    </w:p>
    <w:p>
      <w:pPr>
        <w:pStyle w:val="BodyText"/>
        <w:spacing w:before="4"/>
        <w:rPr>
          <w:b/>
          <w:sz w:val="29"/>
        </w:rPr>
      </w:pPr>
    </w:p>
    <w:p>
      <w:pPr>
        <w:pStyle w:val="BodyText"/>
        <w:spacing w:line="360" w:lineRule="auto" w:before="1"/>
        <w:ind w:left="102" w:right="117" w:firstLine="707"/>
        <w:jc w:val="both"/>
      </w:pPr>
      <w:r>
        <w:rPr/>
        <w:t>Es imposible hablar de prestigio sin hablar de cambio lingüístico y variación lingüística.</w:t>
      </w:r>
      <w:r>
        <w:rPr>
          <w:spacing w:val="-10"/>
        </w:rPr>
        <w:t> </w:t>
      </w:r>
      <w:r>
        <w:rPr/>
        <w:t>El</w:t>
      </w:r>
      <w:r>
        <w:rPr>
          <w:spacing w:val="-11"/>
        </w:rPr>
        <w:t> </w:t>
      </w:r>
      <w:r>
        <w:rPr/>
        <w:t>cambio</w:t>
      </w:r>
      <w:r>
        <w:rPr>
          <w:spacing w:val="-12"/>
        </w:rPr>
        <w:t> </w:t>
      </w:r>
      <w:r>
        <w:rPr/>
        <w:t>lingüístico</w:t>
      </w:r>
      <w:r>
        <w:rPr>
          <w:spacing w:val="-9"/>
        </w:rPr>
        <w:t> </w:t>
      </w:r>
      <w:r>
        <w:rPr/>
        <w:t>se</w:t>
      </w:r>
      <w:r>
        <w:rPr>
          <w:spacing w:val="-9"/>
        </w:rPr>
        <w:t> </w:t>
      </w:r>
      <w:r>
        <w:rPr/>
        <w:t>ve</w:t>
      </w:r>
      <w:r>
        <w:rPr>
          <w:spacing w:val="-9"/>
        </w:rPr>
        <w:t> </w:t>
      </w:r>
      <w:r>
        <w:rPr/>
        <w:t>como</w:t>
      </w:r>
      <w:r>
        <w:rPr>
          <w:spacing w:val="-12"/>
        </w:rPr>
        <w:t> </w:t>
      </w:r>
      <w:r>
        <w:rPr/>
        <w:t>un</w:t>
      </w:r>
      <w:r>
        <w:rPr>
          <w:spacing w:val="-12"/>
        </w:rPr>
        <w:t> </w:t>
      </w:r>
      <w:r>
        <w:rPr/>
        <w:t>factor</w:t>
      </w:r>
      <w:r>
        <w:rPr>
          <w:spacing w:val="-13"/>
        </w:rPr>
        <w:t> </w:t>
      </w:r>
      <w:r>
        <w:rPr/>
        <w:t>que</w:t>
      </w:r>
      <w:r>
        <w:rPr>
          <w:spacing w:val="-12"/>
        </w:rPr>
        <w:t> </w:t>
      </w:r>
      <w:r>
        <w:rPr/>
        <w:t>envuelve</w:t>
      </w:r>
      <w:r>
        <w:rPr>
          <w:spacing w:val="-9"/>
        </w:rPr>
        <w:t> </w:t>
      </w:r>
      <w:r>
        <w:rPr/>
        <w:t>la</w:t>
      </w:r>
      <w:r>
        <w:rPr>
          <w:spacing w:val="-10"/>
        </w:rPr>
        <w:t> </w:t>
      </w:r>
      <w:r>
        <w:rPr/>
        <w:t>variación</w:t>
      </w:r>
      <w:r>
        <w:rPr>
          <w:spacing w:val="-11"/>
        </w:rPr>
        <w:t> </w:t>
      </w:r>
      <w:r>
        <w:rPr/>
        <w:t>estilística en marcadores como: la edad, el sexo, la clase social, etc., que resultan en un continuo cambio en los estilos del habla (Chambers J.K. y Peter Trudgill,</w:t>
      </w:r>
      <w:r>
        <w:rPr>
          <w:spacing w:val="-29"/>
        </w:rPr>
        <w:t> </w:t>
      </w:r>
      <w:r>
        <w:rPr/>
        <w:t>1998).</w:t>
      </w:r>
    </w:p>
    <w:p>
      <w:pPr>
        <w:pStyle w:val="BodyText"/>
        <w:spacing w:line="360" w:lineRule="auto" w:before="204"/>
        <w:ind w:left="102" w:right="114" w:firstLine="775"/>
        <w:jc w:val="both"/>
      </w:pPr>
      <w:r>
        <w:rPr/>
        <w:t>La variación lingüística se correlaciona con un gran número de características sociales que determinan los usos de la lengua y sus variables, en otras palabras, responden a la diferencia social y a las funciones semánticas que los hablantes le dan a su</w:t>
      </w:r>
      <w:r>
        <w:rPr>
          <w:spacing w:val="-16"/>
        </w:rPr>
        <w:t> </w:t>
      </w:r>
      <w:r>
        <w:rPr/>
        <w:t>propia</w:t>
      </w:r>
      <w:r>
        <w:rPr>
          <w:spacing w:val="-16"/>
        </w:rPr>
        <w:t> </w:t>
      </w:r>
      <w:r>
        <w:rPr/>
        <w:t>lengua</w:t>
      </w:r>
      <w:r>
        <w:rPr>
          <w:spacing w:val="-16"/>
        </w:rPr>
        <w:t> </w:t>
      </w:r>
      <w:r>
        <w:rPr/>
        <w:t>(Nikolas</w:t>
      </w:r>
      <w:r>
        <w:rPr>
          <w:spacing w:val="-16"/>
        </w:rPr>
        <w:t> </w:t>
      </w:r>
      <w:r>
        <w:rPr/>
        <w:t>Coupland</w:t>
      </w:r>
      <w:r>
        <w:rPr>
          <w:spacing w:val="-13"/>
        </w:rPr>
        <w:t> </w:t>
      </w:r>
      <w:r>
        <w:rPr/>
        <w:t>y</w:t>
      </w:r>
      <w:r>
        <w:rPr>
          <w:spacing w:val="-19"/>
        </w:rPr>
        <w:t> </w:t>
      </w:r>
      <w:r>
        <w:rPr/>
        <w:t>Adam</w:t>
      </w:r>
      <w:r>
        <w:rPr>
          <w:spacing w:val="-15"/>
        </w:rPr>
        <w:t> </w:t>
      </w:r>
      <w:r>
        <w:rPr/>
        <w:t>Jaworsky,</w:t>
      </w:r>
      <w:r>
        <w:rPr>
          <w:spacing w:val="-16"/>
        </w:rPr>
        <w:t> </w:t>
      </w:r>
      <w:r>
        <w:rPr/>
        <w:t>1950).</w:t>
      </w:r>
      <w:r>
        <w:rPr>
          <w:spacing w:val="-17"/>
        </w:rPr>
        <w:t> </w:t>
      </w:r>
      <w:r>
        <w:rPr/>
        <w:t>La</w:t>
      </w:r>
      <w:r>
        <w:rPr>
          <w:spacing w:val="-16"/>
        </w:rPr>
        <w:t> </w:t>
      </w:r>
      <w:r>
        <w:rPr/>
        <w:t>elección</w:t>
      </w:r>
      <w:r>
        <w:rPr>
          <w:spacing w:val="-15"/>
        </w:rPr>
        <w:t> </w:t>
      </w:r>
      <w:r>
        <w:rPr/>
        <w:t>en</w:t>
      </w:r>
      <w:r>
        <w:rPr>
          <w:spacing w:val="-16"/>
        </w:rPr>
        <w:t> </w:t>
      </w:r>
      <w:r>
        <w:rPr/>
        <w:t>las</w:t>
      </w:r>
      <w:r>
        <w:rPr>
          <w:spacing w:val="-16"/>
        </w:rPr>
        <w:t> </w:t>
      </w:r>
      <w:r>
        <w:rPr/>
        <w:t>variables de la lengua será decisión del hablante en cuestión al grupo social al que quiera pertenecer, hacia el cual tenga actitudes positivas y de</w:t>
      </w:r>
      <w:r>
        <w:rPr>
          <w:spacing w:val="-24"/>
        </w:rPr>
        <w:t> </w:t>
      </w:r>
      <w:r>
        <w:rPr/>
        <w:t>prestigio.</w:t>
      </w:r>
    </w:p>
    <w:p>
      <w:pPr>
        <w:pStyle w:val="BodyText"/>
        <w:spacing w:line="360" w:lineRule="auto" w:before="204"/>
        <w:ind w:left="102" w:right="110" w:firstLine="707"/>
        <w:jc w:val="both"/>
      </w:pPr>
      <w:r>
        <w:rPr/>
        <w:t>Luego entonces, el prestigio lingüístico en palabras de Paul Garvin y Yolanda Lastra (1974) se refiere a “Todos los que hablan las lenguas (o variables de la lengua para este caso) definidoras consideran que </w:t>
      </w:r>
      <w:r>
        <w:rPr>
          <w:i/>
        </w:rPr>
        <w:t>A </w:t>
      </w:r>
      <w:r>
        <w:rPr/>
        <w:t>es superior a </w:t>
      </w:r>
      <w:r>
        <w:rPr>
          <w:i/>
        </w:rPr>
        <w:t>B </w:t>
      </w:r>
      <w:r>
        <w:rPr/>
        <w:t>en una serie de</w:t>
      </w:r>
      <w:r>
        <w:rPr>
          <w:spacing w:val="50"/>
        </w:rPr>
        <w:t> </w:t>
      </w:r>
      <w:r>
        <w:rPr/>
        <w:t>aspectos.</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3"/>
        <w:rPr>
          <w:sz w:val="17"/>
        </w:rPr>
      </w:pPr>
    </w:p>
    <w:p>
      <w:pPr>
        <w:pStyle w:val="BodyText"/>
        <w:spacing w:line="360" w:lineRule="auto" w:before="69"/>
        <w:ind w:left="102" w:right="108"/>
        <w:jc w:val="both"/>
      </w:pPr>
      <w:r>
        <w:rPr/>
        <w:t>Este sentimiento es a veces tan fuerte que solamente </w:t>
      </w:r>
      <w:r>
        <w:rPr>
          <w:i/>
        </w:rPr>
        <w:t>A </w:t>
      </w:r>
      <w:r>
        <w:rPr/>
        <w:t>es considerada verdadera, y </w:t>
      </w:r>
      <w:r>
        <w:rPr>
          <w:i/>
        </w:rPr>
        <w:t>B </w:t>
      </w:r>
      <w:r>
        <w:rPr/>
        <w:t>tenida</w:t>
      </w:r>
      <w:r>
        <w:rPr>
          <w:spacing w:val="-7"/>
        </w:rPr>
        <w:t> </w:t>
      </w:r>
      <w:r>
        <w:rPr/>
        <w:t>por</w:t>
      </w:r>
      <w:r>
        <w:rPr>
          <w:spacing w:val="-8"/>
        </w:rPr>
        <w:t> </w:t>
      </w:r>
      <w:r>
        <w:rPr/>
        <w:t>inexistente”</w:t>
      </w:r>
      <w:r>
        <w:rPr>
          <w:spacing w:val="-11"/>
        </w:rPr>
        <w:t> </w:t>
      </w:r>
      <w:r>
        <w:rPr/>
        <w:t>(Garvin</w:t>
      </w:r>
      <w:r>
        <w:rPr>
          <w:spacing w:val="-7"/>
        </w:rPr>
        <w:t> </w:t>
      </w:r>
      <w:r>
        <w:rPr/>
        <w:t>y</w:t>
      </w:r>
      <w:r>
        <w:rPr>
          <w:spacing w:val="-10"/>
        </w:rPr>
        <w:t> </w:t>
      </w:r>
      <w:r>
        <w:rPr/>
        <w:t>Lastra,</w:t>
      </w:r>
      <w:r>
        <w:rPr>
          <w:spacing w:val="-7"/>
        </w:rPr>
        <w:t> </w:t>
      </w:r>
      <w:r>
        <w:rPr/>
        <w:t>1974:</w:t>
      </w:r>
      <w:r>
        <w:rPr>
          <w:spacing w:val="-10"/>
        </w:rPr>
        <w:t> </w:t>
      </w:r>
      <w:r>
        <w:rPr/>
        <w:t>252).</w:t>
      </w:r>
      <w:r>
        <w:rPr>
          <w:spacing w:val="-3"/>
        </w:rPr>
        <w:t> </w:t>
      </w:r>
      <w:r>
        <w:rPr/>
        <w:t>Para</w:t>
      </w:r>
      <w:r>
        <w:rPr>
          <w:spacing w:val="-10"/>
        </w:rPr>
        <w:t> </w:t>
      </w:r>
      <w:r>
        <w:rPr/>
        <w:t>ejemplificar</w:t>
      </w:r>
      <w:r>
        <w:rPr>
          <w:spacing w:val="-10"/>
        </w:rPr>
        <w:t> </w:t>
      </w:r>
      <w:r>
        <w:rPr/>
        <w:t>esta</w:t>
      </w:r>
      <w:r>
        <w:rPr>
          <w:spacing w:val="-7"/>
        </w:rPr>
        <w:t> </w:t>
      </w:r>
      <w:r>
        <w:rPr/>
        <w:t>concepción</w:t>
      </w:r>
      <w:r>
        <w:rPr>
          <w:spacing w:val="-9"/>
        </w:rPr>
        <w:t> </w:t>
      </w:r>
      <w:r>
        <w:rPr/>
        <w:t>de prestigio se considerará que A es el español en México considerada superior a B </w:t>
      </w:r>
      <w:r>
        <w:rPr>
          <w:spacing w:val="-2"/>
        </w:rPr>
        <w:t>que </w:t>
      </w:r>
      <w:r>
        <w:rPr/>
        <w:t>pudiera ser cualquier lengua indígena del miso país la cual a su vez puede ser considerada inexistente por ser una lengua minoritaria de la cual no se tiene certeza alguna del número exacto de hablantes que aún</w:t>
      </w:r>
      <w:r>
        <w:rPr>
          <w:spacing w:val="-20"/>
        </w:rPr>
        <w:t> </w:t>
      </w:r>
      <w:r>
        <w:rPr/>
        <w:t>exista.</w:t>
      </w:r>
    </w:p>
    <w:p>
      <w:pPr>
        <w:pStyle w:val="BodyText"/>
        <w:spacing w:line="360" w:lineRule="auto" w:before="204"/>
        <w:ind w:left="102" w:right="108" w:firstLine="707"/>
        <w:jc w:val="both"/>
      </w:pPr>
      <w:r>
        <w:rPr/>
        <w:t>Se han realizado numerosos estudios con respecto a la variación lingüística a cualquier nivel de la lengua: variación fonético-fonológica, variación gramatical (morfología y sintaxis) y variación léxica, pero el prestigio siempre se ha visto reflejado en los resultados (Moreno, F., 1998). En la compilación de estudios de Chambers y Trudgill</w:t>
      </w:r>
      <w:r>
        <w:rPr>
          <w:spacing w:val="-11"/>
        </w:rPr>
        <w:t> </w:t>
      </w:r>
      <w:r>
        <w:rPr/>
        <w:t>(1998)</w:t>
      </w:r>
      <w:r>
        <w:rPr>
          <w:spacing w:val="-10"/>
        </w:rPr>
        <w:t> </w:t>
      </w:r>
      <w:r>
        <w:rPr/>
        <w:t>acerca</w:t>
      </w:r>
      <w:r>
        <w:rPr>
          <w:spacing w:val="-12"/>
        </w:rPr>
        <w:t> </w:t>
      </w:r>
      <w:r>
        <w:rPr/>
        <w:t>de</w:t>
      </w:r>
      <w:r>
        <w:rPr>
          <w:spacing w:val="-8"/>
        </w:rPr>
        <w:t> </w:t>
      </w:r>
      <w:r>
        <w:rPr/>
        <w:t>variación</w:t>
      </w:r>
      <w:r>
        <w:rPr>
          <w:spacing w:val="-11"/>
        </w:rPr>
        <w:t> </w:t>
      </w:r>
      <w:r>
        <w:rPr/>
        <w:t>fonológica</w:t>
      </w:r>
      <w:r>
        <w:rPr>
          <w:spacing w:val="-10"/>
        </w:rPr>
        <w:t> </w:t>
      </w:r>
      <w:r>
        <w:rPr/>
        <w:t>en</w:t>
      </w:r>
      <w:r>
        <w:rPr>
          <w:spacing w:val="-12"/>
        </w:rPr>
        <w:t> </w:t>
      </w:r>
      <w:r>
        <w:rPr/>
        <w:t>diferentes</w:t>
      </w:r>
      <w:r>
        <w:rPr>
          <w:spacing w:val="-10"/>
        </w:rPr>
        <w:t> </w:t>
      </w:r>
      <w:r>
        <w:rPr/>
        <w:t>partes</w:t>
      </w:r>
      <w:r>
        <w:rPr>
          <w:spacing w:val="-13"/>
        </w:rPr>
        <w:t> </w:t>
      </w:r>
      <w:r>
        <w:rPr/>
        <w:t>de</w:t>
      </w:r>
      <w:r>
        <w:rPr>
          <w:spacing w:val="-9"/>
        </w:rPr>
        <w:t> </w:t>
      </w:r>
      <w:r>
        <w:rPr/>
        <w:t>Reino</w:t>
      </w:r>
      <w:r>
        <w:rPr>
          <w:spacing w:val="-9"/>
        </w:rPr>
        <w:t> </w:t>
      </w:r>
      <w:r>
        <w:rPr/>
        <w:t>Unido</w:t>
      </w:r>
      <w:r>
        <w:rPr>
          <w:spacing w:val="-9"/>
        </w:rPr>
        <w:t> </w:t>
      </w:r>
      <w:r>
        <w:rPr/>
        <w:t>(como Noruega, Gales, Inglaterra, Escocia, Glasgow y en su excepción Montreal) se pudo encontrar que la preferencia de ciertas variables se encuentra directamente relacionada con las clases sociales. Los informantes dijeron haber utilizado ciertas variables estilísticas por su creencia, tal vez inconsciente, de estar dispuestos favorablemente a usar aquellas con cierto prestigio social y lingüístico; por ejemplo la variable del  </w:t>
      </w:r>
      <w:r>
        <w:rPr>
          <w:spacing w:val="23"/>
        </w:rPr>
        <w:t> </w:t>
      </w:r>
      <w:r>
        <w:rPr/>
        <w:t>sonido</w:t>
      </w:r>
    </w:p>
    <w:p>
      <w:pPr>
        <w:pStyle w:val="BodyText"/>
        <w:spacing w:line="360" w:lineRule="auto" w:before="5"/>
        <w:ind w:left="102" w:right="117"/>
        <w:jc w:val="both"/>
      </w:pPr>
      <w:r>
        <w:rPr/>
        <w:t>/h/ galés con el del inglés de Inglaterra, este último con mayor preferencia debido al prestigioso acento Inglés (Chambers y Trudgill, 1998: 59).</w:t>
      </w:r>
    </w:p>
    <w:p>
      <w:pPr>
        <w:pStyle w:val="BodyText"/>
        <w:spacing w:line="360" w:lineRule="auto" w:before="204"/>
        <w:ind w:left="102" w:right="105" w:firstLine="707"/>
        <w:jc w:val="both"/>
      </w:pPr>
      <w:r>
        <w:rPr/>
        <w:t>Siguiendo con Chambers y Trudgill (1998), algunos informantes dijeron usar las formas prestigiosas aun cuando no lo hacen realmente en la cotidianeidad, debido a ser asociadas con lo escolar (nivel académico), lo que es lingüísticamente correcto para los letrados, el estilo formal contra el estilo casual. En la selección por una variable léxica (sustantivos, verbos y adjetivos en su mayoría), en Moreno, F. (1998:29) se menciona que las formas altamente usadas tienen que ver con condiciones lingüísticas y extralingüísticas bien determinadas: unidades de distinto origen geolingüístico que han confluido en una comunidad (extranjerismos), formas adscritas a niveles cultos o populares, cuestión de estilos (formal e informal), formas tabúes o eufemísticas, entre otras posibilidades que deben ser bien identificadas como parte de un grupo social específico. El autor concluye que “los estudios de variación léxica… demuestran que en</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9"/>
        <w:jc w:val="both"/>
      </w:pPr>
      <w:r>
        <w:rPr/>
        <w:t>este tipo de variación participan principalmente factores extralingüísticos –rasgos sociológicos, situaciones, creencias y actitudes-“(Moreno, F., 1998:30) el prestigio dependerá del grupo social al que se quiera pertenecer.</w:t>
      </w:r>
    </w:p>
    <w:p>
      <w:pPr>
        <w:pStyle w:val="BodyText"/>
      </w:pPr>
    </w:p>
    <w:p>
      <w:pPr>
        <w:pStyle w:val="BodyText"/>
      </w:pPr>
    </w:p>
    <w:p>
      <w:pPr>
        <w:pStyle w:val="BodyText"/>
        <w:spacing w:before="11"/>
        <w:rPr>
          <w:sz w:val="22"/>
        </w:rPr>
      </w:pPr>
    </w:p>
    <w:p>
      <w:pPr>
        <w:spacing w:line="360" w:lineRule="auto" w:before="0"/>
        <w:ind w:left="102" w:right="105" w:firstLine="707"/>
        <w:jc w:val="both"/>
        <w:rPr>
          <w:sz w:val="24"/>
        </w:rPr>
      </w:pPr>
      <w:r>
        <w:rPr>
          <w:sz w:val="24"/>
        </w:rPr>
        <w:t>El anterior fue un ejemplo de variables lingüísticas ligadas a prestigio de acuerdo a la clase social. Sin embargo, en rol de género, Labov (1966) y Trudgiill (1972) (en Nikolas Coupland y Adam Jaworski, 1997) han enfatizado la gran orientación de las mujeres</w:t>
      </w:r>
      <w:r>
        <w:rPr>
          <w:spacing w:val="-7"/>
          <w:sz w:val="24"/>
        </w:rPr>
        <w:t> </w:t>
      </w:r>
      <w:r>
        <w:rPr>
          <w:sz w:val="24"/>
        </w:rPr>
        <w:t>hacia</w:t>
      </w:r>
      <w:r>
        <w:rPr>
          <w:spacing w:val="-6"/>
          <w:sz w:val="24"/>
        </w:rPr>
        <w:t> </w:t>
      </w:r>
      <w:r>
        <w:rPr>
          <w:sz w:val="24"/>
        </w:rPr>
        <w:t>las</w:t>
      </w:r>
      <w:r>
        <w:rPr>
          <w:spacing w:val="-6"/>
          <w:sz w:val="24"/>
        </w:rPr>
        <w:t> </w:t>
      </w:r>
      <w:r>
        <w:rPr>
          <w:sz w:val="24"/>
        </w:rPr>
        <w:t>formas</w:t>
      </w:r>
      <w:r>
        <w:rPr>
          <w:spacing w:val="-4"/>
          <w:sz w:val="24"/>
        </w:rPr>
        <w:t> </w:t>
      </w:r>
      <w:r>
        <w:rPr>
          <w:sz w:val="24"/>
        </w:rPr>
        <w:t>de</w:t>
      </w:r>
      <w:r>
        <w:rPr>
          <w:spacing w:val="-6"/>
          <w:sz w:val="24"/>
        </w:rPr>
        <w:t> </w:t>
      </w:r>
      <w:r>
        <w:rPr>
          <w:sz w:val="24"/>
        </w:rPr>
        <w:t>prestigio</w:t>
      </w:r>
      <w:r>
        <w:rPr>
          <w:spacing w:val="-4"/>
          <w:sz w:val="24"/>
        </w:rPr>
        <w:t> </w:t>
      </w:r>
      <w:r>
        <w:rPr>
          <w:sz w:val="24"/>
        </w:rPr>
        <w:t>en</w:t>
      </w:r>
      <w:r>
        <w:rPr>
          <w:spacing w:val="-4"/>
          <w:sz w:val="24"/>
        </w:rPr>
        <w:t> </w:t>
      </w:r>
      <w:r>
        <w:rPr>
          <w:sz w:val="24"/>
        </w:rPr>
        <w:t>contraposición</w:t>
      </w:r>
      <w:r>
        <w:rPr>
          <w:spacing w:val="-6"/>
          <w:sz w:val="24"/>
        </w:rPr>
        <w:t> </w:t>
      </w:r>
      <w:r>
        <w:rPr>
          <w:sz w:val="24"/>
        </w:rPr>
        <w:t>al</w:t>
      </w:r>
      <w:r>
        <w:rPr>
          <w:spacing w:val="-5"/>
          <w:sz w:val="24"/>
        </w:rPr>
        <w:t> </w:t>
      </w:r>
      <w:r>
        <w:rPr>
          <w:sz w:val="24"/>
        </w:rPr>
        <w:t>comportamiento</w:t>
      </w:r>
      <w:r>
        <w:rPr>
          <w:spacing w:val="-4"/>
          <w:sz w:val="24"/>
        </w:rPr>
        <w:t> </w:t>
      </w:r>
      <w:r>
        <w:rPr>
          <w:sz w:val="24"/>
        </w:rPr>
        <w:t>lingüístico</w:t>
      </w:r>
      <w:r>
        <w:rPr>
          <w:spacing w:val="-4"/>
          <w:sz w:val="24"/>
        </w:rPr>
        <w:t> </w:t>
      </w:r>
      <w:r>
        <w:rPr>
          <w:sz w:val="24"/>
        </w:rPr>
        <w:t>de los</w:t>
      </w:r>
      <w:r>
        <w:rPr>
          <w:spacing w:val="-13"/>
          <w:sz w:val="24"/>
        </w:rPr>
        <w:t> </w:t>
      </w:r>
      <w:r>
        <w:rPr>
          <w:sz w:val="24"/>
        </w:rPr>
        <w:t>hombres</w:t>
      </w:r>
      <w:r>
        <w:rPr>
          <w:spacing w:val="-13"/>
          <w:sz w:val="24"/>
        </w:rPr>
        <w:t> </w:t>
      </w:r>
      <w:r>
        <w:rPr>
          <w:sz w:val="24"/>
        </w:rPr>
        <w:t>y</w:t>
      </w:r>
      <w:r>
        <w:rPr>
          <w:spacing w:val="-15"/>
          <w:sz w:val="24"/>
        </w:rPr>
        <w:t> </w:t>
      </w:r>
      <w:r>
        <w:rPr>
          <w:sz w:val="24"/>
        </w:rPr>
        <w:t>lo</w:t>
      </w:r>
      <w:r>
        <w:rPr>
          <w:spacing w:val="-13"/>
          <w:sz w:val="24"/>
        </w:rPr>
        <w:t> </w:t>
      </w:r>
      <w:r>
        <w:rPr>
          <w:sz w:val="24"/>
        </w:rPr>
        <w:t>atribuye</w:t>
      </w:r>
      <w:r>
        <w:rPr>
          <w:spacing w:val="-13"/>
          <w:sz w:val="24"/>
        </w:rPr>
        <w:t> </w:t>
      </w:r>
      <w:r>
        <w:rPr>
          <w:sz w:val="24"/>
        </w:rPr>
        <w:t>a</w:t>
      </w:r>
      <w:r>
        <w:rPr>
          <w:spacing w:val="-13"/>
          <w:sz w:val="24"/>
        </w:rPr>
        <w:t> </w:t>
      </w:r>
      <w:r>
        <w:rPr>
          <w:sz w:val="24"/>
        </w:rPr>
        <w:t>la</w:t>
      </w:r>
      <w:r>
        <w:rPr>
          <w:spacing w:val="-13"/>
          <w:sz w:val="24"/>
        </w:rPr>
        <w:t> </w:t>
      </w:r>
      <w:r>
        <w:rPr>
          <w:sz w:val="24"/>
        </w:rPr>
        <w:t>posición</w:t>
      </w:r>
      <w:r>
        <w:rPr>
          <w:spacing w:val="-15"/>
          <w:sz w:val="24"/>
        </w:rPr>
        <w:t> </w:t>
      </w:r>
      <w:r>
        <w:rPr>
          <w:sz w:val="24"/>
        </w:rPr>
        <w:t>desventajosa</w:t>
      </w:r>
      <w:r>
        <w:rPr>
          <w:spacing w:val="-14"/>
          <w:sz w:val="24"/>
        </w:rPr>
        <w:t> </w:t>
      </w:r>
      <w:r>
        <w:rPr>
          <w:sz w:val="24"/>
        </w:rPr>
        <w:t>de</w:t>
      </w:r>
      <w:r>
        <w:rPr>
          <w:spacing w:val="-13"/>
          <w:sz w:val="24"/>
        </w:rPr>
        <w:t> </w:t>
      </w:r>
      <w:r>
        <w:rPr>
          <w:sz w:val="24"/>
        </w:rPr>
        <w:t>la</w:t>
      </w:r>
      <w:r>
        <w:rPr>
          <w:spacing w:val="-15"/>
          <w:sz w:val="24"/>
        </w:rPr>
        <w:t> </w:t>
      </w:r>
      <w:r>
        <w:rPr>
          <w:sz w:val="24"/>
        </w:rPr>
        <w:t>mujer</w:t>
      </w:r>
      <w:r>
        <w:rPr>
          <w:spacing w:val="-13"/>
          <w:sz w:val="24"/>
        </w:rPr>
        <w:t> </w:t>
      </w:r>
      <w:r>
        <w:rPr>
          <w:sz w:val="24"/>
        </w:rPr>
        <w:t>en</w:t>
      </w:r>
      <w:r>
        <w:rPr>
          <w:spacing w:val="-13"/>
          <w:sz w:val="24"/>
        </w:rPr>
        <w:t> </w:t>
      </w:r>
      <w:r>
        <w:rPr>
          <w:sz w:val="24"/>
        </w:rPr>
        <w:t>la</w:t>
      </w:r>
      <w:r>
        <w:rPr>
          <w:spacing w:val="-15"/>
          <w:sz w:val="24"/>
        </w:rPr>
        <w:t> </w:t>
      </w:r>
      <w:r>
        <w:rPr>
          <w:sz w:val="24"/>
        </w:rPr>
        <w:t>sociedad:</w:t>
      </w:r>
      <w:r>
        <w:rPr>
          <w:spacing w:val="-13"/>
          <w:sz w:val="24"/>
        </w:rPr>
        <w:t> </w:t>
      </w:r>
      <w:r>
        <w:rPr>
          <w:sz w:val="24"/>
        </w:rPr>
        <w:t>“</w:t>
      </w:r>
      <w:r>
        <w:rPr>
          <w:i/>
          <w:sz w:val="24"/>
        </w:rPr>
        <w:t>women’s </w:t>
      </w:r>
      <w:r>
        <w:rPr>
          <w:i/>
          <w:sz w:val="24"/>
        </w:rPr>
        <w:t>overt prestige orientation was a result of their powerless position in society…they are thown</w:t>
      </w:r>
      <w:r>
        <w:rPr>
          <w:i/>
          <w:spacing w:val="-16"/>
          <w:sz w:val="24"/>
        </w:rPr>
        <w:t> </w:t>
      </w:r>
      <w:r>
        <w:rPr>
          <w:i/>
          <w:sz w:val="24"/>
        </w:rPr>
        <w:t>upon</w:t>
      </w:r>
      <w:r>
        <w:rPr>
          <w:i/>
          <w:spacing w:val="-13"/>
          <w:sz w:val="24"/>
        </w:rPr>
        <w:t> </w:t>
      </w:r>
      <w:r>
        <w:rPr>
          <w:i/>
          <w:sz w:val="24"/>
        </w:rPr>
        <w:t>their</w:t>
      </w:r>
      <w:r>
        <w:rPr>
          <w:i/>
          <w:spacing w:val="-15"/>
          <w:sz w:val="24"/>
        </w:rPr>
        <w:t> </w:t>
      </w:r>
      <w:r>
        <w:rPr>
          <w:i/>
          <w:sz w:val="24"/>
        </w:rPr>
        <w:t>symbolic</w:t>
      </w:r>
      <w:r>
        <w:rPr>
          <w:i/>
          <w:spacing w:val="-14"/>
          <w:sz w:val="24"/>
        </w:rPr>
        <w:t> </w:t>
      </w:r>
      <w:r>
        <w:rPr>
          <w:i/>
          <w:sz w:val="24"/>
        </w:rPr>
        <w:t>resourses,</w:t>
      </w:r>
      <w:r>
        <w:rPr>
          <w:i/>
          <w:spacing w:val="-16"/>
          <w:sz w:val="24"/>
        </w:rPr>
        <w:t> </w:t>
      </w:r>
      <w:r>
        <w:rPr>
          <w:i/>
          <w:sz w:val="24"/>
        </w:rPr>
        <w:t>including</w:t>
      </w:r>
      <w:r>
        <w:rPr>
          <w:i/>
          <w:spacing w:val="-13"/>
          <w:sz w:val="24"/>
        </w:rPr>
        <w:t> </w:t>
      </w:r>
      <w:r>
        <w:rPr>
          <w:i/>
          <w:sz w:val="24"/>
        </w:rPr>
        <w:t>language,</w:t>
      </w:r>
      <w:r>
        <w:rPr>
          <w:i/>
          <w:spacing w:val="-16"/>
          <w:sz w:val="24"/>
        </w:rPr>
        <w:t> </w:t>
      </w:r>
      <w:r>
        <w:rPr>
          <w:i/>
          <w:sz w:val="24"/>
        </w:rPr>
        <w:t>to</w:t>
      </w:r>
      <w:r>
        <w:rPr>
          <w:i/>
          <w:spacing w:val="-15"/>
          <w:sz w:val="24"/>
        </w:rPr>
        <w:t> </w:t>
      </w:r>
      <w:r>
        <w:rPr>
          <w:i/>
          <w:sz w:val="24"/>
        </w:rPr>
        <w:t>enhance</w:t>
      </w:r>
      <w:r>
        <w:rPr>
          <w:i/>
          <w:spacing w:val="-13"/>
          <w:sz w:val="24"/>
        </w:rPr>
        <w:t> </w:t>
      </w:r>
      <w:r>
        <w:rPr>
          <w:i/>
          <w:sz w:val="24"/>
        </w:rPr>
        <w:t>their</w:t>
      </w:r>
      <w:r>
        <w:rPr>
          <w:i/>
          <w:spacing w:val="-15"/>
          <w:sz w:val="24"/>
        </w:rPr>
        <w:t> </w:t>
      </w:r>
      <w:r>
        <w:rPr>
          <w:i/>
          <w:sz w:val="24"/>
        </w:rPr>
        <w:t>social</w:t>
      </w:r>
      <w:r>
        <w:rPr>
          <w:i/>
          <w:spacing w:val="-14"/>
          <w:sz w:val="24"/>
        </w:rPr>
        <w:t> </w:t>
      </w:r>
      <w:r>
        <w:rPr>
          <w:i/>
          <w:sz w:val="24"/>
        </w:rPr>
        <w:t>position</w:t>
      </w:r>
      <w:r>
        <w:rPr>
          <w:sz w:val="24"/>
        </w:rPr>
        <w:t>” (Coupland y Jaworski, 1997: 214). En otro estudio del uso de los sonidos </w:t>
      </w:r>
      <w:r>
        <w:rPr>
          <w:i/>
          <w:sz w:val="24"/>
        </w:rPr>
        <w:t>/n/ </w:t>
      </w:r>
      <w:r>
        <w:rPr>
          <w:sz w:val="24"/>
        </w:rPr>
        <w:t>y </w:t>
      </w:r>
      <w:r>
        <w:rPr>
          <w:i/>
          <w:sz w:val="24"/>
        </w:rPr>
        <w:t>/ŋ/ </w:t>
      </w:r>
      <w:r>
        <w:rPr>
          <w:sz w:val="24"/>
        </w:rPr>
        <w:t>del sufijo –</w:t>
      </w:r>
      <w:r>
        <w:rPr>
          <w:i/>
          <w:sz w:val="24"/>
        </w:rPr>
        <w:t>ing </w:t>
      </w:r>
      <w:r>
        <w:rPr>
          <w:sz w:val="24"/>
        </w:rPr>
        <w:t>del inglés, las clases más altas usaban la variable </w:t>
      </w:r>
      <w:r>
        <w:rPr>
          <w:i/>
          <w:sz w:val="24"/>
        </w:rPr>
        <w:t>/ŋ/; </w:t>
      </w:r>
      <w:r>
        <w:rPr>
          <w:sz w:val="24"/>
        </w:rPr>
        <w:t>y como hallazgo importante, las mujeres en su selección entre ambas variables, también lo prefirieron (Chambers y Trudgill, 1998:</w:t>
      </w:r>
      <w:r>
        <w:rPr>
          <w:spacing w:val="-9"/>
          <w:sz w:val="24"/>
        </w:rPr>
        <w:t> </w:t>
      </w:r>
      <w:r>
        <w:rPr>
          <w:sz w:val="24"/>
        </w:rPr>
        <w:t>61-62).</w:t>
      </w:r>
    </w:p>
    <w:p>
      <w:pPr>
        <w:pStyle w:val="BodyText"/>
        <w:spacing w:line="360" w:lineRule="auto" w:before="204"/>
        <w:ind w:left="102" w:right="106" w:firstLine="707"/>
        <w:jc w:val="both"/>
      </w:pPr>
      <w:r>
        <w:rPr/>
        <w:t>En cuanto a edad, el prestigio será predeterminado por las redes sociales a las que el hablante esté ligado. Milroy (1987, en Ronald Wardhaugh, 1998) descubrió que las redes sociales son una de las influencias más poderosas e interesantes en el comportamiento</w:t>
      </w:r>
      <w:r>
        <w:rPr>
          <w:spacing w:val="-7"/>
        </w:rPr>
        <w:t> </w:t>
      </w:r>
      <w:r>
        <w:rPr/>
        <w:t>lingüístico</w:t>
      </w:r>
      <w:r>
        <w:rPr>
          <w:spacing w:val="-7"/>
        </w:rPr>
        <w:t> </w:t>
      </w:r>
      <w:r>
        <w:rPr/>
        <w:t>individual,</w:t>
      </w:r>
      <w:r>
        <w:rPr>
          <w:spacing w:val="-10"/>
        </w:rPr>
        <w:t> </w:t>
      </w:r>
      <w:r>
        <w:rPr/>
        <w:t>permitiendo</w:t>
      </w:r>
      <w:r>
        <w:rPr>
          <w:spacing w:val="-3"/>
        </w:rPr>
        <w:t> </w:t>
      </w:r>
      <w:r>
        <w:rPr/>
        <w:t>ver</w:t>
      </w:r>
      <w:r>
        <w:rPr>
          <w:spacing w:val="-8"/>
        </w:rPr>
        <w:t> </w:t>
      </w:r>
      <w:r>
        <w:rPr/>
        <w:t>los</w:t>
      </w:r>
      <w:r>
        <w:rPr>
          <w:spacing w:val="-7"/>
        </w:rPr>
        <w:t> </w:t>
      </w:r>
      <w:r>
        <w:rPr/>
        <w:t>usos,</w:t>
      </w:r>
      <w:r>
        <w:rPr>
          <w:spacing w:val="-10"/>
        </w:rPr>
        <w:t> </w:t>
      </w:r>
      <w:r>
        <w:rPr/>
        <w:t>frecuencia</w:t>
      </w:r>
      <w:r>
        <w:rPr>
          <w:spacing w:val="-10"/>
        </w:rPr>
        <w:t> </w:t>
      </w:r>
      <w:r>
        <w:rPr/>
        <w:t>y</w:t>
      </w:r>
      <w:r>
        <w:rPr>
          <w:spacing w:val="-10"/>
        </w:rPr>
        <w:t> </w:t>
      </w:r>
      <w:r>
        <w:rPr/>
        <w:t>densidad</w:t>
      </w:r>
      <w:r>
        <w:rPr>
          <w:spacing w:val="-9"/>
        </w:rPr>
        <w:t> </w:t>
      </w:r>
      <w:r>
        <w:rPr/>
        <w:t>de las variables lingüísticas de acuerdo a la edad. Chambers y Trudgill (1998) exponen que en</w:t>
      </w:r>
      <w:r>
        <w:rPr>
          <w:spacing w:val="-12"/>
        </w:rPr>
        <w:t> </w:t>
      </w:r>
      <w:r>
        <w:rPr/>
        <w:t>un</w:t>
      </w:r>
      <w:r>
        <w:rPr>
          <w:spacing w:val="-12"/>
        </w:rPr>
        <w:t> </w:t>
      </w:r>
      <w:r>
        <w:rPr/>
        <w:t>estudio</w:t>
      </w:r>
      <w:r>
        <w:rPr>
          <w:spacing w:val="-12"/>
        </w:rPr>
        <w:t> </w:t>
      </w:r>
      <w:r>
        <w:rPr/>
        <w:t>donde</w:t>
      </w:r>
      <w:r>
        <w:rPr>
          <w:spacing w:val="-12"/>
        </w:rPr>
        <w:t> </w:t>
      </w:r>
      <w:r>
        <w:rPr/>
        <w:t>se</w:t>
      </w:r>
      <w:r>
        <w:rPr>
          <w:spacing w:val="-9"/>
        </w:rPr>
        <w:t> </w:t>
      </w:r>
      <w:r>
        <w:rPr/>
        <w:t>analizaron</w:t>
      </w:r>
      <w:r>
        <w:rPr>
          <w:spacing w:val="-12"/>
        </w:rPr>
        <w:t> </w:t>
      </w:r>
      <w:r>
        <w:rPr/>
        <w:t>3</w:t>
      </w:r>
      <w:r>
        <w:rPr>
          <w:spacing w:val="-12"/>
        </w:rPr>
        <w:t> </w:t>
      </w:r>
      <w:r>
        <w:rPr/>
        <w:t>diferentes</w:t>
      </w:r>
      <w:r>
        <w:rPr>
          <w:spacing w:val="-10"/>
        </w:rPr>
        <w:t> </w:t>
      </w:r>
      <w:r>
        <w:rPr/>
        <w:t>variables</w:t>
      </w:r>
      <w:r>
        <w:rPr>
          <w:spacing w:val="-12"/>
        </w:rPr>
        <w:t> </w:t>
      </w:r>
      <w:r>
        <w:rPr/>
        <w:t>fonéticas</w:t>
      </w:r>
      <w:r>
        <w:rPr>
          <w:spacing w:val="-15"/>
        </w:rPr>
        <w:t> </w:t>
      </w:r>
      <w:r>
        <w:rPr/>
        <w:t>en</w:t>
      </w:r>
      <w:r>
        <w:rPr>
          <w:spacing w:val="-12"/>
        </w:rPr>
        <w:t> </w:t>
      </w:r>
      <w:r>
        <w:rPr/>
        <w:t>Estados</w:t>
      </w:r>
      <w:r>
        <w:rPr>
          <w:spacing w:val="-13"/>
        </w:rPr>
        <w:t> </w:t>
      </w:r>
      <w:r>
        <w:rPr/>
        <w:t>Unidos,</w:t>
      </w:r>
      <w:r>
        <w:rPr>
          <w:spacing w:val="-10"/>
        </w:rPr>
        <w:t> </w:t>
      </w:r>
      <w:r>
        <w:rPr/>
        <w:t>se halló que de las tres divisiones de la población: niños, adolescentes y adultos. En los adultos comienza a disminuir el uso de las formas menos prestigiosas: “as speakers get older</w:t>
      </w:r>
      <w:r>
        <w:rPr>
          <w:spacing w:val="-11"/>
        </w:rPr>
        <w:t> </w:t>
      </w:r>
      <w:r>
        <w:rPr/>
        <w:t>and</w:t>
      </w:r>
      <w:r>
        <w:rPr>
          <w:spacing w:val="-12"/>
        </w:rPr>
        <w:t> </w:t>
      </w:r>
      <w:r>
        <w:rPr/>
        <w:t>begin</w:t>
      </w:r>
      <w:r>
        <w:rPr>
          <w:spacing w:val="-10"/>
        </w:rPr>
        <w:t> </w:t>
      </w:r>
      <w:r>
        <w:rPr/>
        <w:t>working,</w:t>
      </w:r>
      <w:r>
        <w:rPr>
          <w:spacing w:val="-10"/>
        </w:rPr>
        <w:t> </w:t>
      </w:r>
      <w:r>
        <w:rPr/>
        <w:t>they</w:t>
      </w:r>
      <w:r>
        <w:rPr>
          <w:spacing w:val="-13"/>
        </w:rPr>
        <w:t> </w:t>
      </w:r>
      <w:r>
        <w:rPr/>
        <w:t>move</w:t>
      </w:r>
      <w:r>
        <w:rPr>
          <w:spacing w:val="-9"/>
        </w:rPr>
        <w:t> </w:t>
      </w:r>
      <w:r>
        <w:rPr/>
        <w:t>into</w:t>
      </w:r>
      <w:r>
        <w:rPr>
          <w:spacing w:val="-9"/>
        </w:rPr>
        <w:t> </w:t>
      </w:r>
      <w:r>
        <w:rPr/>
        <w:t>wider</w:t>
      </w:r>
      <w:r>
        <w:rPr>
          <w:spacing w:val="-11"/>
        </w:rPr>
        <w:t> </w:t>
      </w:r>
      <w:r>
        <w:rPr/>
        <w:t>and</w:t>
      </w:r>
      <w:r>
        <w:rPr>
          <w:spacing w:val="-9"/>
        </w:rPr>
        <w:t> </w:t>
      </w:r>
      <w:r>
        <w:rPr/>
        <w:t>less</w:t>
      </w:r>
      <w:r>
        <w:rPr>
          <w:spacing w:val="-10"/>
        </w:rPr>
        <w:t> </w:t>
      </w:r>
      <w:r>
        <w:rPr/>
        <w:t>cohesive</w:t>
      </w:r>
      <w:r>
        <w:rPr>
          <w:spacing w:val="-9"/>
        </w:rPr>
        <w:t> </w:t>
      </w:r>
      <w:r>
        <w:rPr/>
        <w:t>social</w:t>
      </w:r>
      <w:r>
        <w:rPr>
          <w:spacing w:val="-10"/>
        </w:rPr>
        <w:t> </w:t>
      </w:r>
      <w:r>
        <w:rPr/>
        <w:t>networks,</w:t>
      </w:r>
      <w:r>
        <w:rPr>
          <w:spacing w:val="-10"/>
        </w:rPr>
        <w:t> </w:t>
      </w:r>
      <w:r>
        <w:rPr/>
        <w:t>and</w:t>
      </w:r>
      <w:r>
        <w:rPr>
          <w:spacing w:val="-12"/>
        </w:rPr>
        <w:t> </w:t>
      </w:r>
      <w:r>
        <w:rPr/>
        <w:t>are more influenced by mainstream social values and, perhaps, by the need to impress, succeed and make social and economic progress.” (Chambers y Trudgill, 1998:</w:t>
      </w:r>
      <w:r>
        <w:rPr>
          <w:spacing w:val="-18"/>
        </w:rPr>
        <w:t> </w:t>
      </w:r>
      <w:r>
        <w:rPr/>
        <w:t>79)</w:t>
      </w:r>
    </w:p>
    <w:p>
      <w:pPr>
        <w:pStyle w:val="BodyText"/>
        <w:spacing w:line="360" w:lineRule="auto" w:before="204"/>
        <w:ind w:left="102" w:right="115" w:firstLine="707"/>
        <w:jc w:val="both"/>
      </w:pPr>
      <w:r>
        <w:rPr/>
        <w:t>En otros respectos, hablando de prestigio de una lengua a otra, múltiples investigaciones que se han realizado en México sugieren que hay actitudes positivas</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10"/>
        <w:jc w:val="both"/>
      </w:pPr>
      <w:r>
        <w:rPr/>
        <w:t>hacia las lenguas internacionales, específicamente el inglés, a comparación de las lenguas indígenas de nuestro país. Los informantes justifican sus repuestas expresando prestigio</w:t>
      </w:r>
      <w:r>
        <w:rPr>
          <w:spacing w:val="-4"/>
        </w:rPr>
        <w:t> </w:t>
      </w:r>
      <w:r>
        <w:rPr/>
        <w:t>y</w:t>
      </w:r>
      <w:r>
        <w:rPr>
          <w:spacing w:val="-7"/>
        </w:rPr>
        <w:t> </w:t>
      </w:r>
      <w:r>
        <w:rPr/>
        <w:t>progreso</w:t>
      </w:r>
      <w:r>
        <w:rPr>
          <w:spacing w:val="-3"/>
        </w:rPr>
        <w:t> </w:t>
      </w:r>
      <w:r>
        <w:rPr/>
        <w:t>a</w:t>
      </w:r>
      <w:r>
        <w:rPr>
          <w:spacing w:val="-4"/>
        </w:rPr>
        <w:t> </w:t>
      </w:r>
      <w:r>
        <w:rPr/>
        <w:t>partir</w:t>
      </w:r>
      <w:r>
        <w:rPr>
          <w:spacing w:val="-5"/>
        </w:rPr>
        <w:t> </w:t>
      </w:r>
      <w:r>
        <w:rPr/>
        <w:t>del</w:t>
      </w:r>
      <w:r>
        <w:rPr>
          <w:spacing w:val="-5"/>
        </w:rPr>
        <w:t> </w:t>
      </w:r>
      <w:r>
        <w:rPr/>
        <w:t>aprendizaje</w:t>
      </w:r>
      <w:r>
        <w:rPr>
          <w:spacing w:val="-4"/>
        </w:rPr>
        <w:t> </w:t>
      </w:r>
      <w:r>
        <w:rPr/>
        <w:t>y</w:t>
      </w:r>
      <w:r>
        <w:rPr>
          <w:spacing w:val="-7"/>
        </w:rPr>
        <w:t> </w:t>
      </w:r>
      <w:r>
        <w:rPr/>
        <w:t>dominio</w:t>
      </w:r>
      <w:r>
        <w:rPr>
          <w:spacing w:val="-4"/>
        </w:rPr>
        <w:t> </w:t>
      </w:r>
      <w:r>
        <w:rPr/>
        <w:t>del</w:t>
      </w:r>
      <w:r>
        <w:rPr>
          <w:spacing w:val="-5"/>
        </w:rPr>
        <w:t> </w:t>
      </w:r>
      <w:r>
        <w:rPr/>
        <w:t>inglés</w:t>
      </w:r>
      <w:r>
        <w:rPr>
          <w:spacing w:val="-4"/>
        </w:rPr>
        <w:t> </w:t>
      </w:r>
      <w:r>
        <w:rPr/>
        <w:t>(Zariñana,</w:t>
      </w:r>
      <w:r>
        <w:rPr>
          <w:spacing w:val="-6"/>
        </w:rPr>
        <w:t> </w:t>
      </w:r>
      <w:r>
        <w:rPr/>
        <w:t>2010</w:t>
      </w:r>
      <w:r>
        <w:rPr>
          <w:spacing w:val="-4"/>
        </w:rPr>
        <w:t> </w:t>
      </w:r>
      <w:r>
        <w:rPr/>
        <w:t>y</w:t>
      </w:r>
      <w:r>
        <w:rPr>
          <w:spacing w:val="-7"/>
        </w:rPr>
        <w:t> </w:t>
      </w:r>
      <w:r>
        <w:rPr/>
        <w:t>Pérez Molina, 2009). En cuestión del inglés y el español en Estados Unidos, en Carranza y Bouchard (1975) se encuentra que el español sólo tiene funciones familiares o en empleados que ejercen oficios o prestan servicios; mientras que el inglés se asocia con campos de dominio alto o prestigioso como en contextos oficiales o institucionales, aunque el español empieza a penetrar en estos</w:t>
      </w:r>
      <w:r>
        <w:rPr>
          <w:spacing w:val="-26"/>
        </w:rPr>
        <w:t> </w:t>
      </w:r>
      <w:r>
        <w:rPr/>
        <w:t>campos.</w:t>
      </w:r>
    </w:p>
    <w:p>
      <w:pPr>
        <w:pStyle w:val="BodyText"/>
        <w:spacing w:line="360" w:lineRule="auto" w:before="205"/>
        <w:ind w:left="102" w:right="107" w:firstLine="707"/>
        <w:jc w:val="both"/>
      </w:pPr>
      <w:r>
        <w:rPr/>
        <w:t>Para Francisco Moreno Fernández (1998) el número de hablantes determina el prestigio de una lengua. Para Antonio Quilis (2002) no sólo depende de la cantidad,</w:t>
      </w:r>
      <w:r>
        <w:rPr>
          <w:spacing w:val="-44"/>
        </w:rPr>
        <w:t> </w:t>
      </w:r>
      <w:r>
        <w:rPr/>
        <w:t>sino de su carácter de oficial. Para el lingüista no hay lenguas perfectas, ni unas mejores o peores que otras mientras cumplan con su función de lograr una comunicación</w:t>
      </w:r>
      <w:r>
        <w:rPr>
          <w:spacing w:val="-33"/>
        </w:rPr>
        <w:t> </w:t>
      </w:r>
      <w:r>
        <w:rPr/>
        <w:t>eficiente. Sin embargo, no se niega lo útil y prestigioso que resulta el hablar inglés en lugar de hablar otras lenguas menos influyentes (Moreno,</w:t>
      </w:r>
      <w:r>
        <w:rPr>
          <w:spacing w:val="-18"/>
        </w:rPr>
        <w:t> </w:t>
      </w:r>
      <w:r>
        <w:rPr/>
        <w:t>1998).</w:t>
      </w:r>
    </w:p>
    <w:p>
      <w:pPr>
        <w:pStyle w:val="BodyText"/>
        <w:spacing w:line="360" w:lineRule="auto" w:before="204"/>
        <w:ind w:left="102" w:right="108" w:firstLine="707"/>
        <w:jc w:val="both"/>
      </w:pPr>
      <w:r>
        <w:rPr/>
        <w:t>En general, al ser la lengua un marcador social y de identidad, las variables que utilicemos (por sus diferentes razones), también nos marcaran como parte de un grupo social, ya sea considerado de prestigio o no. Por lo tanto, los anglicismos se pueden percibir como tales.</w:t>
      </w:r>
    </w:p>
    <w:p>
      <w:pPr>
        <w:pStyle w:val="BodyText"/>
        <w:spacing w:line="360" w:lineRule="auto" w:before="202"/>
        <w:ind w:left="102" w:right="106" w:firstLine="707"/>
        <w:jc w:val="both"/>
      </w:pPr>
      <w:r>
        <w:rPr/>
        <w:t>La sociedad es la que determina el prestigio de una lengua y la que precisa su impacto frente a otras comunidades. La sociedad puede enaltecer o desprestigiar una lengua, es así como el inglés ha ganado prestigio en México. A pesar de que la lengua inglesa</w:t>
      </w:r>
      <w:r>
        <w:rPr>
          <w:spacing w:val="-4"/>
        </w:rPr>
        <w:t> </w:t>
      </w:r>
      <w:r>
        <w:rPr/>
        <w:t>no</w:t>
      </w:r>
      <w:r>
        <w:rPr>
          <w:spacing w:val="-7"/>
        </w:rPr>
        <w:t> </w:t>
      </w:r>
      <w:r>
        <w:rPr/>
        <w:t>ha</w:t>
      </w:r>
      <w:r>
        <w:rPr>
          <w:spacing w:val="-7"/>
        </w:rPr>
        <w:t> </w:t>
      </w:r>
      <w:r>
        <w:rPr/>
        <w:t>desplazado</w:t>
      </w:r>
      <w:r>
        <w:rPr>
          <w:spacing w:val="-7"/>
        </w:rPr>
        <w:t> </w:t>
      </w:r>
      <w:r>
        <w:rPr/>
        <w:t>al</w:t>
      </w:r>
      <w:r>
        <w:rPr>
          <w:spacing w:val="-6"/>
        </w:rPr>
        <w:t> </w:t>
      </w:r>
      <w:r>
        <w:rPr/>
        <w:t>español,</w:t>
      </w:r>
      <w:r>
        <w:rPr>
          <w:spacing w:val="-2"/>
        </w:rPr>
        <w:t> </w:t>
      </w:r>
      <w:r>
        <w:rPr/>
        <w:t>las</w:t>
      </w:r>
      <w:r>
        <w:rPr>
          <w:spacing w:val="-8"/>
        </w:rPr>
        <w:t> </w:t>
      </w:r>
      <w:r>
        <w:rPr/>
        <w:t>unidades</w:t>
      </w:r>
      <w:r>
        <w:rPr>
          <w:spacing w:val="-8"/>
        </w:rPr>
        <w:t> </w:t>
      </w:r>
      <w:r>
        <w:rPr/>
        <w:t>lingüísticas</w:t>
      </w:r>
      <w:r>
        <w:rPr>
          <w:spacing w:val="-5"/>
        </w:rPr>
        <w:t> </w:t>
      </w:r>
      <w:r>
        <w:rPr/>
        <w:t>que</w:t>
      </w:r>
      <w:r>
        <w:rPr>
          <w:spacing w:val="-5"/>
        </w:rPr>
        <w:t> </w:t>
      </w:r>
      <w:r>
        <w:rPr/>
        <w:t>se</w:t>
      </w:r>
      <w:r>
        <w:rPr>
          <w:spacing w:val="-5"/>
        </w:rPr>
        <w:t> </w:t>
      </w:r>
      <w:r>
        <w:rPr/>
        <w:t>han</w:t>
      </w:r>
      <w:r>
        <w:rPr>
          <w:spacing w:val="-7"/>
        </w:rPr>
        <w:t> </w:t>
      </w:r>
      <w:r>
        <w:rPr/>
        <w:t>introducido</w:t>
      </w:r>
      <w:r>
        <w:rPr>
          <w:spacing w:val="-6"/>
        </w:rPr>
        <w:t> </w:t>
      </w:r>
      <w:r>
        <w:rPr/>
        <w:t>en el mismo reflejan las actitudes favorables de la sociedad y se notan en su uso</w:t>
      </w:r>
      <w:r>
        <w:rPr>
          <w:spacing w:val="-37"/>
        </w:rPr>
        <w:t> </w:t>
      </w:r>
      <w:r>
        <w:rPr/>
        <w:t>frecuente.</w:t>
      </w:r>
    </w:p>
    <w:p>
      <w:pPr>
        <w:spacing w:after="0" w:line="360" w:lineRule="auto"/>
        <w:jc w:val="both"/>
        <w:sectPr>
          <w:pgSz w:w="12240" w:h="15840"/>
          <w:pgMar w:header="749" w:footer="1003" w:top="960" w:bottom="1200" w:left="1600" w:right="1020"/>
        </w:sectPr>
      </w:pPr>
    </w:p>
    <w:p>
      <w:pPr>
        <w:pStyle w:val="BodyText"/>
        <w:spacing w:before="4"/>
        <w:rPr>
          <w:sz w:val="11"/>
        </w:rPr>
      </w:pPr>
    </w:p>
    <w:p>
      <w:pPr>
        <w:pStyle w:val="Heading1"/>
        <w:spacing w:line="535" w:lineRule="auto" w:before="69"/>
        <w:ind w:left="2385" w:right="2375" w:firstLine="2059"/>
      </w:pPr>
      <w:r>
        <w:rPr/>
        <w:t>CAPÍTULO 2 ACTITUDES Y CREENCIAS LINGÜÍSTICAS</w:t>
      </w:r>
    </w:p>
    <w:p>
      <w:pPr>
        <w:pStyle w:val="BodyText"/>
        <w:rPr>
          <w:b/>
        </w:rPr>
      </w:pPr>
    </w:p>
    <w:p>
      <w:pPr>
        <w:pStyle w:val="BodyText"/>
        <w:spacing w:before="11"/>
        <w:rPr>
          <w:b/>
          <w:sz w:val="29"/>
        </w:rPr>
      </w:pPr>
    </w:p>
    <w:p>
      <w:pPr>
        <w:pStyle w:val="BodyText"/>
        <w:spacing w:line="360" w:lineRule="auto"/>
        <w:ind w:left="102" w:right="112" w:firstLine="707"/>
        <w:jc w:val="both"/>
      </w:pPr>
      <w:r>
        <w:rPr/>
        <w:t>En este apartado del trabajo de investigación, la exploración social es primordial. La percepción de los hablantes hacia las lenguas y los factores que de éstas se desenvuelven.</w:t>
      </w:r>
      <w:r>
        <w:rPr>
          <w:spacing w:val="-6"/>
        </w:rPr>
        <w:t> </w:t>
      </w:r>
      <w:r>
        <w:rPr/>
        <w:t>Se</w:t>
      </w:r>
      <w:r>
        <w:rPr>
          <w:spacing w:val="-6"/>
        </w:rPr>
        <w:t> </w:t>
      </w:r>
      <w:r>
        <w:rPr/>
        <w:t>comenzará</w:t>
      </w:r>
      <w:r>
        <w:rPr>
          <w:spacing w:val="-6"/>
        </w:rPr>
        <w:t> </w:t>
      </w:r>
      <w:r>
        <w:rPr/>
        <w:t>definiendo</w:t>
      </w:r>
      <w:r>
        <w:rPr>
          <w:spacing w:val="-8"/>
        </w:rPr>
        <w:t> </w:t>
      </w:r>
      <w:r>
        <w:rPr/>
        <w:t>actitudes</w:t>
      </w:r>
      <w:r>
        <w:rPr>
          <w:spacing w:val="-6"/>
        </w:rPr>
        <w:t> </w:t>
      </w:r>
      <w:r>
        <w:rPr/>
        <w:t>y</w:t>
      </w:r>
      <w:r>
        <w:rPr>
          <w:spacing w:val="-9"/>
        </w:rPr>
        <w:t> </w:t>
      </w:r>
      <w:r>
        <w:rPr/>
        <w:t>creencias</w:t>
      </w:r>
      <w:r>
        <w:rPr>
          <w:spacing w:val="-6"/>
        </w:rPr>
        <w:t> </w:t>
      </w:r>
      <w:r>
        <w:rPr/>
        <w:t>lingüísticas,</w:t>
      </w:r>
      <w:r>
        <w:rPr>
          <w:spacing w:val="-6"/>
        </w:rPr>
        <w:t> </w:t>
      </w:r>
      <w:r>
        <w:rPr/>
        <w:t>de</w:t>
      </w:r>
      <w:r>
        <w:rPr>
          <w:spacing w:val="-6"/>
        </w:rPr>
        <w:t> </w:t>
      </w:r>
      <w:r>
        <w:rPr/>
        <w:t>las</w:t>
      </w:r>
      <w:r>
        <w:rPr>
          <w:spacing w:val="-8"/>
        </w:rPr>
        <w:t> </w:t>
      </w:r>
      <w:r>
        <w:rPr/>
        <w:t>cuales se crean estereotipos dentro de la sociedad por el uso de la lengua y sus variables; provocando el prejuicio y racismo lingüístico. Se concluirá haciendo el vínculo entre la actitud lingüística y prestigio social que es el fin último de la</w:t>
      </w:r>
      <w:r>
        <w:rPr>
          <w:spacing w:val="-20"/>
        </w:rPr>
        <w:t> </w:t>
      </w:r>
      <w:r>
        <w:rPr/>
        <w:t>investigación.</w:t>
      </w:r>
    </w:p>
    <w:p>
      <w:pPr>
        <w:pStyle w:val="BodyText"/>
      </w:pPr>
    </w:p>
    <w:p>
      <w:pPr>
        <w:pStyle w:val="BodyText"/>
      </w:pPr>
    </w:p>
    <w:p>
      <w:pPr>
        <w:pStyle w:val="BodyText"/>
        <w:spacing w:before="11"/>
        <w:rPr>
          <w:sz w:val="22"/>
        </w:rPr>
      </w:pPr>
    </w:p>
    <w:p>
      <w:pPr>
        <w:pStyle w:val="Heading1"/>
        <w:numPr>
          <w:ilvl w:val="1"/>
          <w:numId w:val="2"/>
        </w:numPr>
        <w:tabs>
          <w:tab w:pos="573" w:val="left" w:leader="none"/>
        </w:tabs>
        <w:spacing w:line="240" w:lineRule="auto" w:before="0" w:after="0"/>
        <w:ind w:left="572" w:right="0" w:hanging="470"/>
        <w:jc w:val="left"/>
      </w:pPr>
      <w:r>
        <w:rPr/>
        <w:t>Definición de</w:t>
      </w:r>
      <w:r>
        <w:rPr>
          <w:spacing w:val="-11"/>
        </w:rPr>
        <w:t> </w:t>
      </w:r>
      <w:r>
        <w:rPr/>
        <w:t>Actitud</w:t>
      </w:r>
    </w:p>
    <w:p>
      <w:pPr>
        <w:pStyle w:val="BodyText"/>
        <w:spacing w:before="4"/>
        <w:rPr>
          <w:b/>
          <w:sz w:val="29"/>
        </w:rPr>
      </w:pPr>
    </w:p>
    <w:p>
      <w:pPr>
        <w:pStyle w:val="BodyText"/>
        <w:spacing w:line="360" w:lineRule="auto" w:before="1"/>
        <w:ind w:left="102" w:right="116" w:firstLine="707"/>
        <w:jc w:val="both"/>
      </w:pPr>
      <w:r>
        <w:rPr/>
        <w:t>Francisco Moreno Fernández (1998: 179) define la actitud lingüística como “una manifestación de la actitud social de los individuos, distinguida por centrarse y referirse específicamente</w:t>
      </w:r>
      <w:r>
        <w:rPr>
          <w:spacing w:val="-12"/>
        </w:rPr>
        <w:t> </w:t>
      </w:r>
      <w:r>
        <w:rPr/>
        <w:t>tanto</w:t>
      </w:r>
      <w:r>
        <w:rPr>
          <w:spacing w:val="-14"/>
        </w:rPr>
        <w:t> </w:t>
      </w:r>
      <w:r>
        <w:rPr/>
        <w:t>a</w:t>
      </w:r>
      <w:r>
        <w:rPr>
          <w:spacing w:val="-12"/>
        </w:rPr>
        <w:t> </w:t>
      </w:r>
      <w:r>
        <w:rPr/>
        <w:t>la</w:t>
      </w:r>
      <w:r>
        <w:rPr>
          <w:spacing w:val="-12"/>
        </w:rPr>
        <w:t> </w:t>
      </w:r>
      <w:r>
        <w:rPr/>
        <w:t>lengua</w:t>
      </w:r>
      <w:r>
        <w:rPr>
          <w:spacing w:val="-12"/>
        </w:rPr>
        <w:t> </w:t>
      </w:r>
      <w:r>
        <w:rPr/>
        <w:t>como</w:t>
      </w:r>
      <w:r>
        <w:rPr>
          <w:spacing w:val="-12"/>
        </w:rPr>
        <w:t> </w:t>
      </w:r>
      <w:r>
        <w:rPr/>
        <w:t>al</w:t>
      </w:r>
      <w:r>
        <w:rPr>
          <w:spacing w:val="-15"/>
        </w:rPr>
        <w:t> </w:t>
      </w:r>
      <w:r>
        <w:rPr/>
        <w:t>uso</w:t>
      </w:r>
      <w:r>
        <w:rPr>
          <w:spacing w:val="-12"/>
        </w:rPr>
        <w:t> </w:t>
      </w:r>
      <w:r>
        <w:rPr/>
        <w:t>que</w:t>
      </w:r>
      <w:r>
        <w:rPr>
          <w:spacing w:val="-14"/>
        </w:rPr>
        <w:t> </w:t>
      </w:r>
      <w:r>
        <w:rPr/>
        <w:t>de</w:t>
      </w:r>
      <w:r>
        <w:rPr>
          <w:spacing w:val="-14"/>
        </w:rPr>
        <w:t> </w:t>
      </w:r>
      <w:r>
        <w:rPr/>
        <w:t>ella</w:t>
      </w:r>
      <w:r>
        <w:rPr>
          <w:spacing w:val="-12"/>
        </w:rPr>
        <w:t> </w:t>
      </w:r>
      <w:r>
        <w:rPr/>
        <w:t>se</w:t>
      </w:r>
      <w:r>
        <w:rPr>
          <w:spacing w:val="-14"/>
        </w:rPr>
        <w:t> </w:t>
      </w:r>
      <w:r>
        <w:rPr/>
        <w:t>hace</w:t>
      </w:r>
      <w:r>
        <w:rPr>
          <w:spacing w:val="-12"/>
        </w:rPr>
        <w:t> </w:t>
      </w:r>
      <w:r>
        <w:rPr/>
        <w:t>en</w:t>
      </w:r>
      <w:r>
        <w:rPr>
          <w:spacing w:val="-12"/>
        </w:rPr>
        <w:t> </w:t>
      </w:r>
      <w:r>
        <w:rPr/>
        <w:t>sociedad”.</w:t>
      </w:r>
      <w:r>
        <w:rPr>
          <w:spacing w:val="-15"/>
        </w:rPr>
        <w:t> </w:t>
      </w:r>
      <w:r>
        <w:rPr/>
        <w:t>Además añade</w:t>
      </w:r>
      <w:r>
        <w:rPr>
          <w:spacing w:val="-17"/>
        </w:rPr>
        <w:t> </w:t>
      </w:r>
      <w:r>
        <w:rPr/>
        <w:t>que</w:t>
      </w:r>
      <w:r>
        <w:rPr>
          <w:spacing w:val="-17"/>
        </w:rPr>
        <w:t> </w:t>
      </w:r>
      <w:r>
        <w:rPr/>
        <w:t>cuando</w:t>
      </w:r>
      <w:r>
        <w:rPr>
          <w:spacing w:val="-17"/>
        </w:rPr>
        <w:t> </w:t>
      </w:r>
      <w:r>
        <w:rPr/>
        <w:t>se</w:t>
      </w:r>
      <w:r>
        <w:rPr>
          <w:spacing w:val="-17"/>
        </w:rPr>
        <w:t> </w:t>
      </w:r>
      <w:r>
        <w:rPr/>
        <w:t>habla</w:t>
      </w:r>
      <w:r>
        <w:rPr>
          <w:spacing w:val="-17"/>
        </w:rPr>
        <w:t> </w:t>
      </w:r>
      <w:r>
        <w:rPr/>
        <w:t>de</w:t>
      </w:r>
      <w:r>
        <w:rPr>
          <w:spacing w:val="-17"/>
        </w:rPr>
        <w:t> </w:t>
      </w:r>
      <w:r>
        <w:rPr/>
        <w:t>lengua</w:t>
      </w:r>
      <w:r>
        <w:rPr>
          <w:spacing w:val="-17"/>
        </w:rPr>
        <w:t> </w:t>
      </w:r>
      <w:r>
        <w:rPr/>
        <w:t>se</w:t>
      </w:r>
      <w:r>
        <w:rPr>
          <w:spacing w:val="-17"/>
        </w:rPr>
        <w:t> </w:t>
      </w:r>
      <w:r>
        <w:rPr/>
        <w:t>están</w:t>
      </w:r>
      <w:r>
        <w:rPr>
          <w:spacing w:val="-17"/>
        </w:rPr>
        <w:t> </w:t>
      </w:r>
      <w:r>
        <w:rPr/>
        <w:t>incluyendo</w:t>
      </w:r>
      <w:r>
        <w:rPr>
          <w:spacing w:val="-17"/>
        </w:rPr>
        <w:t> </w:t>
      </w:r>
      <w:r>
        <w:rPr/>
        <w:t>todas</w:t>
      </w:r>
      <w:r>
        <w:rPr>
          <w:spacing w:val="-17"/>
        </w:rPr>
        <w:t> </w:t>
      </w:r>
      <w:r>
        <w:rPr/>
        <w:t>las</w:t>
      </w:r>
      <w:r>
        <w:rPr>
          <w:spacing w:val="-19"/>
        </w:rPr>
        <w:t> </w:t>
      </w:r>
      <w:r>
        <w:rPr/>
        <w:t>variables</w:t>
      </w:r>
      <w:r>
        <w:rPr>
          <w:spacing w:val="-17"/>
        </w:rPr>
        <w:t> </w:t>
      </w:r>
      <w:r>
        <w:rPr/>
        <w:t>lingüísticas que de ella</w:t>
      </w:r>
      <w:r>
        <w:rPr>
          <w:spacing w:val="-7"/>
        </w:rPr>
        <w:t> </w:t>
      </w:r>
      <w:r>
        <w:rPr/>
        <w:t>partan.</w:t>
      </w:r>
    </w:p>
    <w:p>
      <w:pPr>
        <w:pStyle w:val="BodyText"/>
        <w:spacing w:line="360" w:lineRule="auto" w:before="204"/>
        <w:ind w:left="102" w:right="111" w:firstLine="707"/>
        <w:jc w:val="both"/>
      </w:pPr>
      <w:r>
        <w:rPr/>
        <w:t>Lo anterior se refiere a que las actitudes se reflejarán hacia los diferentes estilos, sociolectos y dialectos. Además, así como el individuo reconoce el lugar para variar su estilo, registro y forma coloquial o formal del habla, también puede variar la actitud que presente frente a estas diferentes modalidades de la lengua.</w:t>
      </w:r>
    </w:p>
    <w:p>
      <w:pPr>
        <w:pStyle w:val="BodyText"/>
        <w:spacing w:line="360" w:lineRule="auto" w:before="204"/>
        <w:ind w:left="102" w:right="108" w:firstLine="707"/>
        <w:jc w:val="both"/>
      </w:pPr>
      <w:r>
        <w:rPr/>
        <w:t>Los autores Rebeca Agheyshi y Joshua Fishman (1970); y Cooper y Fishman (1974) proponen la definición vista desde dos teorías; una mentalista y otra conductista. De acuerdo a la primera, las actitudes están presentes y latentes todo el tiempo, sólo basta una provocación o estímulo que la haga actuar ante cualquier situación, así</w:t>
      </w:r>
      <w:r>
        <w:rPr>
          <w:spacing w:val="-44"/>
        </w:rPr>
        <w:t> </w:t>
      </w:r>
      <w:r>
        <w:rPr/>
        <w:t>puede variar y ser favorable o no. A su definición añaden tres subcomponentes: Lo</w:t>
      </w:r>
      <w:r>
        <w:rPr>
          <w:spacing w:val="-42"/>
        </w:rPr>
        <w:t> </w:t>
      </w:r>
      <w:r>
        <w:rPr/>
        <w:t>cognitivo</w:t>
      </w:r>
    </w:p>
    <w:p>
      <w:pPr>
        <w:pStyle w:val="BodyText"/>
        <w:rPr>
          <w:sz w:val="20"/>
        </w:rPr>
      </w:pPr>
    </w:p>
    <w:p>
      <w:pPr>
        <w:pStyle w:val="BodyText"/>
        <w:rPr>
          <w:sz w:val="20"/>
        </w:rPr>
      </w:pPr>
    </w:p>
    <w:p>
      <w:pPr>
        <w:pStyle w:val="BodyText"/>
        <w:rPr>
          <w:sz w:val="20"/>
        </w:rPr>
      </w:pPr>
    </w:p>
    <w:p>
      <w:pPr>
        <w:pStyle w:val="BodyText"/>
        <w:spacing w:before="5"/>
        <w:rPr>
          <w:sz w:val="17"/>
        </w:rPr>
      </w:pPr>
    </w:p>
    <w:p>
      <w:pPr>
        <w:spacing w:before="56"/>
        <w:ind w:left="423" w:right="427" w:firstLine="0"/>
        <w:jc w:val="center"/>
        <w:rPr>
          <w:rFonts w:ascii="Calibri"/>
          <w:sz w:val="22"/>
        </w:rPr>
      </w:pPr>
      <w:r>
        <w:rPr>
          <w:rFonts w:ascii="Calibri"/>
          <w:sz w:val="22"/>
        </w:rPr>
        <w:t>20</w:t>
      </w:r>
    </w:p>
    <w:p>
      <w:pPr>
        <w:spacing w:after="0"/>
        <w:jc w:val="center"/>
        <w:rPr>
          <w:rFonts w:ascii="Calibri"/>
          <w:sz w:val="22"/>
        </w:rPr>
        <w:sectPr>
          <w:headerReference w:type="default" r:id="rId17"/>
          <w:footerReference w:type="default" r:id="rId18"/>
          <w:pgSz w:w="12240" w:h="15840"/>
          <w:pgMar w:header="0" w:footer="0" w:top="1500" w:bottom="280" w:left="1600" w:right="1020"/>
        </w:sectPr>
      </w:pPr>
    </w:p>
    <w:p>
      <w:pPr>
        <w:pStyle w:val="BodyText"/>
        <w:rPr>
          <w:rFonts w:ascii="Calibri"/>
          <w:sz w:val="20"/>
        </w:rPr>
      </w:pPr>
    </w:p>
    <w:p>
      <w:pPr>
        <w:pStyle w:val="BodyText"/>
        <w:rPr>
          <w:rFonts w:ascii="Calibri"/>
          <w:sz w:val="20"/>
        </w:rPr>
      </w:pPr>
    </w:p>
    <w:p>
      <w:pPr>
        <w:pStyle w:val="BodyText"/>
        <w:spacing w:before="10"/>
        <w:rPr>
          <w:rFonts w:ascii="Calibri"/>
          <w:sz w:val="19"/>
        </w:rPr>
      </w:pPr>
    </w:p>
    <w:p>
      <w:pPr>
        <w:pStyle w:val="BodyText"/>
        <w:spacing w:line="360" w:lineRule="auto"/>
        <w:ind w:left="102" w:right="114"/>
        <w:jc w:val="both"/>
      </w:pPr>
      <w:r>
        <w:rPr/>
        <w:t>(Conocimiento), lo afectivo (sentimientos) y lo conativo (acciones). Con respecto a la teoría conductista, las actitudes son encontradas en las respuestas que muestran los individuos dependiendo de la situación social que estén atravesando. Asevera que para obtenerlas</w:t>
      </w:r>
      <w:r>
        <w:rPr>
          <w:spacing w:val="-20"/>
        </w:rPr>
        <w:t> </w:t>
      </w:r>
      <w:r>
        <w:rPr/>
        <w:t>es</w:t>
      </w:r>
      <w:r>
        <w:rPr>
          <w:spacing w:val="-20"/>
        </w:rPr>
        <w:t> </w:t>
      </w:r>
      <w:r>
        <w:rPr/>
        <w:t>necesaria</w:t>
      </w:r>
      <w:r>
        <w:rPr>
          <w:spacing w:val="-17"/>
        </w:rPr>
        <w:t> </w:t>
      </w:r>
      <w:r>
        <w:rPr/>
        <w:t>la</w:t>
      </w:r>
      <w:r>
        <w:rPr>
          <w:spacing w:val="-19"/>
        </w:rPr>
        <w:t> </w:t>
      </w:r>
      <w:r>
        <w:rPr/>
        <w:t>observación,</w:t>
      </w:r>
      <w:r>
        <w:rPr>
          <w:spacing w:val="-17"/>
        </w:rPr>
        <w:t> </w:t>
      </w:r>
      <w:r>
        <w:rPr/>
        <w:t>la</w:t>
      </w:r>
      <w:r>
        <w:rPr>
          <w:spacing w:val="-17"/>
        </w:rPr>
        <w:t> </w:t>
      </w:r>
      <w:r>
        <w:rPr/>
        <w:t>interpretación</w:t>
      </w:r>
      <w:r>
        <w:rPr>
          <w:spacing w:val="-17"/>
        </w:rPr>
        <w:t> </w:t>
      </w:r>
      <w:r>
        <w:rPr/>
        <w:t>y</w:t>
      </w:r>
      <w:r>
        <w:rPr>
          <w:spacing w:val="-20"/>
        </w:rPr>
        <w:t> </w:t>
      </w:r>
      <w:r>
        <w:rPr/>
        <w:t>análisis</w:t>
      </w:r>
      <w:r>
        <w:rPr>
          <w:spacing w:val="-18"/>
        </w:rPr>
        <w:t> </w:t>
      </w:r>
      <w:r>
        <w:rPr/>
        <w:t>de</w:t>
      </w:r>
      <w:r>
        <w:rPr>
          <w:spacing w:val="-17"/>
        </w:rPr>
        <w:t> </w:t>
      </w:r>
      <w:r>
        <w:rPr/>
        <w:t>la</w:t>
      </w:r>
      <w:r>
        <w:rPr>
          <w:spacing w:val="-19"/>
        </w:rPr>
        <w:t> </w:t>
      </w:r>
      <w:r>
        <w:rPr/>
        <w:t>conducta</w:t>
      </w:r>
      <w:r>
        <w:rPr>
          <w:spacing w:val="-18"/>
        </w:rPr>
        <w:t> </w:t>
      </w:r>
      <w:r>
        <w:rPr/>
        <w:t>de</w:t>
      </w:r>
      <w:r>
        <w:rPr>
          <w:spacing w:val="-19"/>
        </w:rPr>
        <w:t> </w:t>
      </w:r>
      <w:r>
        <w:rPr/>
        <w:t>cada individuo (en Fasold,</w:t>
      </w:r>
      <w:r>
        <w:rPr>
          <w:spacing w:val="-9"/>
        </w:rPr>
        <w:t> </w:t>
      </w:r>
      <w:r>
        <w:rPr/>
        <w:t>1997).</w:t>
      </w:r>
    </w:p>
    <w:p>
      <w:pPr>
        <w:pStyle w:val="BodyText"/>
        <w:spacing w:line="360" w:lineRule="auto" w:before="204"/>
        <w:ind w:left="102" w:right="108" w:firstLine="707"/>
        <w:jc w:val="both"/>
      </w:pPr>
      <w:r>
        <w:rPr/>
        <w:t>Cuando los autores se refieren a lo cognitivo, afectivo y conativo, se refieren a todos los aspectos del ser humano que puedan influir o ser factor determinante de personalidad e identidad, que a su vez, pueden ser moldeables y susceptibles al cambio de</w:t>
      </w:r>
      <w:r>
        <w:rPr>
          <w:spacing w:val="-6"/>
        </w:rPr>
        <w:t> </w:t>
      </w:r>
      <w:r>
        <w:rPr/>
        <w:t>acuerdo</w:t>
      </w:r>
      <w:r>
        <w:rPr>
          <w:spacing w:val="-8"/>
        </w:rPr>
        <w:t> </w:t>
      </w:r>
      <w:r>
        <w:rPr/>
        <w:t>al</w:t>
      </w:r>
      <w:r>
        <w:rPr>
          <w:spacing w:val="-7"/>
        </w:rPr>
        <w:t> </w:t>
      </w:r>
      <w:r>
        <w:rPr/>
        <w:t>grupo</w:t>
      </w:r>
      <w:r>
        <w:rPr>
          <w:spacing w:val="-6"/>
        </w:rPr>
        <w:t> </w:t>
      </w:r>
      <w:r>
        <w:rPr/>
        <w:t>social</w:t>
      </w:r>
      <w:r>
        <w:rPr>
          <w:spacing w:val="-7"/>
        </w:rPr>
        <w:t> </w:t>
      </w:r>
      <w:r>
        <w:rPr/>
        <w:t>y</w:t>
      </w:r>
      <w:r>
        <w:rPr>
          <w:spacing w:val="-9"/>
        </w:rPr>
        <w:t> </w:t>
      </w:r>
      <w:r>
        <w:rPr/>
        <w:t>contexto</w:t>
      </w:r>
      <w:r>
        <w:rPr>
          <w:spacing w:val="-6"/>
        </w:rPr>
        <w:t> </w:t>
      </w:r>
      <w:r>
        <w:rPr/>
        <w:t>en</w:t>
      </w:r>
      <w:r>
        <w:rPr>
          <w:spacing w:val="-6"/>
        </w:rPr>
        <w:t> </w:t>
      </w:r>
      <w:r>
        <w:rPr/>
        <w:t>el</w:t>
      </w:r>
      <w:r>
        <w:rPr>
          <w:spacing w:val="-7"/>
        </w:rPr>
        <w:t> </w:t>
      </w:r>
      <w:r>
        <w:rPr/>
        <w:t>que</w:t>
      </w:r>
      <w:r>
        <w:rPr>
          <w:spacing w:val="-6"/>
        </w:rPr>
        <w:t> </w:t>
      </w:r>
      <w:r>
        <w:rPr/>
        <w:t>se</w:t>
      </w:r>
      <w:r>
        <w:rPr>
          <w:spacing w:val="-6"/>
        </w:rPr>
        <w:t> </w:t>
      </w:r>
      <w:r>
        <w:rPr/>
        <w:t>desarrolle.</w:t>
      </w:r>
      <w:r>
        <w:rPr>
          <w:spacing w:val="-6"/>
        </w:rPr>
        <w:t> </w:t>
      </w:r>
      <w:r>
        <w:rPr/>
        <w:t>El</w:t>
      </w:r>
      <w:r>
        <w:rPr>
          <w:spacing w:val="-7"/>
        </w:rPr>
        <w:t> </w:t>
      </w:r>
      <w:r>
        <w:rPr/>
        <w:t>aspecto</w:t>
      </w:r>
      <w:r>
        <w:rPr>
          <w:spacing w:val="-6"/>
        </w:rPr>
        <w:t> </w:t>
      </w:r>
      <w:r>
        <w:rPr/>
        <w:t>social</w:t>
      </w:r>
      <w:r>
        <w:rPr>
          <w:spacing w:val="-9"/>
        </w:rPr>
        <w:t> </w:t>
      </w:r>
      <w:r>
        <w:rPr/>
        <w:t>permite</w:t>
      </w:r>
      <w:r>
        <w:rPr>
          <w:spacing w:val="-6"/>
        </w:rPr>
        <w:t> </w:t>
      </w:r>
      <w:r>
        <w:rPr/>
        <w:t>a la</w:t>
      </w:r>
      <w:r>
        <w:rPr>
          <w:spacing w:val="-18"/>
        </w:rPr>
        <w:t> </w:t>
      </w:r>
      <w:r>
        <w:rPr/>
        <w:t>lengua</w:t>
      </w:r>
      <w:r>
        <w:rPr>
          <w:spacing w:val="-18"/>
        </w:rPr>
        <w:t> </w:t>
      </w:r>
      <w:r>
        <w:rPr/>
        <w:t>ser</w:t>
      </w:r>
      <w:r>
        <w:rPr>
          <w:spacing w:val="-19"/>
        </w:rPr>
        <w:t> </w:t>
      </w:r>
      <w:r>
        <w:rPr/>
        <w:t>considerada</w:t>
      </w:r>
      <w:r>
        <w:rPr>
          <w:spacing w:val="-18"/>
        </w:rPr>
        <w:t> </w:t>
      </w:r>
      <w:r>
        <w:rPr/>
        <w:t>no</w:t>
      </w:r>
      <w:r>
        <w:rPr>
          <w:spacing w:val="-18"/>
        </w:rPr>
        <w:t> </w:t>
      </w:r>
      <w:r>
        <w:rPr/>
        <w:t>sólo</w:t>
      </w:r>
      <w:r>
        <w:rPr>
          <w:spacing w:val="-18"/>
        </w:rPr>
        <w:t> </w:t>
      </w:r>
      <w:r>
        <w:rPr/>
        <w:t>como</w:t>
      </w:r>
      <w:r>
        <w:rPr>
          <w:spacing w:val="-20"/>
        </w:rPr>
        <w:t> </w:t>
      </w:r>
      <w:r>
        <w:rPr/>
        <w:t>un</w:t>
      </w:r>
      <w:r>
        <w:rPr>
          <w:spacing w:val="-18"/>
        </w:rPr>
        <w:t> </w:t>
      </w:r>
      <w:r>
        <w:rPr/>
        <w:t>acto</w:t>
      </w:r>
      <w:r>
        <w:rPr>
          <w:spacing w:val="-17"/>
        </w:rPr>
        <w:t> </w:t>
      </w:r>
      <w:r>
        <w:rPr/>
        <w:t>individual,</w:t>
      </w:r>
      <w:r>
        <w:rPr>
          <w:spacing w:val="-18"/>
        </w:rPr>
        <w:t> </w:t>
      </w:r>
      <w:r>
        <w:rPr/>
        <w:t>sino</w:t>
      </w:r>
      <w:r>
        <w:rPr>
          <w:spacing w:val="-18"/>
        </w:rPr>
        <w:t> </w:t>
      </w:r>
      <w:r>
        <w:rPr/>
        <w:t>como</w:t>
      </w:r>
      <w:r>
        <w:rPr>
          <w:spacing w:val="-20"/>
        </w:rPr>
        <w:t> </w:t>
      </w:r>
      <w:r>
        <w:rPr/>
        <w:t>parte</w:t>
      </w:r>
      <w:r>
        <w:rPr>
          <w:spacing w:val="-18"/>
        </w:rPr>
        <w:t> </w:t>
      </w:r>
      <w:r>
        <w:rPr/>
        <w:t>de</w:t>
      </w:r>
      <w:r>
        <w:rPr>
          <w:spacing w:val="-18"/>
        </w:rPr>
        <w:t> </w:t>
      </w:r>
      <w:r>
        <w:rPr/>
        <w:t>un</w:t>
      </w:r>
      <w:r>
        <w:rPr>
          <w:spacing w:val="-18"/>
        </w:rPr>
        <w:t> </w:t>
      </w:r>
      <w:r>
        <w:rPr/>
        <w:t>conjunto en sociedad que puede ser usada de diferentes formas protegiendo su valor de instrumento para la</w:t>
      </w:r>
      <w:r>
        <w:rPr>
          <w:spacing w:val="-9"/>
        </w:rPr>
        <w:t> </w:t>
      </w:r>
      <w:r>
        <w:rPr/>
        <w:t>comunicación.</w:t>
      </w:r>
    </w:p>
    <w:p>
      <w:pPr>
        <w:pStyle w:val="BodyText"/>
        <w:spacing w:line="360" w:lineRule="auto" w:before="204"/>
        <w:ind w:left="102" w:right="111" w:firstLine="707"/>
        <w:jc w:val="both"/>
      </w:pPr>
      <w:r>
        <w:rPr/>
        <w:t>Baker (1992) propone los mismos tres elementos e indica que el componente cognitivo incluye los pensamientos y creencias, por ejemplo la creencia de lo indispensable de la conservación de las lenguas o el pensamiento de que una lengua deba ser pura. El componente afectivo es relacionado con el gusto o rechazo de una característica de la lengua. En el caso de estos dos componentes, Baker menciona que no</w:t>
      </w:r>
      <w:r>
        <w:rPr>
          <w:spacing w:val="-5"/>
        </w:rPr>
        <w:t> </w:t>
      </w:r>
      <w:r>
        <w:rPr/>
        <w:t>necesariamente</w:t>
      </w:r>
      <w:r>
        <w:rPr>
          <w:spacing w:val="-7"/>
        </w:rPr>
        <w:t> </w:t>
      </w:r>
      <w:r>
        <w:rPr/>
        <w:t>tienen</w:t>
      </w:r>
      <w:r>
        <w:rPr>
          <w:spacing w:val="-5"/>
        </w:rPr>
        <w:t> </w:t>
      </w:r>
      <w:r>
        <w:rPr/>
        <w:t>que</w:t>
      </w:r>
      <w:r>
        <w:rPr>
          <w:spacing w:val="-5"/>
        </w:rPr>
        <w:t> </w:t>
      </w:r>
      <w:r>
        <w:rPr/>
        <w:t>ir</w:t>
      </w:r>
      <w:r>
        <w:rPr>
          <w:spacing w:val="-7"/>
        </w:rPr>
        <w:t> </w:t>
      </w:r>
      <w:r>
        <w:rPr/>
        <w:t>aunados:</w:t>
      </w:r>
      <w:r>
        <w:rPr>
          <w:spacing w:val="-7"/>
        </w:rPr>
        <w:t> </w:t>
      </w:r>
      <w:r>
        <w:rPr/>
        <w:t>se</w:t>
      </w:r>
      <w:r>
        <w:rPr>
          <w:spacing w:val="-7"/>
        </w:rPr>
        <w:t> </w:t>
      </w:r>
      <w:r>
        <w:rPr/>
        <w:t>puede</w:t>
      </w:r>
      <w:r>
        <w:rPr>
          <w:spacing w:val="-5"/>
        </w:rPr>
        <w:t> </w:t>
      </w:r>
      <w:r>
        <w:rPr/>
        <w:t>tener</w:t>
      </w:r>
      <w:r>
        <w:rPr>
          <w:spacing w:val="-6"/>
        </w:rPr>
        <w:t> </w:t>
      </w:r>
      <w:r>
        <w:rPr/>
        <w:t>la</w:t>
      </w:r>
      <w:r>
        <w:rPr>
          <w:spacing w:val="-5"/>
        </w:rPr>
        <w:t> </w:t>
      </w:r>
      <w:r>
        <w:rPr/>
        <w:t>creencia</w:t>
      </w:r>
      <w:r>
        <w:rPr>
          <w:spacing w:val="-5"/>
        </w:rPr>
        <w:t> </w:t>
      </w:r>
      <w:r>
        <w:rPr/>
        <w:t>de</w:t>
      </w:r>
      <w:r>
        <w:rPr>
          <w:spacing w:val="-5"/>
        </w:rPr>
        <w:t> </w:t>
      </w:r>
      <w:r>
        <w:rPr/>
        <w:t>que</w:t>
      </w:r>
      <w:r>
        <w:rPr>
          <w:spacing w:val="-7"/>
        </w:rPr>
        <w:t> </w:t>
      </w:r>
      <w:r>
        <w:rPr/>
        <w:t>una</w:t>
      </w:r>
      <w:r>
        <w:rPr>
          <w:spacing w:val="-5"/>
        </w:rPr>
        <w:t> </w:t>
      </w:r>
      <w:r>
        <w:rPr/>
        <w:t>lengua extranjera es prestigiosa; y sin embargo, tener un aprecio o una carga afectiva alta para con la propia lengua. Finalmente, en cuanto </w:t>
      </w:r>
      <w:r>
        <w:rPr>
          <w:spacing w:val="3"/>
        </w:rPr>
        <w:t>al </w:t>
      </w:r>
      <w:r>
        <w:rPr/>
        <w:t>componente conativo, se indica que es dependiente de los contextos y circunstancias que llevarán al hablante a manejar su discurso de determinada</w:t>
      </w:r>
      <w:r>
        <w:rPr>
          <w:spacing w:val="-9"/>
        </w:rPr>
        <w:t> </w:t>
      </w:r>
      <w:r>
        <w:rPr/>
        <w:t>manera.</w:t>
      </w:r>
    </w:p>
    <w:p>
      <w:pPr>
        <w:pStyle w:val="BodyText"/>
        <w:spacing w:line="360" w:lineRule="auto" w:before="202"/>
        <w:ind w:left="102" w:right="107" w:firstLine="707"/>
        <w:jc w:val="both"/>
      </w:pPr>
      <w:r>
        <w:rPr/>
        <w:t>Apoyando la idea anterior, Rokeack (1968) considera que los tres elementos anteriores: cognoscitivo, afectivo y conductual, forman un conjunto de creencias bien definidas que actúan de diferente manera en cada situación y producen actitudes lingüísticas determinadas.</w:t>
      </w:r>
    </w:p>
    <w:p>
      <w:pPr>
        <w:pStyle w:val="BodyText"/>
        <w:spacing w:line="360" w:lineRule="auto" w:before="204"/>
        <w:ind w:left="102" w:right="114" w:firstLine="707"/>
        <w:jc w:val="both"/>
      </w:pPr>
      <w:r>
        <w:rPr/>
        <w:t>En 1970, Agheyshi y Fishman (en Moreno F., 1998) menciona que la importancia de</w:t>
      </w:r>
      <w:r>
        <w:rPr>
          <w:spacing w:val="-8"/>
        </w:rPr>
        <w:t> </w:t>
      </w:r>
      <w:r>
        <w:rPr/>
        <w:t>estudiar</w:t>
      </w:r>
      <w:r>
        <w:rPr>
          <w:spacing w:val="-10"/>
        </w:rPr>
        <w:t> </w:t>
      </w:r>
      <w:r>
        <w:rPr/>
        <w:t>las</w:t>
      </w:r>
      <w:r>
        <w:rPr>
          <w:spacing w:val="-11"/>
        </w:rPr>
        <w:t> </w:t>
      </w:r>
      <w:r>
        <w:rPr/>
        <w:t>actitudes</w:t>
      </w:r>
      <w:r>
        <w:rPr>
          <w:spacing w:val="-9"/>
        </w:rPr>
        <w:t> </w:t>
      </w:r>
      <w:r>
        <w:rPr/>
        <w:t>dentro</w:t>
      </w:r>
      <w:r>
        <w:rPr>
          <w:spacing w:val="-11"/>
        </w:rPr>
        <w:t> </w:t>
      </w:r>
      <w:r>
        <w:rPr/>
        <w:t>de</w:t>
      </w:r>
      <w:r>
        <w:rPr>
          <w:spacing w:val="-8"/>
        </w:rPr>
        <w:t> </w:t>
      </w:r>
      <w:r>
        <w:rPr/>
        <w:t>la</w:t>
      </w:r>
      <w:r>
        <w:rPr>
          <w:spacing w:val="-9"/>
        </w:rPr>
        <w:t> </w:t>
      </w:r>
      <w:r>
        <w:rPr/>
        <w:t>sociolingüística</w:t>
      </w:r>
      <w:r>
        <w:rPr>
          <w:spacing w:val="-8"/>
        </w:rPr>
        <w:t> </w:t>
      </w:r>
      <w:r>
        <w:rPr/>
        <w:t>se</w:t>
      </w:r>
      <w:r>
        <w:rPr>
          <w:spacing w:val="-8"/>
        </w:rPr>
        <w:t> </w:t>
      </w:r>
      <w:r>
        <w:rPr/>
        <w:t>debe</w:t>
      </w:r>
      <w:r>
        <w:rPr>
          <w:spacing w:val="-8"/>
        </w:rPr>
        <w:t> </w:t>
      </w:r>
      <w:r>
        <w:rPr/>
        <w:t>a</w:t>
      </w:r>
      <w:r>
        <w:rPr>
          <w:spacing w:val="-8"/>
        </w:rPr>
        <w:t> </w:t>
      </w:r>
      <w:r>
        <w:rPr/>
        <w:t>que</w:t>
      </w:r>
      <w:r>
        <w:rPr>
          <w:spacing w:val="-11"/>
        </w:rPr>
        <w:t> </w:t>
      </w:r>
      <w:r>
        <w:rPr/>
        <w:t>ésta</w:t>
      </w:r>
      <w:r>
        <w:rPr>
          <w:spacing w:val="-8"/>
        </w:rPr>
        <w:t> </w:t>
      </w:r>
      <w:r>
        <w:rPr/>
        <w:t>permite</w:t>
      </w:r>
      <w:r>
        <w:rPr>
          <w:spacing w:val="-11"/>
        </w:rPr>
        <w:t> </w:t>
      </w:r>
      <w:r>
        <w:rPr/>
        <w:t>analizar</w:t>
      </w:r>
    </w:p>
    <w:p>
      <w:pPr>
        <w:spacing w:after="0" w:line="360" w:lineRule="auto"/>
        <w:jc w:val="both"/>
        <w:sectPr>
          <w:headerReference w:type="default" r:id="rId19"/>
          <w:footerReference w:type="default" r:id="rId20"/>
          <w:pgSz w:w="12240" w:h="15840"/>
          <w:pgMar w:header="749" w:footer="1003" w:top="960" w:bottom="1200" w:left="1600" w:right="1020"/>
          <w:pgNumType w:start="21"/>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7"/>
        <w:jc w:val="both"/>
      </w:pPr>
      <w:r>
        <w:rPr/>
        <w:t>los motivos de preferencia de una lengua frente a otra en diversas comunidades multilingües.</w:t>
      </w:r>
      <w:r>
        <w:rPr>
          <w:spacing w:val="-10"/>
        </w:rPr>
        <w:t> </w:t>
      </w:r>
      <w:r>
        <w:rPr/>
        <w:t>Además,</w:t>
      </w:r>
      <w:r>
        <w:rPr>
          <w:spacing w:val="-10"/>
        </w:rPr>
        <w:t> </w:t>
      </w:r>
      <w:r>
        <w:rPr/>
        <w:t>la</w:t>
      </w:r>
      <w:r>
        <w:rPr>
          <w:spacing w:val="-7"/>
        </w:rPr>
        <w:t> </w:t>
      </w:r>
      <w:r>
        <w:rPr/>
        <w:t>sociolingüística</w:t>
      </w:r>
      <w:r>
        <w:rPr>
          <w:spacing w:val="-7"/>
        </w:rPr>
        <w:t> </w:t>
      </w:r>
      <w:r>
        <w:rPr/>
        <w:t>es</w:t>
      </w:r>
      <w:r>
        <w:rPr>
          <w:spacing w:val="-8"/>
        </w:rPr>
        <w:t> </w:t>
      </w:r>
      <w:r>
        <w:rPr/>
        <w:t>una</w:t>
      </w:r>
      <w:r>
        <w:rPr>
          <w:spacing w:val="-3"/>
        </w:rPr>
        <w:t> </w:t>
      </w:r>
      <w:r>
        <w:rPr/>
        <w:t>disciplina</w:t>
      </w:r>
      <w:r>
        <w:rPr>
          <w:spacing w:val="-6"/>
        </w:rPr>
        <w:t> </w:t>
      </w:r>
      <w:r>
        <w:rPr/>
        <w:t>que</w:t>
      </w:r>
      <w:r>
        <w:rPr>
          <w:spacing w:val="-8"/>
        </w:rPr>
        <w:t> </w:t>
      </w:r>
      <w:r>
        <w:rPr/>
        <w:t>estudia</w:t>
      </w:r>
      <w:r>
        <w:rPr>
          <w:spacing w:val="-7"/>
        </w:rPr>
        <w:t> </w:t>
      </w:r>
      <w:r>
        <w:rPr/>
        <w:t>la</w:t>
      </w:r>
      <w:r>
        <w:rPr>
          <w:spacing w:val="-7"/>
        </w:rPr>
        <w:t> </w:t>
      </w:r>
      <w:r>
        <w:rPr/>
        <w:t>inteligibilidad,</w:t>
      </w:r>
      <w:r>
        <w:rPr>
          <w:spacing w:val="-6"/>
        </w:rPr>
        <w:t> </w:t>
      </w:r>
      <w:r>
        <w:rPr/>
        <w:t>la planificación lingüística y la enseñanza de</w:t>
      </w:r>
      <w:r>
        <w:rPr>
          <w:spacing w:val="-18"/>
        </w:rPr>
        <w:t> </w:t>
      </w:r>
      <w:r>
        <w:rPr/>
        <w:t>lenguas.</w:t>
      </w:r>
    </w:p>
    <w:p>
      <w:pPr>
        <w:pStyle w:val="BodyText"/>
        <w:spacing w:line="360" w:lineRule="auto" w:before="204"/>
        <w:ind w:left="102" w:right="107" w:firstLine="707"/>
        <w:jc w:val="both"/>
      </w:pPr>
      <w:r>
        <w:rPr/>
        <w:t>A partir de lo anterior, es como se pretende determinar, en esta investigación, los motivos de preferencia de uso de anglicismos frente a los propios equivalentes de la lengua</w:t>
      </w:r>
      <w:r>
        <w:rPr>
          <w:spacing w:val="-16"/>
        </w:rPr>
        <w:t> </w:t>
      </w:r>
      <w:r>
        <w:rPr/>
        <w:t>española;</w:t>
      </w:r>
      <w:r>
        <w:rPr>
          <w:spacing w:val="-16"/>
        </w:rPr>
        <w:t> </w:t>
      </w:r>
      <w:r>
        <w:rPr/>
        <w:t>y</w:t>
      </w:r>
      <w:r>
        <w:rPr>
          <w:spacing w:val="-19"/>
        </w:rPr>
        <w:t> </w:t>
      </w:r>
      <w:r>
        <w:rPr/>
        <w:t>determinar,</w:t>
      </w:r>
      <w:r>
        <w:rPr>
          <w:spacing w:val="-17"/>
        </w:rPr>
        <w:t> </w:t>
      </w:r>
      <w:r>
        <w:rPr/>
        <w:t>también,</w:t>
      </w:r>
      <w:r>
        <w:rPr>
          <w:spacing w:val="-16"/>
        </w:rPr>
        <w:t> </w:t>
      </w:r>
      <w:r>
        <w:rPr/>
        <w:t>si</w:t>
      </w:r>
      <w:r>
        <w:rPr>
          <w:spacing w:val="-17"/>
        </w:rPr>
        <w:t> </w:t>
      </w:r>
      <w:r>
        <w:rPr/>
        <w:t>el</w:t>
      </w:r>
      <w:r>
        <w:rPr>
          <w:spacing w:val="-19"/>
        </w:rPr>
        <w:t> </w:t>
      </w:r>
      <w:r>
        <w:rPr/>
        <w:t>español</w:t>
      </w:r>
      <w:r>
        <w:rPr>
          <w:spacing w:val="-17"/>
        </w:rPr>
        <w:t> </w:t>
      </w:r>
      <w:r>
        <w:rPr/>
        <w:t>podría</w:t>
      </w:r>
      <w:r>
        <w:rPr>
          <w:spacing w:val="-16"/>
        </w:rPr>
        <w:t> </w:t>
      </w:r>
      <w:r>
        <w:rPr/>
        <w:t>verse</w:t>
      </w:r>
      <w:r>
        <w:rPr>
          <w:spacing w:val="-12"/>
        </w:rPr>
        <w:t> </w:t>
      </w:r>
      <w:r>
        <w:rPr/>
        <w:t>afectado</w:t>
      </w:r>
      <w:r>
        <w:rPr>
          <w:spacing w:val="-16"/>
        </w:rPr>
        <w:t> </w:t>
      </w:r>
      <w:r>
        <w:rPr/>
        <w:t>o</w:t>
      </w:r>
      <w:r>
        <w:rPr>
          <w:spacing w:val="-16"/>
        </w:rPr>
        <w:t> </w:t>
      </w:r>
      <w:r>
        <w:rPr/>
        <w:t>beneficiado por la introducción de extranjerismos del</w:t>
      </w:r>
      <w:r>
        <w:rPr>
          <w:spacing w:val="-13"/>
        </w:rPr>
        <w:t> </w:t>
      </w:r>
      <w:r>
        <w:rPr/>
        <w:t>inglés.</w:t>
      </w:r>
    </w:p>
    <w:p>
      <w:pPr>
        <w:pStyle w:val="BodyText"/>
        <w:spacing w:line="360" w:lineRule="auto" w:before="205"/>
        <w:ind w:left="102" w:right="107" w:firstLine="707"/>
        <w:jc w:val="both"/>
      </w:pPr>
      <w:r>
        <w:rPr/>
        <w:t>Moreno (1998) asegura que las lenguas no sólo son portadoras de</w:t>
      </w:r>
      <w:r>
        <w:rPr>
          <w:spacing w:val="-43"/>
        </w:rPr>
        <w:t> </w:t>
      </w:r>
      <w:r>
        <w:rPr/>
        <w:t>características y formas lingüísticas, también transmiten sentimientos y significados o connotaciones sociales. Es así como se puede decir que las lenguas tienen una función específica y razón de ser fundamental, pero a su vez contribuyen a la creación de </w:t>
      </w:r>
      <w:r>
        <w:rPr>
          <w:i/>
        </w:rPr>
        <w:t>identidades </w:t>
      </w:r>
      <w:r>
        <w:rPr>
          <w:i/>
        </w:rPr>
        <w:t>lingüísticas </w:t>
      </w:r>
      <w:r>
        <w:rPr/>
        <w:t>del grupo que las</w:t>
      </w:r>
      <w:r>
        <w:rPr>
          <w:spacing w:val="-10"/>
        </w:rPr>
        <w:t> </w:t>
      </w:r>
      <w:r>
        <w:rPr/>
        <w:t>usa.</w:t>
      </w:r>
    </w:p>
    <w:p>
      <w:pPr>
        <w:pStyle w:val="BodyText"/>
        <w:spacing w:line="360" w:lineRule="auto" w:before="204"/>
        <w:ind w:left="102" w:right="109" w:firstLine="707"/>
        <w:jc w:val="right"/>
      </w:pPr>
      <w:r>
        <w:rPr/>
        <w:t>Por </w:t>
      </w:r>
      <w:r>
        <w:rPr>
          <w:i/>
        </w:rPr>
        <w:t>Identidad</w:t>
      </w:r>
      <w:r>
        <w:rPr/>
        <w:t>, Moreno se refiere a “aquello que permite diferenciar a un grupo de</w:t>
      </w:r>
      <w:r>
        <w:rPr>
          <w:w w:val="99"/>
        </w:rPr>
        <w:t> </w:t>
      </w:r>
      <w:r>
        <w:rPr/>
        <w:t>otro, una etnia de otra,</w:t>
      </w:r>
      <w:r>
        <w:rPr>
          <w:spacing w:val="51"/>
        </w:rPr>
        <w:t> </w:t>
      </w:r>
      <w:r>
        <w:rPr/>
        <w:t>un</w:t>
      </w:r>
      <w:r>
        <w:rPr>
          <w:spacing w:val="52"/>
        </w:rPr>
        <w:t> </w:t>
      </w:r>
      <w:r>
        <w:rPr/>
        <w:t>pueblo de otro” (1998: 180)</w:t>
      </w:r>
      <w:r>
        <w:rPr>
          <w:spacing w:val="50"/>
        </w:rPr>
        <w:t> </w:t>
      </w:r>
      <w:r>
        <w:rPr/>
        <w:t>y añade que</w:t>
      </w:r>
      <w:r>
        <w:rPr>
          <w:spacing w:val="52"/>
        </w:rPr>
        <w:t> </w:t>
      </w:r>
      <w:r>
        <w:rPr/>
        <w:t>dentro de las</w:t>
      </w:r>
      <w:r>
        <w:rPr>
          <w:w w:val="99"/>
        </w:rPr>
        <w:t> </w:t>
      </w:r>
      <w:r>
        <w:rPr/>
        <w:t>características sociales, culturales, sentimentales e ideas que un grupo social pueda</w:t>
      </w:r>
      <w:r>
        <w:rPr>
          <w:w w:val="99"/>
        </w:rPr>
        <w:t> </w:t>
      </w:r>
      <w:r>
        <w:rPr/>
        <w:t>tener y que lo distinga de los demás, la lengua también tomó su lugar, ya que todas las variedades lingüísticas usadas en su esfera formarán parte de esa identidad diferencial.</w:t>
      </w:r>
    </w:p>
    <w:p>
      <w:pPr>
        <w:pStyle w:val="BodyText"/>
        <w:spacing w:line="360" w:lineRule="auto" w:before="202"/>
        <w:ind w:left="102" w:right="108" w:firstLine="707"/>
        <w:jc w:val="both"/>
      </w:pPr>
      <w:r>
        <w:rPr/>
        <w:t>Lo</w:t>
      </w:r>
      <w:r>
        <w:rPr>
          <w:spacing w:val="-7"/>
        </w:rPr>
        <w:t> </w:t>
      </w:r>
      <w:r>
        <w:rPr/>
        <w:t>anterior</w:t>
      </w:r>
      <w:r>
        <w:rPr>
          <w:spacing w:val="-6"/>
        </w:rPr>
        <w:t> </w:t>
      </w:r>
      <w:r>
        <w:rPr/>
        <w:t>lleva</w:t>
      </w:r>
      <w:r>
        <w:rPr>
          <w:spacing w:val="-5"/>
        </w:rPr>
        <w:t> </w:t>
      </w:r>
      <w:r>
        <w:rPr/>
        <w:t>a</w:t>
      </w:r>
      <w:r>
        <w:rPr>
          <w:spacing w:val="-7"/>
        </w:rPr>
        <w:t> </w:t>
      </w:r>
      <w:r>
        <w:rPr/>
        <w:t>decir</w:t>
      </w:r>
      <w:r>
        <w:rPr>
          <w:spacing w:val="-6"/>
        </w:rPr>
        <w:t> </w:t>
      </w:r>
      <w:r>
        <w:rPr/>
        <w:t>que</w:t>
      </w:r>
      <w:r>
        <w:rPr>
          <w:spacing w:val="-5"/>
        </w:rPr>
        <w:t> </w:t>
      </w:r>
      <w:r>
        <w:rPr/>
        <w:t>las</w:t>
      </w:r>
      <w:r>
        <w:rPr>
          <w:spacing w:val="-7"/>
        </w:rPr>
        <w:t> </w:t>
      </w:r>
      <w:r>
        <w:rPr/>
        <w:t>lenguas</w:t>
      </w:r>
      <w:r>
        <w:rPr>
          <w:spacing w:val="-8"/>
        </w:rPr>
        <w:t> </w:t>
      </w:r>
      <w:r>
        <w:rPr/>
        <w:t>tienen</w:t>
      </w:r>
      <w:r>
        <w:rPr>
          <w:spacing w:val="-5"/>
        </w:rPr>
        <w:t> </w:t>
      </w:r>
      <w:r>
        <w:rPr/>
        <w:t>significados</w:t>
      </w:r>
      <w:r>
        <w:rPr>
          <w:spacing w:val="-8"/>
        </w:rPr>
        <w:t> </w:t>
      </w:r>
      <w:r>
        <w:rPr/>
        <w:t>sociales</w:t>
      </w:r>
      <w:r>
        <w:rPr>
          <w:spacing w:val="-10"/>
        </w:rPr>
        <w:t> </w:t>
      </w:r>
      <w:r>
        <w:rPr/>
        <w:t>que</w:t>
      </w:r>
      <w:r>
        <w:rPr>
          <w:spacing w:val="-5"/>
        </w:rPr>
        <w:t> </w:t>
      </w:r>
      <w:r>
        <w:rPr/>
        <w:t>provocan su</w:t>
      </w:r>
      <w:r>
        <w:rPr>
          <w:spacing w:val="-17"/>
        </w:rPr>
        <w:t> </w:t>
      </w:r>
      <w:r>
        <w:rPr/>
        <w:t>apreciación</w:t>
      </w:r>
      <w:r>
        <w:rPr>
          <w:spacing w:val="-17"/>
        </w:rPr>
        <w:t> </w:t>
      </w:r>
      <w:r>
        <w:rPr/>
        <w:t>y</w:t>
      </w:r>
      <w:r>
        <w:rPr>
          <w:spacing w:val="-20"/>
        </w:rPr>
        <w:t> </w:t>
      </w:r>
      <w:r>
        <w:rPr/>
        <w:t>evaluación</w:t>
      </w:r>
      <w:r>
        <w:rPr>
          <w:spacing w:val="-18"/>
        </w:rPr>
        <w:t> </w:t>
      </w:r>
      <w:r>
        <w:rPr/>
        <w:t>de</w:t>
      </w:r>
      <w:r>
        <w:rPr>
          <w:spacing w:val="-19"/>
        </w:rPr>
        <w:t> </w:t>
      </w:r>
      <w:r>
        <w:rPr/>
        <w:t>acuerdo</w:t>
      </w:r>
      <w:r>
        <w:rPr>
          <w:spacing w:val="-17"/>
        </w:rPr>
        <w:t> </w:t>
      </w:r>
      <w:r>
        <w:rPr/>
        <w:t>con</w:t>
      </w:r>
      <w:r>
        <w:rPr>
          <w:spacing w:val="-19"/>
        </w:rPr>
        <w:t> </w:t>
      </w:r>
      <w:r>
        <w:rPr/>
        <w:t>las</w:t>
      </w:r>
      <w:r>
        <w:rPr>
          <w:spacing w:val="-17"/>
        </w:rPr>
        <w:t> </w:t>
      </w:r>
      <w:r>
        <w:rPr/>
        <w:t>características</w:t>
      </w:r>
      <w:r>
        <w:rPr>
          <w:spacing w:val="-17"/>
        </w:rPr>
        <w:t> </w:t>
      </w:r>
      <w:r>
        <w:rPr/>
        <w:t>sociales</w:t>
      </w:r>
      <w:r>
        <w:rPr>
          <w:spacing w:val="-17"/>
        </w:rPr>
        <w:t> </w:t>
      </w:r>
      <w:r>
        <w:rPr/>
        <w:t>y</w:t>
      </w:r>
      <w:r>
        <w:rPr>
          <w:spacing w:val="-20"/>
        </w:rPr>
        <w:t> </w:t>
      </w:r>
      <w:r>
        <w:rPr/>
        <w:t>estatus</w:t>
      </w:r>
      <w:r>
        <w:rPr>
          <w:spacing w:val="-20"/>
        </w:rPr>
        <w:t> </w:t>
      </w:r>
      <w:r>
        <w:rPr/>
        <w:t>de</w:t>
      </w:r>
      <w:r>
        <w:rPr>
          <w:spacing w:val="-17"/>
        </w:rPr>
        <w:t> </w:t>
      </w:r>
      <w:r>
        <w:rPr/>
        <w:t>quien la usa. Son entes comparables pero lo que provoca las diferencias de actitud es la posición de los grupos sociales o etnolingüísticas (Moreno F. 1998). Ahora bien, las consecuencias que puedan provocar las actitudes lingüísticas no son producto de una sola</w:t>
      </w:r>
      <w:r>
        <w:rPr>
          <w:spacing w:val="-13"/>
        </w:rPr>
        <w:t> </w:t>
      </w:r>
      <w:r>
        <w:rPr/>
        <w:t>persona</w:t>
      </w:r>
      <w:r>
        <w:rPr>
          <w:spacing w:val="-13"/>
        </w:rPr>
        <w:t> </w:t>
      </w:r>
      <w:r>
        <w:rPr/>
        <w:t>o</w:t>
      </w:r>
      <w:r>
        <w:rPr>
          <w:spacing w:val="-15"/>
        </w:rPr>
        <w:t> </w:t>
      </w:r>
      <w:r>
        <w:rPr/>
        <w:t>de</w:t>
      </w:r>
      <w:r>
        <w:rPr>
          <w:spacing w:val="-13"/>
        </w:rPr>
        <w:t> </w:t>
      </w:r>
      <w:r>
        <w:rPr/>
        <w:t>un</w:t>
      </w:r>
      <w:r>
        <w:rPr>
          <w:spacing w:val="-13"/>
        </w:rPr>
        <w:t> </w:t>
      </w:r>
      <w:r>
        <w:rPr/>
        <w:t>grupo</w:t>
      </w:r>
      <w:r>
        <w:rPr>
          <w:spacing w:val="-16"/>
        </w:rPr>
        <w:t> </w:t>
      </w:r>
      <w:r>
        <w:rPr/>
        <w:t>en</w:t>
      </w:r>
      <w:r>
        <w:rPr>
          <w:spacing w:val="-16"/>
        </w:rPr>
        <w:t> </w:t>
      </w:r>
      <w:r>
        <w:rPr/>
        <w:t>particular,</w:t>
      </w:r>
      <w:r>
        <w:rPr>
          <w:spacing w:val="-16"/>
        </w:rPr>
        <w:t> </w:t>
      </w:r>
      <w:r>
        <w:rPr/>
        <w:t>más</w:t>
      </w:r>
      <w:r>
        <w:rPr>
          <w:spacing w:val="-16"/>
        </w:rPr>
        <w:t> </w:t>
      </w:r>
      <w:r>
        <w:rPr/>
        <w:t>bien</w:t>
      </w:r>
      <w:r>
        <w:rPr>
          <w:spacing w:val="-15"/>
        </w:rPr>
        <w:t> </w:t>
      </w:r>
      <w:r>
        <w:rPr/>
        <w:t>provienen</w:t>
      </w:r>
      <w:r>
        <w:rPr>
          <w:spacing w:val="-13"/>
        </w:rPr>
        <w:t> </w:t>
      </w:r>
      <w:r>
        <w:rPr/>
        <w:t>de</w:t>
      </w:r>
      <w:r>
        <w:rPr>
          <w:spacing w:val="-13"/>
        </w:rPr>
        <w:t> </w:t>
      </w:r>
      <w:r>
        <w:rPr/>
        <w:t>algo</w:t>
      </w:r>
      <w:r>
        <w:rPr>
          <w:spacing w:val="-15"/>
        </w:rPr>
        <w:t> </w:t>
      </w:r>
      <w:r>
        <w:rPr/>
        <w:t>más</w:t>
      </w:r>
      <w:r>
        <w:rPr>
          <w:spacing w:val="-16"/>
        </w:rPr>
        <w:t> </w:t>
      </w:r>
      <w:r>
        <w:rPr/>
        <w:t>complejo</w:t>
      </w:r>
      <w:r>
        <w:rPr>
          <w:spacing w:val="-13"/>
        </w:rPr>
        <w:t> </w:t>
      </w:r>
      <w:r>
        <w:rPr/>
        <w:t>como la</w:t>
      </w:r>
      <w:r>
        <w:rPr>
          <w:spacing w:val="-4"/>
        </w:rPr>
        <w:t> </w:t>
      </w:r>
      <w:r>
        <w:rPr/>
        <w:t>sociedad</w:t>
      </w:r>
      <w:r>
        <w:rPr>
          <w:spacing w:val="-6"/>
        </w:rPr>
        <w:t> </w:t>
      </w:r>
      <w:r>
        <w:rPr/>
        <w:t>conformada</w:t>
      </w:r>
      <w:r>
        <w:rPr>
          <w:spacing w:val="-4"/>
        </w:rPr>
        <w:t> </w:t>
      </w:r>
      <w:r>
        <w:rPr/>
        <w:t>por</w:t>
      </w:r>
      <w:r>
        <w:rPr>
          <w:spacing w:val="-7"/>
        </w:rPr>
        <w:t> </w:t>
      </w:r>
      <w:r>
        <w:rPr/>
        <w:t>el</w:t>
      </w:r>
      <w:r>
        <w:rPr>
          <w:spacing w:val="-5"/>
        </w:rPr>
        <w:t> </w:t>
      </w:r>
      <w:r>
        <w:rPr/>
        <w:t>gobierno,</w:t>
      </w:r>
      <w:r>
        <w:rPr>
          <w:spacing w:val="-4"/>
        </w:rPr>
        <w:t> </w:t>
      </w:r>
      <w:r>
        <w:rPr/>
        <w:t>la</w:t>
      </w:r>
      <w:r>
        <w:rPr>
          <w:spacing w:val="-4"/>
        </w:rPr>
        <w:t> </w:t>
      </w:r>
      <w:r>
        <w:rPr/>
        <w:t>religión,</w:t>
      </w:r>
      <w:r>
        <w:rPr>
          <w:spacing w:val="-4"/>
        </w:rPr>
        <w:t> </w:t>
      </w:r>
      <w:r>
        <w:rPr/>
        <w:t>la</w:t>
      </w:r>
      <w:r>
        <w:rPr>
          <w:spacing w:val="-4"/>
        </w:rPr>
        <w:t> </w:t>
      </w:r>
      <w:r>
        <w:rPr/>
        <w:t>educación,</w:t>
      </w:r>
      <w:r>
        <w:rPr>
          <w:spacing w:val="-4"/>
        </w:rPr>
        <w:t> </w:t>
      </w:r>
      <w:r>
        <w:rPr/>
        <w:t>la</w:t>
      </w:r>
      <w:r>
        <w:rPr>
          <w:spacing w:val="-6"/>
        </w:rPr>
        <w:t> </w:t>
      </w:r>
      <w:r>
        <w:rPr/>
        <w:t>cultura</w:t>
      </w:r>
      <w:r>
        <w:rPr>
          <w:spacing w:val="-7"/>
        </w:rPr>
        <w:t> </w:t>
      </w:r>
      <w:r>
        <w:rPr/>
        <w:t>e</w:t>
      </w:r>
      <w:r>
        <w:rPr>
          <w:spacing w:val="-4"/>
        </w:rPr>
        <w:t> </w:t>
      </w:r>
      <w:r>
        <w:rPr/>
        <w:t>historia</w:t>
      </w:r>
      <w:r>
        <w:rPr>
          <w:spacing w:val="-4"/>
        </w:rPr>
        <w:t> </w:t>
      </w:r>
      <w:r>
        <w:rPr/>
        <w:t>y</w:t>
      </w:r>
      <w:r>
        <w:rPr>
          <w:spacing w:val="-7"/>
        </w:rPr>
        <w:t> </w:t>
      </w:r>
      <w:r>
        <w:rPr/>
        <w:t>la ubicación</w:t>
      </w:r>
      <w:r>
        <w:rPr>
          <w:spacing w:val="-13"/>
        </w:rPr>
        <w:t> </w:t>
      </w:r>
      <w:r>
        <w:rPr/>
        <w:t>geográfica.</w:t>
      </w:r>
      <w:r>
        <w:rPr>
          <w:spacing w:val="-13"/>
        </w:rPr>
        <w:t> </w:t>
      </w:r>
      <w:r>
        <w:rPr/>
        <w:t>Baker</w:t>
      </w:r>
      <w:r>
        <w:rPr>
          <w:spacing w:val="-15"/>
        </w:rPr>
        <w:t> </w:t>
      </w:r>
      <w:r>
        <w:rPr/>
        <w:t>(1992)</w:t>
      </w:r>
      <w:r>
        <w:rPr>
          <w:spacing w:val="-15"/>
        </w:rPr>
        <w:t> </w:t>
      </w:r>
      <w:r>
        <w:rPr/>
        <w:t>menciona</w:t>
      </w:r>
      <w:r>
        <w:rPr>
          <w:spacing w:val="-13"/>
        </w:rPr>
        <w:t> </w:t>
      </w:r>
      <w:r>
        <w:rPr/>
        <w:t>dos</w:t>
      </w:r>
      <w:r>
        <w:rPr>
          <w:spacing w:val="-14"/>
        </w:rPr>
        <w:t> </w:t>
      </w:r>
      <w:r>
        <w:rPr/>
        <w:t>unidades</w:t>
      </w:r>
      <w:r>
        <w:rPr>
          <w:spacing w:val="-16"/>
        </w:rPr>
        <w:t> </w:t>
      </w:r>
      <w:r>
        <w:rPr/>
        <w:t>más</w:t>
      </w:r>
      <w:r>
        <w:rPr>
          <w:spacing w:val="-14"/>
        </w:rPr>
        <w:t> </w:t>
      </w:r>
      <w:r>
        <w:rPr/>
        <w:t>que</w:t>
      </w:r>
      <w:r>
        <w:rPr>
          <w:spacing w:val="-13"/>
        </w:rPr>
        <w:t> </w:t>
      </w:r>
      <w:r>
        <w:rPr/>
        <w:t>forman</w:t>
      </w:r>
      <w:r>
        <w:rPr>
          <w:spacing w:val="-13"/>
        </w:rPr>
        <w:t> </w:t>
      </w:r>
      <w:r>
        <w:rPr/>
        <w:t>parte</w:t>
      </w:r>
      <w:r>
        <w:rPr>
          <w:spacing w:val="-13"/>
        </w:rPr>
        <w:t> </w:t>
      </w:r>
      <w:r>
        <w:rPr/>
        <w:t>de</w:t>
      </w:r>
      <w:r>
        <w:rPr>
          <w:spacing w:val="-13"/>
        </w:rPr>
        <w:t> </w:t>
      </w:r>
      <w:r>
        <w:rPr/>
        <w:t>una actitud lingüística: la orientación instrumental y la orientación</w:t>
      </w:r>
      <w:r>
        <w:rPr>
          <w:spacing w:val="-23"/>
        </w:rPr>
        <w:t> </w:t>
      </w:r>
      <w:r>
        <w:rPr/>
        <w:t>integradora.</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7" w:firstLine="707"/>
        <w:jc w:val="both"/>
      </w:pPr>
      <w:r>
        <w:rPr/>
        <w:t>Se mencionaba anteriormente que las actitudes responden a una motivación y en el caso de las motivaciones de la orientación instrumental se relacionan con la utilidad y la pragmática. Se relacionan con el deseo de obtener reconocimiento social y ventajas económicas a través del conocimiento de otra lengua (Gardner y Lambert, 1972). Por el contrario la orientación integradora se relaciona más con cuestiones sociales e interpersonales que proyectan el deseo de pertenecer a un grupo específico de la sociedad o de ser un miembro representativo para otra comunidad lingüística exigiendo del</w:t>
      </w:r>
      <w:r>
        <w:rPr>
          <w:spacing w:val="-10"/>
        </w:rPr>
        <w:t> </w:t>
      </w:r>
      <w:r>
        <w:rPr/>
        <w:t>hablante</w:t>
      </w:r>
      <w:r>
        <w:rPr>
          <w:spacing w:val="-10"/>
        </w:rPr>
        <w:t> </w:t>
      </w:r>
      <w:r>
        <w:rPr/>
        <w:t>el</w:t>
      </w:r>
      <w:r>
        <w:rPr>
          <w:spacing w:val="-10"/>
        </w:rPr>
        <w:t> </w:t>
      </w:r>
      <w:r>
        <w:rPr/>
        <w:t>acoplamiento</w:t>
      </w:r>
      <w:r>
        <w:rPr>
          <w:spacing w:val="-11"/>
        </w:rPr>
        <w:t> </w:t>
      </w:r>
      <w:r>
        <w:rPr/>
        <w:t>o</w:t>
      </w:r>
      <w:r>
        <w:rPr>
          <w:spacing w:val="-8"/>
        </w:rPr>
        <w:t> </w:t>
      </w:r>
      <w:r>
        <w:rPr/>
        <w:t>la</w:t>
      </w:r>
      <w:r>
        <w:rPr>
          <w:spacing w:val="-11"/>
        </w:rPr>
        <w:t> </w:t>
      </w:r>
      <w:r>
        <w:rPr/>
        <w:t>agrupación</w:t>
      </w:r>
      <w:r>
        <w:rPr>
          <w:spacing w:val="-11"/>
        </w:rPr>
        <w:t> </w:t>
      </w:r>
      <w:r>
        <w:rPr/>
        <w:t>a</w:t>
      </w:r>
      <w:r>
        <w:rPr>
          <w:spacing w:val="-8"/>
        </w:rPr>
        <w:t> </w:t>
      </w:r>
      <w:r>
        <w:rPr/>
        <w:t>la</w:t>
      </w:r>
      <w:r>
        <w:rPr>
          <w:spacing w:val="-11"/>
        </w:rPr>
        <w:t> </w:t>
      </w:r>
      <w:r>
        <w:rPr/>
        <w:t>lengua</w:t>
      </w:r>
      <w:r>
        <w:rPr>
          <w:spacing w:val="-11"/>
        </w:rPr>
        <w:t> </w:t>
      </w:r>
      <w:r>
        <w:rPr/>
        <w:t>y</w:t>
      </w:r>
      <w:r>
        <w:rPr>
          <w:spacing w:val="-12"/>
        </w:rPr>
        <w:t> </w:t>
      </w:r>
      <w:r>
        <w:rPr/>
        <w:t>a</w:t>
      </w:r>
      <w:r>
        <w:rPr>
          <w:spacing w:val="-8"/>
        </w:rPr>
        <w:t> </w:t>
      </w:r>
      <w:r>
        <w:rPr/>
        <w:t>la</w:t>
      </w:r>
      <w:r>
        <w:rPr>
          <w:spacing w:val="-9"/>
        </w:rPr>
        <w:t> </w:t>
      </w:r>
      <w:r>
        <w:rPr/>
        <w:t>cultura</w:t>
      </w:r>
      <w:r>
        <w:rPr>
          <w:spacing w:val="-9"/>
        </w:rPr>
        <w:t> </w:t>
      </w:r>
      <w:r>
        <w:rPr/>
        <w:t>del</w:t>
      </w:r>
      <w:r>
        <w:rPr>
          <w:spacing w:val="-10"/>
        </w:rPr>
        <w:t> </w:t>
      </w:r>
      <w:r>
        <w:rPr/>
        <w:t>grupo</w:t>
      </w:r>
      <w:r>
        <w:rPr>
          <w:spacing w:val="-8"/>
        </w:rPr>
        <w:t> </w:t>
      </w:r>
      <w:r>
        <w:rPr/>
        <w:t>(Gardner y Lambert,</w:t>
      </w:r>
      <w:r>
        <w:rPr>
          <w:spacing w:val="-7"/>
        </w:rPr>
        <w:t> </w:t>
      </w:r>
      <w:r>
        <w:rPr/>
        <w:t>1972).</w:t>
      </w:r>
    </w:p>
    <w:p>
      <w:pPr>
        <w:pStyle w:val="BodyText"/>
        <w:spacing w:line="360" w:lineRule="auto" w:before="202"/>
        <w:ind w:left="102" w:right="107" w:firstLine="707"/>
        <w:jc w:val="both"/>
      </w:pPr>
      <w:r>
        <w:rPr/>
        <w:t>En</w:t>
      </w:r>
      <w:r>
        <w:rPr>
          <w:spacing w:val="-14"/>
        </w:rPr>
        <w:t> </w:t>
      </w:r>
      <w:r>
        <w:rPr/>
        <w:t>lo</w:t>
      </w:r>
      <w:r>
        <w:rPr>
          <w:spacing w:val="-16"/>
        </w:rPr>
        <w:t> </w:t>
      </w:r>
      <w:r>
        <w:rPr/>
        <w:t>que</w:t>
      </w:r>
      <w:r>
        <w:rPr>
          <w:spacing w:val="-16"/>
        </w:rPr>
        <w:t> </w:t>
      </w:r>
      <w:r>
        <w:rPr/>
        <w:t>a</w:t>
      </w:r>
      <w:r>
        <w:rPr>
          <w:spacing w:val="-14"/>
        </w:rPr>
        <w:t> </w:t>
      </w:r>
      <w:r>
        <w:rPr/>
        <w:t>esta</w:t>
      </w:r>
      <w:r>
        <w:rPr>
          <w:spacing w:val="-14"/>
        </w:rPr>
        <w:t> </w:t>
      </w:r>
      <w:r>
        <w:rPr/>
        <w:t>investigación</w:t>
      </w:r>
      <w:r>
        <w:rPr>
          <w:spacing w:val="-14"/>
        </w:rPr>
        <w:t> </w:t>
      </w:r>
      <w:r>
        <w:rPr/>
        <w:t>respecta,</w:t>
      </w:r>
      <w:r>
        <w:rPr>
          <w:spacing w:val="-16"/>
        </w:rPr>
        <w:t> </w:t>
      </w:r>
      <w:r>
        <w:rPr/>
        <w:t>los</w:t>
      </w:r>
      <w:r>
        <w:rPr>
          <w:spacing w:val="-16"/>
        </w:rPr>
        <w:t> </w:t>
      </w:r>
      <w:r>
        <w:rPr/>
        <w:t>anglicismos</w:t>
      </w:r>
      <w:r>
        <w:rPr>
          <w:spacing w:val="-15"/>
        </w:rPr>
        <w:t> </w:t>
      </w:r>
      <w:r>
        <w:rPr/>
        <w:t>son</w:t>
      </w:r>
      <w:r>
        <w:rPr>
          <w:spacing w:val="-14"/>
        </w:rPr>
        <w:t> </w:t>
      </w:r>
      <w:r>
        <w:rPr/>
        <w:t>variables</w:t>
      </w:r>
      <w:r>
        <w:rPr>
          <w:spacing w:val="-16"/>
        </w:rPr>
        <w:t> </w:t>
      </w:r>
      <w:r>
        <w:rPr/>
        <w:t>de</w:t>
      </w:r>
      <w:r>
        <w:rPr>
          <w:spacing w:val="-16"/>
        </w:rPr>
        <w:t> </w:t>
      </w:r>
      <w:r>
        <w:rPr/>
        <w:t>la</w:t>
      </w:r>
      <w:r>
        <w:rPr>
          <w:spacing w:val="-14"/>
        </w:rPr>
        <w:t> </w:t>
      </w:r>
      <w:r>
        <w:rPr/>
        <w:t>lengua, y las actitudes lingüísticas no discriminan su manifestación ante ellas. Las lenguas y sus variables</w:t>
      </w:r>
      <w:r>
        <w:rPr>
          <w:spacing w:val="-12"/>
        </w:rPr>
        <w:t> </w:t>
      </w:r>
      <w:r>
        <w:rPr/>
        <w:t>son</w:t>
      </w:r>
      <w:r>
        <w:rPr>
          <w:spacing w:val="-15"/>
        </w:rPr>
        <w:t> </w:t>
      </w:r>
      <w:r>
        <w:rPr/>
        <w:t>apreciadas</w:t>
      </w:r>
      <w:r>
        <w:rPr>
          <w:spacing w:val="-14"/>
        </w:rPr>
        <w:t> </w:t>
      </w:r>
      <w:r>
        <w:rPr/>
        <w:t>por</w:t>
      </w:r>
      <w:r>
        <w:rPr>
          <w:spacing w:val="-14"/>
        </w:rPr>
        <w:t> </w:t>
      </w:r>
      <w:r>
        <w:rPr/>
        <w:t>diferentes</w:t>
      </w:r>
      <w:r>
        <w:rPr>
          <w:spacing w:val="-16"/>
        </w:rPr>
        <w:t> </w:t>
      </w:r>
      <w:r>
        <w:rPr/>
        <w:t>razones.</w:t>
      </w:r>
      <w:r>
        <w:rPr>
          <w:spacing w:val="-10"/>
        </w:rPr>
        <w:t> </w:t>
      </w:r>
      <w:r>
        <w:rPr/>
        <w:t>Moreno</w:t>
      </w:r>
      <w:r>
        <w:rPr>
          <w:spacing w:val="-13"/>
        </w:rPr>
        <w:t> </w:t>
      </w:r>
      <w:r>
        <w:rPr/>
        <w:t>(1998)</w:t>
      </w:r>
      <w:r>
        <w:rPr>
          <w:spacing w:val="-14"/>
        </w:rPr>
        <w:t> </w:t>
      </w:r>
      <w:r>
        <w:rPr/>
        <w:t>explica</w:t>
      </w:r>
      <w:r>
        <w:rPr>
          <w:spacing w:val="-13"/>
        </w:rPr>
        <w:t> </w:t>
      </w:r>
      <w:r>
        <w:rPr/>
        <w:t>que</w:t>
      </w:r>
      <w:r>
        <w:rPr>
          <w:spacing w:val="-13"/>
        </w:rPr>
        <w:t> </w:t>
      </w:r>
      <w:r>
        <w:rPr/>
        <w:t>no</w:t>
      </w:r>
      <w:r>
        <w:rPr>
          <w:spacing w:val="-13"/>
        </w:rPr>
        <w:t> </w:t>
      </w:r>
      <w:r>
        <w:rPr/>
        <w:t>se</w:t>
      </w:r>
      <w:r>
        <w:rPr>
          <w:spacing w:val="-13"/>
        </w:rPr>
        <w:t> </w:t>
      </w:r>
      <w:r>
        <w:rPr/>
        <w:t>estima de la misma manera a cada persona en nuestro entorno; se le estima por sus características</w:t>
      </w:r>
      <w:r>
        <w:rPr>
          <w:spacing w:val="-19"/>
        </w:rPr>
        <w:t> </w:t>
      </w:r>
      <w:r>
        <w:rPr/>
        <w:t>familiares,</w:t>
      </w:r>
      <w:r>
        <w:rPr>
          <w:spacing w:val="-16"/>
        </w:rPr>
        <w:t> </w:t>
      </w:r>
      <w:r>
        <w:rPr/>
        <w:t>profesionales,</w:t>
      </w:r>
      <w:r>
        <w:rPr>
          <w:spacing w:val="-18"/>
        </w:rPr>
        <w:t> </w:t>
      </w:r>
      <w:r>
        <w:rPr/>
        <w:t>de</w:t>
      </w:r>
      <w:r>
        <w:rPr>
          <w:spacing w:val="-18"/>
        </w:rPr>
        <w:t> </w:t>
      </w:r>
      <w:r>
        <w:rPr/>
        <w:t>amistad,</w:t>
      </w:r>
      <w:r>
        <w:rPr>
          <w:spacing w:val="-16"/>
        </w:rPr>
        <w:t> </w:t>
      </w:r>
      <w:r>
        <w:rPr/>
        <w:t>etc.</w:t>
      </w:r>
      <w:r>
        <w:rPr>
          <w:spacing w:val="-12"/>
        </w:rPr>
        <w:t> </w:t>
      </w:r>
      <w:r>
        <w:rPr/>
        <w:t>lo</w:t>
      </w:r>
      <w:r>
        <w:rPr>
          <w:spacing w:val="-18"/>
        </w:rPr>
        <w:t> </w:t>
      </w:r>
      <w:r>
        <w:rPr/>
        <w:t>mismo</w:t>
      </w:r>
      <w:r>
        <w:rPr>
          <w:spacing w:val="-18"/>
        </w:rPr>
        <w:t> </w:t>
      </w:r>
      <w:r>
        <w:rPr/>
        <w:t>pasa</w:t>
      </w:r>
      <w:r>
        <w:rPr>
          <w:spacing w:val="-16"/>
        </w:rPr>
        <w:t> </w:t>
      </w:r>
      <w:r>
        <w:rPr/>
        <w:t>con</w:t>
      </w:r>
      <w:r>
        <w:rPr>
          <w:spacing w:val="-16"/>
        </w:rPr>
        <w:t> </w:t>
      </w:r>
      <w:r>
        <w:rPr/>
        <w:t>las</w:t>
      </w:r>
      <w:r>
        <w:rPr>
          <w:spacing w:val="-16"/>
        </w:rPr>
        <w:t> </w:t>
      </w:r>
      <w:r>
        <w:rPr/>
        <w:t>variables. Sin</w:t>
      </w:r>
      <w:r>
        <w:rPr>
          <w:spacing w:val="-7"/>
        </w:rPr>
        <w:t> </w:t>
      </w:r>
      <w:r>
        <w:rPr/>
        <w:t>embargo,</w:t>
      </w:r>
      <w:r>
        <w:rPr>
          <w:spacing w:val="-7"/>
        </w:rPr>
        <w:t> </w:t>
      </w:r>
      <w:r>
        <w:rPr/>
        <w:t>los</w:t>
      </w:r>
      <w:r>
        <w:rPr>
          <w:spacing w:val="-10"/>
        </w:rPr>
        <w:t> </w:t>
      </w:r>
      <w:r>
        <w:rPr/>
        <w:t>hablantes</w:t>
      </w:r>
      <w:r>
        <w:rPr>
          <w:spacing w:val="-8"/>
        </w:rPr>
        <w:t> </w:t>
      </w:r>
      <w:r>
        <w:rPr/>
        <w:t>tienen</w:t>
      </w:r>
      <w:r>
        <w:rPr>
          <w:spacing w:val="-7"/>
        </w:rPr>
        <w:t> </w:t>
      </w:r>
      <w:r>
        <w:rPr/>
        <w:t>cierta</w:t>
      </w:r>
      <w:r>
        <w:rPr>
          <w:spacing w:val="-4"/>
        </w:rPr>
        <w:t> </w:t>
      </w:r>
      <w:r>
        <w:rPr>
          <w:i/>
        </w:rPr>
        <w:t>conciencia</w:t>
      </w:r>
      <w:r>
        <w:rPr>
          <w:i/>
          <w:spacing w:val="-7"/>
        </w:rPr>
        <w:t> </w:t>
      </w:r>
      <w:r>
        <w:rPr>
          <w:i/>
        </w:rPr>
        <w:t>lingüística</w:t>
      </w:r>
      <w:r>
        <w:rPr>
          <w:i/>
          <w:spacing w:val="-5"/>
        </w:rPr>
        <w:t> </w:t>
      </w:r>
      <w:r>
        <w:rPr/>
        <w:t>que</w:t>
      </w:r>
      <w:r>
        <w:rPr>
          <w:spacing w:val="-7"/>
        </w:rPr>
        <w:t> </w:t>
      </w:r>
      <w:r>
        <w:rPr/>
        <w:t>les</w:t>
      </w:r>
      <w:r>
        <w:rPr>
          <w:spacing w:val="-8"/>
        </w:rPr>
        <w:t> </w:t>
      </w:r>
      <w:r>
        <w:rPr/>
        <w:t>permite</w:t>
      </w:r>
      <w:r>
        <w:rPr>
          <w:spacing w:val="-7"/>
        </w:rPr>
        <w:t> </w:t>
      </w:r>
      <w:r>
        <w:rPr/>
        <w:t>saber</w:t>
      </w:r>
      <w:r>
        <w:rPr>
          <w:spacing w:val="-8"/>
        </w:rPr>
        <w:t> </w:t>
      </w:r>
      <w:r>
        <w:rPr/>
        <w:t>que variable prefiere su comunidad y sabe que ciertos usos son propios de un grupo lo que le posibilita elegir qué variable usaría en cada condición y en conveniencia a sus intereses. A su vez, la conciencia lingüística crea </w:t>
      </w:r>
      <w:r>
        <w:rPr>
          <w:i/>
        </w:rPr>
        <w:t>seguridad o inseguridad lingüística </w:t>
      </w:r>
      <w:r>
        <w:rPr/>
        <w:t>de lo que “un hablante considera correcto, adecuado o prestigioso de su propio uso lingüístico” (Moreno F., 1998:</w:t>
      </w:r>
      <w:r>
        <w:rPr>
          <w:spacing w:val="-10"/>
        </w:rPr>
        <w:t> </w:t>
      </w:r>
      <w:r>
        <w:rPr/>
        <w:t>182).</w:t>
      </w:r>
    </w:p>
    <w:p>
      <w:pPr>
        <w:pStyle w:val="BodyText"/>
      </w:pPr>
    </w:p>
    <w:p>
      <w:pPr>
        <w:pStyle w:val="BodyText"/>
      </w:pPr>
    </w:p>
    <w:p>
      <w:pPr>
        <w:pStyle w:val="BodyText"/>
        <w:spacing w:before="2"/>
        <w:rPr>
          <w:sz w:val="23"/>
        </w:rPr>
      </w:pPr>
    </w:p>
    <w:p>
      <w:pPr>
        <w:pStyle w:val="Heading1"/>
        <w:numPr>
          <w:ilvl w:val="1"/>
          <w:numId w:val="2"/>
        </w:numPr>
        <w:tabs>
          <w:tab w:pos="572" w:val="left" w:leader="none"/>
        </w:tabs>
        <w:spacing w:line="240" w:lineRule="auto" w:before="0" w:after="0"/>
        <w:ind w:left="571" w:right="0" w:hanging="469"/>
        <w:jc w:val="left"/>
      </w:pPr>
      <w:r>
        <w:rPr/>
        <w:t>Creencias</w:t>
      </w:r>
      <w:r>
        <w:rPr>
          <w:spacing w:val="-9"/>
        </w:rPr>
        <w:t> </w:t>
      </w:r>
      <w:r>
        <w:rPr/>
        <w:t>Lingüísticas</w:t>
      </w:r>
    </w:p>
    <w:p>
      <w:pPr>
        <w:pStyle w:val="BodyText"/>
        <w:spacing w:before="4"/>
        <w:rPr>
          <w:b/>
          <w:sz w:val="29"/>
        </w:rPr>
      </w:pPr>
    </w:p>
    <w:p>
      <w:pPr>
        <w:pStyle w:val="BodyText"/>
        <w:spacing w:line="360" w:lineRule="auto" w:before="1"/>
        <w:ind w:left="102" w:right="106" w:firstLine="707"/>
        <w:jc w:val="both"/>
      </w:pPr>
      <w:r>
        <w:rPr/>
        <w:t>Para</w:t>
      </w:r>
      <w:r>
        <w:rPr>
          <w:spacing w:val="-12"/>
        </w:rPr>
        <w:t> </w:t>
      </w:r>
      <w:r>
        <w:rPr/>
        <w:t>abordar</w:t>
      </w:r>
      <w:r>
        <w:rPr>
          <w:spacing w:val="-9"/>
        </w:rPr>
        <w:t> </w:t>
      </w:r>
      <w:r>
        <w:rPr/>
        <w:t>el</w:t>
      </w:r>
      <w:r>
        <w:rPr>
          <w:spacing w:val="-13"/>
        </w:rPr>
        <w:t> </w:t>
      </w:r>
      <w:r>
        <w:rPr/>
        <w:t>tema</w:t>
      </w:r>
      <w:r>
        <w:rPr>
          <w:spacing w:val="-12"/>
        </w:rPr>
        <w:t> </w:t>
      </w:r>
      <w:r>
        <w:rPr/>
        <w:t>de</w:t>
      </w:r>
      <w:r>
        <w:rPr>
          <w:spacing w:val="-9"/>
        </w:rPr>
        <w:t> </w:t>
      </w:r>
      <w:r>
        <w:rPr/>
        <w:t>creencias</w:t>
      </w:r>
      <w:r>
        <w:rPr>
          <w:spacing w:val="-10"/>
        </w:rPr>
        <w:t> </w:t>
      </w:r>
      <w:r>
        <w:rPr/>
        <w:t>lingüísticas</w:t>
      </w:r>
      <w:r>
        <w:rPr>
          <w:spacing w:val="-9"/>
        </w:rPr>
        <w:t> </w:t>
      </w:r>
      <w:r>
        <w:rPr/>
        <w:t>se</w:t>
      </w:r>
      <w:r>
        <w:rPr>
          <w:spacing w:val="-9"/>
        </w:rPr>
        <w:t> </w:t>
      </w:r>
      <w:r>
        <w:rPr/>
        <w:t>seguirá</w:t>
      </w:r>
      <w:r>
        <w:rPr>
          <w:spacing w:val="-9"/>
        </w:rPr>
        <w:t> </w:t>
      </w:r>
      <w:r>
        <w:rPr/>
        <w:t>la</w:t>
      </w:r>
      <w:r>
        <w:rPr>
          <w:spacing w:val="-12"/>
        </w:rPr>
        <w:t> </w:t>
      </w:r>
      <w:r>
        <w:rPr/>
        <w:t>separación</w:t>
      </w:r>
      <w:r>
        <w:rPr>
          <w:spacing w:val="-9"/>
        </w:rPr>
        <w:t> </w:t>
      </w:r>
      <w:r>
        <w:rPr/>
        <w:t>que</w:t>
      </w:r>
      <w:r>
        <w:rPr>
          <w:spacing w:val="-9"/>
        </w:rPr>
        <w:t> </w:t>
      </w:r>
      <w:r>
        <w:rPr/>
        <w:t>hacen Fishbein y Ajzen (1975) entre actitud y creencia. Los autores aseguran que una actitud conlleva</w:t>
      </w:r>
      <w:r>
        <w:rPr>
          <w:spacing w:val="-12"/>
        </w:rPr>
        <w:t> </w:t>
      </w:r>
      <w:r>
        <w:rPr/>
        <w:t>únicamente</w:t>
      </w:r>
      <w:r>
        <w:rPr>
          <w:spacing w:val="-13"/>
        </w:rPr>
        <w:t> </w:t>
      </w:r>
      <w:r>
        <w:rPr/>
        <w:t>el</w:t>
      </w:r>
      <w:r>
        <w:rPr>
          <w:spacing w:val="-14"/>
        </w:rPr>
        <w:t> </w:t>
      </w:r>
      <w:r>
        <w:rPr/>
        <w:t>carácter</w:t>
      </w:r>
      <w:r>
        <w:rPr>
          <w:spacing w:val="-12"/>
        </w:rPr>
        <w:t> </w:t>
      </w:r>
      <w:r>
        <w:rPr>
          <w:i/>
        </w:rPr>
        <w:t>conativo</w:t>
      </w:r>
      <w:r>
        <w:rPr>
          <w:i/>
          <w:spacing w:val="-13"/>
        </w:rPr>
        <w:t> </w:t>
      </w:r>
      <w:r>
        <w:rPr/>
        <w:t>del</w:t>
      </w:r>
      <w:r>
        <w:rPr>
          <w:spacing w:val="-13"/>
        </w:rPr>
        <w:t> </w:t>
      </w:r>
      <w:r>
        <w:rPr/>
        <w:t>que</w:t>
      </w:r>
      <w:r>
        <w:rPr>
          <w:spacing w:val="-12"/>
        </w:rPr>
        <w:t> </w:t>
      </w:r>
      <w:r>
        <w:rPr/>
        <w:t>se</w:t>
      </w:r>
      <w:r>
        <w:rPr>
          <w:spacing w:val="-12"/>
        </w:rPr>
        <w:t> </w:t>
      </w:r>
      <w:r>
        <w:rPr/>
        <w:t>hablaba</w:t>
      </w:r>
      <w:r>
        <w:rPr>
          <w:spacing w:val="-13"/>
        </w:rPr>
        <w:t> </w:t>
      </w:r>
      <w:r>
        <w:rPr/>
        <w:t>anteriormente,</w:t>
      </w:r>
      <w:r>
        <w:rPr>
          <w:spacing w:val="-13"/>
        </w:rPr>
        <w:t> </w:t>
      </w:r>
      <w:r>
        <w:rPr/>
        <w:t>es</w:t>
      </w:r>
      <w:r>
        <w:rPr>
          <w:spacing w:val="-14"/>
        </w:rPr>
        <w:t> </w:t>
      </w:r>
      <w:r>
        <w:rPr/>
        <w:t>decir,</w:t>
      </w:r>
      <w:r>
        <w:rPr>
          <w:spacing w:val="-12"/>
        </w:rPr>
        <w:t> </w:t>
      </w:r>
      <w:r>
        <w:rPr/>
        <w:t>sólo implican una actuación de manera que únicamente afecta el comportamiento lingüístico del hablante; y las creencias implican componentes de cognición y afectividad. De manera</w:t>
      </w:r>
      <w:r>
        <w:rPr>
          <w:spacing w:val="-17"/>
        </w:rPr>
        <w:t> </w:t>
      </w:r>
      <w:r>
        <w:rPr/>
        <w:t>que</w:t>
      </w:r>
      <w:r>
        <w:rPr>
          <w:spacing w:val="-19"/>
        </w:rPr>
        <w:t> </w:t>
      </w:r>
      <w:r>
        <w:rPr/>
        <w:t>una</w:t>
      </w:r>
      <w:r>
        <w:rPr>
          <w:spacing w:val="-17"/>
        </w:rPr>
        <w:t> </w:t>
      </w:r>
      <w:r>
        <w:rPr/>
        <w:t>creencia</w:t>
      </w:r>
      <w:r>
        <w:rPr>
          <w:spacing w:val="-17"/>
        </w:rPr>
        <w:t> </w:t>
      </w:r>
      <w:r>
        <w:rPr/>
        <w:t>no</w:t>
      </w:r>
      <w:r>
        <w:rPr>
          <w:spacing w:val="-17"/>
        </w:rPr>
        <w:t> </w:t>
      </w:r>
      <w:r>
        <w:rPr/>
        <w:t>lleva</w:t>
      </w:r>
      <w:r>
        <w:rPr>
          <w:spacing w:val="-17"/>
        </w:rPr>
        <w:t> </w:t>
      </w:r>
      <w:r>
        <w:rPr/>
        <w:t>a</w:t>
      </w:r>
      <w:r>
        <w:rPr>
          <w:spacing w:val="-19"/>
        </w:rPr>
        <w:t> </w:t>
      </w:r>
      <w:r>
        <w:rPr/>
        <w:t>una</w:t>
      </w:r>
      <w:r>
        <w:rPr>
          <w:spacing w:val="-17"/>
        </w:rPr>
        <w:t> </w:t>
      </w:r>
      <w:r>
        <w:rPr/>
        <w:t>actuación</w:t>
      </w:r>
      <w:r>
        <w:rPr>
          <w:spacing w:val="-16"/>
        </w:rPr>
        <w:t> </w:t>
      </w:r>
      <w:r>
        <w:rPr/>
        <w:t>pero</w:t>
      </w:r>
      <w:r>
        <w:rPr>
          <w:spacing w:val="-17"/>
        </w:rPr>
        <w:t> </w:t>
      </w:r>
      <w:r>
        <w:rPr/>
        <w:t>incluye</w:t>
      </w:r>
      <w:r>
        <w:rPr>
          <w:spacing w:val="-17"/>
        </w:rPr>
        <w:t> </w:t>
      </w:r>
      <w:r>
        <w:rPr/>
        <w:t>sentimientos</w:t>
      </w:r>
      <w:r>
        <w:rPr>
          <w:spacing w:val="-17"/>
        </w:rPr>
        <w:t> </w:t>
      </w:r>
      <w:r>
        <w:rPr/>
        <w:t>de</w:t>
      </w:r>
      <w:r>
        <w:rPr>
          <w:spacing w:val="-17"/>
        </w:rPr>
        <w:t> </w:t>
      </w:r>
      <w:r>
        <w:rPr/>
        <w:t>identidad,</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339"/>
      </w:pPr>
      <w:r>
        <w:rPr/>
        <w:t>prejuicios, estereotipos, saberes lingüísticos y la conciencia lingüística del hablante, además de la habilidad de valorar a través de la emisión de juicios.</w:t>
      </w:r>
    </w:p>
    <w:p>
      <w:pPr>
        <w:pStyle w:val="BodyText"/>
        <w:spacing w:line="360" w:lineRule="auto" w:before="204"/>
        <w:ind w:left="102" w:right="107" w:firstLine="707"/>
        <w:jc w:val="both"/>
      </w:pPr>
      <w:r>
        <w:rPr/>
        <w:t>García</w:t>
      </w:r>
      <w:r>
        <w:rPr>
          <w:spacing w:val="-8"/>
        </w:rPr>
        <w:t> </w:t>
      </w:r>
      <w:r>
        <w:rPr/>
        <w:t>(1993</w:t>
      </w:r>
      <w:r>
        <w:rPr>
          <w:spacing w:val="-11"/>
        </w:rPr>
        <w:t> </w:t>
      </w:r>
      <w:r>
        <w:rPr/>
        <w:t>en</w:t>
      </w:r>
      <w:r>
        <w:rPr>
          <w:spacing w:val="-8"/>
        </w:rPr>
        <w:t> </w:t>
      </w:r>
      <w:r>
        <w:rPr/>
        <w:t>Pascual,</w:t>
      </w:r>
      <w:r>
        <w:rPr>
          <w:spacing w:val="-9"/>
        </w:rPr>
        <w:t> </w:t>
      </w:r>
      <w:r>
        <w:rPr/>
        <w:t>2003)</w:t>
      </w:r>
      <w:r>
        <w:rPr>
          <w:spacing w:val="-10"/>
        </w:rPr>
        <w:t> </w:t>
      </w:r>
      <w:r>
        <w:rPr/>
        <w:t>indica</w:t>
      </w:r>
      <w:r>
        <w:rPr>
          <w:spacing w:val="-9"/>
        </w:rPr>
        <w:t> </w:t>
      </w:r>
      <w:r>
        <w:rPr/>
        <w:t>que</w:t>
      </w:r>
      <w:r>
        <w:rPr>
          <w:spacing w:val="-11"/>
        </w:rPr>
        <w:t> </w:t>
      </w:r>
      <w:r>
        <w:rPr/>
        <w:t>los</w:t>
      </w:r>
      <w:r>
        <w:rPr>
          <w:spacing w:val="-11"/>
        </w:rPr>
        <w:t> </w:t>
      </w:r>
      <w:r>
        <w:rPr/>
        <w:t>hablantes</w:t>
      </w:r>
      <w:r>
        <w:rPr>
          <w:spacing w:val="-9"/>
        </w:rPr>
        <w:t> </w:t>
      </w:r>
      <w:r>
        <w:rPr/>
        <w:t>pueden</w:t>
      </w:r>
      <w:r>
        <w:rPr>
          <w:spacing w:val="-11"/>
        </w:rPr>
        <w:t> </w:t>
      </w:r>
      <w:r>
        <w:rPr/>
        <w:t>reaccionar</w:t>
      </w:r>
      <w:r>
        <w:rPr>
          <w:spacing w:val="-12"/>
        </w:rPr>
        <w:t> </w:t>
      </w:r>
      <w:r>
        <w:rPr/>
        <w:t>frente a distintos fenómenos lingüísticos concretos con una valoración negativa o positiva, y éstos</w:t>
      </w:r>
      <w:r>
        <w:rPr>
          <w:spacing w:val="-5"/>
        </w:rPr>
        <w:t> </w:t>
      </w:r>
      <w:r>
        <w:rPr/>
        <w:t>suelen</w:t>
      </w:r>
      <w:r>
        <w:rPr>
          <w:spacing w:val="-5"/>
        </w:rPr>
        <w:t> </w:t>
      </w:r>
      <w:r>
        <w:rPr/>
        <w:t>sustentarse</w:t>
      </w:r>
      <w:r>
        <w:rPr>
          <w:spacing w:val="-5"/>
        </w:rPr>
        <w:t> </w:t>
      </w:r>
      <w:r>
        <w:rPr/>
        <w:t>en</w:t>
      </w:r>
      <w:r>
        <w:rPr>
          <w:spacing w:val="-7"/>
        </w:rPr>
        <w:t> </w:t>
      </w:r>
      <w:r>
        <w:rPr/>
        <w:t>diversos</w:t>
      </w:r>
      <w:r>
        <w:rPr>
          <w:spacing w:val="-5"/>
        </w:rPr>
        <w:t> </w:t>
      </w:r>
      <w:r>
        <w:rPr/>
        <w:t>juicios</w:t>
      </w:r>
      <w:r>
        <w:rPr>
          <w:spacing w:val="-7"/>
        </w:rPr>
        <w:t> </w:t>
      </w:r>
      <w:r>
        <w:rPr/>
        <w:t>de</w:t>
      </w:r>
      <w:r>
        <w:rPr>
          <w:spacing w:val="-5"/>
        </w:rPr>
        <w:t> </w:t>
      </w:r>
      <w:r>
        <w:rPr/>
        <w:t>valor</w:t>
      </w:r>
      <w:r>
        <w:rPr>
          <w:spacing w:val="-6"/>
        </w:rPr>
        <w:t> </w:t>
      </w:r>
      <w:r>
        <w:rPr/>
        <w:t>que</w:t>
      </w:r>
      <w:r>
        <w:rPr>
          <w:spacing w:val="-7"/>
        </w:rPr>
        <w:t> </w:t>
      </w:r>
      <w:r>
        <w:rPr/>
        <w:t>para</w:t>
      </w:r>
      <w:r>
        <w:rPr>
          <w:spacing w:val="-5"/>
        </w:rPr>
        <w:t> </w:t>
      </w:r>
      <w:r>
        <w:rPr/>
        <w:t>el</w:t>
      </w:r>
      <w:r>
        <w:rPr>
          <w:spacing w:val="-8"/>
        </w:rPr>
        <w:t> </w:t>
      </w:r>
      <w:r>
        <w:rPr/>
        <w:t>autor</w:t>
      </w:r>
      <w:r>
        <w:rPr>
          <w:spacing w:val="-6"/>
        </w:rPr>
        <w:t> </w:t>
      </w:r>
      <w:r>
        <w:rPr/>
        <w:t>son</w:t>
      </w:r>
      <w:r>
        <w:rPr>
          <w:spacing w:val="1"/>
        </w:rPr>
        <w:t> </w:t>
      </w:r>
      <w:r>
        <w:rPr/>
        <w:t>denominados creencias lingüísticas. López Morales (1993 en Pascual, 2003:13) añade que en tales creencias se implican elementos que tienen que ver con el conocimiento previo del hablante y con su experiencia del mundo, en donde cuestiones afectivas están involucradas.</w:t>
      </w:r>
    </w:p>
    <w:p>
      <w:pPr>
        <w:pStyle w:val="BodyText"/>
        <w:spacing w:line="360" w:lineRule="auto" w:before="202"/>
        <w:ind w:left="102" w:right="106" w:firstLine="707"/>
        <w:jc w:val="both"/>
      </w:pPr>
      <w:r>
        <w:rPr/>
        <w:t>En cuanto a creencias lingüísticas respecta, es indispensable hablar de </w:t>
      </w:r>
      <w:r>
        <w:rPr>
          <w:i/>
        </w:rPr>
        <w:t>estilos</w:t>
      </w:r>
      <w:r>
        <w:rPr/>
        <w:t>. Los </w:t>
      </w:r>
      <w:r>
        <w:rPr>
          <w:i/>
        </w:rPr>
        <w:t>estilos </w:t>
      </w:r>
      <w:r>
        <w:rPr/>
        <w:t>van más allá del uso de variables en los dialectos, ya que es una decisión personal: se puede hablar formal o informalmente de acuerdo a las circunstancias. Este proceso no sólo depende del contexto sino de la edad del hablante, clase social, nivel educativo,</w:t>
      </w:r>
      <w:r>
        <w:rPr>
          <w:spacing w:val="-10"/>
        </w:rPr>
        <w:t> </w:t>
      </w:r>
      <w:r>
        <w:rPr/>
        <w:t>etc.</w:t>
      </w:r>
      <w:r>
        <w:rPr>
          <w:spacing w:val="-12"/>
        </w:rPr>
        <w:t> </w:t>
      </w:r>
      <w:r>
        <w:rPr/>
        <w:t>La</w:t>
      </w:r>
      <w:r>
        <w:rPr>
          <w:spacing w:val="-12"/>
        </w:rPr>
        <w:t> </w:t>
      </w:r>
      <w:r>
        <w:rPr/>
        <w:t>conciencia</w:t>
      </w:r>
      <w:r>
        <w:rPr>
          <w:spacing w:val="-9"/>
        </w:rPr>
        <w:t> </w:t>
      </w:r>
      <w:r>
        <w:rPr/>
        <w:t>de</w:t>
      </w:r>
      <w:r>
        <w:rPr>
          <w:spacing w:val="-12"/>
        </w:rPr>
        <w:t> </w:t>
      </w:r>
      <w:r>
        <w:rPr/>
        <w:t>diferenciar</w:t>
      </w:r>
      <w:r>
        <w:rPr>
          <w:spacing w:val="-13"/>
        </w:rPr>
        <w:t> </w:t>
      </w:r>
      <w:r>
        <w:rPr/>
        <w:t>el</w:t>
      </w:r>
      <w:r>
        <w:rPr>
          <w:spacing w:val="-13"/>
        </w:rPr>
        <w:t> </w:t>
      </w:r>
      <w:r>
        <w:rPr/>
        <w:t>estilo</w:t>
      </w:r>
      <w:r>
        <w:rPr>
          <w:spacing w:val="-12"/>
        </w:rPr>
        <w:t> </w:t>
      </w:r>
      <w:r>
        <w:rPr/>
        <w:t>apropiado</w:t>
      </w:r>
      <w:r>
        <w:rPr>
          <w:spacing w:val="-12"/>
        </w:rPr>
        <w:t> </w:t>
      </w:r>
      <w:r>
        <w:rPr/>
        <w:t>e</w:t>
      </w:r>
      <w:r>
        <w:rPr>
          <w:spacing w:val="-12"/>
        </w:rPr>
        <w:t> </w:t>
      </w:r>
      <w:r>
        <w:rPr/>
        <w:t>inapropiado</w:t>
      </w:r>
      <w:r>
        <w:rPr>
          <w:spacing w:val="-12"/>
        </w:rPr>
        <w:t> </w:t>
      </w:r>
      <w:r>
        <w:rPr/>
        <w:t>de</w:t>
      </w:r>
      <w:r>
        <w:rPr>
          <w:spacing w:val="-12"/>
        </w:rPr>
        <w:t> </w:t>
      </w:r>
      <w:r>
        <w:rPr/>
        <w:t>la</w:t>
      </w:r>
      <w:r>
        <w:rPr>
          <w:spacing w:val="-10"/>
        </w:rPr>
        <w:t> </w:t>
      </w:r>
      <w:r>
        <w:rPr/>
        <w:t>lengua depende del hablante y es una propiedad de control más evidente en nativo hablantes (Ronald Wardhaugh,</w:t>
      </w:r>
      <w:r>
        <w:rPr>
          <w:spacing w:val="-12"/>
        </w:rPr>
        <w:t> </w:t>
      </w:r>
      <w:r>
        <w:rPr/>
        <w:t>2010).</w:t>
      </w:r>
    </w:p>
    <w:p>
      <w:pPr>
        <w:pStyle w:val="BodyText"/>
        <w:spacing w:line="360" w:lineRule="auto" w:before="202"/>
        <w:ind w:left="102" w:right="106" w:firstLine="707"/>
        <w:jc w:val="both"/>
      </w:pPr>
      <w:r>
        <w:rPr/>
        <w:t>El</w:t>
      </w:r>
      <w:r>
        <w:rPr>
          <w:spacing w:val="-11"/>
        </w:rPr>
        <w:t> </w:t>
      </w:r>
      <w:r>
        <w:rPr>
          <w:i/>
        </w:rPr>
        <w:t>registro</w:t>
      </w:r>
      <w:r>
        <w:rPr>
          <w:i/>
          <w:spacing w:val="-12"/>
        </w:rPr>
        <w:t> </w:t>
      </w:r>
      <w:r>
        <w:rPr/>
        <w:t>es</w:t>
      </w:r>
      <w:r>
        <w:rPr>
          <w:spacing w:val="-11"/>
        </w:rPr>
        <w:t> </w:t>
      </w:r>
      <w:r>
        <w:rPr/>
        <w:t>otro</w:t>
      </w:r>
      <w:r>
        <w:rPr>
          <w:spacing w:val="-12"/>
        </w:rPr>
        <w:t> </w:t>
      </w:r>
      <w:r>
        <w:rPr/>
        <w:t>factor</w:t>
      </w:r>
      <w:r>
        <w:rPr>
          <w:spacing w:val="-11"/>
        </w:rPr>
        <w:t> </w:t>
      </w:r>
      <w:r>
        <w:rPr/>
        <w:t>importante</w:t>
      </w:r>
      <w:r>
        <w:rPr>
          <w:spacing w:val="-10"/>
        </w:rPr>
        <w:t> </w:t>
      </w:r>
      <w:r>
        <w:rPr/>
        <w:t>a</w:t>
      </w:r>
      <w:r>
        <w:rPr>
          <w:spacing w:val="-12"/>
        </w:rPr>
        <w:t> </w:t>
      </w:r>
      <w:r>
        <w:rPr/>
        <w:t>evaluar</w:t>
      </w:r>
      <w:r>
        <w:rPr>
          <w:spacing w:val="-14"/>
        </w:rPr>
        <w:t> </w:t>
      </w:r>
      <w:r>
        <w:rPr/>
        <w:t>en</w:t>
      </w:r>
      <w:r>
        <w:rPr>
          <w:spacing w:val="-10"/>
        </w:rPr>
        <w:t> </w:t>
      </w:r>
      <w:r>
        <w:rPr/>
        <w:t>el</w:t>
      </w:r>
      <w:r>
        <w:rPr>
          <w:spacing w:val="-13"/>
        </w:rPr>
        <w:t> </w:t>
      </w:r>
      <w:r>
        <w:rPr/>
        <w:t>estudio</w:t>
      </w:r>
      <w:r>
        <w:rPr>
          <w:spacing w:val="-12"/>
        </w:rPr>
        <w:t> </w:t>
      </w:r>
      <w:r>
        <w:rPr/>
        <w:t>de</w:t>
      </w:r>
      <w:r>
        <w:rPr>
          <w:spacing w:val="-10"/>
        </w:rPr>
        <w:t> </w:t>
      </w:r>
      <w:r>
        <w:rPr/>
        <w:t>variables</w:t>
      </w:r>
      <w:r>
        <w:rPr>
          <w:spacing w:val="-11"/>
        </w:rPr>
        <w:t> </w:t>
      </w:r>
      <w:r>
        <w:rPr/>
        <w:t>y</w:t>
      </w:r>
      <w:r>
        <w:rPr>
          <w:spacing w:val="-13"/>
        </w:rPr>
        <w:t> </w:t>
      </w:r>
      <w:r>
        <w:rPr/>
        <w:t>se</w:t>
      </w:r>
      <w:r>
        <w:rPr>
          <w:spacing w:val="-10"/>
        </w:rPr>
        <w:t> </w:t>
      </w:r>
      <w:r>
        <w:rPr/>
        <w:t>refiere específicamente a ítems ocupacionales o de grupos sociales, normalmente está relacionado</w:t>
      </w:r>
      <w:r>
        <w:rPr>
          <w:spacing w:val="-12"/>
        </w:rPr>
        <w:t> </w:t>
      </w:r>
      <w:r>
        <w:rPr/>
        <w:t>con</w:t>
      </w:r>
      <w:r>
        <w:rPr>
          <w:spacing w:val="-12"/>
        </w:rPr>
        <w:t> </w:t>
      </w:r>
      <w:r>
        <w:rPr/>
        <w:t>las</w:t>
      </w:r>
      <w:r>
        <w:rPr>
          <w:spacing w:val="-12"/>
        </w:rPr>
        <w:t> </w:t>
      </w:r>
      <w:r>
        <w:rPr/>
        <w:t>jergas</w:t>
      </w:r>
      <w:r>
        <w:rPr>
          <w:spacing w:val="-13"/>
        </w:rPr>
        <w:t> </w:t>
      </w:r>
      <w:r>
        <w:rPr/>
        <w:t>a</w:t>
      </w:r>
      <w:r>
        <w:rPr>
          <w:spacing w:val="-12"/>
        </w:rPr>
        <w:t> </w:t>
      </w:r>
      <w:r>
        <w:rPr/>
        <w:t>manera</w:t>
      </w:r>
      <w:r>
        <w:rPr>
          <w:spacing w:val="-12"/>
        </w:rPr>
        <w:t> </w:t>
      </w:r>
      <w:r>
        <w:rPr/>
        <w:t>de</w:t>
      </w:r>
      <w:r>
        <w:rPr>
          <w:spacing w:val="-12"/>
        </w:rPr>
        <w:t> </w:t>
      </w:r>
      <w:r>
        <w:rPr/>
        <w:t>sinónimo.</w:t>
      </w:r>
      <w:r>
        <w:rPr>
          <w:spacing w:val="-12"/>
        </w:rPr>
        <w:t> </w:t>
      </w:r>
      <w:r>
        <w:rPr/>
        <w:t>Ferguson</w:t>
      </w:r>
      <w:r>
        <w:rPr>
          <w:spacing w:val="-12"/>
        </w:rPr>
        <w:t> </w:t>
      </w:r>
      <w:r>
        <w:rPr/>
        <w:t>(1994,</w:t>
      </w:r>
      <w:r>
        <w:rPr>
          <w:spacing w:val="-12"/>
        </w:rPr>
        <w:t> </w:t>
      </w:r>
      <w:r>
        <w:rPr/>
        <w:t>en</w:t>
      </w:r>
      <w:r>
        <w:rPr>
          <w:spacing w:val="-16"/>
        </w:rPr>
        <w:t> </w:t>
      </w:r>
      <w:r>
        <w:rPr/>
        <w:t>Wardhaugh,</w:t>
      </w:r>
      <w:r>
        <w:rPr>
          <w:spacing w:val="-12"/>
        </w:rPr>
        <w:t> </w:t>
      </w:r>
      <w:r>
        <w:rPr/>
        <w:t>2010) menciona que los hablantes que participan en pláticas recurrentes en las mismas circunstancias, desarrollan vocabulario similar, con características similares, entonación y sintaxis; dicha secuencia crea rutinas que facilitan y agilizan la</w:t>
      </w:r>
      <w:r>
        <w:rPr>
          <w:spacing w:val="-20"/>
        </w:rPr>
        <w:t> </w:t>
      </w:r>
      <w:r>
        <w:rPr/>
        <w:t>comunicación.</w:t>
      </w:r>
    </w:p>
    <w:p>
      <w:pPr>
        <w:pStyle w:val="BodyText"/>
        <w:spacing w:line="360" w:lineRule="auto" w:before="204"/>
        <w:ind w:left="102" w:right="107" w:firstLine="707"/>
        <w:jc w:val="both"/>
      </w:pPr>
      <w:r>
        <w:rPr/>
        <w:t>Una</w:t>
      </w:r>
      <w:r>
        <w:rPr>
          <w:spacing w:val="-8"/>
        </w:rPr>
        <w:t> </w:t>
      </w:r>
      <w:r>
        <w:rPr/>
        <w:t>persona</w:t>
      </w:r>
      <w:r>
        <w:rPr>
          <w:spacing w:val="-11"/>
        </w:rPr>
        <w:t> </w:t>
      </w:r>
      <w:r>
        <w:rPr/>
        <w:t>puede</w:t>
      </w:r>
      <w:r>
        <w:rPr>
          <w:spacing w:val="-8"/>
        </w:rPr>
        <w:t> </w:t>
      </w:r>
      <w:r>
        <w:rPr/>
        <w:t>modificar</w:t>
      </w:r>
      <w:r>
        <w:rPr>
          <w:spacing w:val="-9"/>
        </w:rPr>
        <w:t> </w:t>
      </w:r>
      <w:r>
        <w:rPr/>
        <w:t>su</w:t>
      </w:r>
      <w:r>
        <w:rPr>
          <w:spacing w:val="-7"/>
        </w:rPr>
        <w:t> </w:t>
      </w:r>
      <w:r>
        <w:rPr/>
        <w:t>registro</w:t>
      </w:r>
      <w:r>
        <w:rPr>
          <w:spacing w:val="-9"/>
        </w:rPr>
        <w:t> </w:t>
      </w:r>
      <w:r>
        <w:rPr/>
        <w:t>en</w:t>
      </w:r>
      <w:r>
        <w:rPr>
          <w:spacing w:val="-11"/>
        </w:rPr>
        <w:t> </w:t>
      </w:r>
      <w:r>
        <w:rPr/>
        <w:t>más</w:t>
      </w:r>
      <w:r>
        <w:rPr>
          <w:spacing w:val="-9"/>
        </w:rPr>
        <w:t> </w:t>
      </w:r>
      <w:r>
        <w:rPr/>
        <w:t>de</w:t>
      </w:r>
      <w:r>
        <w:rPr>
          <w:spacing w:val="-8"/>
        </w:rPr>
        <w:t> </w:t>
      </w:r>
      <w:r>
        <w:rPr/>
        <w:t>una</w:t>
      </w:r>
      <w:r>
        <w:rPr>
          <w:spacing w:val="-11"/>
        </w:rPr>
        <w:t> </w:t>
      </w:r>
      <w:r>
        <w:rPr/>
        <w:t>forma,</w:t>
      </w:r>
      <w:r>
        <w:rPr>
          <w:spacing w:val="-9"/>
        </w:rPr>
        <w:t> </w:t>
      </w:r>
      <w:r>
        <w:rPr/>
        <w:t>dicha</w:t>
      </w:r>
      <w:r>
        <w:rPr>
          <w:spacing w:val="-8"/>
        </w:rPr>
        <w:t> </w:t>
      </w:r>
      <w:r>
        <w:rPr/>
        <w:t>modificación de registro le ayudará a enmarcar su identidad en cada lugar y contexto específico. De acuerdo</w:t>
      </w:r>
      <w:r>
        <w:rPr>
          <w:spacing w:val="-6"/>
        </w:rPr>
        <w:t> </w:t>
      </w:r>
      <w:r>
        <w:rPr/>
        <w:t>al</w:t>
      </w:r>
      <w:r>
        <w:rPr>
          <w:spacing w:val="-7"/>
        </w:rPr>
        <w:t> </w:t>
      </w:r>
      <w:r>
        <w:rPr/>
        <w:t>dialecto,</w:t>
      </w:r>
      <w:r>
        <w:rPr>
          <w:spacing w:val="-6"/>
        </w:rPr>
        <w:t> </w:t>
      </w:r>
      <w:r>
        <w:rPr/>
        <w:t>estilo</w:t>
      </w:r>
      <w:r>
        <w:rPr>
          <w:spacing w:val="-6"/>
        </w:rPr>
        <w:t> </w:t>
      </w:r>
      <w:r>
        <w:rPr/>
        <w:t>y</w:t>
      </w:r>
      <w:r>
        <w:rPr>
          <w:spacing w:val="-7"/>
        </w:rPr>
        <w:t> </w:t>
      </w:r>
      <w:r>
        <w:rPr/>
        <w:t>registro,</w:t>
      </w:r>
      <w:r>
        <w:rPr>
          <w:spacing w:val="-6"/>
        </w:rPr>
        <w:t> </w:t>
      </w:r>
      <w:r>
        <w:rPr/>
        <w:t>se</w:t>
      </w:r>
      <w:r>
        <w:rPr>
          <w:spacing w:val="-6"/>
        </w:rPr>
        <w:t> </w:t>
      </w:r>
      <w:r>
        <w:rPr/>
        <w:t>pueden</w:t>
      </w:r>
      <w:r>
        <w:rPr>
          <w:spacing w:val="-6"/>
        </w:rPr>
        <w:t> </w:t>
      </w:r>
      <w:r>
        <w:rPr/>
        <w:t>hacer</w:t>
      </w:r>
      <w:r>
        <w:rPr>
          <w:spacing w:val="-7"/>
        </w:rPr>
        <w:t> </w:t>
      </w:r>
      <w:r>
        <w:rPr/>
        <w:t>juicios</w:t>
      </w:r>
      <w:r>
        <w:rPr>
          <w:spacing w:val="-6"/>
        </w:rPr>
        <w:t> </w:t>
      </w:r>
      <w:r>
        <w:rPr/>
        <w:t>de</w:t>
      </w:r>
      <w:r>
        <w:rPr>
          <w:spacing w:val="-6"/>
        </w:rPr>
        <w:t> </w:t>
      </w:r>
      <w:r>
        <w:rPr/>
        <w:t>quienes</w:t>
      </w:r>
      <w:r>
        <w:rPr>
          <w:spacing w:val="-7"/>
        </w:rPr>
        <w:t> </w:t>
      </w:r>
      <w:r>
        <w:rPr/>
        <w:t>hablan</w:t>
      </w:r>
      <w:r>
        <w:rPr>
          <w:spacing w:val="-6"/>
        </w:rPr>
        <w:t> </w:t>
      </w:r>
      <w:r>
        <w:rPr/>
        <w:t>“mejor”</w:t>
      </w:r>
      <w:r>
        <w:rPr>
          <w:spacing w:val="-8"/>
        </w:rPr>
        <w:t> </w:t>
      </w:r>
      <w:r>
        <w:rPr/>
        <w:t>y “peor”.</w:t>
      </w:r>
      <w:r>
        <w:rPr>
          <w:spacing w:val="-9"/>
        </w:rPr>
        <w:t> </w:t>
      </w:r>
      <w:r>
        <w:rPr/>
        <w:t>Wardhaugh</w:t>
      </w:r>
      <w:r>
        <w:rPr>
          <w:spacing w:val="-4"/>
        </w:rPr>
        <w:t> </w:t>
      </w:r>
      <w:r>
        <w:rPr/>
        <w:t>(2010)</w:t>
      </w:r>
      <w:r>
        <w:rPr>
          <w:spacing w:val="-2"/>
        </w:rPr>
        <w:t> </w:t>
      </w:r>
      <w:r>
        <w:rPr/>
        <w:t>asevera</w:t>
      </w:r>
      <w:r>
        <w:rPr>
          <w:spacing w:val="-2"/>
        </w:rPr>
        <w:t> </w:t>
      </w:r>
      <w:r>
        <w:rPr/>
        <w:t>que</w:t>
      </w:r>
      <w:r>
        <w:rPr>
          <w:spacing w:val="-4"/>
        </w:rPr>
        <w:t> </w:t>
      </w:r>
      <w:r>
        <w:rPr/>
        <w:t>el</w:t>
      </w:r>
      <w:r>
        <w:rPr>
          <w:spacing w:val="-5"/>
        </w:rPr>
        <w:t> </w:t>
      </w:r>
      <w:r>
        <w:rPr/>
        <w:t>hablar</w:t>
      </w:r>
      <w:r>
        <w:rPr>
          <w:spacing w:val="-2"/>
        </w:rPr>
        <w:t> </w:t>
      </w:r>
      <w:r>
        <w:rPr/>
        <w:t>de</w:t>
      </w:r>
      <w:r>
        <w:rPr>
          <w:spacing w:val="-4"/>
        </w:rPr>
        <w:t> </w:t>
      </w:r>
      <w:r>
        <w:rPr/>
        <w:t>“mejor”</w:t>
      </w:r>
      <w:r>
        <w:rPr>
          <w:spacing w:val="-3"/>
        </w:rPr>
        <w:t> </w:t>
      </w:r>
      <w:r>
        <w:rPr/>
        <w:t>o</w:t>
      </w:r>
      <w:r>
        <w:rPr>
          <w:spacing w:val="-3"/>
        </w:rPr>
        <w:t> </w:t>
      </w:r>
      <w:r>
        <w:rPr/>
        <w:t>“peor”</w:t>
      </w:r>
      <w:r>
        <w:rPr>
          <w:spacing w:val="-6"/>
        </w:rPr>
        <w:t> </w:t>
      </w:r>
      <w:r>
        <w:rPr/>
        <w:t>manera</w:t>
      </w:r>
      <w:r>
        <w:rPr>
          <w:spacing w:val="-5"/>
        </w:rPr>
        <w:t> </w:t>
      </w:r>
      <w:r>
        <w:rPr/>
        <w:t>se</w:t>
      </w:r>
      <w:r>
        <w:rPr>
          <w:spacing w:val="-3"/>
        </w:rPr>
        <w:t> </w:t>
      </w:r>
      <w:r>
        <w:rPr/>
        <w:t>reduce</w:t>
      </w:r>
      <w:r>
        <w:rPr>
          <w:spacing w:val="-4"/>
        </w:rPr>
        <w:t> </w:t>
      </w:r>
      <w:r>
        <w:rPr/>
        <w:t>a la creencia de lo que es correcto e incorrecto que a su vez se asocian con las creencias de</w:t>
      </w:r>
      <w:r>
        <w:rPr>
          <w:spacing w:val="-12"/>
        </w:rPr>
        <w:t> </w:t>
      </w:r>
      <w:r>
        <w:rPr/>
        <w:t>conocimiento</w:t>
      </w:r>
      <w:r>
        <w:rPr>
          <w:spacing w:val="-14"/>
        </w:rPr>
        <w:t> </w:t>
      </w:r>
      <w:r>
        <w:rPr/>
        <w:t>e</w:t>
      </w:r>
      <w:r>
        <w:rPr>
          <w:spacing w:val="-12"/>
        </w:rPr>
        <w:t> </w:t>
      </w:r>
      <w:r>
        <w:rPr/>
        <w:t>ignorancia.</w:t>
      </w:r>
      <w:r>
        <w:rPr>
          <w:spacing w:val="-14"/>
        </w:rPr>
        <w:t> </w:t>
      </w:r>
      <w:r>
        <w:rPr/>
        <w:t>En</w:t>
      </w:r>
      <w:r>
        <w:rPr>
          <w:spacing w:val="-14"/>
        </w:rPr>
        <w:t> </w:t>
      </w:r>
      <w:r>
        <w:rPr/>
        <w:t>palabras</w:t>
      </w:r>
      <w:r>
        <w:rPr>
          <w:spacing w:val="-14"/>
        </w:rPr>
        <w:t> </w:t>
      </w:r>
      <w:r>
        <w:rPr/>
        <w:t>de</w:t>
      </w:r>
      <w:r>
        <w:rPr>
          <w:spacing w:val="-14"/>
        </w:rPr>
        <w:t> </w:t>
      </w:r>
      <w:r>
        <w:rPr/>
        <w:t>Bloomfield</w:t>
      </w:r>
      <w:r>
        <w:rPr>
          <w:spacing w:val="-12"/>
        </w:rPr>
        <w:t> </w:t>
      </w:r>
      <w:r>
        <w:rPr/>
        <w:t>(1927</w:t>
      </w:r>
      <w:r>
        <w:rPr>
          <w:spacing w:val="-14"/>
        </w:rPr>
        <w:t> </w:t>
      </w:r>
      <w:r>
        <w:rPr/>
        <w:t>en</w:t>
      </w:r>
      <w:r>
        <w:rPr>
          <w:spacing w:val="-18"/>
        </w:rPr>
        <w:t> </w:t>
      </w:r>
      <w:r>
        <w:rPr/>
        <w:t>Wardhaugh,</w:t>
      </w:r>
      <w:r>
        <w:rPr>
          <w:spacing w:val="-12"/>
        </w:rPr>
        <w:t> </w:t>
      </w:r>
      <w:r>
        <w:rPr/>
        <w:t>2010;</w:t>
      </w:r>
      <w:r>
        <w:rPr>
          <w:spacing w:val="-14"/>
        </w:rPr>
        <w:t> </w:t>
      </w:r>
      <w:r>
        <w:rPr/>
        <w:t>49)</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3"/>
        <w:rPr>
          <w:sz w:val="17"/>
        </w:rPr>
      </w:pPr>
    </w:p>
    <w:p>
      <w:pPr>
        <w:spacing w:line="360" w:lineRule="auto" w:before="69"/>
        <w:ind w:left="122" w:right="106" w:firstLine="0"/>
        <w:jc w:val="both"/>
        <w:rPr>
          <w:sz w:val="24"/>
        </w:rPr>
      </w:pPr>
      <w:r>
        <w:rPr>
          <w:sz w:val="24"/>
        </w:rPr>
        <w:t>“</w:t>
      </w:r>
      <w:r>
        <w:rPr>
          <w:i/>
          <w:sz w:val="24"/>
        </w:rPr>
        <w:t>An ignorant person does not know the correct forms; therefore he cannot help using </w:t>
      </w:r>
      <w:r>
        <w:rPr>
          <w:i/>
          <w:sz w:val="24"/>
        </w:rPr>
        <w:t>incorrect ones</w:t>
      </w:r>
      <w:r>
        <w:rPr>
          <w:sz w:val="24"/>
        </w:rPr>
        <w:t>” lo anterior es solamente una creencia popular aunque no sea necesariamente cierto como lo reafirma el autor más adelante.</w:t>
      </w:r>
    </w:p>
    <w:p>
      <w:pPr>
        <w:pStyle w:val="BodyText"/>
        <w:spacing w:line="360" w:lineRule="auto" w:before="204"/>
        <w:ind w:left="122" w:right="108" w:firstLine="707"/>
        <w:jc w:val="both"/>
      </w:pPr>
      <w:r>
        <w:rPr/>
        <w:t>Las creencias lingüísticas desde el punto de vista científico y lingüístico pueden estar equivocadas. Popularmente, se cree que ciertas lenguas tienen mejor estructura gramatical</w:t>
      </w:r>
      <w:r>
        <w:rPr>
          <w:spacing w:val="-10"/>
        </w:rPr>
        <w:t> </w:t>
      </w:r>
      <w:r>
        <w:rPr/>
        <w:t>que</w:t>
      </w:r>
      <w:r>
        <w:rPr>
          <w:spacing w:val="-11"/>
        </w:rPr>
        <w:t> </w:t>
      </w:r>
      <w:r>
        <w:rPr/>
        <w:t>otras,</w:t>
      </w:r>
      <w:r>
        <w:rPr>
          <w:spacing w:val="-9"/>
        </w:rPr>
        <w:t> </w:t>
      </w:r>
      <w:r>
        <w:rPr/>
        <w:t>que</w:t>
      </w:r>
      <w:r>
        <w:rPr>
          <w:spacing w:val="-8"/>
        </w:rPr>
        <w:t> </w:t>
      </w:r>
      <w:r>
        <w:rPr/>
        <w:t>unas</w:t>
      </w:r>
      <w:r>
        <w:rPr>
          <w:spacing w:val="-9"/>
        </w:rPr>
        <w:t> </w:t>
      </w:r>
      <w:r>
        <w:rPr/>
        <w:t>son</w:t>
      </w:r>
      <w:r>
        <w:rPr>
          <w:spacing w:val="-11"/>
        </w:rPr>
        <w:t> </w:t>
      </w:r>
      <w:r>
        <w:rPr/>
        <w:t>más</w:t>
      </w:r>
      <w:r>
        <w:rPr>
          <w:spacing w:val="-12"/>
        </w:rPr>
        <w:t> </w:t>
      </w:r>
      <w:r>
        <w:rPr/>
        <w:t>lógicas</w:t>
      </w:r>
      <w:r>
        <w:rPr>
          <w:spacing w:val="-9"/>
        </w:rPr>
        <w:t> </w:t>
      </w:r>
      <w:r>
        <w:rPr/>
        <w:t>que</w:t>
      </w:r>
      <w:r>
        <w:rPr>
          <w:spacing w:val="-8"/>
        </w:rPr>
        <w:t> </w:t>
      </w:r>
      <w:r>
        <w:rPr/>
        <w:t>otras,</w:t>
      </w:r>
      <w:r>
        <w:rPr>
          <w:spacing w:val="-9"/>
        </w:rPr>
        <w:t> </w:t>
      </w:r>
      <w:r>
        <w:rPr/>
        <w:t>que</w:t>
      </w:r>
      <w:r>
        <w:rPr>
          <w:spacing w:val="-8"/>
        </w:rPr>
        <w:t> </w:t>
      </w:r>
      <w:r>
        <w:rPr/>
        <w:t>se</w:t>
      </w:r>
      <w:r>
        <w:rPr>
          <w:spacing w:val="-8"/>
        </w:rPr>
        <w:t> </w:t>
      </w:r>
      <w:r>
        <w:rPr/>
        <w:t>les</w:t>
      </w:r>
      <w:r>
        <w:rPr>
          <w:spacing w:val="-9"/>
        </w:rPr>
        <w:t> </w:t>
      </w:r>
      <w:r>
        <w:rPr/>
        <w:t>puede</w:t>
      </w:r>
      <w:r>
        <w:rPr>
          <w:spacing w:val="-11"/>
        </w:rPr>
        <w:t> </w:t>
      </w:r>
      <w:r>
        <w:rPr/>
        <w:t>aprender</w:t>
      </w:r>
      <w:r>
        <w:rPr>
          <w:spacing w:val="-10"/>
        </w:rPr>
        <w:t> </w:t>
      </w:r>
      <w:r>
        <w:rPr/>
        <w:t>sin tener</w:t>
      </w:r>
      <w:r>
        <w:rPr>
          <w:spacing w:val="-16"/>
        </w:rPr>
        <w:t> </w:t>
      </w:r>
      <w:r>
        <w:rPr/>
        <w:t>acento</w:t>
      </w:r>
      <w:r>
        <w:rPr>
          <w:spacing w:val="-14"/>
        </w:rPr>
        <w:t> </w:t>
      </w:r>
      <w:r>
        <w:rPr/>
        <w:t>e</w:t>
      </w:r>
      <w:r>
        <w:rPr>
          <w:spacing w:val="-12"/>
        </w:rPr>
        <w:t> </w:t>
      </w:r>
      <w:r>
        <w:rPr/>
        <w:t>incluso</w:t>
      </w:r>
      <w:r>
        <w:rPr>
          <w:spacing w:val="-16"/>
        </w:rPr>
        <w:t> </w:t>
      </w:r>
      <w:r>
        <w:rPr/>
        <w:t>que</w:t>
      </w:r>
      <w:r>
        <w:rPr>
          <w:spacing w:val="-12"/>
        </w:rPr>
        <w:t> </w:t>
      </w:r>
      <w:r>
        <w:rPr/>
        <w:t>unas</w:t>
      </w:r>
      <w:r>
        <w:rPr>
          <w:spacing w:val="-15"/>
        </w:rPr>
        <w:t> </w:t>
      </w:r>
      <w:r>
        <w:rPr/>
        <w:t>mejores</w:t>
      </w:r>
      <w:r>
        <w:rPr>
          <w:spacing w:val="-15"/>
        </w:rPr>
        <w:t> </w:t>
      </w:r>
      <w:r>
        <w:rPr/>
        <w:t>que</w:t>
      </w:r>
      <w:r>
        <w:rPr>
          <w:spacing w:val="-15"/>
        </w:rPr>
        <w:t> </w:t>
      </w:r>
      <w:r>
        <w:rPr/>
        <w:t>otras.</w:t>
      </w:r>
      <w:r>
        <w:rPr>
          <w:spacing w:val="-15"/>
        </w:rPr>
        <w:t> </w:t>
      </w:r>
      <w:r>
        <w:rPr/>
        <w:t>Sin</w:t>
      </w:r>
      <w:r>
        <w:rPr>
          <w:spacing w:val="-15"/>
        </w:rPr>
        <w:t> </w:t>
      </w:r>
      <w:r>
        <w:rPr/>
        <w:t>embargo,</w:t>
      </w:r>
      <w:r>
        <w:rPr>
          <w:spacing w:val="-12"/>
        </w:rPr>
        <w:t> </w:t>
      </w:r>
      <w:r>
        <w:rPr/>
        <w:t>lo</w:t>
      </w:r>
      <w:r>
        <w:rPr>
          <w:spacing w:val="-17"/>
        </w:rPr>
        <w:t> </w:t>
      </w:r>
      <w:r>
        <w:rPr/>
        <w:t>que</w:t>
      </w:r>
      <w:r>
        <w:rPr>
          <w:spacing w:val="-12"/>
        </w:rPr>
        <w:t> </w:t>
      </w:r>
      <w:r>
        <w:rPr/>
        <w:t>resulta</w:t>
      </w:r>
      <w:r>
        <w:rPr>
          <w:spacing w:val="-14"/>
        </w:rPr>
        <w:t> </w:t>
      </w:r>
      <w:r>
        <w:rPr/>
        <w:t>más</w:t>
      </w:r>
      <w:r>
        <w:rPr>
          <w:spacing w:val="-15"/>
        </w:rPr>
        <w:t> </w:t>
      </w:r>
      <w:r>
        <w:rPr/>
        <w:t>difícil es producir un efecto de cambio; “las creencias lingüísticas están bien arraigadas como las actitudes y comportamientos lingüísticos”</w:t>
      </w:r>
      <w:r>
        <w:rPr>
          <w:position w:val="8"/>
          <w:sz w:val="16"/>
        </w:rPr>
        <w:t>2 </w:t>
      </w:r>
      <w:r>
        <w:rPr/>
        <w:t>(Wardhaugh, 2010;</w:t>
      </w:r>
      <w:r>
        <w:rPr>
          <w:spacing w:val="4"/>
        </w:rPr>
        <w:t> </w:t>
      </w:r>
      <w:r>
        <w:rPr/>
        <w:t>50).</w:t>
      </w:r>
    </w:p>
    <w:p>
      <w:pPr>
        <w:pStyle w:val="BodyText"/>
        <w:rPr>
          <w:sz w:val="26"/>
        </w:rPr>
      </w:pPr>
    </w:p>
    <w:p>
      <w:pPr>
        <w:pStyle w:val="BodyText"/>
        <w:rPr>
          <w:sz w:val="26"/>
        </w:rPr>
      </w:pPr>
    </w:p>
    <w:p>
      <w:pPr>
        <w:pStyle w:val="Heading1"/>
        <w:numPr>
          <w:ilvl w:val="1"/>
          <w:numId w:val="2"/>
        </w:numPr>
        <w:tabs>
          <w:tab w:pos="590" w:val="left" w:leader="none"/>
        </w:tabs>
        <w:spacing w:line="240" w:lineRule="auto" w:before="217" w:after="0"/>
        <w:ind w:left="589" w:right="0" w:hanging="467"/>
        <w:jc w:val="both"/>
      </w:pPr>
      <w:r>
        <w:rPr/>
        <w:t>Estereotipos</w:t>
      </w:r>
      <w:r>
        <w:rPr>
          <w:spacing w:val="-6"/>
        </w:rPr>
        <w:t> </w:t>
      </w:r>
      <w:r>
        <w:rPr/>
        <w:t>Lingüísticos</w:t>
      </w:r>
    </w:p>
    <w:p>
      <w:pPr>
        <w:pStyle w:val="BodyText"/>
        <w:rPr>
          <w:b/>
          <w:sz w:val="29"/>
        </w:rPr>
      </w:pPr>
    </w:p>
    <w:p>
      <w:pPr>
        <w:spacing w:line="360" w:lineRule="auto" w:before="0"/>
        <w:ind w:left="122" w:right="109" w:firstLine="707"/>
        <w:jc w:val="both"/>
        <w:rPr>
          <w:sz w:val="24"/>
        </w:rPr>
      </w:pPr>
      <w:r>
        <w:rPr>
          <w:sz w:val="24"/>
        </w:rPr>
        <w:t>Citando a Ronald Wardhaugh (1998; 140) un estereotipo lingüístico “</w:t>
      </w:r>
      <w:r>
        <w:rPr>
          <w:i/>
          <w:sz w:val="24"/>
        </w:rPr>
        <w:t>is a popular </w:t>
      </w:r>
      <w:r>
        <w:rPr>
          <w:i/>
          <w:sz w:val="24"/>
        </w:rPr>
        <w:t>and</w:t>
      </w:r>
      <w:r>
        <w:rPr>
          <w:sz w:val="24"/>
        </w:rPr>
        <w:t>… </w:t>
      </w:r>
      <w:r>
        <w:rPr>
          <w:i/>
          <w:sz w:val="24"/>
        </w:rPr>
        <w:t>conscious characterization of the speech of a particular group</w:t>
      </w:r>
      <w:r>
        <w:rPr>
          <w:sz w:val="24"/>
        </w:rPr>
        <w:t>”, en otras palabras, son las variables lingüísticas que distinguen a un grupo social de otro.</w:t>
      </w:r>
    </w:p>
    <w:p>
      <w:pPr>
        <w:pStyle w:val="BodyText"/>
        <w:spacing w:line="360" w:lineRule="auto" w:before="204"/>
        <w:ind w:left="122" w:right="108" w:firstLine="707"/>
        <w:jc w:val="both"/>
      </w:pPr>
      <w:r>
        <w:rPr/>
        <w:t>Estas</w:t>
      </w:r>
      <w:r>
        <w:rPr>
          <w:spacing w:val="-7"/>
        </w:rPr>
        <w:t> </w:t>
      </w:r>
      <w:r>
        <w:rPr/>
        <w:t>etiquetas</w:t>
      </w:r>
      <w:r>
        <w:rPr>
          <w:spacing w:val="-8"/>
        </w:rPr>
        <w:t> </w:t>
      </w:r>
      <w:r>
        <w:rPr/>
        <w:t>diversifican</w:t>
      </w:r>
      <w:r>
        <w:rPr>
          <w:spacing w:val="-5"/>
        </w:rPr>
        <w:t> </w:t>
      </w:r>
      <w:r>
        <w:rPr/>
        <w:t>y</w:t>
      </w:r>
      <w:r>
        <w:rPr>
          <w:spacing w:val="-9"/>
        </w:rPr>
        <w:t> </w:t>
      </w:r>
      <w:r>
        <w:rPr/>
        <w:t>se</w:t>
      </w:r>
      <w:r>
        <w:rPr>
          <w:spacing w:val="-6"/>
        </w:rPr>
        <w:t> </w:t>
      </w:r>
      <w:r>
        <w:rPr/>
        <w:t>marcan</w:t>
      </w:r>
      <w:r>
        <w:rPr>
          <w:spacing w:val="-6"/>
        </w:rPr>
        <w:t> </w:t>
      </w:r>
      <w:r>
        <w:rPr/>
        <w:t>como</w:t>
      </w:r>
      <w:r>
        <w:rPr>
          <w:spacing w:val="-6"/>
        </w:rPr>
        <w:t> </w:t>
      </w:r>
      <w:r>
        <w:rPr/>
        <w:t>los</w:t>
      </w:r>
      <w:r>
        <w:rPr>
          <w:spacing w:val="-6"/>
        </w:rPr>
        <w:t> </w:t>
      </w:r>
      <w:r>
        <w:rPr/>
        <w:t>rasgos</w:t>
      </w:r>
      <w:r>
        <w:rPr>
          <w:spacing w:val="-7"/>
        </w:rPr>
        <w:t> </w:t>
      </w:r>
      <w:r>
        <w:rPr/>
        <w:t>distintivos</w:t>
      </w:r>
      <w:r>
        <w:rPr>
          <w:spacing w:val="-9"/>
        </w:rPr>
        <w:t> </w:t>
      </w:r>
      <w:r>
        <w:rPr/>
        <w:t>del</w:t>
      </w:r>
      <w:r>
        <w:rPr>
          <w:spacing w:val="-7"/>
        </w:rPr>
        <w:t> </w:t>
      </w:r>
      <w:r>
        <w:rPr/>
        <w:t>grupo</w:t>
      </w:r>
      <w:r>
        <w:rPr>
          <w:spacing w:val="-6"/>
        </w:rPr>
        <w:t> </w:t>
      </w:r>
      <w:r>
        <w:rPr/>
        <w:t>que los</w:t>
      </w:r>
      <w:r>
        <w:rPr>
          <w:spacing w:val="-7"/>
        </w:rPr>
        <w:t> </w:t>
      </w:r>
      <w:r>
        <w:rPr/>
        <w:t>usa</w:t>
      </w:r>
      <w:r>
        <w:rPr>
          <w:spacing w:val="-8"/>
        </w:rPr>
        <w:t> </w:t>
      </w:r>
      <w:r>
        <w:rPr/>
        <w:t>haciéndolos</w:t>
      </w:r>
      <w:r>
        <w:rPr>
          <w:spacing w:val="-8"/>
        </w:rPr>
        <w:t> </w:t>
      </w:r>
      <w:r>
        <w:rPr/>
        <w:t>diferentes</w:t>
      </w:r>
      <w:r>
        <w:rPr>
          <w:spacing w:val="-9"/>
        </w:rPr>
        <w:t> </w:t>
      </w:r>
      <w:r>
        <w:rPr/>
        <w:t>y</w:t>
      </w:r>
      <w:r>
        <w:rPr>
          <w:spacing w:val="-9"/>
        </w:rPr>
        <w:t> </w:t>
      </w:r>
      <w:r>
        <w:rPr/>
        <w:t>reconocibles.</w:t>
      </w:r>
      <w:r>
        <w:rPr>
          <w:spacing w:val="-7"/>
        </w:rPr>
        <w:t> </w:t>
      </w:r>
      <w:r>
        <w:rPr/>
        <w:t>Pero</w:t>
      </w:r>
      <w:r>
        <w:rPr>
          <w:spacing w:val="-9"/>
        </w:rPr>
        <w:t> </w:t>
      </w:r>
      <w:r>
        <w:rPr/>
        <w:t>por</w:t>
      </w:r>
      <w:r>
        <w:rPr>
          <w:spacing w:val="-10"/>
        </w:rPr>
        <w:t> </w:t>
      </w:r>
      <w:r>
        <w:rPr/>
        <w:t>otro</w:t>
      </w:r>
      <w:r>
        <w:rPr>
          <w:spacing w:val="-8"/>
        </w:rPr>
        <w:t> </w:t>
      </w:r>
      <w:r>
        <w:rPr/>
        <w:t>lado,</w:t>
      </w:r>
      <w:r>
        <w:rPr>
          <w:spacing w:val="-7"/>
        </w:rPr>
        <w:t> </w:t>
      </w:r>
      <w:r>
        <w:rPr/>
        <w:t>se</w:t>
      </w:r>
      <w:r>
        <w:rPr>
          <w:spacing w:val="-5"/>
        </w:rPr>
        <w:t> </w:t>
      </w:r>
      <w:r>
        <w:rPr/>
        <w:t>puede</w:t>
      </w:r>
      <w:r>
        <w:rPr>
          <w:spacing w:val="-8"/>
        </w:rPr>
        <w:t> </w:t>
      </w:r>
      <w:r>
        <w:rPr/>
        <w:t>observar</w:t>
      </w:r>
      <w:r>
        <w:rPr>
          <w:spacing w:val="-7"/>
        </w:rPr>
        <w:t> </w:t>
      </w:r>
      <w:r>
        <w:rPr/>
        <w:t>que con frecuencia los estereotipos son estigmatizados, entendiendo por estigmatizado aquello que otorga una categorización que en ocasiones puede ser muy dura para la gente que lo usa; y la cual puede ser aceptada, por elección, con sus pros y contras (Wardhaugh</w:t>
      </w:r>
      <w:r>
        <w:rPr>
          <w:spacing w:val="-7"/>
        </w:rPr>
        <w:t> </w:t>
      </w:r>
      <w:r>
        <w:rPr/>
        <w:t>1998).</w:t>
      </w:r>
      <w:r>
        <w:rPr>
          <w:spacing w:val="-8"/>
        </w:rPr>
        <w:t> </w:t>
      </w:r>
      <w:r>
        <w:rPr/>
        <w:t>Por</w:t>
      </w:r>
      <w:r>
        <w:rPr>
          <w:spacing w:val="-8"/>
        </w:rPr>
        <w:t> </w:t>
      </w:r>
      <w:r>
        <w:rPr/>
        <w:t>ejemplo,</w:t>
      </w:r>
      <w:r>
        <w:rPr>
          <w:spacing w:val="-7"/>
        </w:rPr>
        <w:t> </w:t>
      </w:r>
      <w:r>
        <w:rPr/>
        <w:t>un</w:t>
      </w:r>
      <w:r>
        <w:rPr>
          <w:spacing w:val="-7"/>
        </w:rPr>
        <w:t> </w:t>
      </w:r>
      <w:r>
        <w:rPr/>
        <w:t>hablante</w:t>
      </w:r>
      <w:r>
        <w:rPr>
          <w:spacing w:val="-6"/>
        </w:rPr>
        <w:t> </w:t>
      </w:r>
      <w:r>
        <w:rPr/>
        <w:t>de</w:t>
      </w:r>
      <w:r>
        <w:rPr>
          <w:spacing w:val="-7"/>
        </w:rPr>
        <w:t> </w:t>
      </w:r>
      <w:r>
        <w:rPr/>
        <w:t>otomí</w:t>
      </w:r>
      <w:r>
        <w:rPr>
          <w:spacing w:val="-9"/>
        </w:rPr>
        <w:t> </w:t>
      </w:r>
      <w:r>
        <w:rPr/>
        <w:t>y</w:t>
      </w:r>
      <w:r>
        <w:rPr>
          <w:spacing w:val="-10"/>
        </w:rPr>
        <w:t> </w:t>
      </w:r>
      <w:r>
        <w:rPr/>
        <w:t>español</w:t>
      </w:r>
      <w:r>
        <w:rPr>
          <w:spacing w:val="-6"/>
        </w:rPr>
        <w:t> </w:t>
      </w:r>
      <w:r>
        <w:rPr/>
        <w:t>es</w:t>
      </w:r>
      <w:r>
        <w:rPr>
          <w:spacing w:val="-10"/>
        </w:rPr>
        <w:t> </w:t>
      </w:r>
      <w:r>
        <w:rPr/>
        <w:t>estereotipado</w:t>
      </w:r>
      <w:r>
        <w:rPr>
          <w:spacing w:val="-7"/>
        </w:rPr>
        <w:t> </w:t>
      </w:r>
      <w:r>
        <w:rPr/>
        <w:t>según la comunidad hablante de español de la ciudad de Toluca, Estado de México como alguien</w:t>
      </w:r>
      <w:r>
        <w:rPr>
          <w:spacing w:val="-4"/>
        </w:rPr>
        <w:t> </w:t>
      </w:r>
      <w:r>
        <w:rPr/>
        <w:t>que</w:t>
      </w:r>
      <w:r>
        <w:rPr>
          <w:spacing w:val="-5"/>
        </w:rPr>
        <w:t> </w:t>
      </w:r>
      <w:r>
        <w:rPr/>
        <w:t>difícilmente</w:t>
      </w:r>
      <w:r>
        <w:rPr>
          <w:spacing w:val="-5"/>
        </w:rPr>
        <w:t> </w:t>
      </w:r>
      <w:r>
        <w:rPr/>
        <w:t>logra</w:t>
      </w:r>
      <w:r>
        <w:rPr>
          <w:spacing w:val="-5"/>
        </w:rPr>
        <w:t> </w:t>
      </w:r>
      <w:r>
        <w:rPr/>
        <w:t>éxito</w:t>
      </w:r>
      <w:r>
        <w:rPr>
          <w:spacing w:val="-5"/>
        </w:rPr>
        <w:t> </w:t>
      </w:r>
      <w:r>
        <w:rPr/>
        <w:t>profesional</w:t>
      </w:r>
      <w:r>
        <w:rPr>
          <w:spacing w:val="-6"/>
        </w:rPr>
        <w:t> </w:t>
      </w:r>
      <w:r>
        <w:rPr/>
        <w:t>y</w:t>
      </w:r>
      <w:r>
        <w:rPr>
          <w:spacing w:val="-8"/>
        </w:rPr>
        <w:t> </w:t>
      </w:r>
      <w:r>
        <w:rPr/>
        <w:t>personal,</w:t>
      </w:r>
      <w:r>
        <w:rPr>
          <w:spacing w:val="-5"/>
        </w:rPr>
        <w:t> </w:t>
      </w:r>
      <w:r>
        <w:rPr/>
        <w:t>lo</w:t>
      </w:r>
      <w:r>
        <w:rPr>
          <w:spacing w:val="-7"/>
        </w:rPr>
        <w:t> </w:t>
      </w:r>
      <w:r>
        <w:rPr/>
        <w:t>contrario</w:t>
      </w:r>
      <w:r>
        <w:rPr>
          <w:spacing w:val="-5"/>
        </w:rPr>
        <w:t> </w:t>
      </w:r>
      <w:r>
        <w:rPr/>
        <w:t>de</w:t>
      </w:r>
      <w:r>
        <w:rPr>
          <w:spacing w:val="-5"/>
        </w:rPr>
        <w:t> </w:t>
      </w:r>
      <w:r>
        <w:rPr/>
        <w:t>aquel</w:t>
      </w:r>
      <w:r>
        <w:rPr>
          <w:spacing w:val="-6"/>
        </w:rPr>
        <w:t> </w:t>
      </w:r>
      <w:r>
        <w:rPr/>
        <w:t>individuo que habla inglés y español (Zariñana, 2010;</w:t>
      </w:r>
      <w:r>
        <w:rPr>
          <w:spacing w:val="-20"/>
        </w:rPr>
        <w:t> </w:t>
      </w:r>
      <w:r>
        <w:rPr/>
        <w:t>65-68)</w:t>
      </w:r>
    </w:p>
    <w:p>
      <w:pPr>
        <w:pStyle w:val="BodyText"/>
        <w:spacing w:line="360" w:lineRule="auto" w:before="205"/>
        <w:ind w:left="122" w:right="109" w:firstLine="707"/>
        <w:jc w:val="both"/>
      </w:pPr>
      <w:r>
        <w:rPr/>
        <w:t>En Chambers J.K. y Peter Trudgill (1998) se menciona que la comunidad debe tener conciencia de las variables que utiliza y por consecuencia del estereotipo al que</w:t>
      </w:r>
    </w:p>
    <w:p>
      <w:pPr>
        <w:pStyle w:val="BodyText"/>
        <w:rPr>
          <w:sz w:val="20"/>
        </w:rPr>
      </w:pPr>
    </w:p>
    <w:p>
      <w:pPr>
        <w:pStyle w:val="BodyText"/>
        <w:spacing w:before="1"/>
        <w:rPr>
          <w:sz w:val="23"/>
        </w:rPr>
      </w:pPr>
      <w:r>
        <w:rPr/>
        <w:pict>
          <v:line style="position:absolute;mso-position-horizontal-relative:page;mso-position-vertical-relative:paragraph;z-index:1096;mso-wrap-distance-left:0;mso-wrap-distance-right:0" from="85.103996pt,15.614863pt" to="229.123996pt,15.614863pt" stroked="true" strokeweight=".72003pt" strokecolor="#000000">
            <w10:wrap type="topAndBottom"/>
          </v:line>
        </w:pict>
      </w:r>
    </w:p>
    <w:p>
      <w:pPr>
        <w:spacing w:before="69"/>
        <w:ind w:left="122" w:right="0" w:firstLine="0"/>
        <w:jc w:val="left"/>
        <w:rPr>
          <w:rFonts w:ascii="Calibri" w:hAnsi="Calibri"/>
          <w:sz w:val="20"/>
        </w:rPr>
      </w:pPr>
      <w:r>
        <w:rPr>
          <w:rFonts w:ascii="Calibri" w:hAnsi="Calibri"/>
          <w:position w:val="7"/>
          <w:sz w:val="13"/>
        </w:rPr>
        <w:t>2 </w:t>
      </w:r>
      <w:r>
        <w:rPr>
          <w:rFonts w:ascii="Calibri" w:hAnsi="Calibri"/>
          <w:sz w:val="20"/>
        </w:rPr>
        <w:t>Traducción propia</w:t>
      </w:r>
    </w:p>
    <w:p>
      <w:pPr>
        <w:spacing w:after="0"/>
        <w:jc w:val="left"/>
        <w:rPr>
          <w:rFonts w:ascii="Calibri" w:hAnsi="Calibri"/>
          <w:sz w:val="20"/>
        </w:rPr>
        <w:sectPr>
          <w:pgSz w:w="12240" w:h="15840"/>
          <w:pgMar w:header="749" w:footer="1003" w:top="960" w:bottom="1200" w:left="1580" w:right="1020"/>
        </w:sectPr>
      </w:pPr>
    </w:p>
    <w:p>
      <w:pPr>
        <w:pStyle w:val="BodyText"/>
        <w:rPr>
          <w:rFonts w:ascii="Calibri"/>
          <w:sz w:val="20"/>
        </w:rPr>
      </w:pPr>
    </w:p>
    <w:p>
      <w:pPr>
        <w:pStyle w:val="BodyText"/>
        <w:rPr>
          <w:rFonts w:ascii="Calibri"/>
          <w:sz w:val="20"/>
        </w:rPr>
      </w:pPr>
    </w:p>
    <w:p>
      <w:pPr>
        <w:pStyle w:val="BodyText"/>
        <w:spacing w:before="10"/>
        <w:rPr>
          <w:rFonts w:ascii="Calibri"/>
          <w:sz w:val="19"/>
        </w:rPr>
      </w:pPr>
    </w:p>
    <w:p>
      <w:pPr>
        <w:pStyle w:val="BodyText"/>
        <w:spacing w:line="360" w:lineRule="auto"/>
        <w:ind w:left="102" w:right="108"/>
        <w:jc w:val="both"/>
      </w:pPr>
      <w:r>
        <w:rPr/>
        <w:t>puede</w:t>
      </w:r>
      <w:r>
        <w:rPr>
          <w:spacing w:val="-7"/>
        </w:rPr>
        <w:t> </w:t>
      </w:r>
      <w:r>
        <w:rPr/>
        <w:t>ser</w:t>
      </w:r>
      <w:r>
        <w:rPr>
          <w:spacing w:val="-8"/>
        </w:rPr>
        <w:t> </w:t>
      </w:r>
      <w:r>
        <w:rPr/>
        <w:t>incluido.</w:t>
      </w:r>
      <w:r>
        <w:rPr>
          <w:spacing w:val="-12"/>
        </w:rPr>
        <w:t> </w:t>
      </w:r>
      <w:r>
        <w:rPr/>
        <w:t>También</w:t>
      </w:r>
      <w:r>
        <w:rPr>
          <w:spacing w:val="-9"/>
        </w:rPr>
        <w:t> </w:t>
      </w:r>
      <w:r>
        <w:rPr/>
        <w:t>mencionan</w:t>
      </w:r>
      <w:r>
        <w:rPr>
          <w:spacing w:val="-9"/>
        </w:rPr>
        <w:t> </w:t>
      </w:r>
      <w:r>
        <w:rPr/>
        <w:t>que</w:t>
      </w:r>
      <w:r>
        <w:rPr>
          <w:spacing w:val="-9"/>
        </w:rPr>
        <w:t> </w:t>
      </w:r>
      <w:r>
        <w:rPr/>
        <w:t>la</w:t>
      </w:r>
      <w:r>
        <w:rPr>
          <w:spacing w:val="-7"/>
        </w:rPr>
        <w:t> </w:t>
      </w:r>
      <w:r>
        <w:rPr/>
        <w:t>conciencia</w:t>
      </w:r>
      <w:r>
        <w:rPr>
          <w:spacing w:val="-10"/>
        </w:rPr>
        <w:t> </w:t>
      </w:r>
      <w:r>
        <w:rPr/>
        <w:t>del</w:t>
      </w:r>
      <w:r>
        <w:rPr>
          <w:spacing w:val="-8"/>
        </w:rPr>
        <w:t> </w:t>
      </w:r>
      <w:r>
        <w:rPr/>
        <w:t>hablante</w:t>
      </w:r>
      <w:r>
        <w:rPr>
          <w:spacing w:val="-9"/>
        </w:rPr>
        <w:t> </w:t>
      </w:r>
      <w:r>
        <w:rPr/>
        <w:t>hacia</w:t>
      </w:r>
      <w:r>
        <w:rPr>
          <w:spacing w:val="-10"/>
        </w:rPr>
        <w:t> </w:t>
      </w:r>
      <w:r>
        <w:rPr/>
        <w:t>la</w:t>
      </w:r>
      <w:r>
        <w:rPr>
          <w:spacing w:val="-10"/>
        </w:rPr>
        <w:t> </w:t>
      </w:r>
      <w:r>
        <w:rPr/>
        <w:t>variación lingüística</w:t>
      </w:r>
      <w:r>
        <w:rPr>
          <w:spacing w:val="-6"/>
        </w:rPr>
        <w:t> </w:t>
      </w:r>
      <w:r>
        <w:rPr/>
        <w:t>es</w:t>
      </w:r>
      <w:r>
        <w:rPr>
          <w:spacing w:val="-7"/>
        </w:rPr>
        <w:t> </w:t>
      </w:r>
      <w:r>
        <w:rPr/>
        <w:t>una</w:t>
      </w:r>
      <w:r>
        <w:rPr>
          <w:spacing w:val="-6"/>
        </w:rPr>
        <w:t> </w:t>
      </w:r>
      <w:r>
        <w:rPr/>
        <w:t>característica</w:t>
      </w:r>
      <w:r>
        <w:rPr>
          <w:spacing w:val="-6"/>
        </w:rPr>
        <w:t> </w:t>
      </w:r>
      <w:r>
        <w:rPr/>
        <w:t>graduable</w:t>
      </w:r>
      <w:r>
        <w:rPr>
          <w:spacing w:val="-6"/>
        </w:rPr>
        <w:t> </w:t>
      </w:r>
      <w:r>
        <w:rPr/>
        <w:t>y</w:t>
      </w:r>
      <w:r>
        <w:rPr>
          <w:spacing w:val="-7"/>
        </w:rPr>
        <w:t> </w:t>
      </w:r>
      <w:r>
        <w:rPr/>
        <w:t>puede</w:t>
      </w:r>
      <w:r>
        <w:rPr>
          <w:spacing w:val="-6"/>
        </w:rPr>
        <w:t> </w:t>
      </w:r>
      <w:r>
        <w:rPr/>
        <w:t>cambiar</w:t>
      </w:r>
      <w:r>
        <w:rPr>
          <w:spacing w:val="-7"/>
        </w:rPr>
        <w:t> </w:t>
      </w:r>
      <w:r>
        <w:rPr/>
        <w:t>de</w:t>
      </w:r>
      <w:r>
        <w:rPr>
          <w:spacing w:val="-6"/>
        </w:rPr>
        <w:t> </w:t>
      </w:r>
      <w:r>
        <w:rPr/>
        <w:t>más</w:t>
      </w:r>
      <w:r>
        <w:rPr>
          <w:spacing w:val="-9"/>
        </w:rPr>
        <w:t> </w:t>
      </w:r>
      <w:r>
        <w:rPr/>
        <w:t>a</w:t>
      </w:r>
      <w:r>
        <w:rPr>
          <w:spacing w:val="-6"/>
        </w:rPr>
        <w:t> </w:t>
      </w:r>
      <w:r>
        <w:rPr/>
        <w:t>menos</w:t>
      </w:r>
      <w:r>
        <w:rPr>
          <w:spacing w:val="-7"/>
        </w:rPr>
        <w:t> </w:t>
      </w:r>
      <w:r>
        <w:rPr/>
        <w:t>con</w:t>
      </w:r>
      <w:r>
        <w:rPr>
          <w:spacing w:val="-8"/>
        </w:rPr>
        <w:t> </w:t>
      </w:r>
      <w:r>
        <w:rPr/>
        <w:t>el</w:t>
      </w:r>
      <w:r>
        <w:rPr>
          <w:spacing w:val="-7"/>
        </w:rPr>
        <w:t> </w:t>
      </w:r>
      <w:r>
        <w:rPr/>
        <w:t>paso del tiempo, provocando que la variable pase de una categoría de indicador a marcador</w:t>
      </w:r>
      <w:r>
        <w:rPr>
          <w:spacing w:val="-41"/>
        </w:rPr>
        <w:t> </w:t>
      </w:r>
      <w:r>
        <w:rPr/>
        <w:t>y viceversa. Un “indicador” para Wardhaugh (1998) es la variable lingüística con poca o nula importación social; y a diferencia del indicador, el “marcador” posee una carga de significado</w:t>
      </w:r>
      <w:r>
        <w:rPr>
          <w:spacing w:val="-1"/>
        </w:rPr>
        <w:t> </w:t>
      </w:r>
      <w:r>
        <w:rPr/>
        <w:t>social.</w:t>
      </w:r>
    </w:p>
    <w:p>
      <w:pPr>
        <w:pStyle w:val="BodyText"/>
        <w:spacing w:line="360" w:lineRule="auto" w:before="204"/>
        <w:ind w:left="102" w:right="110" w:firstLine="707"/>
        <w:jc w:val="both"/>
      </w:pPr>
      <w:r>
        <w:rPr/>
        <w:t>Otro</w:t>
      </w:r>
      <w:r>
        <w:rPr>
          <w:spacing w:val="-9"/>
        </w:rPr>
        <w:t> </w:t>
      </w:r>
      <w:r>
        <w:rPr/>
        <w:t>problema</w:t>
      </w:r>
      <w:r>
        <w:rPr>
          <w:spacing w:val="-8"/>
        </w:rPr>
        <w:t> </w:t>
      </w:r>
      <w:r>
        <w:rPr/>
        <w:t>con</w:t>
      </w:r>
      <w:r>
        <w:rPr>
          <w:spacing w:val="-8"/>
        </w:rPr>
        <w:t> </w:t>
      </w:r>
      <w:r>
        <w:rPr/>
        <w:t>respecto</w:t>
      </w:r>
      <w:r>
        <w:rPr>
          <w:spacing w:val="-10"/>
        </w:rPr>
        <w:t> </w:t>
      </w:r>
      <w:r>
        <w:rPr/>
        <w:t>a</w:t>
      </w:r>
      <w:r>
        <w:rPr>
          <w:spacing w:val="-8"/>
        </w:rPr>
        <w:t> </w:t>
      </w:r>
      <w:r>
        <w:rPr/>
        <w:t>los</w:t>
      </w:r>
      <w:r>
        <w:rPr>
          <w:spacing w:val="-9"/>
        </w:rPr>
        <w:t> </w:t>
      </w:r>
      <w:r>
        <w:rPr/>
        <w:t>estereotipos</w:t>
      </w:r>
      <w:r>
        <w:rPr>
          <w:spacing w:val="-9"/>
        </w:rPr>
        <w:t> </w:t>
      </w:r>
      <w:r>
        <w:rPr/>
        <w:t>resulta</w:t>
      </w:r>
      <w:r>
        <w:rPr>
          <w:spacing w:val="-8"/>
        </w:rPr>
        <w:t> </w:t>
      </w:r>
      <w:r>
        <w:rPr/>
        <w:t>cuando</w:t>
      </w:r>
      <w:r>
        <w:rPr>
          <w:spacing w:val="-8"/>
        </w:rPr>
        <w:t> </w:t>
      </w:r>
      <w:r>
        <w:rPr/>
        <w:t>se</w:t>
      </w:r>
      <w:r>
        <w:rPr>
          <w:spacing w:val="-8"/>
        </w:rPr>
        <w:t> </w:t>
      </w:r>
      <w:r>
        <w:rPr/>
        <w:t>quiere</w:t>
      </w:r>
      <w:r>
        <w:rPr>
          <w:spacing w:val="-9"/>
        </w:rPr>
        <w:t> </w:t>
      </w:r>
      <w:r>
        <w:rPr/>
        <w:t>confrontar la identidad nacional, étnica y racial impuesta. Kramsch (2000)</w:t>
      </w:r>
      <w:r>
        <w:rPr>
          <w:spacing w:val="-18"/>
        </w:rPr>
        <w:t> </w:t>
      </w:r>
      <w:r>
        <w:rPr/>
        <w:t>menciona:</w:t>
      </w:r>
    </w:p>
    <w:p>
      <w:pPr>
        <w:spacing w:line="362" w:lineRule="auto" w:before="202"/>
        <w:ind w:left="810" w:right="339" w:firstLine="0"/>
        <w:jc w:val="left"/>
        <w:rPr>
          <w:sz w:val="22"/>
        </w:rPr>
      </w:pPr>
      <w:r>
        <w:rPr>
          <w:sz w:val="24"/>
        </w:rPr>
        <w:t>[…] </w:t>
      </w:r>
      <w:r>
        <w:rPr>
          <w:i/>
          <w:sz w:val="24"/>
        </w:rPr>
        <w:t>what we perceive about a </w:t>
      </w:r>
      <w:r>
        <w:rPr>
          <w:i/>
          <w:sz w:val="22"/>
        </w:rPr>
        <w:t>person, culture and language is what we have been </w:t>
      </w:r>
      <w:r>
        <w:rPr>
          <w:i/>
          <w:sz w:val="22"/>
        </w:rPr>
        <w:t>conditioned by our own culture to see, and the stereotypical model already built around our own </w:t>
      </w:r>
      <w:r>
        <w:rPr>
          <w:sz w:val="22"/>
        </w:rPr>
        <w:t>(2000; 67).</w:t>
      </w:r>
    </w:p>
    <w:p>
      <w:pPr>
        <w:pStyle w:val="BodyText"/>
        <w:spacing w:line="360" w:lineRule="auto" w:before="1"/>
        <w:ind w:left="102" w:right="111" w:firstLine="707"/>
        <w:jc w:val="both"/>
      </w:pPr>
      <w:r>
        <w:rPr/>
        <w:t>Finalmente, dos opiniones diferentes se contraponen, Hayakawa (1950 en Coupland N. y A. Jaworski, 1997) afirma que para algunas personas los estereotipos no tienen sentido común. Mientras que para Zawadsk (1948 en Coupland N. y A. Jaworski, 1997) tienen algo de verdad y además crean una reputación que es aceptada convencionalmente.</w:t>
      </w:r>
    </w:p>
    <w:p>
      <w:pPr>
        <w:pStyle w:val="BodyText"/>
        <w:spacing w:line="360" w:lineRule="auto" w:before="204"/>
        <w:ind w:left="102" w:right="111" w:firstLine="707"/>
        <w:jc w:val="both"/>
      </w:pPr>
      <w:r>
        <w:rPr/>
        <w:t>Como conclusión, sólo se dirá que un estereotipo es la diferencia el mundo real y tangible</w:t>
      </w:r>
      <w:r>
        <w:rPr>
          <w:spacing w:val="-16"/>
        </w:rPr>
        <w:t> </w:t>
      </w:r>
      <w:r>
        <w:rPr/>
        <w:t>y</w:t>
      </w:r>
      <w:r>
        <w:rPr>
          <w:spacing w:val="-19"/>
        </w:rPr>
        <w:t> </w:t>
      </w:r>
      <w:r>
        <w:rPr/>
        <w:t>las</w:t>
      </w:r>
      <w:r>
        <w:rPr>
          <w:spacing w:val="-16"/>
        </w:rPr>
        <w:t> </w:t>
      </w:r>
      <w:r>
        <w:rPr/>
        <w:t>realidades</w:t>
      </w:r>
      <w:r>
        <w:rPr>
          <w:spacing w:val="-16"/>
        </w:rPr>
        <w:t> </w:t>
      </w:r>
      <w:r>
        <w:rPr/>
        <w:t>e</w:t>
      </w:r>
      <w:r>
        <w:rPr>
          <w:spacing w:val="-16"/>
        </w:rPr>
        <w:t> </w:t>
      </w:r>
      <w:r>
        <w:rPr/>
        <w:t>imágenes</w:t>
      </w:r>
      <w:r>
        <w:rPr>
          <w:spacing w:val="-19"/>
        </w:rPr>
        <w:t> </w:t>
      </w:r>
      <w:r>
        <w:rPr/>
        <w:t>mentales</w:t>
      </w:r>
      <w:r>
        <w:rPr>
          <w:spacing w:val="-19"/>
        </w:rPr>
        <w:t> </w:t>
      </w:r>
      <w:r>
        <w:rPr/>
        <w:t>que</w:t>
      </w:r>
      <w:r>
        <w:rPr>
          <w:spacing w:val="-16"/>
        </w:rPr>
        <w:t> </w:t>
      </w:r>
      <w:r>
        <w:rPr/>
        <w:t>tenemos</w:t>
      </w:r>
      <w:r>
        <w:rPr>
          <w:spacing w:val="-19"/>
        </w:rPr>
        <w:t> </w:t>
      </w:r>
      <w:r>
        <w:rPr/>
        <w:t>de</w:t>
      </w:r>
      <w:r>
        <w:rPr>
          <w:spacing w:val="-16"/>
        </w:rPr>
        <w:t> </w:t>
      </w:r>
      <w:r>
        <w:rPr/>
        <w:t>ciertos</w:t>
      </w:r>
      <w:r>
        <w:rPr>
          <w:spacing w:val="-16"/>
        </w:rPr>
        <w:t> </w:t>
      </w:r>
      <w:r>
        <w:rPr/>
        <w:t>objetos,</w:t>
      </w:r>
      <w:r>
        <w:rPr>
          <w:spacing w:val="-18"/>
        </w:rPr>
        <w:t> </w:t>
      </w:r>
      <w:r>
        <w:rPr/>
        <w:t>personas., situaciones y conductas (Lippman, 1922 en Coupland N. y A. Jaworski,</w:t>
      </w:r>
      <w:r>
        <w:rPr>
          <w:spacing w:val="-30"/>
        </w:rPr>
        <w:t> </w:t>
      </w:r>
      <w:r>
        <w:rPr/>
        <w:t>1997).</w:t>
      </w:r>
    </w:p>
    <w:p>
      <w:pPr>
        <w:pStyle w:val="BodyText"/>
        <w:spacing w:line="360" w:lineRule="auto" w:before="204"/>
        <w:ind w:left="102" w:right="109" w:firstLine="707"/>
        <w:jc w:val="both"/>
      </w:pPr>
      <w:r>
        <w:rPr/>
        <w:t>La formación de estereotipos lleva a los individuos de cierta comunidad a calificar mediante</w:t>
      </w:r>
      <w:r>
        <w:rPr>
          <w:spacing w:val="-8"/>
        </w:rPr>
        <w:t> </w:t>
      </w:r>
      <w:r>
        <w:rPr/>
        <w:t>actitudes</w:t>
      </w:r>
      <w:r>
        <w:rPr>
          <w:spacing w:val="-9"/>
        </w:rPr>
        <w:t> </w:t>
      </w:r>
      <w:r>
        <w:rPr/>
        <w:t>lo</w:t>
      </w:r>
      <w:r>
        <w:rPr>
          <w:spacing w:val="-9"/>
        </w:rPr>
        <w:t> </w:t>
      </w:r>
      <w:r>
        <w:rPr/>
        <w:t>que</w:t>
      </w:r>
      <w:r>
        <w:rPr>
          <w:spacing w:val="-8"/>
        </w:rPr>
        <w:t> </w:t>
      </w:r>
      <w:r>
        <w:rPr/>
        <w:t>parece</w:t>
      </w:r>
      <w:r>
        <w:rPr>
          <w:spacing w:val="-8"/>
        </w:rPr>
        <w:t> </w:t>
      </w:r>
      <w:r>
        <w:rPr/>
        <w:t>más</w:t>
      </w:r>
      <w:r>
        <w:rPr>
          <w:spacing w:val="-9"/>
        </w:rPr>
        <w:t> </w:t>
      </w:r>
      <w:r>
        <w:rPr/>
        <w:t>aceptable,</w:t>
      </w:r>
      <w:r>
        <w:rPr>
          <w:spacing w:val="-8"/>
        </w:rPr>
        <w:t> </w:t>
      </w:r>
      <w:r>
        <w:rPr/>
        <w:t>y</w:t>
      </w:r>
      <w:r>
        <w:rPr>
          <w:spacing w:val="-6"/>
        </w:rPr>
        <w:t> </w:t>
      </w:r>
      <w:r>
        <w:rPr/>
        <w:t>así,</w:t>
      </w:r>
      <w:r>
        <w:rPr>
          <w:spacing w:val="-9"/>
        </w:rPr>
        <w:t> </w:t>
      </w:r>
      <w:r>
        <w:rPr/>
        <w:t>tener</w:t>
      </w:r>
      <w:r>
        <w:rPr>
          <w:spacing w:val="-10"/>
        </w:rPr>
        <w:t> </w:t>
      </w:r>
      <w:r>
        <w:rPr/>
        <w:t>prejuicios</w:t>
      </w:r>
      <w:r>
        <w:rPr>
          <w:spacing w:val="-9"/>
        </w:rPr>
        <w:t> </w:t>
      </w:r>
      <w:r>
        <w:rPr/>
        <w:t>(buenos</w:t>
      </w:r>
      <w:r>
        <w:rPr>
          <w:spacing w:val="-9"/>
        </w:rPr>
        <w:t> </w:t>
      </w:r>
      <w:r>
        <w:rPr/>
        <w:t>o</w:t>
      </w:r>
      <w:r>
        <w:rPr>
          <w:spacing w:val="-8"/>
        </w:rPr>
        <w:t> </w:t>
      </w:r>
      <w:r>
        <w:rPr/>
        <w:t>malos) ante</w:t>
      </w:r>
      <w:r>
        <w:rPr>
          <w:spacing w:val="-8"/>
        </w:rPr>
        <w:t> </w:t>
      </w:r>
      <w:r>
        <w:rPr/>
        <w:t>variables</w:t>
      </w:r>
      <w:r>
        <w:rPr>
          <w:spacing w:val="-6"/>
        </w:rPr>
        <w:t> </w:t>
      </w:r>
      <w:r>
        <w:rPr/>
        <w:t>de</w:t>
      </w:r>
      <w:r>
        <w:rPr>
          <w:spacing w:val="-8"/>
        </w:rPr>
        <w:t> </w:t>
      </w:r>
      <w:r>
        <w:rPr/>
        <w:t>la</w:t>
      </w:r>
      <w:r>
        <w:rPr>
          <w:spacing w:val="-6"/>
        </w:rPr>
        <w:t> </w:t>
      </w:r>
      <w:r>
        <w:rPr/>
        <w:t>lengua</w:t>
      </w:r>
      <w:r>
        <w:rPr>
          <w:spacing w:val="-6"/>
        </w:rPr>
        <w:t> </w:t>
      </w:r>
      <w:r>
        <w:rPr/>
        <w:t>y</w:t>
      </w:r>
      <w:r>
        <w:rPr>
          <w:spacing w:val="-9"/>
        </w:rPr>
        <w:t> </w:t>
      </w:r>
      <w:r>
        <w:rPr/>
        <w:t>ante</w:t>
      </w:r>
      <w:r>
        <w:rPr>
          <w:spacing w:val="-8"/>
        </w:rPr>
        <w:t> </w:t>
      </w:r>
      <w:r>
        <w:rPr/>
        <w:t>aquellos</w:t>
      </w:r>
      <w:r>
        <w:rPr>
          <w:spacing w:val="-7"/>
        </w:rPr>
        <w:t> </w:t>
      </w:r>
      <w:r>
        <w:rPr/>
        <w:t>que</w:t>
      </w:r>
      <w:r>
        <w:rPr>
          <w:spacing w:val="-6"/>
        </w:rPr>
        <w:t> </w:t>
      </w:r>
      <w:r>
        <w:rPr/>
        <w:t>las</w:t>
      </w:r>
      <w:r>
        <w:rPr>
          <w:spacing w:val="-6"/>
        </w:rPr>
        <w:t> </w:t>
      </w:r>
      <w:r>
        <w:rPr/>
        <w:t>usan.</w:t>
      </w:r>
      <w:r>
        <w:rPr>
          <w:spacing w:val="-3"/>
        </w:rPr>
        <w:t> </w:t>
      </w:r>
      <w:r>
        <w:rPr/>
        <w:t>De</w:t>
      </w:r>
      <w:r>
        <w:rPr>
          <w:spacing w:val="-6"/>
        </w:rPr>
        <w:t> </w:t>
      </w:r>
      <w:r>
        <w:rPr/>
        <w:t>allí</w:t>
      </w:r>
      <w:r>
        <w:rPr>
          <w:spacing w:val="-9"/>
        </w:rPr>
        <w:t> </w:t>
      </w:r>
      <w:r>
        <w:rPr/>
        <w:t>que</w:t>
      </w:r>
      <w:r>
        <w:rPr>
          <w:spacing w:val="-8"/>
        </w:rPr>
        <w:t> </w:t>
      </w:r>
      <w:r>
        <w:rPr/>
        <w:t>se</w:t>
      </w:r>
      <w:r>
        <w:rPr>
          <w:spacing w:val="-6"/>
        </w:rPr>
        <w:t> </w:t>
      </w:r>
      <w:r>
        <w:rPr/>
        <w:t>crea</w:t>
      </w:r>
      <w:r>
        <w:rPr>
          <w:spacing w:val="-6"/>
        </w:rPr>
        <w:t> </w:t>
      </w:r>
      <w:r>
        <w:rPr/>
        <w:t>que</w:t>
      </w:r>
      <w:r>
        <w:rPr>
          <w:spacing w:val="-8"/>
        </w:rPr>
        <w:t> </w:t>
      </w:r>
      <w:r>
        <w:rPr/>
        <w:t>algunas lenguas sean más fáciles de aprender que otras, de que otras se consideren más románticas o más rudas, o más aún, más eficientes que otras o incluso lógicas, “stereotypes” (Kramsch,</w:t>
      </w:r>
      <w:r>
        <w:rPr>
          <w:spacing w:val="-7"/>
        </w:rPr>
        <w:t> </w:t>
      </w:r>
      <w:r>
        <w:rPr/>
        <w:t>2000:80).</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Heading1"/>
        <w:numPr>
          <w:ilvl w:val="1"/>
          <w:numId w:val="2"/>
        </w:numPr>
        <w:tabs>
          <w:tab w:pos="570" w:val="left" w:leader="none"/>
        </w:tabs>
        <w:spacing w:line="240" w:lineRule="auto" w:before="70" w:after="0"/>
        <w:ind w:left="569" w:right="0" w:hanging="467"/>
        <w:jc w:val="left"/>
      </w:pPr>
      <w:r>
        <w:rPr/>
        <w:t>Prejuicio lingüístico y</w:t>
      </w:r>
      <w:r>
        <w:rPr>
          <w:spacing w:val="-9"/>
        </w:rPr>
        <w:t> </w:t>
      </w:r>
      <w:r>
        <w:rPr/>
        <w:t>social</w:t>
      </w:r>
    </w:p>
    <w:p>
      <w:pPr>
        <w:pStyle w:val="BodyText"/>
        <w:spacing w:before="4"/>
        <w:rPr>
          <w:b/>
          <w:sz w:val="29"/>
        </w:rPr>
      </w:pPr>
    </w:p>
    <w:p>
      <w:pPr>
        <w:pStyle w:val="BodyText"/>
        <w:spacing w:line="360" w:lineRule="auto" w:before="1"/>
        <w:ind w:left="102" w:right="107" w:firstLine="707"/>
        <w:jc w:val="both"/>
      </w:pPr>
      <w:r>
        <w:rPr/>
        <w:t>El prejuicio lingüístico se encuentra íntimamente relacionado con las actitudes lingüísticas, ya que una puede ser consecuencia de la otra o viceversa. Pero ¿qué es el prejuicio</w:t>
      </w:r>
      <w:r>
        <w:rPr>
          <w:spacing w:val="-7"/>
        </w:rPr>
        <w:t> </w:t>
      </w:r>
      <w:r>
        <w:rPr/>
        <w:t>lingüístico?,</w:t>
      </w:r>
      <w:r>
        <w:rPr>
          <w:spacing w:val="-7"/>
        </w:rPr>
        <w:t> </w:t>
      </w:r>
      <w:r>
        <w:rPr/>
        <w:t>en</w:t>
      </w:r>
      <w:r>
        <w:rPr>
          <w:spacing w:val="-7"/>
        </w:rPr>
        <w:t> </w:t>
      </w:r>
      <w:r>
        <w:rPr/>
        <w:t>palabras</w:t>
      </w:r>
      <w:r>
        <w:rPr>
          <w:spacing w:val="-8"/>
        </w:rPr>
        <w:t> </w:t>
      </w:r>
      <w:r>
        <w:rPr/>
        <w:t>de</w:t>
      </w:r>
      <w:r>
        <w:rPr>
          <w:spacing w:val="-7"/>
        </w:rPr>
        <w:t> </w:t>
      </w:r>
      <w:r>
        <w:rPr/>
        <w:t>José</w:t>
      </w:r>
      <w:r>
        <w:rPr>
          <w:spacing w:val="-7"/>
        </w:rPr>
        <w:t> </w:t>
      </w:r>
      <w:r>
        <w:rPr/>
        <w:t>Pascual</w:t>
      </w:r>
      <w:r>
        <w:rPr>
          <w:spacing w:val="-8"/>
        </w:rPr>
        <w:t> </w:t>
      </w:r>
      <w:r>
        <w:rPr/>
        <w:t>(2003)</w:t>
      </w:r>
      <w:r>
        <w:rPr>
          <w:spacing w:val="-8"/>
        </w:rPr>
        <w:t> </w:t>
      </w:r>
      <w:r>
        <w:rPr/>
        <w:t>es</w:t>
      </w:r>
      <w:r>
        <w:rPr>
          <w:spacing w:val="-8"/>
        </w:rPr>
        <w:t> </w:t>
      </w:r>
      <w:r>
        <w:rPr/>
        <w:t>la</w:t>
      </w:r>
      <w:r>
        <w:rPr>
          <w:spacing w:val="-7"/>
        </w:rPr>
        <w:t> </w:t>
      </w:r>
      <w:r>
        <w:rPr/>
        <w:t>sobrevaloración</w:t>
      </w:r>
      <w:r>
        <w:rPr>
          <w:spacing w:val="-7"/>
        </w:rPr>
        <w:t> </w:t>
      </w:r>
      <w:r>
        <w:rPr/>
        <w:t>negativa de</w:t>
      </w:r>
      <w:r>
        <w:rPr>
          <w:spacing w:val="-17"/>
        </w:rPr>
        <w:t> </w:t>
      </w:r>
      <w:r>
        <w:rPr/>
        <w:t>la</w:t>
      </w:r>
      <w:r>
        <w:rPr>
          <w:spacing w:val="-17"/>
        </w:rPr>
        <w:t> </w:t>
      </w:r>
      <w:r>
        <w:rPr/>
        <w:t>lengua</w:t>
      </w:r>
      <w:r>
        <w:rPr>
          <w:spacing w:val="-19"/>
        </w:rPr>
        <w:t> </w:t>
      </w:r>
      <w:r>
        <w:rPr/>
        <w:t>misma</w:t>
      </w:r>
      <w:r>
        <w:rPr>
          <w:spacing w:val="-17"/>
        </w:rPr>
        <w:t> </w:t>
      </w:r>
      <w:r>
        <w:rPr/>
        <w:t>o</w:t>
      </w:r>
      <w:r>
        <w:rPr>
          <w:spacing w:val="-19"/>
        </w:rPr>
        <w:t> </w:t>
      </w:r>
      <w:r>
        <w:rPr/>
        <w:t>de</w:t>
      </w:r>
      <w:r>
        <w:rPr>
          <w:spacing w:val="-17"/>
        </w:rPr>
        <w:t> </w:t>
      </w:r>
      <w:r>
        <w:rPr/>
        <w:t>aspectos</w:t>
      </w:r>
      <w:r>
        <w:rPr>
          <w:spacing w:val="-20"/>
        </w:rPr>
        <w:t> </w:t>
      </w:r>
      <w:r>
        <w:rPr/>
        <w:t>específicos</w:t>
      </w:r>
      <w:r>
        <w:rPr>
          <w:spacing w:val="-19"/>
        </w:rPr>
        <w:t> </w:t>
      </w:r>
      <w:r>
        <w:rPr/>
        <w:t>en</w:t>
      </w:r>
      <w:r>
        <w:rPr>
          <w:spacing w:val="-17"/>
        </w:rPr>
        <w:t> </w:t>
      </w:r>
      <w:r>
        <w:rPr/>
        <w:t>ella,</w:t>
      </w:r>
      <w:r>
        <w:rPr>
          <w:spacing w:val="-17"/>
        </w:rPr>
        <w:t> </w:t>
      </w:r>
      <w:r>
        <w:rPr/>
        <w:t>también</w:t>
      </w:r>
      <w:r>
        <w:rPr>
          <w:spacing w:val="-17"/>
        </w:rPr>
        <w:t> </w:t>
      </w:r>
      <w:r>
        <w:rPr/>
        <w:t>conocida</w:t>
      </w:r>
      <w:r>
        <w:rPr>
          <w:spacing w:val="-17"/>
        </w:rPr>
        <w:t> </w:t>
      </w:r>
      <w:r>
        <w:rPr/>
        <w:t>como</w:t>
      </w:r>
      <w:r>
        <w:rPr>
          <w:spacing w:val="-19"/>
        </w:rPr>
        <w:t> </w:t>
      </w:r>
      <w:r>
        <w:rPr/>
        <w:t>“deslealtad lingüística”</w:t>
      </w:r>
    </w:p>
    <w:p>
      <w:pPr>
        <w:pStyle w:val="BodyText"/>
        <w:spacing w:line="360" w:lineRule="auto" w:before="202"/>
        <w:ind w:left="102" w:right="104" w:firstLine="707"/>
        <w:jc w:val="both"/>
      </w:pPr>
      <w:r>
        <w:rPr/>
        <w:t>Una</w:t>
      </w:r>
      <w:r>
        <w:rPr>
          <w:spacing w:val="-13"/>
        </w:rPr>
        <w:t> </w:t>
      </w:r>
      <w:r>
        <w:rPr/>
        <w:t>de</w:t>
      </w:r>
      <w:r>
        <w:rPr>
          <w:spacing w:val="-13"/>
        </w:rPr>
        <w:t> </w:t>
      </w:r>
      <w:r>
        <w:rPr/>
        <w:t>las</w:t>
      </w:r>
      <w:r>
        <w:rPr>
          <w:spacing w:val="-13"/>
        </w:rPr>
        <w:t> </w:t>
      </w:r>
      <w:r>
        <w:rPr/>
        <w:t>grandes</w:t>
      </w:r>
      <w:r>
        <w:rPr>
          <w:spacing w:val="-14"/>
        </w:rPr>
        <w:t> </w:t>
      </w:r>
      <w:r>
        <w:rPr/>
        <w:t>implicaciones</w:t>
      </w:r>
      <w:r>
        <w:rPr>
          <w:spacing w:val="-16"/>
        </w:rPr>
        <w:t> </w:t>
      </w:r>
      <w:r>
        <w:rPr/>
        <w:t>dentro</w:t>
      </w:r>
      <w:r>
        <w:rPr>
          <w:spacing w:val="-16"/>
        </w:rPr>
        <w:t> </w:t>
      </w:r>
      <w:r>
        <w:rPr/>
        <w:t>del</w:t>
      </w:r>
      <w:r>
        <w:rPr>
          <w:spacing w:val="-17"/>
        </w:rPr>
        <w:t> </w:t>
      </w:r>
      <w:r>
        <w:rPr/>
        <w:t>prejuicio</w:t>
      </w:r>
      <w:r>
        <w:rPr>
          <w:spacing w:val="-13"/>
        </w:rPr>
        <w:t> </w:t>
      </w:r>
      <w:r>
        <w:rPr/>
        <w:t>es</w:t>
      </w:r>
      <w:r>
        <w:rPr>
          <w:spacing w:val="-16"/>
        </w:rPr>
        <w:t> </w:t>
      </w:r>
      <w:r>
        <w:rPr/>
        <w:t>el</w:t>
      </w:r>
      <w:r>
        <w:rPr>
          <w:spacing w:val="-14"/>
        </w:rPr>
        <w:t> </w:t>
      </w:r>
      <w:r>
        <w:rPr/>
        <w:t>“racismo”.</w:t>
      </w:r>
      <w:r>
        <w:rPr>
          <w:spacing w:val="-14"/>
        </w:rPr>
        <w:t> </w:t>
      </w:r>
      <w:r>
        <w:rPr/>
        <w:t>En</w:t>
      </w:r>
      <w:r>
        <w:rPr>
          <w:spacing w:val="-13"/>
        </w:rPr>
        <w:t> </w:t>
      </w:r>
      <w:r>
        <w:rPr/>
        <w:t>Coupland y Jaworski (1997) se hace la contraposición entre “racismo” y “etnicidad” como la contrariedad</w:t>
      </w:r>
      <w:r>
        <w:rPr>
          <w:spacing w:val="-4"/>
        </w:rPr>
        <w:t> </w:t>
      </w:r>
      <w:r>
        <w:rPr/>
        <w:t>de</w:t>
      </w:r>
      <w:r>
        <w:rPr>
          <w:spacing w:val="-4"/>
        </w:rPr>
        <w:t> </w:t>
      </w:r>
      <w:r>
        <w:rPr/>
        <w:t>lo</w:t>
      </w:r>
      <w:r>
        <w:rPr>
          <w:spacing w:val="-4"/>
        </w:rPr>
        <w:t> </w:t>
      </w:r>
      <w:r>
        <w:rPr/>
        <w:t>“bueno”</w:t>
      </w:r>
      <w:r>
        <w:rPr>
          <w:spacing w:val="-5"/>
        </w:rPr>
        <w:t> </w:t>
      </w:r>
      <w:r>
        <w:rPr/>
        <w:t>y</w:t>
      </w:r>
      <w:r>
        <w:rPr>
          <w:spacing w:val="-7"/>
        </w:rPr>
        <w:t> </w:t>
      </w:r>
      <w:r>
        <w:rPr/>
        <w:t>lo</w:t>
      </w:r>
      <w:r>
        <w:rPr>
          <w:spacing w:val="-4"/>
        </w:rPr>
        <w:t> </w:t>
      </w:r>
      <w:r>
        <w:rPr/>
        <w:t>“malo”</w:t>
      </w:r>
      <w:r>
        <w:rPr>
          <w:spacing w:val="-5"/>
        </w:rPr>
        <w:t> </w:t>
      </w:r>
      <w:r>
        <w:rPr/>
        <w:t>.La</w:t>
      </w:r>
      <w:r>
        <w:rPr>
          <w:spacing w:val="-6"/>
        </w:rPr>
        <w:t> </w:t>
      </w:r>
      <w:r>
        <w:rPr/>
        <w:t>etnicidad</w:t>
      </w:r>
      <w:r>
        <w:rPr>
          <w:spacing w:val="-4"/>
        </w:rPr>
        <w:t> </w:t>
      </w:r>
      <w:r>
        <w:rPr/>
        <w:t>es</w:t>
      </w:r>
      <w:r>
        <w:rPr>
          <w:spacing w:val="-4"/>
        </w:rPr>
        <w:t> </w:t>
      </w:r>
      <w:r>
        <w:rPr/>
        <w:t>la</w:t>
      </w:r>
      <w:r>
        <w:rPr>
          <w:spacing w:val="-4"/>
        </w:rPr>
        <w:t> </w:t>
      </w:r>
      <w:r>
        <w:rPr/>
        <w:t>celebración</w:t>
      </w:r>
      <w:r>
        <w:rPr>
          <w:spacing w:val="-3"/>
        </w:rPr>
        <w:t> </w:t>
      </w:r>
      <w:r>
        <w:rPr/>
        <w:t>de</w:t>
      </w:r>
      <w:r>
        <w:rPr>
          <w:spacing w:val="-4"/>
        </w:rPr>
        <w:t> </w:t>
      </w:r>
      <w:r>
        <w:rPr/>
        <w:t>la</w:t>
      </w:r>
      <w:r>
        <w:rPr>
          <w:spacing w:val="5"/>
        </w:rPr>
        <w:t> </w:t>
      </w:r>
      <w:r>
        <w:rPr/>
        <w:t>autenticidad</w:t>
      </w:r>
      <w:r>
        <w:rPr>
          <w:spacing w:val="-4"/>
        </w:rPr>
        <w:t> </w:t>
      </w:r>
      <w:r>
        <w:rPr/>
        <w:t>y su promulgación; el racismo, una conciencia intensificada que requiere la construcción jerárquica de valores o formas estándar dominantes y la creencia de la existencia de razas y gente</w:t>
      </w:r>
      <w:r>
        <w:rPr>
          <w:spacing w:val="-8"/>
        </w:rPr>
        <w:t> </w:t>
      </w:r>
      <w:r>
        <w:rPr/>
        <w:t>superior.</w:t>
      </w:r>
    </w:p>
    <w:p>
      <w:pPr>
        <w:pStyle w:val="BodyText"/>
        <w:spacing w:line="360" w:lineRule="auto" w:before="204"/>
        <w:ind w:left="102" w:right="113" w:firstLine="707"/>
        <w:jc w:val="both"/>
      </w:pPr>
      <w:r>
        <w:rPr/>
        <w:t>Por</w:t>
      </w:r>
      <w:r>
        <w:rPr>
          <w:spacing w:val="-11"/>
        </w:rPr>
        <w:t> </w:t>
      </w:r>
      <w:r>
        <w:rPr/>
        <w:t>lo</w:t>
      </w:r>
      <w:r>
        <w:rPr>
          <w:spacing w:val="-10"/>
        </w:rPr>
        <w:t> </w:t>
      </w:r>
      <w:r>
        <w:rPr/>
        <w:t>anterior,</w:t>
      </w:r>
      <w:r>
        <w:rPr>
          <w:spacing w:val="-10"/>
        </w:rPr>
        <w:t> </w:t>
      </w:r>
      <w:r>
        <w:rPr/>
        <w:t>se</w:t>
      </w:r>
      <w:r>
        <w:rPr>
          <w:spacing w:val="-9"/>
        </w:rPr>
        <w:t> </w:t>
      </w:r>
      <w:r>
        <w:rPr/>
        <w:t>puede</w:t>
      </w:r>
      <w:r>
        <w:rPr>
          <w:spacing w:val="-9"/>
        </w:rPr>
        <w:t> </w:t>
      </w:r>
      <w:r>
        <w:rPr/>
        <w:t>deducir</w:t>
      </w:r>
      <w:r>
        <w:rPr>
          <w:spacing w:val="-11"/>
        </w:rPr>
        <w:t> </w:t>
      </w:r>
      <w:r>
        <w:rPr/>
        <w:t>que</w:t>
      </w:r>
      <w:r>
        <w:rPr>
          <w:spacing w:val="-9"/>
        </w:rPr>
        <w:t> </w:t>
      </w:r>
      <w:r>
        <w:rPr/>
        <w:t>la</w:t>
      </w:r>
      <w:r>
        <w:rPr>
          <w:spacing w:val="-10"/>
        </w:rPr>
        <w:t> </w:t>
      </w:r>
      <w:r>
        <w:rPr/>
        <w:t>relación</w:t>
      </w:r>
      <w:r>
        <w:rPr>
          <w:spacing w:val="-9"/>
        </w:rPr>
        <w:t> </w:t>
      </w:r>
      <w:r>
        <w:rPr/>
        <w:t>que</w:t>
      </w:r>
      <w:r>
        <w:rPr>
          <w:spacing w:val="-12"/>
        </w:rPr>
        <w:t> </w:t>
      </w:r>
      <w:r>
        <w:rPr/>
        <w:t>existe</w:t>
      </w:r>
      <w:r>
        <w:rPr>
          <w:spacing w:val="-9"/>
        </w:rPr>
        <w:t> </w:t>
      </w:r>
      <w:r>
        <w:rPr/>
        <w:t>entre</w:t>
      </w:r>
      <w:r>
        <w:rPr>
          <w:spacing w:val="-12"/>
        </w:rPr>
        <w:t> </w:t>
      </w:r>
      <w:r>
        <w:rPr/>
        <w:t>actitud</w:t>
      </w:r>
      <w:r>
        <w:rPr>
          <w:spacing w:val="-9"/>
        </w:rPr>
        <w:t> </w:t>
      </w:r>
      <w:r>
        <w:rPr/>
        <w:t>lingüística y los conceptos de racismo y etnicidad proviene del simple hecho de que a través de las actitudes</w:t>
      </w:r>
      <w:r>
        <w:rPr>
          <w:spacing w:val="-12"/>
        </w:rPr>
        <w:t> </w:t>
      </w:r>
      <w:r>
        <w:rPr/>
        <w:t>se</w:t>
      </w:r>
      <w:r>
        <w:rPr>
          <w:spacing w:val="-11"/>
        </w:rPr>
        <w:t> </w:t>
      </w:r>
      <w:r>
        <w:rPr/>
        <w:t>crea</w:t>
      </w:r>
      <w:r>
        <w:rPr>
          <w:spacing w:val="-11"/>
        </w:rPr>
        <w:t> </w:t>
      </w:r>
      <w:r>
        <w:rPr/>
        <w:t>una</w:t>
      </w:r>
      <w:r>
        <w:rPr>
          <w:spacing w:val="-11"/>
        </w:rPr>
        <w:t> </w:t>
      </w:r>
      <w:r>
        <w:rPr/>
        <w:t>idea</w:t>
      </w:r>
      <w:r>
        <w:rPr>
          <w:spacing w:val="-13"/>
        </w:rPr>
        <w:t> </w:t>
      </w:r>
      <w:r>
        <w:rPr/>
        <w:t>mental</w:t>
      </w:r>
      <w:r>
        <w:rPr>
          <w:spacing w:val="-12"/>
        </w:rPr>
        <w:t> </w:t>
      </w:r>
      <w:r>
        <w:rPr/>
        <w:t>de</w:t>
      </w:r>
      <w:r>
        <w:rPr>
          <w:spacing w:val="-11"/>
        </w:rPr>
        <w:t> </w:t>
      </w:r>
      <w:r>
        <w:rPr/>
        <w:t>lo</w:t>
      </w:r>
      <w:r>
        <w:rPr>
          <w:spacing w:val="-11"/>
        </w:rPr>
        <w:t> </w:t>
      </w:r>
      <w:r>
        <w:rPr/>
        <w:t>que</w:t>
      </w:r>
      <w:r>
        <w:rPr>
          <w:spacing w:val="-11"/>
        </w:rPr>
        <w:t> </w:t>
      </w:r>
      <w:r>
        <w:rPr/>
        <w:t>causa</w:t>
      </w:r>
      <w:r>
        <w:rPr>
          <w:spacing w:val="-13"/>
        </w:rPr>
        <w:t> </w:t>
      </w:r>
      <w:r>
        <w:rPr/>
        <w:t>una</w:t>
      </w:r>
      <w:r>
        <w:rPr>
          <w:spacing w:val="-11"/>
        </w:rPr>
        <w:t> </w:t>
      </w:r>
      <w:r>
        <w:rPr/>
        <w:t>”buena”</w:t>
      </w:r>
      <w:r>
        <w:rPr>
          <w:spacing w:val="-12"/>
        </w:rPr>
        <w:t> </w:t>
      </w:r>
      <w:r>
        <w:rPr/>
        <w:t>o</w:t>
      </w:r>
      <w:r>
        <w:rPr>
          <w:spacing w:val="-11"/>
        </w:rPr>
        <w:t> </w:t>
      </w:r>
      <w:r>
        <w:rPr/>
        <w:t>“mala”</w:t>
      </w:r>
      <w:r>
        <w:rPr>
          <w:spacing w:val="-12"/>
        </w:rPr>
        <w:t> </w:t>
      </w:r>
      <w:r>
        <w:rPr/>
        <w:t>impresión,</w:t>
      </w:r>
      <w:r>
        <w:rPr>
          <w:spacing w:val="-11"/>
        </w:rPr>
        <w:t> </w:t>
      </w:r>
      <w:r>
        <w:rPr/>
        <w:t>lo</w:t>
      </w:r>
      <w:r>
        <w:rPr>
          <w:spacing w:val="-11"/>
        </w:rPr>
        <w:t> </w:t>
      </w:r>
      <w:r>
        <w:rPr/>
        <w:t>que parece “correcto” decir o lo “incorrecto” ante un interlocutor o</w:t>
      </w:r>
      <w:r>
        <w:rPr>
          <w:spacing w:val="-27"/>
        </w:rPr>
        <w:t> </w:t>
      </w:r>
      <w:r>
        <w:rPr/>
        <w:t>interlocutores.</w:t>
      </w:r>
    </w:p>
    <w:p>
      <w:pPr>
        <w:pStyle w:val="BodyText"/>
        <w:spacing w:line="360" w:lineRule="auto" w:before="204"/>
        <w:ind w:left="102" w:right="108" w:firstLine="707"/>
        <w:jc w:val="both"/>
      </w:pPr>
      <w:r>
        <w:rPr/>
        <w:t>Fishman (1991 en Baker, 2001) pone en claro la intención de cada una de las definiciones</w:t>
      </w:r>
      <w:r>
        <w:rPr>
          <w:spacing w:val="-16"/>
        </w:rPr>
        <w:t> </w:t>
      </w:r>
      <w:r>
        <w:rPr/>
        <w:t>anteriores;</w:t>
      </w:r>
      <w:r>
        <w:rPr>
          <w:spacing w:val="-18"/>
        </w:rPr>
        <w:t> </w:t>
      </w:r>
      <w:r>
        <w:rPr/>
        <w:t>mientras</w:t>
      </w:r>
      <w:r>
        <w:rPr>
          <w:spacing w:val="-16"/>
        </w:rPr>
        <w:t> </w:t>
      </w:r>
      <w:r>
        <w:rPr/>
        <w:t>la</w:t>
      </w:r>
      <w:r>
        <w:rPr>
          <w:spacing w:val="-16"/>
        </w:rPr>
        <w:t> </w:t>
      </w:r>
      <w:r>
        <w:rPr/>
        <w:t>etnicidad</w:t>
      </w:r>
      <w:r>
        <w:rPr>
          <w:spacing w:val="-16"/>
        </w:rPr>
        <w:t> </w:t>
      </w:r>
      <w:r>
        <w:rPr/>
        <w:t>no</w:t>
      </w:r>
      <w:r>
        <w:rPr>
          <w:spacing w:val="-16"/>
        </w:rPr>
        <w:t> </w:t>
      </w:r>
      <w:r>
        <w:rPr/>
        <w:t>busca</w:t>
      </w:r>
      <w:r>
        <w:rPr>
          <w:spacing w:val="-16"/>
        </w:rPr>
        <w:t> </w:t>
      </w:r>
      <w:r>
        <w:rPr/>
        <w:t>poder</w:t>
      </w:r>
      <w:r>
        <w:rPr>
          <w:spacing w:val="-17"/>
        </w:rPr>
        <w:t> </w:t>
      </w:r>
      <w:r>
        <w:rPr/>
        <w:t>ni</w:t>
      </w:r>
      <w:r>
        <w:rPr>
          <w:spacing w:val="-17"/>
        </w:rPr>
        <w:t> </w:t>
      </w:r>
      <w:r>
        <w:rPr/>
        <w:t>vanidad,</w:t>
      </w:r>
      <w:r>
        <w:rPr>
          <w:spacing w:val="-16"/>
        </w:rPr>
        <w:t> </w:t>
      </w:r>
      <w:r>
        <w:rPr/>
        <w:t>el</w:t>
      </w:r>
      <w:r>
        <w:rPr>
          <w:spacing w:val="-17"/>
        </w:rPr>
        <w:t> </w:t>
      </w:r>
      <w:r>
        <w:rPr/>
        <w:t>racismo</w:t>
      </w:r>
      <w:r>
        <w:rPr>
          <w:spacing w:val="-16"/>
        </w:rPr>
        <w:t> </w:t>
      </w:r>
      <w:r>
        <w:rPr/>
        <w:t>tiende al concepto de dominio, imperiosidad y superioridad. La importancia de comprender e incluir</w:t>
      </w:r>
      <w:r>
        <w:rPr>
          <w:spacing w:val="-15"/>
        </w:rPr>
        <w:t> </w:t>
      </w:r>
      <w:r>
        <w:rPr/>
        <w:t>estos</w:t>
      </w:r>
      <w:r>
        <w:rPr>
          <w:spacing w:val="-16"/>
        </w:rPr>
        <w:t> </w:t>
      </w:r>
      <w:r>
        <w:rPr/>
        <w:t>conceptos</w:t>
      </w:r>
      <w:r>
        <w:rPr>
          <w:spacing w:val="-16"/>
        </w:rPr>
        <w:t> </w:t>
      </w:r>
      <w:r>
        <w:rPr/>
        <w:t>dentro</w:t>
      </w:r>
      <w:r>
        <w:rPr>
          <w:spacing w:val="-16"/>
        </w:rPr>
        <w:t> </w:t>
      </w:r>
      <w:r>
        <w:rPr/>
        <w:t>de</w:t>
      </w:r>
      <w:r>
        <w:rPr>
          <w:spacing w:val="-16"/>
        </w:rPr>
        <w:t> </w:t>
      </w:r>
      <w:r>
        <w:rPr/>
        <w:t>esta</w:t>
      </w:r>
      <w:r>
        <w:rPr>
          <w:spacing w:val="-15"/>
        </w:rPr>
        <w:t> </w:t>
      </w:r>
      <w:r>
        <w:rPr/>
        <w:t>investigación</w:t>
      </w:r>
      <w:r>
        <w:rPr>
          <w:spacing w:val="-15"/>
        </w:rPr>
        <w:t> </w:t>
      </w:r>
      <w:r>
        <w:rPr/>
        <w:t>es</w:t>
      </w:r>
      <w:r>
        <w:rPr>
          <w:spacing w:val="-14"/>
        </w:rPr>
        <w:t> </w:t>
      </w:r>
      <w:r>
        <w:rPr/>
        <w:t>dejar</w:t>
      </w:r>
      <w:r>
        <w:rPr>
          <w:spacing w:val="-14"/>
        </w:rPr>
        <w:t> </w:t>
      </w:r>
      <w:r>
        <w:rPr/>
        <w:t>ver</w:t>
      </w:r>
      <w:r>
        <w:rPr>
          <w:spacing w:val="-15"/>
        </w:rPr>
        <w:t> </w:t>
      </w:r>
      <w:r>
        <w:rPr/>
        <w:t>al</w:t>
      </w:r>
      <w:r>
        <w:rPr>
          <w:spacing w:val="-14"/>
        </w:rPr>
        <w:t> </w:t>
      </w:r>
      <w:r>
        <w:rPr/>
        <w:t>lector</w:t>
      </w:r>
      <w:r>
        <w:rPr>
          <w:spacing w:val="-15"/>
        </w:rPr>
        <w:t> </w:t>
      </w:r>
      <w:r>
        <w:rPr/>
        <w:t>que</w:t>
      </w:r>
      <w:r>
        <w:rPr>
          <w:spacing w:val="-13"/>
        </w:rPr>
        <w:t> </w:t>
      </w:r>
      <w:r>
        <w:rPr/>
        <w:t>las</w:t>
      </w:r>
      <w:r>
        <w:rPr>
          <w:spacing w:val="-16"/>
        </w:rPr>
        <w:t> </w:t>
      </w:r>
      <w:r>
        <w:rPr/>
        <w:t>actitudes favorables o desfavorables pueden provocar etnicidad o racismo, las cuales a su vez, pueden contribuir de manera importante a la pérdida o propagación de una lengua o al uso</w:t>
      </w:r>
      <w:r>
        <w:rPr>
          <w:spacing w:val="-5"/>
        </w:rPr>
        <w:t> </w:t>
      </w:r>
      <w:r>
        <w:rPr/>
        <w:t>de</w:t>
      </w:r>
      <w:r>
        <w:rPr>
          <w:spacing w:val="-5"/>
        </w:rPr>
        <w:t> </w:t>
      </w:r>
      <w:r>
        <w:rPr/>
        <w:t>variable.</w:t>
      </w:r>
      <w:r>
        <w:rPr>
          <w:spacing w:val="-5"/>
        </w:rPr>
        <w:t> </w:t>
      </w:r>
      <w:r>
        <w:rPr/>
        <w:t>La</w:t>
      </w:r>
      <w:r>
        <w:rPr>
          <w:spacing w:val="-7"/>
        </w:rPr>
        <w:t> </w:t>
      </w:r>
      <w:r>
        <w:rPr/>
        <w:t>etnicidad,</w:t>
      </w:r>
      <w:r>
        <w:rPr>
          <w:spacing w:val="-5"/>
        </w:rPr>
        <w:t> </w:t>
      </w:r>
      <w:r>
        <w:rPr/>
        <w:t>vive</w:t>
      </w:r>
      <w:r>
        <w:rPr>
          <w:spacing w:val="-3"/>
        </w:rPr>
        <w:t> </w:t>
      </w:r>
      <w:r>
        <w:rPr/>
        <w:t>y</w:t>
      </w:r>
      <w:r>
        <w:rPr>
          <w:spacing w:val="-7"/>
        </w:rPr>
        <w:t> </w:t>
      </w:r>
      <w:r>
        <w:rPr/>
        <w:t>deja</w:t>
      </w:r>
      <w:r>
        <w:rPr>
          <w:spacing w:val="-5"/>
        </w:rPr>
        <w:t> </w:t>
      </w:r>
      <w:r>
        <w:rPr/>
        <w:t>vivir;</w:t>
      </w:r>
      <w:r>
        <w:rPr>
          <w:spacing w:val="-3"/>
        </w:rPr>
        <w:t> </w:t>
      </w:r>
      <w:r>
        <w:rPr/>
        <w:t>el</w:t>
      </w:r>
      <w:r>
        <w:rPr>
          <w:spacing w:val="-6"/>
        </w:rPr>
        <w:t> </w:t>
      </w:r>
      <w:r>
        <w:rPr/>
        <w:t>racismo</w:t>
      </w:r>
      <w:r>
        <w:rPr>
          <w:spacing w:val="-5"/>
        </w:rPr>
        <w:t> </w:t>
      </w:r>
      <w:r>
        <w:rPr/>
        <w:t>esclaviza</w:t>
      </w:r>
      <w:r>
        <w:rPr>
          <w:spacing w:val="-5"/>
        </w:rPr>
        <w:t> </w:t>
      </w:r>
      <w:r>
        <w:rPr/>
        <w:t>y</w:t>
      </w:r>
      <w:r>
        <w:rPr>
          <w:spacing w:val="-5"/>
        </w:rPr>
        <w:t> </w:t>
      </w:r>
      <w:r>
        <w:rPr/>
        <w:t>pide</w:t>
      </w:r>
      <w:r>
        <w:rPr>
          <w:spacing w:val="-4"/>
        </w:rPr>
        <w:t> </w:t>
      </w:r>
      <w:r>
        <w:rPr/>
        <w:t>desintegración de ciertas formas de la lengua o la lengua misma (Coupland y Jaworski,</w:t>
      </w:r>
      <w:r>
        <w:rPr>
          <w:spacing w:val="-30"/>
        </w:rPr>
        <w:t> </w:t>
      </w:r>
      <w:r>
        <w:rPr/>
        <w:t>1997).</w:t>
      </w:r>
    </w:p>
    <w:p>
      <w:pPr>
        <w:pStyle w:val="BodyText"/>
        <w:spacing w:line="360" w:lineRule="auto" w:before="204"/>
        <w:ind w:left="102" w:right="115" w:firstLine="707"/>
        <w:jc w:val="both"/>
      </w:pPr>
      <w:r>
        <w:rPr/>
        <w:t>Lo cierto es que, como lo testifican los mismos Coupland y Jaworski, (1997), ningún</w:t>
      </w:r>
      <w:r>
        <w:rPr>
          <w:spacing w:val="-4"/>
        </w:rPr>
        <w:t> </w:t>
      </w:r>
      <w:r>
        <w:rPr/>
        <w:t>individuo,</w:t>
      </w:r>
      <w:r>
        <w:rPr>
          <w:spacing w:val="-5"/>
        </w:rPr>
        <w:t> </w:t>
      </w:r>
      <w:r>
        <w:rPr/>
        <w:t>grupo</w:t>
      </w:r>
      <w:r>
        <w:rPr>
          <w:spacing w:val="-4"/>
        </w:rPr>
        <w:t> </w:t>
      </w:r>
      <w:r>
        <w:rPr/>
        <w:t>social,</w:t>
      </w:r>
      <w:r>
        <w:rPr>
          <w:spacing w:val="-6"/>
        </w:rPr>
        <w:t> </w:t>
      </w:r>
      <w:r>
        <w:rPr/>
        <w:t>estado</w:t>
      </w:r>
      <w:r>
        <w:rPr>
          <w:spacing w:val="-6"/>
        </w:rPr>
        <w:t> </w:t>
      </w:r>
      <w:r>
        <w:rPr/>
        <w:t>o</w:t>
      </w:r>
      <w:r>
        <w:rPr>
          <w:spacing w:val="-4"/>
        </w:rPr>
        <w:t> </w:t>
      </w:r>
      <w:r>
        <w:rPr/>
        <w:t>país</w:t>
      </w:r>
      <w:r>
        <w:rPr>
          <w:spacing w:val="-4"/>
        </w:rPr>
        <w:t> </w:t>
      </w:r>
      <w:r>
        <w:rPr/>
        <w:t>es</w:t>
      </w:r>
      <w:r>
        <w:rPr>
          <w:spacing w:val="-4"/>
        </w:rPr>
        <w:t> </w:t>
      </w:r>
      <w:r>
        <w:rPr/>
        <w:t>como</w:t>
      </w:r>
      <w:r>
        <w:rPr>
          <w:spacing w:val="-6"/>
        </w:rPr>
        <w:t> </w:t>
      </w:r>
      <w:r>
        <w:rPr/>
        <w:t>otro;</w:t>
      </w:r>
      <w:r>
        <w:rPr>
          <w:spacing w:val="-4"/>
        </w:rPr>
        <w:t> </w:t>
      </w:r>
      <w:r>
        <w:rPr/>
        <w:t>y</w:t>
      </w:r>
      <w:r>
        <w:rPr>
          <w:spacing w:val="-7"/>
        </w:rPr>
        <w:t> </w:t>
      </w:r>
      <w:r>
        <w:rPr/>
        <w:t>la</w:t>
      </w:r>
      <w:r>
        <w:rPr>
          <w:spacing w:val="-4"/>
        </w:rPr>
        <w:t> </w:t>
      </w:r>
      <w:r>
        <w:rPr/>
        <w:t>verdad</w:t>
      </w:r>
      <w:r>
        <w:rPr>
          <w:spacing w:val="-4"/>
        </w:rPr>
        <w:t> </w:t>
      </w:r>
      <w:r>
        <w:rPr/>
        <w:t>de</w:t>
      </w:r>
      <w:r>
        <w:rPr>
          <w:spacing w:val="-4"/>
        </w:rPr>
        <w:t> </w:t>
      </w:r>
      <w:r>
        <w:rPr/>
        <w:t>lo</w:t>
      </w:r>
      <w:r>
        <w:rPr>
          <w:spacing w:val="-4"/>
        </w:rPr>
        <w:t> </w:t>
      </w:r>
      <w:r>
        <w:rPr/>
        <w:t>que</w:t>
      </w:r>
      <w:r>
        <w:rPr>
          <w:spacing w:val="-6"/>
        </w:rPr>
        <w:t> </w:t>
      </w:r>
      <w:r>
        <w:rPr/>
        <w:t>es</w:t>
      </w:r>
      <w:r>
        <w:rPr>
          <w:spacing w:val="-7"/>
        </w:rPr>
        <w:t> </w:t>
      </w:r>
      <w:r>
        <w:rPr/>
        <w:t>bello o bueno no es la misma para ninguno de</w:t>
      </w:r>
      <w:r>
        <w:rPr>
          <w:spacing w:val="-16"/>
        </w:rPr>
        <w:t> </w:t>
      </w:r>
      <w:r>
        <w:rPr/>
        <w:t>ellos.</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Heading1"/>
        <w:numPr>
          <w:ilvl w:val="1"/>
          <w:numId w:val="2"/>
        </w:numPr>
        <w:tabs>
          <w:tab w:pos="573" w:val="left" w:leader="none"/>
        </w:tabs>
        <w:spacing w:line="240" w:lineRule="auto" w:before="70" w:after="0"/>
        <w:ind w:left="572" w:right="0" w:hanging="470"/>
        <w:jc w:val="left"/>
      </w:pPr>
      <w:r>
        <w:rPr/>
        <w:t>Relación prestigio y actitud</w:t>
      </w:r>
      <w:r>
        <w:rPr>
          <w:spacing w:val="-13"/>
        </w:rPr>
        <w:t> </w:t>
      </w:r>
      <w:r>
        <w:rPr/>
        <w:t>lingüística</w:t>
      </w:r>
    </w:p>
    <w:p>
      <w:pPr>
        <w:pStyle w:val="BodyText"/>
        <w:rPr>
          <w:b/>
        </w:rPr>
      </w:pPr>
    </w:p>
    <w:p>
      <w:pPr>
        <w:pStyle w:val="BodyText"/>
        <w:rPr>
          <w:b/>
        </w:rPr>
      </w:pPr>
    </w:p>
    <w:p>
      <w:pPr>
        <w:pStyle w:val="BodyText"/>
        <w:spacing w:line="360" w:lineRule="auto" w:before="199"/>
        <w:ind w:left="102" w:right="114" w:firstLine="707"/>
        <w:jc w:val="both"/>
      </w:pPr>
      <w:r>
        <w:rPr/>
        <w:t>Ya</w:t>
      </w:r>
      <w:r>
        <w:rPr>
          <w:spacing w:val="-9"/>
        </w:rPr>
        <w:t> </w:t>
      </w:r>
      <w:r>
        <w:rPr/>
        <w:t>visto</w:t>
      </w:r>
      <w:r>
        <w:rPr>
          <w:spacing w:val="-9"/>
        </w:rPr>
        <w:t> </w:t>
      </w:r>
      <w:r>
        <w:rPr/>
        <w:t>que</w:t>
      </w:r>
      <w:r>
        <w:rPr>
          <w:spacing w:val="-9"/>
        </w:rPr>
        <w:t> </w:t>
      </w:r>
      <w:r>
        <w:rPr/>
        <w:t>el</w:t>
      </w:r>
      <w:r>
        <w:rPr>
          <w:spacing w:val="-11"/>
        </w:rPr>
        <w:t> </w:t>
      </w:r>
      <w:r>
        <w:rPr/>
        <w:t>prestigio</w:t>
      </w:r>
      <w:r>
        <w:rPr>
          <w:spacing w:val="-10"/>
        </w:rPr>
        <w:t> </w:t>
      </w:r>
      <w:r>
        <w:rPr/>
        <w:t>es</w:t>
      </w:r>
      <w:r>
        <w:rPr>
          <w:spacing w:val="-12"/>
        </w:rPr>
        <w:t> </w:t>
      </w:r>
      <w:r>
        <w:rPr/>
        <w:t>el</w:t>
      </w:r>
      <w:r>
        <w:rPr>
          <w:spacing w:val="-11"/>
        </w:rPr>
        <w:t> </w:t>
      </w:r>
      <w:r>
        <w:rPr/>
        <w:t>reconocimiento</w:t>
      </w:r>
      <w:r>
        <w:rPr>
          <w:spacing w:val="-11"/>
        </w:rPr>
        <w:t> </w:t>
      </w:r>
      <w:r>
        <w:rPr/>
        <w:t>de</w:t>
      </w:r>
      <w:r>
        <w:rPr>
          <w:spacing w:val="-9"/>
        </w:rPr>
        <w:t> </w:t>
      </w:r>
      <w:r>
        <w:rPr/>
        <w:t>“mejores”</w:t>
      </w:r>
      <w:r>
        <w:rPr>
          <w:spacing w:val="-12"/>
        </w:rPr>
        <w:t> </w:t>
      </w:r>
      <w:r>
        <w:rPr/>
        <w:t>formas</w:t>
      </w:r>
      <w:r>
        <w:rPr>
          <w:spacing w:val="-10"/>
        </w:rPr>
        <w:t> </w:t>
      </w:r>
      <w:r>
        <w:rPr/>
        <w:t>de</w:t>
      </w:r>
      <w:r>
        <w:rPr>
          <w:spacing w:val="-9"/>
        </w:rPr>
        <w:t> </w:t>
      </w:r>
      <w:r>
        <w:rPr/>
        <w:t>hablar</w:t>
      </w:r>
      <w:r>
        <w:rPr>
          <w:spacing w:val="-12"/>
        </w:rPr>
        <w:t> </w:t>
      </w:r>
      <w:r>
        <w:rPr/>
        <w:t>en</w:t>
      </w:r>
      <w:r>
        <w:rPr>
          <w:spacing w:val="-9"/>
        </w:rPr>
        <w:t> </w:t>
      </w:r>
      <w:r>
        <w:rPr/>
        <w:t>las comunidades sociales o que han sido valoradas de una manera positiva (George Yule, 1996), se puede inferir que dicha valoración proviene de las actitudes positivas hacia la variante.</w:t>
      </w:r>
    </w:p>
    <w:p>
      <w:pPr>
        <w:pStyle w:val="BodyText"/>
        <w:spacing w:line="360" w:lineRule="auto" w:before="202"/>
        <w:ind w:left="102" w:right="107" w:firstLine="707"/>
        <w:jc w:val="both"/>
      </w:pPr>
      <w:r>
        <w:rPr/>
        <w:t>Si las actitudes lingüísticas son manifestaciones de preferencia hacia una forma específica de la lengua y que éstas pueden ser positivas o negativas, entonces, las manifestaciones positivas y de preferencia crean formas de prestigio.</w:t>
      </w:r>
    </w:p>
    <w:p>
      <w:pPr>
        <w:pStyle w:val="BodyText"/>
        <w:spacing w:line="360" w:lineRule="auto" w:before="204"/>
        <w:ind w:left="102" w:right="112" w:firstLine="707"/>
        <w:jc w:val="both"/>
      </w:pPr>
      <w:r>
        <w:rPr/>
        <w:t>Kristiansen (1991-1992 en Coupland y Jaworski, (1997) menciona que las actitudes lingüísticas involucran la conciencia de uso, sentimientos y conductas; y que además son vulnerables a factores situacionales. Suzanne Romaine (1989) añade que generalmente son un fenómeno grupal, es decir, raras veces son un asunto individual. De allí que la aceptación de un grupo mayoritario hacia una variable de la lengua pueda provocar prestigio.</w:t>
      </w:r>
    </w:p>
    <w:p>
      <w:pPr>
        <w:pStyle w:val="BodyText"/>
        <w:spacing w:line="360" w:lineRule="auto" w:before="202"/>
        <w:ind w:left="102" w:right="106" w:firstLine="707"/>
        <w:jc w:val="both"/>
      </w:pPr>
      <w:r>
        <w:rPr/>
        <w:t>El prestigio, representado como un valor oculto positivo es relacionado con la frecuencia</w:t>
      </w:r>
      <w:r>
        <w:rPr>
          <w:spacing w:val="49"/>
        </w:rPr>
        <w:t> </w:t>
      </w:r>
      <w:r>
        <w:rPr/>
        <w:t>de</w:t>
      </w:r>
      <w:r>
        <w:rPr>
          <w:spacing w:val="-9"/>
        </w:rPr>
        <w:t> </w:t>
      </w:r>
      <w:r>
        <w:rPr/>
        <w:t>uso</w:t>
      </w:r>
      <w:r>
        <w:rPr>
          <w:spacing w:val="-9"/>
        </w:rPr>
        <w:t> </w:t>
      </w:r>
      <w:r>
        <w:rPr/>
        <w:t>de</w:t>
      </w:r>
      <w:r>
        <w:rPr>
          <w:spacing w:val="-7"/>
        </w:rPr>
        <w:t> </w:t>
      </w:r>
      <w:r>
        <w:rPr/>
        <w:t>las</w:t>
      </w:r>
      <w:r>
        <w:rPr>
          <w:spacing w:val="-13"/>
        </w:rPr>
        <w:t> </w:t>
      </w:r>
      <w:r>
        <w:rPr/>
        <w:t>formas</w:t>
      </w:r>
      <w:r>
        <w:rPr>
          <w:spacing w:val="-13"/>
        </w:rPr>
        <w:t> </w:t>
      </w:r>
      <w:r>
        <w:rPr/>
        <w:t>no</w:t>
      </w:r>
      <w:r>
        <w:rPr>
          <w:spacing w:val="-9"/>
        </w:rPr>
        <w:t> </w:t>
      </w:r>
      <w:r>
        <w:rPr/>
        <w:t>estándar</w:t>
      </w:r>
      <w:r>
        <w:rPr>
          <w:spacing w:val="-13"/>
        </w:rPr>
        <w:t> </w:t>
      </w:r>
      <w:r>
        <w:rPr/>
        <w:t>de</w:t>
      </w:r>
      <w:r>
        <w:rPr>
          <w:spacing w:val="-9"/>
        </w:rPr>
        <w:t> </w:t>
      </w:r>
      <w:r>
        <w:rPr/>
        <w:t>la</w:t>
      </w:r>
      <w:r>
        <w:rPr>
          <w:spacing w:val="-10"/>
        </w:rPr>
        <w:t> </w:t>
      </w:r>
      <w:r>
        <w:rPr/>
        <w:t>lengua,</w:t>
      </w:r>
      <w:r>
        <w:rPr>
          <w:spacing w:val="-10"/>
        </w:rPr>
        <w:t> </w:t>
      </w:r>
      <w:r>
        <w:rPr/>
        <w:t>que</w:t>
      </w:r>
      <w:r>
        <w:rPr>
          <w:spacing w:val="-9"/>
        </w:rPr>
        <w:t> </w:t>
      </w:r>
      <w:r>
        <w:rPr/>
        <w:t>además,</w:t>
      </w:r>
      <w:r>
        <w:rPr>
          <w:spacing w:val="-10"/>
        </w:rPr>
        <w:t> </w:t>
      </w:r>
      <w:r>
        <w:rPr/>
        <w:t>son</w:t>
      </w:r>
      <w:r>
        <w:rPr>
          <w:spacing w:val="-12"/>
        </w:rPr>
        <w:t> </w:t>
      </w:r>
      <w:r>
        <w:rPr/>
        <w:t>expresiones que</w:t>
      </w:r>
      <w:r>
        <w:rPr>
          <w:spacing w:val="-19"/>
        </w:rPr>
        <w:t> </w:t>
      </w:r>
      <w:r>
        <w:rPr/>
        <w:t>sólo</w:t>
      </w:r>
      <w:r>
        <w:rPr>
          <w:spacing w:val="-19"/>
        </w:rPr>
        <w:t> </w:t>
      </w:r>
      <w:r>
        <w:rPr/>
        <w:t>un</w:t>
      </w:r>
      <w:r>
        <w:rPr>
          <w:spacing w:val="-19"/>
        </w:rPr>
        <w:t> </w:t>
      </w:r>
      <w:r>
        <w:rPr/>
        <w:t>grupo</w:t>
      </w:r>
      <w:r>
        <w:rPr>
          <w:spacing w:val="-19"/>
        </w:rPr>
        <w:t> </w:t>
      </w:r>
      <w:r>
        <w:rPr/>
        <w:t>o</w:t>
      </w:r>
      <w:r>
        <w:rPr>
          <w:spacing w:val="-19"/>
        </w:rPr>
        <w:t> </w:t>
      </w:r>
      <w:r>
        <w:rPr/>
        <w:t>sub-grupo</w:t>
      </w:r>
      <w:r>
        <w:rPr>
          <w:spacing w:val="-19"/>
        </w:rPr>
        <w:t> </w:t>
      </w:r>
      <w:r>
        <w:rPr/>
        <w:t>determinado</w:t>
      </w:r>
      <w:r>
        <w:rPr>
          <w:spacing w:val="-19"/>
        </w:rPr>
        <w:t> </w:t>
      </w:r>
      <w:r>
        <w:rPr/>
        <w:t>usa</w:t>
      </w:r>
      <w:r>
        <w:rPr>
          <w:spacing w:val="-19"/>
        </w:rPr>
        <w:t> </w:t>
      </w:r>
      <w:r>
        <w:rPr/>
        <w:t>(George</w:t>
      </w:r>
      <w:r>
        <w:rPr>
          <w:spacing w:val="-19"/>
        </w:rPr>
        <w:t> </w:t>
      </w:r>
      <w:r>
        <w:rPr/>
        <w:t>Yule,</w:t>
      </w:r>
      <w:r>
        <w:rPr>
          <w:spacing w:val="-19"/>
        </w:rPr>
        <w:t> </w:t>
      </w:r>
      <w:r>
        <w:rPr/>
        <w:t>1996).</w:t>
      </w:r>
      <w:r>
        <w:rPr>
          <w:spacing w:val="-19"/>
        </w:rPr>
        <w:t> </w:t>
      </w:r>
      <w:r>
        <w:rPr/>
        <w:t>Posiblemente</w:t>
      </w:r>
      <w:r>
        <w:rPr>
          <w:spacing w:val="-19"/>
        </w:rPr>
        <w:t> </w:t>
      </w:r>
      <w:r>
        <w:rPr/>
        <w:t>estas formas pudieran ser los anglicismos; son partes concretas de una lengua, que al ser variantes, no forman parte del español estándar pero de las cuales el hablante puede tener</w:t>
      </w:r>
      <w:r>
        <w:rPr>
          <w:spacing w:val="-19"/>
        </w:rPr>
        <w:t> </w:t>
      </w:r>
      <w:r>
        <w:rPr/>
        <w:t>un</w:t>
      </w:r>
      <w:r>
        <w:rPr>
          <w:spacing w:val="-17"/>
        </w:rPr>
        <w:t> </w:t>
      </w:r>
      <w:r>
        <w:rPr/>
        <w:t>valor</w:t>
      </w:r>
      <w:r>
        <w:rPr>
          <w:spacing w:val="-19"/>
        </w:rPr>
        <w:t> </w:t>
      </w:r>
      <w:r>
        <w:rPr/>
        <w:t>positivo.</w:t>
      </w:r>
      <w:r>
        <w:rPr>
          <w:spacing w:val="-18"/>
        </w:rPr>
        <w:t> </w:t>
      </w:r>
      <w:r>
        <w:rPr/>
        <w:t>Además,</w:t>
      </w:r>
      <w:r>
        <w:rPr>
          <w:spacing w:val="-18"/>
        </w:rPr>
        <w:t> </w:t>
      </w:r>
      <w:r>
        <w:rPr/>
        <w:t>si</w:t>
      </w:r>
      <w:r>
        <w:rPr>
          <w:spacing w:val="-19"/>
        </w:rPr>
        <w:t> </w:t>
      </w:r>
      <w:r>
        <w:rPr/>
        <w:t>a</w:t>
      </w:r>
      <w:r>
        <w:rPr>
          <w:spacing w:val="-20"/>
        </w:rPr>
        <w:t> </w:t>
      </w:r>
      <w:r>
        <w:rPr/>
        <w:t>éstas</w:t>
      </w:r>
      <w:r>
        <w:rPr>
          <w:spacing w:val="-19"/>
        </w:rPr>
        <w:t> </w:t>
      </w:r>
      <w:r>
        <w:rPr/>
        <w:t>se</w:t>
      </w:r>
      <w:r>
        <w:rPr>
          <w:spacing w:val="-18"/>
        </w:rPr>
        <w:t> </w:t>
      </w:r>
      <w:r>
        <w:rPr/>
        <w:t>les</w:t>
      </w:r>
      <w:r>
        <w:rPr>
          <w:spacing w:val="-19"/>
        </w:rPr>
        <w:t> </w:t>
      </w:r>
      <w:r>
        <w:rPr/>
        <w:t>atribuye</w:t>
      </w:r>
      <w:r>
        <w:rPr>
          <w:spacing w:val="-18"/>
        </w:rPr>
        <w:t> </w:t>
      </w:r>
      <w:r>
        <w:rPr/>
        <w:t>la</w:t>
      </w:r>
      <w:r>
        <w:rPr>
          <w:spacing w:val="-18"/>
        </w:rPr>
        <w:t> </w:t>
      </w:r>
      <w:r>
        <w:rPr/>
        <w:t>preferencia</w:t>
      </w:r>
      <w:r>
        <w:rPr>
          <w:spacing w:val="-18"/>
        </w:rPr>
        <w:t> </w:t>
      </w:r>
      <w:r>
        <w:rPr/>
        <w:t>o</w:t>
      </w:r>
      <w:r>
        <w:rPr>
          <w:spacing w:val="-18"/>
        </w:rPr>
        <w:t> </w:t>
      </w:r>
      <w:r>
        <w:rPr/>
        <w:t>la</w:t>
      </w:r>
      <w:r>
        <w:rPr>
          <w:spacing w:val="-18"/>
        </w:rPr>
        <w:t> </w:t>
      </w:r>
      <w:r>
        <w:rPr/>
        <w:t>manifestación de</w:t>
      </w:r>
      <w:r>
        <w:rPr>
          <w:spacing w:val="-12"/>
        </w:rPr>
        <w:t> </w:t>
      </w:r>
      <w:r>
        <w:rPr/>
        <w:t>actitudes</w:t>
      </w:r>
      <w:r>
        <w:rPr>
          <w:spacing w:val="-13"/>
        </w:rPr>
        <w:t> </w:t>
      </w:r>
      <w:r>
        <w:rPr/>
        <w:t>positivas</w:t>
      </w:r>
      <w:r>
        <w:rPr>
          <w:spacing w:val="-13"/>
        </w:rPr>
        <w:t> </w:t>
      </w:r>
      <w:r>
        <w:rPr/>
        <w:t>por</w:t>
      </w:r>
      <w:r>
        <w:rPr>
          <w:spacing w:val="-13"/>
        </w:rPr>
        <w:t> </w:t>
      </w:r>
      <w:r>
        <w:rPr/>
        <w:t>una</w:t>
      </w:r>
      <w:r>
        <w:rPr>
          <w:spacing w:val="-14"/>
        </w:rPr>
        <w:t> </w:t>
      </w:r>
      <w:r>
        <w:rPr/>
        <w:t>mayoría,</w:t>
      </w:r>
      <w:r>
        <w:rPr>
          <w:spacing w:val="-12"/>
        </w:rPr>
        <w:t> </w:t>
      </w:r>
      <w:r>
        <w:rPr/>
        <w:t>podrían</w:t>
      </w:r>
      <w:r>
        <w:rPr>
          <w:spacing w:val="-12"/>
        </w:rPr>
        <w:t> </w:t>
      </w:r>
      <w:r>
        <w:rPr/>
        <w:t>determinarse</w:t>
      </w:r>
      <w:r>
        <w:rPr>
          <w:spacing w:val="-15"/>
        </w:rPr>
        <w:t> </w:t>
      </w:r>
      <w:r>
        <w:rPr/>
        <w:t>como</w:t>
      </w:r>
      <w:r>
        <w:rPr>
          <w:spacing w:val="-14"/>
        </w:rPr>
        <w:t> </w:t>
      </w:r>
      <w:r>
        <w:rPr/>
        <w:t>variantes</w:t>
      </w:r>
      <w:r>
        <w:rPr>
          <w:spacing w:val="-13"/>
        </w:rPr>
        <w:t> </w:t>
      </w:r>
      <w:r>
        <w:rPr/>
        <w:t>del</w:t>
      </w:r>
      <w:r>
        <w:rPr>
          <w:spacing w:val="-15"/>
        </w:rPr>
        <w:t> </w:t>
      </w:r>
      <w:r>
        <w:rPr/>
        <w:t>español prestigiosas.</w:t>
      </w:r>
    </w:p>
    <w:p>
      <w:pPr>
        <w:pStyle w:val="BodyText"/>
        <w:spacing w:line="360" w:lineRule="auto" w:before="205"/>
        <w:ind w:left="102" w:right="108" w:firstLine="707"/>
        <w:jc w:val="both"/>
      </w:pPr>
      <w:r>
        <w:rPr/>
        <w:t>La importancia de calificar a los anglicismos como formas de prestigio a través de las actitudes positivas de hablantes y oyentes radica en el sentido de preservación de la lengua española o bien en la consideración de enriquecimiento de la lengua y no de desplazamiento con respecto a la introducción de palabras anglosajonas.</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12" w:firstLine="707"/>
        <w:jc w:val="both"/>
      </w:pPr>
      <w:r>
        <w:rPr/>
        <w:t>El prejuicio de los hablantes puede orillar a la discriminación de ciertas variantes lingüísticas,</w:t>
      </w:r>
      <w:r>
        <w:rPr>
          <w:spacing w:val="-11"/>
        </w:rPr>
        <w:t> </w:t>
      </w:r>
      <w:r>
        <w:rPr/>
        <w:t>pero</w:t>
      </w:r>
      <w:r>
        <w:rPr>
          <w:spacing w:val="-11"/>
        </w:rPr>
        <w:t> </w:t>
      </w:r>
      <w:r>
        <w:rPr/>
        <w:t>si</w:t>
      </w:r>
      <w:r>
        <w:rPr>
          <w:spacing w:val="-12"/>
        </w:rPr>
        <w:t> </w:t>
      </w:r>
      <w:r>
        <w:rPr/>
        <w:t>en</w:t>
      </w:r>
      <w:r>
        <w:rPr>
          <w:spacing w:val="-13"/>
        </w:rPr>
        <w:t> </w:t>
      </w:r>
      <w:r>
        <w:rPr/>
        <w:t>este</w:t>
      </w:r>
      <w:r>
        <w:rPr>
          <w:spacing w:val="-10"/>
        </w:rPr>
        <w:t> </w:t>
      </w:r>
      <w:r>
        <w:rPr/>
        <w:t>caso</w:t>
      </w:r>
      <w:r>
        <w:rPr>
          <w:spacing w:val="-13"/>
        </w:rPr>
        <w:t> </w:t>
      </w:r>
      <w:r>
        <w:rPr/>
        <w:t>no</w:t>
      </w:r>
      <w:r>
        <w:rPr>
          <w:spacing w:val="-11"/>
        </w:rPr>
        <w:t> </w:t>
      </w:r>
      <w:r>
        <w:rPr/>
        <w:t>son</w:t>
      </w:r>
      <w:r>
        <w:rPr>
          <w:spacing w:val="-11"/>
        </w:rPr>
        <w:t> </w:t>
      </w:r>
      <w:r>
        <w:rPr/>
        <w:t>vistos</w:t>
      </w:r>
      <w:r>
        <w:rPr>
          <w:spacing w:val="-14"/>
        </w:rPr>
        <w:t> </w:t>
      </w:r>
      <w:r>
        <w:rPr/>
        <w:t>los</w:t>
      </w:r>
      <w:r>
        <w:rPr>
          <w:spacing w:val="-11"/>
        </w:rPr>
        <w:t> </w:t>
      </w:r>
      <w:r>
        <w:rPr/>
        <w:t>anglicismos</w:t>
      </w:r>
      <w:r>
        <w:rPr>
          <w:spacing w:val="-12"/>
        </w:rPr>
        <w:t> </w:t>
      </w:r>
      <w:r>
        <w:rPr/>
        <w:t>de</w:t>
      </w:r>
      <w:r>
        <w:rPr>
          <w:spacing w:val="-13"/>
        </w:rPr>
        <w:t> </w:t>
      </w:r>
      <w:r>
        <w:rPr/>
        <w:t>tal</w:t>
      </w:r>
      <w:r>
        <w:rPr>
          <w:spacing w:val="-14"/>
        </w:rPr>
        <w:t> </w:t>
      </w:r>
      <w:r>
        <w:rPr/>
        <w:t>modo,</w:t>
      </w:r>
      <w:r>
        <w:rPr>
          <w:spacing w:val="-13"/>
        </w:rPr>
        <w:t> </w:t>
      </w:r>
      <w:r>
        <w:rPr/>
        <w:t>debe</w:t>
      </w:r>
      <w:r>
        <w:rPr>
          <w:spacing w:val="-11"/>
        </w:rPr>
        <w:t> </w:t>
      </w:r>
      <w:r>
        <w:rPr/>
        <w:t>lograrse un balance para no provocar otros fenómenos de la</w:t>
      </w:r>
      <w:r>
        <w:rPr>
          <w:spacing w:val="-23"/>
        </w:rPr>
        <w:t> </w:t>
      </w:r>
      <w:r>
        <w:rPr/>
        <w:t>lingüística.</w:t>
      </w:r>
    </w:p>
    <w:p>
      <w:pPr>
        <w:spacing w:after="0" w:line="360" w:lineRule="auto"/>
        <w:jc w:val="both"/>
        <w:sectPr>
          <w:pgSz w:w="12240" w:h="15840"/>
          <w:pgMar w:header="749" w:footer="1003" w:top="960" w:bottom="1200" w:left="1600" w:right="1020"/>
        </w:sectPr>
      </w:pPr>
    </w:p>
    <w:p>
      <w:pPr>
        <w:pStyle w:val="BodyText"/>
        <w:spacing w:before="4"/>
        <w:rPr>
          <w:sz w:val="11"/>
        </w:rPr>
      </w:pPr>
    </w:p>
    <w:p>
      <w:pPr>
        <w:pStyle w:val="Heading1"/>
        <w:spacing w:before="69"/>
        <w:ind w:left="423" w:right="434"/>
        <w:jc w:val="center"/>
      </w:pPr>
      <w:r>
        <w:rPr/>
        <w:t>CAPÍTULO 3</w:t>
      </w:r>
    </w:p>
    <w:p>
      <w:pPr>
        <w:spacing w:before="137"/>
        <w:ind w:left="423" w:right="438" w:firstLine="0"/>
        <w:jc w:val="center"/>
        <w:rPr>
          <w:b/>
          <w:sz w:val="24"/>
        </w:rPr>
      </w:pPr>
      <w:r>
        <w:rPr>
          <w:b/>
          <w:sz w:val="24"/>
        </w:rPr>
        <w:t>DISEÑO Y METODOLOGÍA DE LA INVESTIGACIÓN</w:t>
      </w:r>
    </w:p>
    <w:p>
      <w:pPr>
        <w:pStyle w:val="BodyText"/>
        <w:rPr>
          <w:b/>
        </w:rPr>
      </w:pPr>
    </w:p>
    <w:p>
      <w:pPr>
        <w:pStyle w:val="BodyText"/>
        <w:rPr>
          <w:b/>
        </w:rPr>
      </w:pPr>
    </w:p>
    <w:p>
      <w:pPr>
        <w:pStyle w:val="BodyText"/>
        <w:spacing w:line="360" w:lineRule="auto"/>
        <w:ind w:left="102" w:right="114" w:firstLine="707"/>
        <w:jc w:val="both"/>
      </w:pPr>
      <w:r>
        <w:rPr/>
        <w:t>En este capítulo se da una descripción del proceso y aplicación de los métodos y técnicas que se utilizaron para la recopilación de datos. Además, se presentan los objetivos planteados para el diseño de la investigación y todos los aspectos que a este respecto corresponden, como la descripción del instrumento de investigación, la población, el escenario y las variables dependientes e independientes.</w:t>
      </w:r>
    </w:p>
    <w:p>
      <w:pPr>
        <w:pStyle w:val="BodyText"/>
      </w:pPr>
    </w:p>
    <w:p>
      <w:pPr>
        <w:pStyle w:val="BodyText"/>
        <w:spacing w:before="8"/>
        <w:rPr>
          <w:sz w:val="29"/>
        </w:rPr>
      </w:pPr>
    </w:p>
    <w:p>
      <w:pPr>
        <w:pStyle w:val="Heading1"/>
        <w:numPr>
          <w:ilvl w:val="1"/>
          <w:numId w:val="3"/>
        </w:numPr>
        <w:tabs>
          <w:tab w:pos="573" w:val="left" w:leader="none"/>
        </w:tabs>
        <w:spacing w:line="240" w:lineRule="auto" w:before="0" w:after="0"/>
        <w:ind w:left="572" w:right="0" w:hanging="470"/>
        <w:jc w:val="left"/>
      </w:pPr>
      <w:r>
        <w:rPr/>
        <w:t>Métodos y Técnicas de</w:t>
      </w:r>
      <w:r>
        <w:rPr>
          <w:spacing w:val="-16"/>
        </w:rPr>
        <w:t> </w:t>
      </w:r>
      <w:r>
        <w:rPr/>
        <w:t>investigación</w:t>
      </w:r>
    </w:p>
    <w:p>
      <w:pPr>
        <w:pStyle w:val="BodyText"/>
        <w:spacing w:line="360" w:lineRule="auto" w:before="139"/>
        <w:ind w:left="102" w:right="107" w:firstLine="707"/>
        <w:jc w:val="both"/>
      </w:pPr>
      <w:r>
        <w:rPr/>
        <w:t>Entre los estudios que se han realizado con respecto al uso de anglicismos, han surgido propuestas del motivo de su introducción a nuestra lengua (García, J., 2011) del tipo de anglicismos más comunes y su frecuencia de uso (Pérez, P. 2009); sin embargo, poco se ha hablado del motivo de su uso. Por ello, esta investigación pretende proporcionar un acercamiento a una de las posibles razones de su uso frecuente como una</w:t>
      </w:r>
      <w:r>
        <w:rPr>
          <w:spacing w:val="-15"/>
        </w:rPr>
        <w:t> </w:t>
      </w:r>
      <w:r>
        <w:rPr/>
        <w:t>de</w:t>
      </w:r>
      <w:r>
        <w:rPr>
          <w:spacing w:val="-15"/>
        </w:rPr>
        <w:t> </w:t>
      </w:r>
      <w:r>
        <w:rPr/>
        <w:t>las</w:t>
      </w:r>
      <w:r>
        <w:rPr>
          <w:spacing w:val="-13"/>
        </w:rPr>
        <w:t> </w:t>
      </w:r>
      <w:r>
        <w:rPr/>
        <w:t>variaciones</w:t>
      </w:r>
      <w:r>
        <w:rPr>
          <w:spacing w:val="-19"/>
        </w:rPr>
        <w:t> </w:t>
      </w:r>
      <w:r>
        <w:rPr/>
        <w:t>lingüísticas</w:t>
      </w:r>
      <w:r>
        <w:rPr>
          <w:spacing w:val="-14"/>
        </w:rPr>
        <w:t> </w:t>
      </w:r>
      <w:r>
        <w:rPr/>
        <w:t>dentro</w:t>
      </w:r>
      <w:r>
        <w:rPr>
          <w:spacing w:val="-16"/>
        </w:rPr>
        <w:t> </w:t>
      </w:r>
      <w:r>
        <w:rPr/>
        <w:t>del</w:t>
      </w:r>
      <w:r>
        <w:rPr>
          <w:spacing w:val="-17"/>
        </w:rPr>
        <w:t> </w:t>
      </w:r>
      <w:r>
        <w:rPr/>
        <w:t>habla</w:t>
      </w:r>
      <w:r>
        <w:rPr>
          <w:spacing w:val="-16"/>
        </w:rPr>
        <w:t> </w:t>
      </w:r>
      <w:r>
        <w:rPr/>
        <w:t>cotidiana</w:t>
      </w:r>
      <w:r>
        <w:rPr>
          <w:spacing w:val="-15"/>
        </w:rPr>
        <w:t> </w:t>
      </w:r>
      <w:r>
        <w:rPr/>
        <w:t>de</w:t>
      </w:r>
      <w:r>
        <w:rPr>
          <w:spacing w:val="-13"/>
        </w:rPr>
        <w:t> </w:t>
      </w:r>
      <w:r>
        <w:rPr/>
        <w:t>las</w:t>
      </w:r>
      <w:r>
        <w:rPr>
          <w:spacing w:val="-18"/>
        </w:rPr>
        <w:t> </w:t>
      </w:r>
      <w:r>
        <w:rPr/>
        <w:t>personas</w:t>
      </w:r>
      <w:r>
        <w:rPr>
          <w:spacing w:val="-14"/>
        </w:rPr>
        <w:t> </w:t>
      </w:r>
      <w:r>
        <w:rPr/>
        <w:t>en</w:t>
      </w:r>
      <w:r>
        <w:rPr>
          <w:spacing w:val="-13"/>
        </w:rPr>
        <w:t> </w:t>
      </w:r>
      <w:r>
        <w:rPr/>
        <w:t>la</w:t>
      </w:r>
      <w:r>
        <w:rPr>
          <w:spacing w:val="-16"/>
        </w:rPr>
        <w:t> </w:t>
      </w:r>
      <w:r>
        <w:rPr/>
        <w:t>ciudad de</w:t>
      </w:r>
      <w:r>
        <w:rPr>
          <w:spacing w:val="-4"/>
        </w:rPr>
        <w:t> </w:t>
      </w:r>
      <w:r>
        <w:rPr/>
        <w:t>Toluca.</w:t>
      </w:r>
    </w:p>
    <w:p>
      <w:pPr>
        <w:pStyle w:val="BodyText"/>
        <w:spacing w:line="360" w:lineRule="auto" w:before="204"/>
        <w:ind w:left="102" w:right="115" w:firstLine="707"/>
        <w:jc w:val="both"/>
      </w:pPr>
      <w:r>
        <w:rPr/>
        <w:t>En este trabajo de investigación se propone como objetivo primordial: analizar las actitudes lingüísticas de hablantes y oyentes de anglicismos léxicos con el fin de identificar su prestigio lingüístico. Así también, se pretende comparar las actitudes lingüísticas de los distintos grupos de edad, contrastar las actitudes lingüísticas de los distintos niveles de estudio e identificar las actitudes lingüísticas entre géneros. Con la intención de continuar la descripción de la aplicación del instrumento se da un recuento de las hipótesis. Se presentan tres hipótesis del tipo correlativas descriptivas:</w:t>
      </w:r>
    </w:p>
    <w:p>
      <w:pPr>
        <w:pStyle w:val="BodyText"/>
        <w:spacing w:line="362" w:lineRule="auto" w:before="202"/>
        <w:ind w:left="810" w:right="26"/>
      </w:pPr>
      <w:r>
        <w:rPr>
          <w:position w:val="1"/>
        </w:rPr>
        <w:t>H</w:t>
      </w:r>
      <w:r>
        <w:rPr>
          <w:sz w:val="16"/>
        </w:rPr>
        <w:t>1</w:t>
      </w:r>
      <w:r>
        <w:rPr>
          <w:position w:val="1"/>
        </w:rPr>
        <w:t>: Las actitudes lingüísticas ante el uso de anglicismos determinan su prestigio o </w:t>
      </w:r>
      <w:r>
        <w:rPr/>
        <w:t>desprestigio.</w:t>
      </w:r>
    </w:p>
    <w:p>
      <w:pPr>
        <w:pStyle w:val="BodyText"/>
        <w:spacing w:line="480" w:lineRule="auto"/>
        <w:ind w:left="810" w:right="339"/>
      </w:pPr>
      <w:r>
        <w:rPr>
          <w:position w:val="1"/>
        </w:rPr>
        <w:t>H</w:t>
      </w:r>
      <w:r>
        <w:rPr>
          <w:sz w:val="16"/>
        </w:rPr>
        <w:t>2</w:t>
      </w:r>
      <w:r>
        <w:rPr>
          <w:position w:val="1"/>
        </w:rPr>
        <w:t>. Las actitudes lingüísticas son favorables a menor edad de los sujetos en </w:t>
      </w:r>
      <w:r>
        <w:rPr/>
        <w:t>oposición a los de mayor edad.</w:t>
      </w:r>
    </w:p>
    <w:p>
      <w:pPr>
        <w:pStyle w:val="BodyText"/>
        <w:rPr>
          <w:sz w:val="20"/>
        </w:rPr>
      </w:pPr>
    </w:p>
    <w:p>
      <w:pPr>
        <w:pStyle w:val="BodyText"/>
        <w:spacing w:before="10"/>
        <w:rPr>
          <w:sz w:val="17"/>
        </w:rPr>
      </w:pPr>
    </w:p>
    <w:p>
      <w:pPr>
        <w:spacing w:before="0"/>
        <w:ind w:left="423" w:right="427" w:firstLine="0"/>
        <w:jc w:val="center"/>
        <w:rPr>
          <w:rFonts w:ascii="Calibri"/>
          <w:sz w:val="22"/>
        </w:rPr>
      </w:pPr>
      <w:r>
        <w:rPr>
          <w:rFonts w:ascii="Calibri"/>
          <w:sz w:val="22"/>
        </w:rPr>
        <w:t>30</w:t>
      </w:r>
    </w:p>
    <w:p>
      <w:pPr>
        <w:spacing w:after="0"/>
        <w:jc w:val="center"/>
        <w:rPr>
          <w:rFonts w:ascii="Calibri"/>
          <w:sz w:val="22"/>
        </w:rPr>
        <w:sectPr>
          <w:headerReference w:type="default" r:id="rId21"/>
          <w:footerReference w:type="default" r:id="rId22"/>
          <w:pgSz w:w="12240" w:h="15840"/>
          <w:pgMar w:header="0" w:footer="0" w:top="1500" w:bottom="280" w:left="1600" w:right="1020"/>
        </w:sectPr>
      </w:pPr>
    </w:p>
    <w:p>
      <w:pPr>
        <w:pStyle w:val="BodyText"/>
        <w:rPr>
          <w:rFonts w:ascii="Calibri"/>
          <w:sz w:val="20"/>
        </w:rPr>
      </w:pPr>
    </w:p>
    <w:p>
      <w:pPr>
        <w:pStyle w:val="BodyText"/>
        <w:rPr>
          <w:rFonts w:ascii="Calibri"/>
          <w:sz w:val="20"/>
        </w:rPr>
      </w:pPr>
    </w:p>
    <w:p>
      <w:pPr>
        <w:pStyle w:val="BodyText"/>
        <w:spacing w:before="7"/>
        <w:rPr>
          <w:rFonts w:ascii="Calibri"/>
          <w:sz w:val="19"/>
        </w:rPr>
      </w:pPr>
    </w:p>
    <w:p>
      <w:pPr>
        <w:pStyle w:val="BodyText"/>
        <w:spacing w:line="480" w:lineRule="auto"/>
        <w:ind w:left="810" w:right="26"/>
      </w:pPr>
      <w:r>
        <w:rPr>
          <w:position w:val="1"/>
        </w:rPr>
        <w:t>H</w:t>
      </w:r>
      <w:r>
        <w:rPr>
          <w:sz w:val="16"/>
        </w:rPr>
        <w:t>3</w:t>
      </w:r>
      <w:r>
        <w:rPr>
          <w:position w:val="1"/>
        </w:rPr>
        <w:t>.</w:t>
      </w:r>
      <w:r>
        <w:rPr>
          <w:spacing w:val="-13"/>
          <w:position w:val="1"/>
        </w:rPr>
        <w:t> </w:t>
      </w:r>
      <w:r>
        <w:rPr>
          <w:position w:val="1"/>
        </w:rPr>
        <w:t>Las</w:t>
      </w:r>
      <w:r>
        <w:rPr>
          <w:spacing w:val="-14"/>
          <w:position w:val="1"/>
        </w:rPr>
        <w:t> </w:t>
      </w:r>
      <w:r>
        <w:rPr>
          <w:position w:val="1"/>
        </w:rPr>
        <w:t>actitudes</w:t>
      </w:r>
      <w:r>
        <w:rPr>
          <w:spacing w:val="-14"/>
          <w:position w:val="1"/>
        </w:rPr>
        <w:t> </w:t>
      </w:r>
      <w:r>
        <w:rPr>
          <w:position w:val="1"/>
        </w:rPr>
        <w:t>lingüísticas</w:t>
      </w:r>
      <w:r>
        <w:rPr>
          <w:spacing w:val="-13"/>
          <w:position w:val="1"/>
        </w:rPr>
        <w:t> </w:t>
      </w:r>
      <w:r>
        <w:rPr>
          <w:position w:val="1"/>
        </w:rPr>
        <w:t>son</w:t>
      </w:r>
      <w:r>
        <w:rPr>
          <w:spacing w:val="-16"/>
          <w:position w:val="1"/>
        </w:rPr>
        <w:t> </w:t>
      </w:r>
      <w:r>
        <w:rPr>
          <w:position w:val="1"/>
        </w:rPr>
        <w:t>favorables</w:t>
      </w:r>
      <w:r>
        <w:rPr>
          <w:spacing w:val="-13"/>
          <w:position w:val="1"/>
        </w:rPr>
        <w:t> </w:t>
      </w:r>
      <w:r>
        <w:rPr>
          <w:position w:val="1"/>
        </w:rPr>
        <w:t>a</w:t>
      </w:r>
      <w:r>
        <w:rPr>
          <w:spacing w:val="-15"/>
          <w:position w:val="1"/>
        </w:rPr>
        <w:t> </w:t>
      </w:r>
      <w:r>
        <w:rPr>
          <w:position w:val="1"/>
        </w:rPr>
        <w:t>mayor</w:t>
      </w:r>
      <w:r>
        <w:rPr>
          <w:spacing w:val="-15"/>
          <w:position w:val="1"/>
        </w:rPr>
        <w:t> </w:t>
      </w:r>
      <w:r>
        <w:rPr>
          <w:position w:val="1"/>
        </w:rPr>
        <w:t>nivel</w:t>
      </w:r>
      <w:r>
        <w:rPr>
          <w:spacing w:val="-14"/>
          <w:position w:val="1"/>
        </w:rPr>
        <w:t> </w:t>
      </w:r>
      <w:r>
        <w:rPr>
          <w:position w:val="1"/>
        </w:rPr>
        <w:t>académico</w:t>
      </w:r>
      <w:r>
        <w:rPr>
          <w:spacing w:val="-13"/>
          <w:position w:val="1"/>
        </w:rPr>
        <w:t> </w:t>
      </w:r>
      <w:r>
        <w:rPr>
          <w:position w:val="1"/>
        </w:rPr>
        <w:t>que</w:t>
      </w:r>
      <w:r>
        <w:rPr>
          <w:spacing w:val="-13"/>
          <w:position w:val="1"/>
        </w:rPr>
        <w:t> </w:t>
      </w:r>
      <w:r>
        <w:rPr>
          <w:position w:val="1"/>
        </w:rPr>
        <w:t>a</w:t>
      </w:r>
      <w:r>
        <w:rPr>
          <w:spacing w:val="-13"/>
          <w:position w:val="1"/>
        </w:rPr>
        <w:t> </w:t>
      </w:r>
      <w:r>
        <w:rPr>
          <w:position w:val="1"/>
        </w:rPr>
        <w:t>menor </w:t>
      </w:r>
      <w:r>
        <w:rPr/>
        <w:t>nivel</w:t>
      </w:r>
      <w:r>
        <w:rPr>
          <w:spacing w:val="-5"/>
        </w:rPr>
        <w:t> </w:t>
      </w:r>
      <w:r>
        <w:rPr/>
        <w:t>académico.</w:t>
      </w:r>
    </w:p>
    <w:p>
      <w:pPr>
        <w:pStyle w:val="BodyText"/>
        <w:spacing w:before="10"/>
        <w:ind w:left="102" w:right="339"/>
      </w:pPr>
      <w:r>
        <w:rPr/>
        <w:t>Y una hipótesis descriptiva simple aplicada a las variables de género:</w:t>
      </w:r>
    </w:p>
    <w:p>
      <w:pPr>
        <w:pStyle w:val="BodyText"/>
      </w:pPr>
    </w:p>
    <w:p>
      <w:pPr>
        <w:pStyle w:val="BodyText"/>
        <w:spacing w:before="8"/>
        <w:rPr>
          <w:sz w:val="23"/>
        </w:rPr>
      </w:pPr>
    </w:p>
    <w:p>
      <w:pPr>
        <w:pStyle w:val="BodyText"/>
        <w:spacing w:line="480" w:lineRule="auto"/>
        <w:ind w:left="810" w:right="26"/>
      </w:pPr>
      <w:r>
        <w:rPr>
          <w:position w:val="1"/>
        </w:rPr>
        <w:t>H</w:t>
      </w:r>
      <w:r>
        <w:rPr>
          <w:sz w:val="16"/>
        </w:rPr>
        <w:t>4</w:t>
      </w:r>
      <w:r>
        <w:rPr>
          <w:position w:val="1"/>
        </w:rPr>
        <w:t>. El género femenino presenta actitudes lingüísticas favorables ante el uso de </w:t>
      </w:r>
      <w:r>
        <w:rPr/>
        <w:t>anglicismos léxicos al contrario del género masculino.</w:t>
      </w:r>
    </w:p>
    <w:p>
      <w:pPr>
        <w:pStyle w:val="BodyText"/>
        <w:spacing w:line="360" w:lineRule="auto" w:before="10"/>
        <w:ind w:left="102" w:right="117" w:firstLine="707"/>
        <w:jc w:val="both"/>
      </w:pPr>
      <w:r>
        <w:rPr/>
        <w:t>Debido</w:t>
      </w:r>
      <w:r>
        <w:rPr>
          <w:spacing w:val="-18"/>
        </w:rPr>
        <w:t> </w:t>
      </w:r>
      <w:r>
        <w:rPr/>
        <w:t>a</w:t>
      </w:r>
      <w:r>
        <w:rPr>
          <w:spacing w:val="-16"/>
        </w:rPr>
        <w:t> </w:t>
      </w:r>
      <w:r>
        <w:rPr/>
        <w:t>la</w:t>
      </w:r>
      <w:r>
        <w:rPr>
          <w:spacing w:val="-18"/>
        </w:rPr>
        <w:t> </w:t>
      </w:r>
      <w:r>
        <w:rPr/>
        <w:t>naturaleza</w:t>
      </w:r>
      <w:r>
        <w:rPr>
          <w:spacing w:val="-18"/>
        </w:rPr>
        <w:t> </w:t>
      </w:r>
      <w:r>
        <w:rPr/>
        <w:t>del</w:t>
      </w:r>
      <w:r>
        <w:rPr>
          <w:spacing w:val="-17"/>
        </w:rPr>
        <w:t> </w:t>
      </w:r>
      <w:r>
        <w:rPr/>
        <w:t>trabajo</w:t>
      </w:r>
      <w:r>
        <w:rPr>
          <w:spacing w:val="-18"/>
        </w:rPr>
        <w:t> </w:t>
      </w:r>
      <w:r>
        <w:rPr/>
        <w:t>de</w:t>
      </w:r>
      <w:r>
        <w:rPr>
          <w:spacing w:val="-16"/>
        </w:rPr>
        <w:t> </w:t>
      </w:r>
      <w:r>
        <w:rPr/>
        <w:t>investigación,</w:t>
      </w:r>
      <w:r>
        <w:rPr>
          <w:spacing w:val="-16"/>
        </w:rPr>
        <w:t> </w:t>
      </w:r>
      <w:r>
        <w:rPr/>
        <w:t>el</w:t>
      </w:r>
      <w:r>
        <w:rPr>
          <w:spacing w:val="-19"/>
        </w:rPr>
        <w:t> </w:t>
      </w:r>
      <w:r>
        <w:rPr/>
        <w:t>tipo</w:t>
      </w:r>
      <w:r>
        <w:rPr>
          <w:spacing w:val="-18"/>
        </w:rPr>
        <w:t> </w:t>
      </w:r>
      <w:r>
        <w:rPr/>
        <w:t>de</w:t>
      </w:r>
      <w:r>
        <w:rPr>
          <w:spacing w:val="-18"/>
        </w:rPr>
        <w:t> </w:t>
      </w:r>
      <w:r>
        <w:rPr/>
        <w:t>enfoque</w:t>
      </w:r>
      <w:r>
        <w:rPr>
          <w:spacing w:val="-18"/>
        </w:rPr>
        <w:t> </w:t>
      </w:r>
      <w:r>
        <w:rPr/>
        <w:t>que</w:t>
      </w:r>
      <w:r>
        <w:rPr>
          <w:spacing w:val="-16"/>
        </w:rPr>
        <w:t> </w:t>
      </w:r>
      <w:r>
        <w:rPr/>
        <w:t>se</w:t>
      </w:r>
      <w:r>
        <w:rPr>
          <w:spacing w:val="-16"/>
        </w:rPr>
        <w:t> </w:t>
      </w:r>
      <w:r>
        <w:rPr/>
        <w:t>siguió fue mixto. Bericat (1998, en Sandín, 2003) menciona a la investigación cualitativa y cuantitativa como dos fuertes prácticas de investigación involucradas con las ciencias sociales y</w:t>
      </w:r>
      <w:r>
        <w:rPr>
          <w:spacing w:val="-5"/>
        </w:rPr>
        <w:t> </w:t>
      </w:r>
      <w:r>
        <w:rPr/>
        <w:t>humanas.</w:t>
      </w:r>
    </w:p>
    <w:p>
      <w:pPr>
        <w:pStyle w:val="BodyText"/>
        <w:spacing w:line="360" w:lineRule="auto" w:before="2"/>
        <w:ind w:left="102" w:right="106" w:firstLine="707"/>
        <w:jc w:val="right"/>
      </w:pPr>
      <w:r>
        <w:rPr/>
        <w:t>De acuerdo con Hernández Sampieri </w:t>
      </w:r>
      <w:r>
        <w:rPr>
          <w:i/>
        </w:rPr>
        <w:t>et al</w:t>
      </w:r>
      <w:r>
        <w:rPr/>
        <w:t>. (2008), la metodología mixta</w:t>
      </w:r>
      <w:r>
        <w:rPr>
          <w:spacing w:val="-16"/>
        </w:rPr>
        <w:t> </w:t>
      </w:r>
      <w:r>
        <w:rPr/>
        <w:t>se</w:t>
      </w:r>
      <w:r>
        <w:rPr>
          <w:spacing w:val="-1"/>
        </w:rPr>
        <w:t> </w:t>
      </w:r>
      <w:r>
        <w:rPr/>
        <w:t>define</w:t>
      </w:r>
      <w:r>
        <w:rPr>
          <w:w w:val="99"/>
        </w:rPr>
        <w:t> </w:t>
      </w:r>
      <w:r>
        <w:rPr/>
        <w:t>como</w:t>
      </w:r>
      <w:r>
        <w:rPr>
          <w:spacing w:val="-11"/>
        </w:rPr>
        <w:t> </w:t>
      </w:r>
      <w:r>
        <w:rPr/>
        <w:t>aquella</w:t>
      </w:r>
      <w:r>
        <w:rPr>
          <w:spacing w:val="-11"/>
        </w:rPr>
        <w:t> </w:t>
      </w:r>
      <w:r>
        <w:rPr/>
        <w:t>en</w:t>
      </w:r>
      <w:r>
        <w:rPr>
          <w:spacing w:val="-11"/>
        </w:rPr>
        <w:t> </w:t>
      </w:r>
      <w:r>
        <w:rPr/>
        <w:t>la</w:t>
      </w:r>
      <w:r>
        <w:rPr>
          <w:spacing w:val="-9"/>
        </w:rPr>
        <w:t> </w:t>
      </w:r>
      <w:r>
        <w:rPr/>
        <w:t>que</w:t>
      </w:r>
      <w:r>
        <w:rPr>
          <w:spacing w:val="-11"/>
        </w:rPr>
        <w:t> </w:t>
      </w:r>
      <w:r>
        <w:rPr/>
        <w:t>se</w:t>
      </w:r>
      <w:r>
        <w:rPr>
          <w:spacing w:val="-11"/>
        </w:rPr>
        <w:t> </w:t>
      </w:r>
      <w:r>
        <w:rPr/>
        <w:t>involucran</w:t>
      </w:r>
      <w:r>
        <w:rPr>
          <w:spacing w:val="-11"/>
        </w:rPr>
        <w:t> </w:t>
      </w:r>
      <w:r>
        <w:rPr/>
        <w:t>tanto</w:t>
      </w:r>
      <w:r>
        <w:rPr>
          <w:spacing w:val="-10"/>
        </w:rPr>
        <w:t> </w:t>
      </w:r>
      <w:r>
        <w:rPr/>
        <w:t>datos</w:t>
      </w:r>
      <w:r>
        <w:rPr>
          <w:spacing w:val="-9"/>
        </w:rPr>
        <w:t> </w:t>
      </w:r>
      <w:r>
        <w:rPr/>
        <w:t>cualitativos</w:t>
      </w:r>
      <w:r>
        <w:rPr>
          <w:spacing w:val="-9"/>
        </w:rPr>
        <w:t> </w:t>
      </w:r>
      <w:r>
        <w:rPr/>
        <w:t>como</w:t>
      </w:r>
      <w:r>
        <w:rPr>
          <w:spacing w:val="-11"/>
        </w:rPr>
        <w:t> </w:t>
      </w:r>
      <w:r>
        <w:rPr/>
        <w:t>datos</w:t>
      </w:r>
      <w:r>
        <w:rPr>
          <w:spacing w:val="-12"/>
        </w:rPr>
        <w:t> </w:t>
      </w:r>
      <w:r>
        <w:rPr/>
        <w:t>cuantitativos</w:t>
      </w:r>
      <w:r>
        <w:rPr>
          <w:spacing w:val="-9"/>
        </w:rPr>
        <w:t> </w:t>
      </w:r>
      <w:r>
        <w:rPr/>
        <w:t>en</w:t>
      </w:r>
      <w:r>
        <w:rPr>
          <w:w w:val="99"/>
        </w:rPr>
        <w:t> </w:t>
      </w:r>
      <w:r>
        <w:rPr/>
        <w:t>la misma investigación. Como datos cualitativos se tienen la necesidad</w:t>
      </w:r>
      <w:r>
        <w:rPr>
          <w:spacing w:val="46"/>
        </w:rPr>
        <w:t> </w:t>
      </w:r>
      <w:r>
        <w:rPr/>
        <w:t>de</w:t>
      </w:r>
      <w:r>
        <w:rPr>
          <w:spacing w:val="31"/>
        </w:rPr>
        <w:t> </w:t>
      </w:r>
      <w:r>
        <w:rPr/>
        <w:t>responder</w:t>
      </w:r>
      <w:r>
        <w:rPr>
          <w:w w:val="99"/>
        </w:rPr>
        <w:t> </w:t>
      </w:r>
      <w:r>
        <w:rPr/>
        <w:t>ciertas preguntas relacionadas con un fenómeno tan complejo como el</w:t>
      </w:r>
      <w:r>
        <w:rPr>
          <w:spacing w:val="30"/>
        </w:rPr>
        <w:t> </w:t>
      </w:r>
      <w:r>
        <w:rPr/>
        <w:t>uso</w:t>
      </w:r>
      <w:r>
        <w:rPr>
          <w:spacing w:val="30"/>
        </w:rPr>
        <w:t> </w:t>
      </w:r>
      <w:r>
        <w:rPr/>
        <w:t>de</w:t>
      </w:r>
      <w:r>
        <w:rPr>
          <w:w w:val="99"/>
        </w:rPr>
        <w:t> </w:t>
      </w:r>
      <w:r>
        <w:rPr/>
        <w:t>anglicismos</w:t>
      </w:r>
      <w:r>
        <w:rPr>
          <w:spacing w:val="-6"/>
        </w:rPr>
        <w:t> </w:t>
      </w:r>
      <w:r>
        <w:rPr/>
        <w:t>pese</w:t>
      </w:r>
      <w:r>
        <w:rPr>
          <w:spacing w:val="-5"/>
        </w:rPr>
        <w:t> </w:t>
      </w:r>
      <w:r>
        <w:rPr/>
        <w:t>a</w:t>
      </w:r>
      <w:r>
        <w:rPr>
          <w:spacing w:val="-5"/>
        </w:rPr>
        <w:t> </w:t>
      </w:r>
      <w:r>
        <w:rPr/>
        <w:t>la</w:t>
      </w:r>
      <w:r>
        <w:rPr>
          <w:spacing w:val="-8"/>
        </w:rPr>
        <w:t> </w:t>
      </w:r>
      <w:r>
        <w:rPr/>
        <w:t>existencia</w:t>
      </w:r>
      <w:r>
        <w:rPr>
          <w:spacing w:val="-3"/>
        </w:rPr>
        <w:t> </w:t>
      </w:r>
      <w:r>
        <w:rPr/>
        <w:t>de</w:t>
      </w:r>
      <w:r>
        <w:rPr>
          <w:spacing w:val="-3"/>
        </w:rPr>
        <w:t> </w:t>
      </w:r>
      <w:r>
        <w:rPr/>
        <w:t>los</w:t>
      </w:r>
      <w:r>
        <w:rPr>
          <w:spacing w:val="-5"/>
        </w:rPr>
        <w:t> </w:t>
      </w:r>
      <w:r>
        <w:rPr/>
        <w:t>términos</w:t>
      </w:r>
      <w:r>
        <w:rPr>
          <w:spacing w:val="-6"/>
        </w:rPr>
        <w:t> </w:t>
      </w:r>
      <w:r>
        <w:rPr/>
        <w:t>en</w:t>
      </w:r>
      <w:r>
        <w:rPr>
          <w:spacing w:val="-5"/>
        </w:rPr>
        <w:t> </w:t>
      </w:r>
      <w:r>
        <w:rPr/>
        <w:t>la</w:t>
      </w:r>
      <w:r>
        <w:rPr>
          <w:spacing w:val="-5"/>
        </w:rPr>
        <w:t> </w:t>
      </w:r>
      <w:r>
        <w:rPr/>
        <w:t>lengua</w:t>
      </w:r>
      <w:r>
        <w:rPr>
          <w:spacing w:val="-7"/>
        </w:rPr>
        <w:t> </w:t>
      </w:r>
      <w:r>
        <w:rPr/>
        <w:t>madre</w:t>
      </w:r>
      <w:r>
        <w:rPr>
          <w:spacing w:val="-3"/>
        </w:rPr>
        <w:t> </w:t>
      </w:r>
      <w:r>
        <w:rPr/>
        <w:t>que</w:t>
      </w:r>
      <w:r>
        <w:rPr>
          <w:spacing w:val="-5"/>
        </w:rPr>
        <w:t> </w:t>
      </w:r>
      <w:r>
        <w:rPr/>
        <w:t>en</w:t>
      </w:r>
      <w:r>
        <w:rPr>
          <w:spacing w:val="-5"/>
        </w:rPr>
        <w:t> </w:t>
      </w:r>
      <w:r>
        <w:rPr/>
        <w:t>este</w:t>
      </w:r>
      <w:r>
        <w:rPr>
          <w:spacing w:val="-4"/>
        </w:rPr>
        <w:t> </w:t>
      </w:r>
      <w:r>
        <w:rPr/>
        <w:t>caso</w:t>
      </w:r>
      <w:r>
        <w:rPr>
          <w:spacing w:val="-5"/>
        </w:rPr>
        <w:t> </w:t>
      </w:r>
      <w:r>
        <w:rPr/>
        <w:t>es el</w:t>
      </w:r>
      <w:r>
        <w:rPr>
          <w:spacing w:val="-10"/>
        </w:rPr>
        <w:t> </w:t>
      </w:r>
      <w:r>
        <w:rPr/>
        <w:t>español,</w:t>
      </w:r>
      <w:r>
        <w:rPr>
          <w:spacing w:val="-12"/>
        </w:rPr>
        <w:t> </w:t>
      </w:r>
      <w:r>
        <w:rPr/>
        <w:t>entre</w:t>
      </w:r>
      <w:r>
        <w:rPr>
          <w:spacing w:val="-9"/>
        </w:rPr>
        <w:t> </w:t>
      </w:r>
      <w:r>
        <w:rPr/>
        <w:t>dichas</w:t>
      </w:r>
      <w:r>
        <w:rPr>
          <w:spacing w:val="-9"/>
        </w:rPr>
        <w:t> </w:t>
      </w:r>
      <w:r>
        <w:rPr/>
        <w:t>preguntas</w:t>
      </w:r>
      <w:r>
        <w:rPr>
          <w:spacing w:val="-12"/>
        </w:rPr>
        <w:t> </w:t>
      </w:r>
      <w:r>
        <w:rPr/>
        <w:t>y</w:t>
      </w:r>
      <w:r>
        <w:rPr>
          <w:spacing w:val="-12"/>
        </w:rPr>
        <w:t> </w:t>
      </w:r>
      <w:r>
        <w:rPr/>
        <w:t>como</w:t>
      </w:r>
      <w:r>
        <w:rPr>
          <w:spacing w:val="-11"/>
        </w:rPr>
        <w:t> </w:t>
      </w:r>
      <w:r>
        <w:rPr/>
        <w:t>la</w:t>
      </w:r>
      <w:r>
        <w:rPr>
          <w:spacing w:val="-11"/>
        </w:rPr>
        <w:t> </w:t>
      </w:r>
      <w:r>
        <w:rPr/>
        <w:t>más</w:t>
      </w:r>
      <w:r>
        <w:rPr>
          <w:spacing w:val="-9"/>
        </w:rPr>
        <w:t> </w:t>
      </w:r>
      <w:r>
        <w:rPr/>
        <w:t>representativa</w:t>
      </w:r>
      <w:r>
        <w:rPr>
          <w:spacing w:val="-9"/>
        </w:rPr>
        <w:t> </w:t>
      </w:r>
      <w:r>
        <w:rPr/>
        <w:t>de</w:t>
      </w:r>
      <w:r>
        <w:rPr>
          <w:spacing w:val="-11"/>
        </w:rPr>
        <w:t> </w:t>
      </w:r>
      <w:r>
        <w:rPr/>
        <w:t>esta</w:t>
      </w:r>
      <w:r>
        <w:rPr>
          <w:spacing w:val="-8"/>
        </w:rPr>
        <w:t> </w:t>
      </w:r>
      <w:r>
        <w:rPr/>
        <w:t>investigación</w:t>
      </w:r>
      <w:r>
        <w:rPr>
          <w:spacing w:val="-9"/>
        </w:rPr>
        <w:t> </w:t>
      </w:r>
      <w:r>
        <w:rPr/>
        <w:t>se</w:t>
      </w:r>
      <w:r>
        <w:rPr>
          <w:w w:val="99"/>
        </w:rPr>
        <w:t> </w:t>
      </w:r>
      <w:r>
        <w:rPr/>
        <w:t>tiene</w:t>
      </w:r>
      <w:r>
        <w:rPr>
          <w:spacing w:val="-5"/>
        </w:rPr>
        <w:t> </w:t>
      </w:r>
      <w:r>
        <w:rPr>
          <w:b/>
        </w:rPr>
        <w:t>¿cuál</w:t>
      </w:r>
      <w:r>
        <w:rPr>
          <w:b/>
          <w:spacing w:val="-6"/>
        </w:rPr>
        <w:t> </w:t>
      </w:r>
      <w:r>
        <w:rPr>
          <w:b/>
        </w:rPr>
        <w:t>es</w:t>
      </w:r>
      <w:r>
        <w:rPr>
          <w:b/>
          <w:spacing w:val="-6"/>
        </w:rPr>
        <w:t> </w:t>
      </w:r>
      <w:r>
        <w:rPr>
          <w:b/>
        </w:rPr>
        <w:t>el</w:t>
      </w:r>
      <w:r>
        <w:rPr>
          <w:b/>
          <w:spacing w:val="-9"/>
        </w:rPr>
        <w:t> </w:t>
      </w:r>
      <w:r>
        <w:rPr>
          <w:b/>
        </w:rPr>
        <w:t>efecto</w:t>
      </w:r>
      <w:r>
        <w:rPr>
          <w:b/>
          <w:spacing w:val="-7"/>
        </w:rPr>
        <w:t> </w:t>
      </w:r>
      <w:r>
        <w:rPr>
          <w:b/>
        </w:rPr>
        <w:t>que</w:t>
      </w:r>
      <w:r>
        <w:rPr>
          <w:b/>
          <w:spacing w:val="-6"/>
        </w:rPr>
        <w:t> </w:t>
      </w:r>
      <w:r>
        <w:rPr>
          <w:b/>
        </w:rPr>
        <w:t>produce</w:t>
      </w:r>
      <w:r>
        <w:rPr>
          <w:b/>
          <w:spacing w:val="-6"/>
        </w:rPr>
        <w:t> </w:t>
      </w:r>
      <w:r>
        <w:rPr>
          <w:b/>
        </w:rPr>
        <w:t>en</w:t>
      </w:r>
      <w:r>
        <w:rPr>
          <w:b/>
          <w:spacing w:val="-7"/>
        </w:rPr>
        <w:t> </w:t>
      </w:r>
      <w:r>
        <w:rPr>
          <w:b/>
        </w:rPr>
        <w:t>el</w:t>
      </w:r>
      <w:r>
        <w:rPr>
          <w:b/>
          <w:spacing w:val="-9"/>
        </w:rPr>
        <w:t> </w:t>
      </w:r>
      <w:r>
        <w:rPr>
          <w:b/>
        </w:rPr>
        <w:t>oyente</w:t>
      </w:r>
      <w:r>
        <w:rPr>
          <w:b/>
          <w:spacing w:val="-7"/>
        </w:rPr>
        <w:t> </w:t>
      </w:r>
      <w:r>
        <w:rPr>
          <w:b/>
        </w:rPr>
        <w:t>el</w:t>
      </w:r>
      <w:r>
        <w:rPr>
          <w:b/>
          <w:spacing w:val="-6"/>
        </w:rPr>
        <w:t> </w:t>
      </w:r>
      <w:r>
        <w:rPr>
          <w:b/>
        </w:rPr>
        <w:t>uso</w:t>
      </w:r>
      <w:r>
        <w:rPr>
          <w:b/>
          <w:spacing w:val="-7"/>
        </w:rPr>
        <w:t> </w:t>
      </w:r>
      <w:r>
        <w:rPr>
          <w:b/>
        </w:rPr>
        <w:t>de</w:t>
      </w:r>
      <w:r>
        <w:rPr>
          <w:b/>
          <w:spacing w:val="-6"/>
        </w:rPr>
        <w:t> </w:t>
      </w:r>
      <w:r>
        <w:rPr>
          <w:b/>
        </w:rPr>
        <w:t>anglicismos</w:t>
      </w:r>
      <w:r>
        <w:rPr>
          <w:b/>
          <w:spacing w:val="-6"/>
        </w:rPr>
        <w:t> </w:t>
      </w:r>
      <w:r>
        <w:rPr>
          <w:b/>
        </w:rPr>
        <w:t>léxicos?</w:t>
      </w:r>
      <w:r>
        <w:rPr>
          <w:b/>
          <w:spacing w:val="-2"/>
        </w:rPr>
        <w:t> </w:t>
      </w:r>
      <w:r>
        <w:rPr/>
        <w:t>La</w:t>
      </w:r>
      <w:r>
        <w:rPr>
          <w:w w:val="99"/>
        </w:rPr>
        <w:t> </w:t>
      </w:r>
      <w:r>
        <w:rPr/>
        <w:t>finalidad es describir dicho fenómeno y comprenderlo para poder explicarlo</w:t>
      </w:r>
      <w:r>
        <w:rPr>
          <w:spacing w:val="57"/>
        </w:rPr>
        <w:t> </w:t>
      </w:r>
      <w:r>
        <w:rPr/>
        <w:t>(Leedy</w:t>
      </w:r>
      <w:r>
        <w:rPr>
          <w:spacing w:val="31"/>
        </w:rPr>
        <w:t> </w:t>
      </w:r>
      <w:r>
        <w:rPr/>
        <w:t>&amp; Ormrod, 2005:94-95). En cuanto a la investigación cuantitativa, Briones G.</w:t>
      </w:r>
      <w:r>
        <w:rPr>
          <w:spacing w:val="7"/>
        </w:rPr>
        <w:t> </w:t>
      </w:r>
      <w:r>
        <w:rPr/>
        <w:t>(1996)</w:t>
      </w:r>
      <w:r>
        <w:rPr>
          <w:spacing w:val="1"/>
        </w:rPr>
        <w:t> </w:t>
      </w:r>
      <w:r>
        <w:rPr/>
        <w:t>indica</w:t>
      </w:r>
      <w:r>
        <w:rPr>
          <w:w w:val="99"/>
        </w:rPr>
        <w:t> </w:t>
      </w:r>
      <w:r>
        <w:rPr/>
        <w:t>que</w:t>
      </w:r>
      <w:r>
        <w:rPr>
          <w:spacing w:val="-4"/>
        </w:rPr>
        <w:t> </w:t>
      </w:r>
      <w:r>
        <w:rPr/>
        <w:t>para</w:t>
      </w:r>
      <w:r>
        <w:rPr>
          <w:spacing w:val="-7"/>
        </w:rPr>
        <w:t> </w:t>
      </w:r>
      <w:r>
        <w:rPr/>
        <w:t>las</w:t>
      </w:r>
      <w:r>
        <w:rPr>
          <w:spacing w:val="-6"/>
        </w:rPr>
        <w:t> </w:t>
      </w:r>
      <w:r>
        <w:rPr/>
        <w:t>ciencias</w:t>
      </w:r>
      <w:r>
        <w:rPr>
          <w:spacing w:val="-6"/>
        </w:rPr>
        <w:t> </w:t>
      </w:r>
      <w:r>
        <w:rPr/>
        <w:t>sociales</w:t>
      </w:r>
      <w:r>
        <w:rPr>
          <w:spacing w:val="-7"/>
        </w:rPr>
        <w:t> </w:t>
      </w:r>
      <w:r>
        <w:rPr/>
        <w:t>es</w:t>
      </w:r>
      <w:r>
        <w:rPr>
          <w:spacing w:val="-4"/>
        </w:rPr>
        <w:t> </w:t>
      </w:r>
      <w:r>
        <w:rPr/>
        <w:t>una</w:t>
      </w:r>
      <w:r>
        <w:rPr>
          <w:spacing w:val="-6"/>
        </w:rPr>
        <w:t> </w:t>
      </w:r>
      <w:r>
        <w:rPr/>
        <w:t>manera</w:t>
      </w:r>
      <w:r>
        <w:rPr>
          <w:spacing w:val="-7"/>
        </w:rPr>
        <w:t> </w:t>
      </w:r>
      <w:r>
        <w:rPr/>
        <w:t>de</w:t>
      </w:r>
      <w:r>
        <w:rPr>
          <w:spacing w:val="-8"/>
        </w:rPr>
        <w:t> </w:t>
      </w:r>
      <w:r>
        <w:rPr/>
        <w:t>fundamentar ciertos</w:t>
      </w:r>
      <w:r>
        <w:rPr>
          <w:spacing w:val="-4"/>
        </w:rPr>
        <w:t> </w:t>
      </w:r>
      <w:r>
        <w:rPr/>
        <w:t>hallazgos</w:t>
      </w:r>
      <w:r>
        <w:rPr>
          <w:spacing w:val="-4"/>
        </w:rPr>
        <w:t> </w:t>
      </w:r>
      <w:r>
        <w:rPr/>
        <w:t>en</w:t>
      </w:r>
      <w:r>
        <w:rPr>
          <w:spacing w:val="-6"/>
        </w:rPr>
        <w:t> </w:t>
      </w:r>
      <w:r>
        <w:rPr/>
        <w:t>datos</w:t>
      </w:r>
      <w:r>
        <w:rPr>
          <w:w w:val="100"/>
        </w:rPr>
        <w:t> </w:t>
      </w:r>
      <w:r>
        <w:rPr/>
        <w:t>cuantificables</w:t>
      </w:r>
      <w:r>
        <w:rPr>
          <w:spacing w:val="-13"/>
        </w:rPr>
        <w:t> </w:t>
      </w:r>
      <w:r>
        <w:rPr/>
        <w:t>para</w:t>
      </w:r>
      <w:r>
        <w:rPr>
          <w:spacing w:val="-11"/>
        </w:rPr>
        <w:t> </w:t>
      </w:r>
      <w:r>
        <w:rPr/>
        <w:t>poder</w:t>
      </w:r>
      <w:r>
        <w:rPr>
          <w:spacing w:val="-12"/>
        </w:rPr>
        <w:t> </w:t>
      </w:r>
      <w:r>
        <w:rPr/>
        <w:t>describir</w:t>
      </w:r>
      <w:r>
        <w:rPr>
          <w:spacing w:val="-13"/>
        </w:rPr>
        <w:t> </w:t>
      </w:r>
      <w:r>
        <w:rPr/>
        <w:t>y</w:t>
      </w:r>
      <w:r>
        <w:rPr>
          <w:spacing w:val="-14"/>
        </w:rPr>
        <w:t> </w:t>
      </w:r>
      <w:r>
        <w:rPr/>
        <w:t>explicar</w:t>
      </w:r>
      <w:r>
        <w:rPr>
          <w:spacing w:val="-12"/>
        </w:rPr>
        <w:t> </w:t>
      </w:r>
      <w:r>
        <w:rPr/>
        <w:t>el</w:t>
      </w:r>
      <w:r>
        <w:rPr>
          <w:spacing w:val="-12"/>
        </w:rPr>
        <w:t> </w:t>
      </w:r>
      <w:r>
        <w:rPr/>
        <w:t>fenómeno</w:t>
      </w:r>
      <w:r>
        <w:rPr>
          <w:spacing w:val="-11"/>
        </w:rPr>
        <w:t> </w:t>
      </w:r>
      <w:r>
        <w:rPr/>
        <w:t>que</w:t>
      </w:r>
      <w:r>
        <w:rPr>
          <w:spacing w:val="-11"/>
        </w:rPr>
        <w:t> </w:t>
      </w:r>
      <w:r>
        <w:rPr/>
        <w:t>se</w:t>
      </w:r>
      <w:r>
        <w:rPr>
          <w:spacing w:val="-11"/>
        </w:rPr>
        <w:t> </w:t>
      </w:r>
      <w:r>
        <w:rPr/>
        <w:t>está</w:t>
      </w:r>
      <w:r>
        <w:rPr>
          <w:spacing w:val="-11"/>
        </w:rPr>
        <w:t> </w:t>
      </w:r>
      <w:r>
        <w:rPr/>
        <w:t>estudiando,</w:t>
      </w:r>
      <w:r>
        <w:rPr>
          <w:spacing w:val="-11"/>
        </w:rPr>
        <w:t> </w:t>
      </w:r>
      <w:r>
        <w:rPr/>
        <w:t>y</w:t>
      </w:r>
      <w:r>
        <w:rPr>
          <w:spacing w:val="-14"/>
        </w:rPr>
        <w:t> </w:t>
      </w:r>
      <w:r>
        <w:rPr/>
        <w:t>dado</w:t>
      </w:r>
      <w:r>
        <w:rPr>
          <w:w w:val="99"/>
        </w:rPr>
        <w:t> </w:t>
      </w:r>
      <w:r>
        <w:rPr/>
        <w:t>que se emplea la escala Likert como instrumento de investigación, las</w:t>
      </w:r>
      <w:r>
        <w:rPr>
          <w:spacing w:val="30"/>
        </w:rPr>
        <w:t> </w:t>
      </w:r>
      <w:r>
        <w:rPr/>
        <w:t>percepciones</w:t>
      </w:r>
      <w:r>
        <w:rPr>
          <w:spacing w:val="6"/>
        </w:rPr>
        <w:t> </w:t>
      </w:r>
      <w:r>
        <w:rPr/>
        <w:t>de</w:t>
      </w:r>
      <w:r>
        <w:rPr>
          <w:w w:val="99"/>
        </w:rPr>
        <w:t> </w:t>
      </w:r>
      <w:r>
        <w:rPr/>
        <w:t>los</w:t>
      </w:r>
      <w:r>
        <w:rPr>
          <w:spacing w:val="-5"/>
        </w:rPr>
        <w:t> </w:t>
      </w:r>
      <w:r>
        <w:rPr/>
        <w:t>sujetos</w:t>
      </w:r>
      <w:r>
        <w:rPr>
          <w:spacing w:val="-5"/>
        </w:rPr>
        <w:t> </w:t>
      </w:r>
      <w:r>
        <w:rPr/>
        <w:t>de</w:t>
      </w:r>
      <w:r>
        <w:rPr>
          <w:spacing w:val="-5"/>
        </w:rPr>
        <w:t> </w:t>
      </w:r>
      <w:r>
        <w:rPr/>
        <w:t>investigación</w:t>
      </w:r>
      <w:r>
        <w:rPr>
          <w:spacing w:val="-4"/>
        </w:rPr>
        <w:t> </w:t>
      </w:r>
      <w:r>
        <w:rPr/>
        <w:t>se</w:t>
      </w:r>
      <w:r>
        <w:rPr>
          <w:spacing w:val="-5"/>
        </w:rPr>
        <w:t> </w:t>
      </w:r>
      <w:r>
        <w:rPr/>
        <w:t>transforman</w:t>
      </w:r>
      <w:r>
        <w:rPr>
          <w:spacing w:val="-7"/>
        </w:rPr>
        <w:t> </w:t>
      </w:r>
      <w:r>
        <w:rPr/>
        <w:t>en</w:t>
      </w:r>
      <w:r>
        <w:rPr>
          <w:spacing w:val="-5"/>
        </w:rPr>
        <w:t> </w:t>
      </w:r>
      <w:r>
        <w:rPr/>
        <w:t>datos</w:t>
      </w:r>
      <w:r>
        <w:rPr>
          <w:spacing w:val="-5"/>
        </w:rPr>
        <w:t> </w:t>
      </w:r>
      <w:r>
        <w:rPr/>
        <w:t>cuantitativos</w:t>
      </w:r>
      <w:r>
        <w:rPr>
          <w:spacing w:val="-5"/>
        </w:rPr>
        <w:t> </w:t>
      </w:r>
      <w:r>
        <w:rPr/>
        <w:t>para</w:t>
      </w:r>
      <w:r>
        <w:rPr>
          <w:spacing w:val="-5"/>
        </w:rPr>
        <w:t> </w:t>
      </w:r>
      <w:r>
        <w:rPr/>
        <w:t>su</w:t>
      </w:r>
      <w:r>
        <w:rPr>
          <w:spacing w:val="-5"/>
        </w:rPr>
        <w:t> </w:t>
      </w:r>
      <w:r>
        <w:rPr/>
        <w:t>interpretación.</w:t>
      </w:r>
    </w:p>
    <w:p>
      <w:pPr>
        <w:pStyle w:val="BodyText"/>
      </w:pPr>
    </w:p>
    <w:p>
      <w:pPr>
        <w:pStyle w:val="BodyText"/>
        <w:spacing w:line="360" w:lineRule="auto" w:before="142"/>
        <w:ind w:left="102" w:right="112" w:firstLine="707"/>
        <w:jc w:val="both"/>
      </w:pPr>
      <w:r>
        <w:rPr/>
        <w:t>Entre las ventajas que ofrece este tipo de metodología se encuentra la eficiencia en el proceso de recolección de datos, además, facilita el análisis y correspondencia de datos que dan respuesta a las preguntas de investigación. Así también permite una perspectiva más precisa y fiel de los hechos relacionados con el fenómeno que se va a estudiar.</w:t>
      </w:r>
    </w:p>
    <w:p>
      <w:pPr>
        <w:spacing w:after="0" w:line="360" w:lineRule="auto"/>
        <w:jc w:val="both"/>
        <w:sectPr>
          <w:headerReference w:type="default" r:id="rId23"/>
          <w:footerReference w:type="default" r:id="rId24"/>
          <w:pgSz w:w="12240" w:h="15840"/>
          <w:pgMar w:header="749" w:footer="1003" w:top="960" w:bottom="1200" w:left="1600" w:right="1020"/>
          <w:pgNumType w:start="31"/>
        </w:sectPr>
      </w:pPr>
    </w:p>
    <w:p>
      <w:pPr>
        <w:pStyle w:val="BodyText"/>
        <w:rPr>
          <w:sz w:val="20"/>
        </w:rPr>
      </w:pPr>
    </w:p>
    <w:p>
      <w:pPr>
        <w:pStyle w:val="BodyText"/>
        <w:rPr>
          <w:sz w:val="20"/>
        </w:rPr>
      </w:pPr>
    </w:p>
    <w:p>
      <w:pPr>
        <w:pStyle w:val="BodyText"/>
        <w:spacing w:before="3"/>
        <w:rPr>
          <w:sz w:val="17"/>
        </w:rPr>
      </w:pPr>
    </w:p>
    <w:p>
      <w:pPr>
        <w:pStyle w:val="BodyText"/>
        <w:spacing w:line="360" w:lineRule="auto" w:before="69"/>
        <w:ind w:left="102" w:right="109" w:firstLine="707"/>
        <w:jc w:val="both"/>
      </w:pPr>
      <w:r>
        <w:rPr/>
        <w:t>Johnson </w:t>
      </w:r>
      <w:r>
        <w:rPr>
          <w:i/>
        </w:rPr>
        <w:t>et al. </w:t>
      </w:r>
      <w:r>
        <w:rPr/>
        <w:t>(2006 en Hernández Sampieri, 2010) indica que toda investigación mixta puede centrarse más en alguno de sus componentes (cualitativo o cuantitativo) o darles el mismo peso. Se considera que esta investigación tienen una preponderancia Cualitativa, dando como resultado un enfoque “cualitativo mixto”. La metodología cualitativa</w:t>
      </w:r>
      <w:r>
        <w:rPr>
          <w:spacing w:val="-8"/>
        </w:rPr>
        <w:t> </w:t>
      </w:r>
      <w:r>
        <w:rPr/>
        <w:t>empleada</w:t>
      </w:r>
      <w:r>
        <w:rPr>
          <w:spacing w:val="-8"/>
        </w:rPr>
        <w:t> </w:t>
      </w:r>
      <w:r>
        <w:rPr/>
        <w:t>en</w:t>
      </w:r>
      <w:r>
        <w:rPr>
          <w:spacing w:val="-8"/>
        </w:rPr>
        <w:t> </w:t>
      </w:r>
      <w:r>
        <w:rPr/>
        <w:t>esta</w:t>
      </w:r>
      <w:r>
        <w:rPr>
          <w:spacing w:val="-8"/>
        </w:rPr>
        <w:t> </w:t>
      </w:r>
      <w:r>
        <w:rPr/>
        <w:t>investigación</w:t>
      </w:r>
      <w:r>
        <w:rPr>
          <w:spacing w:val="-10"/>
        </w:rPr>
        <w:t> </w:t>
      </w:r>
      <w:r>
        <w:rPr/>
        <w:t>es</w:t>
      </w:r>
      <w:r>
        <w:rPr>
          <w:spacing w:val="-10"/>
        </w:rPr>
        <w:t> </w:t>
      </w:r>
      <w:r>
        <w:rPr/>
        <w:t>la</w:t>
      </w:r>
      <w:r>
        <w:rPr>
          <w:spacing w:val="-4"/>
        </w:rPr>
        <w:t> </w:t>
      </w:r>
      <w:r>
        <w:rPr/>
        <w:t>“fenomenológica”,</w:t>
      </w:r>
      <w:r>
        <w:rPr>
          <w:spacing w:val="-9"/>
        </w:rPr>
        <w:t> </w:t>
      </w:r>
      <w:r>
        <w:rPr/>
        <w:t>este</w:t>
      </w:r>
      <w:r>
        <w:rPr>
          <w:spacing w:val="-10"/>
        </w:rPr>
        <w:t> </w:t>
      </w:r>
      <w:r>
        <w:rPr/>
        <w:t>método</w:t>
      </w:r>
      <w:r>
        <w:rPr>
          <w:spacing w:val="-10"/>
        </w:rPr>
        <w:t> </w:t>
      </w:r>
      <w:r>
        <w:rPr/>
        <w:t>pretende entender las perspectivas y puntos de vista de los participantes con respecto a las realidades sociales como las actitudes ante el uso de anglicismos. Con este método se puede</w:t>
      </w:r>
      <w:r>
        <w:rPr>
          <w:spacing w:val="-5"/>
        </w:rPr>
        <w:t> </w:t>
      </w:r>
      <w:r>
        <w:rPr/>
        <w:t>describir,</w:t>
      </w:r>
      <w:r>
        <w:rPr>
          <w:spacing w:val="-4"/>
        </w:rPr>
        <w:t> </w:t>
      </w:r>
      <w:r>
        <w:rPr/>
        <w:t>observar</w:t>
      </w:r>
      <w:r>
        <w:rPr>
          <w:spacing w:val="-4"/>
        </w:rPr>
        <w:t> </w:t>
      </w:r>
      <w:r>
        <w:rPr/>
        <w:t>y</w:t>
      </w:r>
      <w:r>
        <w:rPr>
          <w:spacing w:val="-6"/>
        </w:rPr>
        <w:t> </w:t>
      </w:r>
      <w:r>
        <w:rPr/>
        <w:t>medir</w:t>
      </w:r>
      <w:r>
        <w:rPr>
          <w:spacing w:val="-5"/>
        </w:rPr>
        <w:t> </w:t>
      </w:r>
      <w:r>
        <w:rPr/>
        <w:t>actitudes</w:t>
      </w:r>
      <w:r>
        <w:rPr>
          <w:spacing w:val="-4"/>
        </w:rPr>
        <w:t> </w:t>
      </w:r>
      <w:r>
        <w:rPr/>
        <w:t>según</w:t>
      </w:r>
      <w:r>
        <w:rPr>
          <w:spacing w:val="-5"/>
        </w:rPr>
        <w:t> </w:t>
      </w:r>
      <w:r>
        <w:rPr/>
        <w:t>así</w:t>
      </w:r>
      <w:r>
        <w:rPr>
          <w:spacing w:val="-5"/>
        </w:rPr>
        <w:t> </w:t>
      </w:r>
      <w:r>
        <w:rPr/>
        <w:t>lo</w:t>
      </w:r>
      <w:r>
        <w:rPr>
          <w:spacing w:val="-4"/>
        </w:rPr>
        <w:t> </w:t>
      </w:r>
      <w:r>
        <w:rPr/>
        <w:t>indican</w:t>
      </w:r>
      <w:r>
        <w:rPr>
          <w:spacing w:val="-5"/>
        </w:rPr>
        <w:t> </w:t>
      </w:r>
      <w:r>
        <w:rPr/>
        <w:t>Leedy</w:t>
      </w:r>
      <w:r>
        <w:rPr>
          <w:spacing w:val="-6"/>
        </w:rPr>
        <w:t> </w:t>
      </w:r>
      <w:r>
        <w:rPr/>
        <w:t>&amp;</w:t>
      </w:r>
      <w:r>
        <w:rPr>
          <w:spacing w:val="-5"/>
        </w:rPr>
        <w:t> </w:t>
      </w:r>
      <w:r>
        <w:rPr/>
        <w:t>Ormrod</w:t>
      </w:r>
      <w:r>
        <w:rPr>
          <w:spacing w:val="-5"/>
        </w:rPr>
        <w:t> </w:t>
      </w:r>
      <w:r>
        <w:rPr/>
        <w:t>(2005). Es “ex – post – facto” a su vez ya que observa las condiciones de un fenómeno que ya ocurrió (introducción de anglicismos al habla cotidiana de hispano-hablantes), recolecta información para estudiar posibles relaciones entre las circunstancias en las que el fenómeno ocurrió (el prestigio de lenguas extranjeras y la necesidad de pertenecer a un grupo</w:t>
      </w:r>
      <w:r>
        <w:rPr>
          <w:spacing w:val="-12"/>
        </w:rPr>
        <w:t> </w:t>
      </w:r>
      <w:r>
        <w:rPr/>
        <w:t>prestigioso</w:t>
      </w:r>
      <w:r>
        <w:rPr>
          <w:spacing w:val="-11"/>
        </w:rPr>
        <w:t> </w:t>
      </w:r>
      <w:r>
        <w:rPr/>
        <w:t>determinado</w:t>
      </w:r>
      <w:r>
        <w:rPr>
          <w:spacing w:val="-12"/>
        </w:rPr>
        <w:t> </w:t>
      </w:r>
      <w:r>
        <w:rPr/>
        <w:t>por</w:t>
      </w:r>
      <w:r>
        <w:rPr>
          <w:spacing w:val="-13"/>
        </w:rPr>
        <w:t> </w:t>
      </w:r>
      <w:r>
        <w:rPr/>
        <w:t>la</w:t>
      </w:r>
      <w:r>
        <w:rPr>
          <w:spacing w:val="-12"/>
        </w:rPr>
        <w:t> </w:t>
      </w:r>
      <w:r>
        <w:rPr/>
        <w:t>sociedad)</w:t>
      </w:r>
      <w:r>
        <w:rPr>
          <w:spacing w:val="-13"/>
        </w:rPr>
        <w:t> </w:t>
      </w:r>
      <w:r>
        <w:rPr/>
        <w:t>y</w:t>
      </w:r>
      <w:r>
        <w:rPr>
          <w:spacing w:val="-15"/>
        </w:rPr>
        <w:t> </w:t>
      </w:r>
      <w:r>
        <w:rPr/>
        <w:t>finalmente</w:t>
      </w:r>
      <w:r>
        <w:rPr>
          <w:spacing w:val="-12"/>
        </w:rPr>
        <w:t> </w:t>
      </w:r>
      <w:r>
        <w:rPr/>
        <w:t>estudia</w:t>
      </w:r>
      <w:r>
        <w:rPr>
          <w:spacing w:val="-12"/>
        </w:rPr>
        <w:t> </w:t>
      </w:r>
      <w:r>
        <w:rPr/>
        <w:t>los</w:t>
      </w:r>
      <w:r>
        <w:rPr>
          <w:spacing w:val="-13"/>
        </w:rPr>
        <w:t> </w:t>
      </w:r>
      <w:r>
        <w:rPr/>
        <w:t>comportamientos posteriores al fenómeno (actitudes favorables o desfavorables ante el uso de anglicismos) de acuerdo con Leedy &amp; Ormrod</w:t>
      </w:r>
      <w:r>
        <w:rPr>
          <w:spacing w:val="-16"/>
        </w:rPr>
        <w:t> </w:t>
      </w:r>
      <w:r>
        <w:rPr/>
        <w:t>(2005:108).</w:t>
      </w:r>
    </w:p>
    <w:p>
      <w:pPr>
        <w:pStyle w:val="BodyText"/>
      </w:pPr>
    </w:p>
    <w:p>
      <w:pPr>
        <w:pStyle w:val="BodyText"/>
        <w:spacing w:line="360" w:lineRule="auto" w:before="142"/>
        <w:ind w:left="102" w:right="117" w:firstLine="707"/>
        <w:jc w:val="both"/>
      </w:pPr>
      <w:r>
        <w:rPr/>
        <w:t>El uso de anglicismos puede provocar diferentes reacciones en cada oyente dependiendo de las características personales intrínsecas y extrínsecas de quien lo produce y de quien lo escucha. Es por ello que a partir de las hipótesis se construyen y clasifican las variables que en ella se reflejan.</w:t>
      </w:r>
    </w:p>
    <w:p>
      <w:pPr>
        <w:pStyle w:val="BodyText"/>
        <w:spacing w:line="360" w:lineRule="auto" w:before="202"/>
        <w:ind w:left="102" w:right="112" w:firstLine="707"/>
        <w:jc w:val="both"/>
      </w:pPr>
      <w:r>
        <w:rPr/>
        <w:t>Siguiendo</w:t>
      </w:r>
      <w:r>
        <w:rPr>
          <w:spacing w:val="-8"/>
        </w:rPr>
        <w:t> </w:t>
      </w:r>
      <w:r>
        <w:rPr/>
        <w:t>con</w:t>
      </w:r>
      <w:r>
        <w:rPr>
          <w:spacing w:val="-8"/>
        </w:rPr>
        <w:t> </w:t>
      </w:r>
      <w:r>
        <w:rPr/>
        <w:t>Hernández</w:t>
      </w:r>
      <w:r>
        <w:rPr>
          <w:spacing w:val="-12"/>
        </w:rPr>
        <w:t> </w:t>
      </w:r>
      <w:r>
        <w:rPr/>
        <w:t>Sampieri</w:t>
      </w:r>
      <w:r>
        <w:rPr>
          <w:spacing w:val="-6"/>
        </w:rPr>
        <w:t> </w:t>
      </w:r>
      <w:r>
        <w:rPr>
          <w:i/>
        </w:rPr>
        <w:t>et</w:t>
      </w:r>
      <w:r>
        <w:rPr>
          <w:i/>
          <w:spacing w:val="-11"/>
        </w:rPr>
        <w:t> </w:t>
      </w:r>
      <w:r>
        <w:rPr>
          <w:i/>
        </w:rPr>
        <w:t>al.</w:t>
      </w:r>
      <w:r>
        <w:rPr>
          <w:i/>
          <w:spacing w:val="-9"/>
        </w:rPr>
        <w:t> </w:t>
      </w:r>
      <w:r>
        <w:rPr/>
        <w:t>(2008),</w:t>
      </w:r>
      <w:r>
        <w:rPr>
          <w:spacing w:val="-9"/>
        </w:rPr>
        <w:t> </w:t>
      </w:r>
      <w:r>
        <w:rPr/>
        <w:t>las</w:t>
      </w:r>
      <w:r>
        <w:rPr>
          <w:spacing w:val="-9"/>
        </w:rPr>
        <w:t> </w:t>
      </w:r>
      <w:r>
        <w:rPr/>
        <w:t>variables</w:t>
      </w:r>
      <w:r>
        <w:rPr>
          <w:spacing w:val="-9"/>
        </w:rPr>
        <w:t> </w:t>
      </w:r>
      <w:r>
        <w:rPr/>
        <w:t>son</w:t>
      </w:r>
      <w:r>
        <w:rPr>
          <w:spacing w:val="-8"/>
        </w:rPr>
        <w:t> </w:t>
      </w:r>
      <w:r>
        <w:rPr/>
        <w:t>propiedades</w:t>
      </w:r>
      <w:r>
        <w:rPr>
          <w:spacing w:val="-9"/>
        </w:rPr>
        <w:t> </w:t>
      </w:r>
      <w:r>
        <w:rPr/>
        <w:t>de la investigación que pueden variar y cuya variación puede ser medida. Zorrilla (1997) propone una definición de los dos tipos de variables que se tienen: dependientes e independientes. Las independientes son aquellas que anteceden a un fenómeno y a su causa, siguiendo esta clasificación los grupos de edad, nivel académico y género son variables independientes; y la variable dependiente es aquella conformada por la conducta o fenómeno que se pretende explicar que para este trabajo de investigación corresponde a las actitudes lingüísticas y al prestigio lingüístico que se</w:t>
      </w:r>
      <w:r>
        <w:rPr>
          <w:spacing w:val="-26"/>
        </w:rPr>
        <w:t> </w:t>
      </w:r>
      <w:r>
        <w:rPr/>
        <w:t>estudiará.</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9" w:firstLine="707"/>
        <w:jc w:val="both"/>
      </w:pPr>
      <w:r>
        <w:rPr/>
        <w:t>Para</w:t>
      </w:r>
      <w:r>
        <w:rPr>
          <w:spacing w:val="-9"/>
        </w:rPr>
        <w:t> </w:t>
      </w:r>
      <w:r>
        <w:rPr/>
        <w:t>la</w:t>
      </w:r>
      <w:r>
        <w:rPr>
          <w:spacing w:val="-11"/>
        </w:rPr>
        <w:t> </w:t>
      </w:r>
      <w:r>
        <w:rPr/>
        <w:t>recolección</w:t>
      </w:r>
      <w:r>
        <w:rPr>
          <w:spacing w:val="-11"/>
        </w:rPr>
        <w:t> </w:t>
      </w:r>
      <w:r>
        <w:rPr/>
        <w:t>de</w:t>
      </w:r>
      <w:r>
        <w:rPr>
          <w:spacing w:val="-13"/>
        </w:rPr>
        <w:t> </w:t>
      </w:r>
      <w:r>
        <w:rPr/>
        <w:t>datos,</w:t>
      </w:r>
      <w:r>
        <w:rPr>
          <w:spacing w:val="-9"/>
        </w:rPr>
        <w:t> </w:t>
      </w:r>
      <w:r>
        <w:rPr/>
        <w:t>se</w:t>
      </w:r>
      <w:r>
        <w:rPr>
          <w:spacing w:val="-11"/>
        </w:rPr>
        <w:t> </w:t>
      </w:r>
      <w:r>
        <w:rPr/>
        <w:t>tomó</w:t>
      </w:r>
      <w:r>
        <w:rPr>
          <w:spacing w:val="-8"/>
        </w:rPr>
        <w:t> </w:t>
      </w:r>
      <w:r>
        <w:rPr/>
        <w:t>en</w:t>
      </w:r>
      <w:r>
        <w:rPr>
          <w:spacing w:val="-8"/>
        </w:rPr>
        <w:t> </w:t>
      </w:r>
      <w:r>
        <w:rPr/>
        <w:t>cuenta</w:t>
      </w:r>
      <w:r>
        <w:rPr>
          <w:spacing w:val="-10"/>
        </w:rPr>
        <w:t> </w:t>
      </w:r>
      <w:r>
        <w:rPr/>
        <w:t>una</w:t>
      </w:r>
      <w:r>
        <w:rPr>
          <w:spacing w:val="-11"/>
        </w:rPr>
        <w:t> </w:t>
      </w:r>
      <w:r>
        <w:rPr/>
        <w:t>muestra</w:t>
      </w:r>
      <w:r>
        <w:rPr>
          <w:spacing w:val="-11"/>
        </w:rPr>
        <w:t> </w:t>
      </w:r>
      <w:r>
        <w:rPr/>
        <w:t>de</w:t>
      </w:r>
      <w:r>
        <w:rPr>
          <w:spacing w:val="-11"/>
        </w:rPr>
        <w:t> </w:t>
      </w:r>
      <w:r>
        <w:rPr/>
        <w:t>población</w:t>
      </w:r>
      <w:r>
        <w:rPr>
          <w:spacing w:val="-11"/>
        </w:rPr>
        <w:t> </w:t>
      </w:r>
      <w:r>
        <w:rPr/>
        <w:t>del</w:t>
      </w:r>
      <w:r>
        <w:rPr>
          <w:spacing w:val="-12"/>
        </w:rPr>
        <w:t> </w:t>
      </w:r>
      <w:r>
        <w:rPr/>
        <w:t>tipo aleatorio</w:t>
      </w:r>
      <w:r>
        <w:rPr>
          <w:spacing w:val="-12"/>
        </w:rPr>
        <w:t> </w:t>
      </w:r>
      <w:r>
        <w:rPr/>
        <w:t>estratificado</w:t>
      </w:r>
      <w:r>
        <w:rPr>
          <w:spacing w:val="-14"/>
        </w:rPr>
        <w:t> </w:t>
      </w:r>
      <w:r>
        <w:rPr/>
        <w:t>que</w:t>
      </w:r>
      <w:r>
        <w:rPr>
          <w:spacing w:val="-12"/>
        </w:rPr>
        <w:t> </w:t>
      </w:r>
      <w:r>
        <w:rPr/>
        <w:t>de</w:t>
      </w:r>
      <w:r>
        <w:rPr>
          <w:spacing w:val="-12"/>
        </w:rPr>
        <w:t> </w:t>
      </w:r>
      <w:r>
        <w:rPr/>
        <w:t>acuerdo</w:t>
      </w:r>
      <w:r>
        <w:rPr>
          <w:spacing w:val="-12"/>
        </w:rPr>
        <w:t> </w:t>
      </w:r>
      <w:r>
        <w:rPr/>
        <w:t>con</w:t>
      </w:r>
      <w:r>
        <w:rPr>
          <w:spacing w:val="-7"/>
        </w:rPr>
        <w:t> </w:t>
      </w:r>
      <w:r>
        <w:rPr/>
        <w:t>Ander-Egg</w:t>
      </w:r>
      <w:r>
        <w:rPr>
          <w:spacing w:val="-14"/>
        </w:rPr>
        <w:t> </w:t>
      </w:r>
      <w:r>
        <w:rPr/>
        <w:t>(1995)</w:t>
      </w:r>
      <w:r>
        <w:rPr>
          <w:spacing w:val="-12"/>
        </w:rPr>
        <w:t> </w:t>
      </w:r>
      <w:r>
        <w:rPr/>
        <w:t>representa</w:t>
      </w:r>
      <w:r>
        <w:rPr>
          <w:spacing w:val="-14"/>
        </w:rPr>
        <w:t> </w:t>
      </w:r>
      <w:r>
        <w:rPr/>
        <w:t>una</w:t>
      </w:r>
      <w:r>
        <w:rPr>
          <w:spacing w:val="-12"/>
        </w:rPr>
        <w:t> </w:t>
      </w:r>
      <w:r>
        <w:rPr/>
        <w:t>vertiente</w:t>
      </w:r>
      <w:r>
        <w:rPr>
          <w:spacing w:val="-12"/>
        </w:rPr>
        <w:t> </w:t>
      </w:r>
      <w:r>
        <w:rPr/>
        <w:t>del muestreo probabilístico donde la población es heterogénea pero se divide en subpoblaciones para homogeneizarla por medio de grupos o estratos con diferentes rangos</w:t>
      </w:r>
      <w:r>
        <w:rPr>
          <w:spacing w:val="-6"/>
        </w:rPr>
        <w:t> </w:t>
      </w:r>
      <w:r>
        <w:rPr/>
        <w:t>de</w:t>
      </w:r>
      <w:r>
        <w:rPr>
          <w:spacing w:val="-6"/>
        </w:rPr>
        <w:t> </w:t>
      </w:r>
      <w:r>
        <w:rPr/>
        <w:t>edad,</w:t>
      </w:r>
      <w:r>
        <w:rPr>
          <w:spacing w:val="-6"/>
        </w:rPr>
        <w:t> </w:t>
      </w:r>
      <w:r>
        <w:rPr/>
        <w:t>género</w:t>
      </w:r>
      <w:r>
        <w:rPr>
          <w:spacing w:val="-6"/>
        </w:rPr>
        <w:t> </w:t>
      </w:r>
      <w:r>
        <w:rPr/>
        <w:t>y</w:t>
      </w:r>
      <w:r>
        <w:rPr>
          <w:spacing w:val="-8"/>
        </w:rPr>
        <w:t> </w:t>
      </w:r>
      <w:r>
        <w:rPr/>
        <w:t>nivel</w:t>
      </w:r>
      <w:r>
        <w:rPr>
          <w:spacing w:val="-7"/>
        </w:rPr>
        <w:t> </w:t>
      </w:r>
      <w:r>
        <w:rPr/>
        <w:t>educativo</w:t>
      </w:r>
      <w:r>
        <w:rPr>
          <w:spacing w:val="-6"/>
        </w:rPr>
        <w:t> </w:t>
      </w:r>
      <w:r>
        <w:rPr/>
        <w:t>para</w:t>
      </w:r>
      <w:r>
        <w:rPr>
          <w:spacing w:val="-6"/>
        </w:rPr>
        <w:t> </w:t>
      </w:r>
      <w:r>
        <w:rPr/>
        <w:t>identificar</w:t>
      </w:r>
      <w:r>
        <w:rPr>
          <w:spacing w:val="-7"/>
        </w:rPr>
        <w:t> </w:t>
      </w:r>
      <w:r>
        <w:rPr/>
        <w:t>cuáles</w:t>
      </w:r>
      <w:r>
        <w:rPr>
          <w:spacing w:val="-8"/>
        </w:rPr>
        <w:t> </w:t>
      </w:r>
      <w:r>
        <w:rPr/>
        <w:t>son</w:t>
      </w:r>
      <w:r>
        <w:rPr>
          <w:spacing w:val="-8"/>
        </w:rPr>
        <w:t> </w:t>
      </w:r>
      <w:r>
        <w:rPr/>
        <w:t>las</w:t>
      </w:r>
      <w:r>
        <w:rPr>
          <w:spacing w:val="-8"/>
        </w:rPr>
        <w:t> </w:t>
      </w:r>
      <w:r>
        <w:rPr/>
        <w:t>percepciones</w:t>
      </w:r>
      <w:r>
        <w:rPr>
          <w:spacing w:val="-8"/>
        </w:rPr>
        <w:t> </w:t>
      </w:r>
      <w:r>
        <w:rPr/>
        <w:t>de los</w:t>
      </w:r>
      <w:r>
        <w:rPr>
          <w:spacing w:val="-18"/>
        </w:rPr>
        <w:t> </w:t>
      </w:r>
      <w:r>
        <w:rPr/>
        <w:t>diferentes</w:t>
      </w:r>
      <w:r>
        <w:rPr>
          <w:spacing w:val="-19"/>
        </w:rPr>
        <w:t> </w:t>
      </w:r>
      <w:r>
        <w:rPr/>
        <w:t>grupos</w:t>
      </w:r>
      <w:r>
        <w:rPr>
          <w:spacing w:val="-17"/>
        </w:rPr>
        <w:t> </w:t>
      </w:r>
      <w:r>
        <w:rPr/>
        <w:t>sociales</w:t>
      </w:r>
      <w:r>
        <w:rPr>
          <w:spacing w:val="-18"/>
        </w:rPr>
        <w:t> </w:t>
      </w:r>
      <w:r>
        <w:rPr/>
        <w:t>ante</w:t>
      </w:r>
      <w:r>
        <w:rPr>
          <w:spacing w:val="-20"/>
        </w:rPr>
        <w:t> </w:t>
      </w:r>
      <w:r>
        <w:rPr/>
        <w:t>el</w:t>
      </w:r>
      <w:r>
        <w:rPr>
          <w:spacing w:val="-19"/>
        </w:rPr>
        <w:t> </w:t>
      </w:r>
      <w:r>
        <w:rPr/>
        <w:t>uso</w:t>
      </w:r>
      <w:r>
        <w:rPr>
          <w:spacing w:val="-20"/>
        </w:rPr>
        <w:t> </w:t>
      </w:r>
      <w:r>
        <w:rPr/>
        <w:t>de</w:t>
      </w:r>
      <w:r>
        <w:rPr>
          <w:spacing w:val="-18"/>
        </w:rPr>
        <w:t> </w:t>
      </w:r>
      <w:r>
        <w:rPr/>
        <w:t>anglicismos</w:t>
      </w:r>
      <w:r>
        <w:rPr>
          <w:spacing w:val="-19"/>
        </w:rPr>
        <w:t> </w:t>
      </w:r>
      <w:r>
        <w:rPr/>
        <w:t>y</w:t>
      </w:r>
      <w:r>
        <w:rPr>
          <w:spacing w:val="-21"/>
        </w:rPr>
        <w:t> </w:t>
      </w:r>
      <w:r>
        <w:rPr/>
        <w:t>determinar</w:t>
      </w:r>
      <w:r>
        <w:rPr>
          <w:spacing w:val="-19"/>
        </w:rPr>
        <w:t> </w:t>
      </w:r>
      <w:r>
        <w:rPr/>
        <w:t>un</w:t>
      </w:r>
      <w:r>
        <w:rPr>
          <w:spacing w:val="-18"/>
        </w:rPr>
        <w:t> </w:t>
      </w:r>
      <w:r>
        <w:rPr/>
        <w:t>grupo</w:t>
      </w:r>
      <w:r>
        <w:rPr>
          <w:spacing w:val="-18"/>
        </w:rPr>
        <w:t> </w:t>
      </w:r>
      <w:r>
        <w:rPr/>
        <w:t>específico como aquel que mayores actitudes lingüísticas favorables presenta al respecto, y que además asignan un valor de prestigio al uso de anglicismos. A su vez, de acuerdo con Hernández</w:t>
      </w:r>
      <w:r>
        <w:rPr>
          <w:spacing w:val="-19"/>
        </w:rPr>
        <w:t> </w:t>
      </w:r>
      <w:r>
        <w:rPr/>
        <w:t>Sampieri</w:t>
      </w:r>
      <w:r>
        <w:rPr>
          <w:spacing w:val="-15"/>
        </w:rPr>
        <w:t> </w:t>
      </w:r>
      <w:r>
        <w:rPr>
          <w:i/>
        </w:rPr>
        <w:t>et</w:t>
      </w:r>
      <w:r>
        <w:rPr>
          <w:i/>
          <w:spacing w:val="-18"/>
        </w:rPr>
        <w:t> </w:t>
      </w:r>
      <w:r>
        <w:rPr>
          <w:i/>
        </w:rPr>
        <w:t>al.</w:t>
      </w:r>
      <w:r>
        <w:rPr>
          <w:i/>
          <w:spacing w:val="-16"/>
        </w:rPr>
        <w:t> </w:t>
      </w:r>
      <w:r>
        <w:rPr/>
        <w:t>(2010:397)</w:t>
      </w:r>
      <w:r>
        <w:rPr>
          <w:spacing w:val="35"/>
        </w:rPr>
        <w:t> </w:t>
      </w:r>
      <w:r>
        <w:rPr/>
        <w:t>la</w:t>
      </w:r>
      <w:r>
        <w:rPr>
          <w:spacing w:val="-16"/>
        </w:rPr>
        <w:t> </w:t>
      </w:r>
      <w:r>
        <w:rPr/>
        <w:t>población</w:t>
      </w:r>
      <w:r>
        <w:rPr>
          <w:spacing w:val="-15"/>
        </w:rPr>
        <w:t> </w:t>
      </w:r>
      <w:r>
        <w:rPr/>
        <w:t>en</w:t>
      </w:r>
      <w:r>
        <w:rPr>
          <w:spacing w:val="-16"/>
        </w:rPr>
        <w:t> </w:t>
      </w:r>
      <w:r>
        <w:rPr/>
        <w:t>este</w:t>
      </w:r>
      <w:r>
        <w:rPr>
          <w:spacing w:val="-15"/>
        </w:rPr>
        <w:t> </w:t>
      </w:r>
      <w:r>
        <w:rPr/>
        <w:t>trabaja</w:t>
      </w:r>
      <w:r>
        <w:rPr>
          <w:spacing w:val="-16"/>
        </w:rPr>
        <w:t> </w:t>
      </w:r>
      <w:r>
        <w:rPr/>
        <w:t>puede</w:t>
      </w:r>
      <w:r>
        <w:rPr>
          <w:spacing w:val="-16"/>
        </w:rPr>
        <w:t> </w:t>
      </w:r>
      <w:r>
        <w:rPr/>
        <w:t>ser</w:t>
      </w:r>
      <w:r>
        <w:rPr>
          <w:spacing w:val="-17"/>
        </w:rPr>
        <w:t> </w:t>
      </w:r>
      <w:r>
        <w:rPr/>
        <w:t>considerada como una “muestra de casos tipo” por el número reducido de sujetos de</w:t>
      </w:r>
      <w:r>
        <w:rPr>
          <w:spacing w:val="-20"/>
        </w:rPr>
        <w:t> </w:t>
      </w:r>
      <w:r>
        <w:rPr/>
        <w:t>investigación.</w:t>
      </w:r>
    </w:p>
    <w:p>
      <w:pPr>
        <w:pStyle w:val="BodyText"/>
        <w:spacing w:line="360" w:lineRule="auto" w:before="204"/>
        <w:ind w:left="102" w:right="111" w:firstLine="707"/>
        <w:jc w:val="both"/>
      </w:pPr>
      <w:r>
        <w:rPr/>
        <w:t>Los 4 grupos de edad tomados en cuenta para la investigación son presentados en la </w:t>
      </w:r>
      <w:r>
        <w:rPr>
          <w:b/>
        </w:rPr>
        <w:t>tabla 3.1</w:t>
      </w:r>
      <w:r>
        <w:rPr/>
        <w:t>, los cuales identifican los grupos establecidos por el Instituto Nacional de Estadística Geográfica e Informática (INEGI) en el censo de población realizado en el 2010. Además, se presenta la equivalencia entre el número de sujetos de géneros femenino y masculino, lo cual permite apreciar mejor una diferencia entre esta variable independiente que responde a la hipótesis planteada con respecto a género. Por último se consideró que de este total de 24 sujetos se tengan números equivalentes en cuanto al grado de estudios, es decir, ocho de nivel básico, ocho de nivel medio superior y</w:t>
      </w:r>
      <w:r>
        <w:rPr>
          <w:spacing w:val="-44"/>
        </w:rPr>
        <w:t> </w:t>
      </w:r>
      <w:r>
        <w:rPr/>
        <w:t>ocho de nivel superior. Cabe mencionar que ésta es una clasificación completamente independiente</w:t>
      </w:r>
      <w:r>
        <w:rPr>
          <w:spacing w:val="-7"/>
        </w:rPr>
        <w:t> </w:t>
      </w:r>
      <w:r>
        <w:rPr/>
        <w:t>de</w:t>
      </w:r>
      <w:r>
        <w:rPr>
          <w:spacing w:val="-7"/>
        </w:rPr>
        <w:t> </w:t>
      </w:r>
      <w:r>
        <w:rPr/>
        <w:t>los</w:t>
      </w:r>
      <w:r>
        <w:rPr>
          <w:spacing w:val="-5"/>
        </w:rPr>
        <w:t> </w:t>
      </w:r>
      <w:r>
        <w:rPr/>
        <w:t>grupos</w:t>
      </w:r>
      <w:r>
        <w:rPr>
          <w:spacing w:val="-8"/>
        </w:rPr>
        <w:t> </w:t>
      </w:r>
      <w:r>
        <w:rPr/>
        <w:t>de</w:t>
      </w:r>
      <w:r>
        <w:rPr>
          <w:spacing w:val="-7"/>
        </w:rPr>
        <w:t> </w:t>
      </w:r>
      <w:r>
        <w:rPr/>
        <w:t>edad,</w:t>
      </w:r>
      <w:r>
        <w:rPr>
          <w:spacing w:val="-5"/>
        </w:rPr>
        <w:t> </w:t>
      </w:r>
      <w:r>
        <w:rPr/>
        <w:t>ya</w:t>
      </w:r>
      <w:r>
        <w:rPr>
          <w:spacing w:val="-5"/>
        </w:rPr>
        <w:t> </w:t>
      </w:r>
      <w:r>
        <w:rPr/>
        <w:t>que</w:t>
      </w:r>
      <w:r>
        <w:rPr>
          <w:spacing w:val="-9"/>
        </w:rPr>
        <w:t> </w:t>
      </w:r>
      <w:r>
        <w:rPr/>
        <w:t>se</w:t>
      </w:r>
      <w:r>
        <w:rPr>
          <w:spacing w:val="-5"/>
        </w:rPr>
        <w:t> </w:t>
      </w:r>
      <w:r>
        <w:rPr/>
        <w:t>da</w:t>
      </w:r>
      <w:r>
        <w:rPr>
          <w:spacing w:val="-7"/>
        </w:rPr>
        <w:t> </w:t>
      </w:r>
      <w:r>
        <w:rPr/>
        <w:t>el</w:t>
      </w:r>
      <w:r>
        <w:rPr>
          <w:spacing w:val="-6"/>
        </w:rPr>
        <w:t> </w:t>
      </w:r>
      <w:r>
        <w:rPr/>
        <w:t>caso</w:t>
      </w:r>
      <w:r>
        <w:rPr>
          <w:spacing w:val="-7"/>
        </w:rPr>
        <w:t> </w:t>
      </w:r>
      <w:r>
        <w:rPr/>
        <w:t>de</w:t>
      </w:r>
      <w:r>
        <w:rPr>
          <w:spacing w:val="-7"/>
        </w:rPr>
        <w:t> </w:t>
      </w:r>
      <w:r>
        <w:rPr/>
        <w:t>adultos</w:t>
      </w:r>
      <w:r>
        <w:rPr>
          <w:spacing w:val="-5"/>
        </w:rPr>
        <w:t> </w:t>
      </w:r>
      <w:r>
        <w:rPr/>
        <w:t>mayores</w:t>
      </w:r>
      <w:r>
        <w:rPr>
          <w:spacing w:val="-5"/>
        </w:rPr>
        <w:t> </w:t>
      </w:r>
      <w:r>
        <w:rPr/>
        <w:t>con</w:t>
      </w:r>
      <w:r>
        <w:rPr>
          <w:spacing w:val="-7"/>
        </w:rPr>
        <w:t> </w:t>
      </w:r>
      <w:r>
        <w:rPr/>
        <w:t>nivel básico de estudios, esto muestra que no hay relación congruente entre edad y nivel de estudios.</w:t>
      </w:r>
    </w:p>
    <w:p>
      <w:pPr>
        <w:pStyle w:val="BodyText"/>
        <w:spacing w:line="360" w:lineRule="auto" w:before="204"/>
        <w:ind w:left="102" w:right="109" w:firstLine="707"/>
        <w:jc w:val="both"/>
      </w:pPr>
      <w:r>
        <w:rPr/>
        <w:t>Los sujetos fueron elegidos al azar sujetándose a una lista con el número de sujetos requeridos para cada subpoblación. En un primer acercamiento se les pidieron datos personales para confirmar que pudieran entrar dentro de las categorías de edad, nivel académico y género; para después agendar una cita en la que tuvieran el tiempo necesario para escuchar detenidamente las grabaciones del instrumento y contestar el cuestionario de manera precisa.</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p>
      <w:pPr>
        <w:pStyle w:val="BodyText"/>
        <w:ind w:left="114"/>
        <w:rPr>
          <w:sz w:val="20"/>
        </w:rPr>
      </w:pPr>
      <w:r>
        <w:rPr>
          <w:sz w:val="20"/>
        </w:rPr>
        <w:drawing>
          <wp:inline distT="0" distB="0" distL="0" distR="0">
            <wp:extent cx="5763616" cy="1695450"/>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25" cstate="print"/>
                    <a:stretch>
                      <a:fillRect/>
                    </a:stretch>
                  </pic:blipFill>
                  <pic:spPr>
                    <a:xfrm>
                      <a:off x="0" y="0"/>
                      <a:ext cx="5763616" cy="1695450"/>
                    </a:xfrm>
                    <a:prstGeom prst="rect">
                      <a:avLst/>
                    </a:prstGeom>
                  </pic:spPr>
                </pic:pic>
              </a:graphicData>
            </a:graphic>
          </wp:inline>
        </w:drawing>
      </w:r>
      <w:r>
        <w:rPr>
          <w:sz w:val="20"/>
        </w:rPr>
      </w:r>
    </w:p>
    <w:p>
      <w:pPr>
        <w:spacing w:line="229" w:lineRule="exact" w:before="0"/>
        <w:ind w:left="2625" w:right="0" w:firstLine="0"/>
        <w:jc w:val="left"/>
        <w:rPr>
          <w:b/>
          <w:sz w:val="20"/>
        </w:rPr>
      </w:pPr>
      <w:r>
        <w:rPr>
          <w:b/>
          <w:sz w:val="20"/>
        </w:rPr>
        <w:t>Tabla 3.1. Clasificación de sujetos por Nivel de Estudios</w:t>
      </w:r>
    </w:p>
    <w:p>
      <w:pPr>
        <w:pStyle w:val="BodyText"/>
        <w:spacing w:before="5"/>
        <w:rPr>
          <w:b/>
          <w:sz w:val="27"/>
        </w:rPr>
      </w:pPr>
    </w:p>
    <w:p>
      <w:pPr>
        <w:pStyle w:val="BodyText"/>
        <w:spacing w:line="360" w:lineRule="auto"/>
        <w:ind w:left="242" w:right="109" w:firstLine="707"/>
        <w:jc w:val="both"/>
      </w:pPr>
      <w:r>
        <w:rPr/>
        <w:t>Para Hernández Sampieri </w:t>
      </w:r>
      <w:r>
        <w:rPr>
          <w:i/>
        </w:rPr>
        <w:t>et al</w:t>
      </w:r>
      <w:r>
        <w:rPr/>
        <w:t>. (2008), el investigador debe diseñar como estrategia una forma de dar respuesta a las preguntas de investigación de una manera práctica</w:t>
      </w:r>
      <w:r>
        <w:rPr>
          <w:spacing w:val="-7"/>
        </w:rPr>
        <w:t> </w:t>
      </w:r>
      <w:r>
        <w:rPr/>
        <w:t>y</w:t>
      </w:r>
      <w:r>
        <w:rPr>
          <w:spacing w:val="-10"/>
        </w:rPr>
        <w:t> </w:t>
      </w:r>
      <w:r>
        <w:rPr/>
        <w:t>concreta,</w:t>
      </w:r>
      <w:r>
        <w:rPr>
          <w:spacing w:val="-7"/>
        </w:rPr>
        <w:t> </w:t>
      </w:r>
      <w:r>
        <w:rPr/>
        <w:t>lo</w:t>
      </w:r>
      <w:r>
        <w:rPr>
          <w:spacing w:val="-12"/>
        </w:rPr>
        <w:t> </w:t>
      </w:r>
      <w:r>
        <w:rPr/>
        <w:t>cual</w:t>
      </w:r>
      <w:r>
        <w:rPr>
          <w:spacing w:val="-8"/>
        </w:rPr>
        <w:t> </w:t>
      </w:r>
      <w:r>
        <w:rPr/>
        <w:t>supone</w:t>
      </w:r>
      <w:r>
        <w:rPr>
          <w:spacing w:val="-9"/>
        </w:rPr>
        <w:t> </w:t>
      </w:r>
      <w:r>
        <w:rPr/>
        <w:t>la</w:t>
      </w:r>
      <w:r>
        <w:rPr>
          <w:spacing w:val="-7"/>
        </w:rPr>
        <w:t> </w:t>
      </w:r>
      <w:r>
        <w:rPr/>
        <w:t>selección</w:t>
      </w:r>
      <w:r>
        <w:rPr>
          <w:spacing w:val="-7"/>
        </w:rPr>
        <w:t> </w:t>
      </w:r>
      <w:r>
        <w:rPr/>
        <w:t>y</w:t>
      </w:r>
      <w:r>
        <w:rPr>
          <w:spacing w:val="-10"/>
        </w:rPr>
        <w:t> </w:t>
      </w:r>
      <w:r>
        <w:rPr/>
        <w:t>desarrollo</w:t>
      </w:r>
      <w:r>
        <w:rPr>
          <w:spacing w:val="-9"/>
        </w:rPr>
        <w:t> </w:t>
      </w:r>
      <w:r>
        <w:rPr/>
        <w:t>de</w:t>
      </w:r>
      <w:r>
        <w:rPr>
          <w:spacing w:val="-9"/>
        </w:rPr>
        <w:t> </w:t>
      </w:r>
      <w:r>
        <w:rPr/>
        <w:t>un</w:t>
      </w:r>
      <w:r>
        <w:rPr>
          <w:spacing w:val="-7"/>
        </w:rPr>
        <w:t> </w:t>
      </w:r>
      <w:r>
        <w:rPr/>
        <w:t>instrumento</w:t>
      </w:r>
      <w:r>
        <w:rPr>
          <w:spacing w:val="-7"/>
        </w:rPr>
        <w:t> </w:t>
      </w:r>
      <w:r>
        <w:rPr/>
        <w:t>como</w:t>
      </w:r>
      <w:r>
        <w:rPr>
          <w:spacing w:val="-9"/>
        </w:rPr>
        <w:t> </w:t>
      </w:r>
      <w:r>
        <w:rPr/>
        <w:t>plan de solución al problema de</w:t>
      </w:r>
      <w:r>
        <w:rPr>
          <w:spacing w:val="-13"/>
        </w:rPr>
        <w:t> </w:t>
      </w:r>
      <w:r>
        <w:rPr/>
        <w:t>investigación.</w:t>
      </w:r>
    </w:p>
    <w:p>
      <w:pPr>
        <w:pStyle w:val="BodyText"/>
        <w:spacing w:line="360" w:lineRule="auto" w:before="2"/>
        <w:ind w:left="242" w:right="108" w:firstLine="707"/>
        <w:jc w:val="both"/>
      </w:pPr>
      <w:r>
        <w:rPr/>
        <w:t>En este trabajo de investigación se hace uso del “</w:t>
      </w:r>
      <w:r>
        <w:rPr>
          <w:i/>
        </w:rPr>
        <w:t>matched guise</w:t>
      </w:r>
      <w:r>
        <w:rPr/>
        <w:t>” como técnica para</w:t>
      </w:r>
      <w:r>
        <w:rPr>
          <w:spacing w:val="-19"/>
        </w:rPr>
        <w:t> </w:t>
      </w:r>
      <w:r>
        <w:rPr/>
        <w:t>la</w:t>
      </w:r>
      <w:r>
        <w:rPr>
          <w:spacing w:val="-18"/>
        </w:rPr>
        <w:t> </w:t>
      </w:r>
      <w:r>
        <w:rPr/>
        <w:t>obtención</w:t>
      </w:r>
      <w:r>
        <w:rPr>
          <w:spacing w:val="-20"/>
        </w:rPr>
        <w:t> </w:t>
      </w:r>
      <w:r>
        <w:rPr/>
        <w:t>de</w:t>
      </w:r>
      <w:r>
        <w:rPr>
          <w:spacing w:val="-18"/>
        </w:rPr>
        <w:t> </w:t>
      </w:r>
      <w:r>
        <w:rPr/>
        <w:t>datos.</w:t>
      </w:r>
      <w:r>
        <w:rPr>
          <w:spacing w:val="-18"/>
        </w:rPr>
        <w:t> </w:t>
      </w:r>
      <w:r>
        <w:rPr/>
        <w:t>Ésta</w:t>
      </w:r>
      <w:r>
        <w:rPr>
          <w:spacing w:val="-18"/>
        </w:rPr>
        <w:t> </w:t>
      </w:r>
      <w:r>
        <w:rPr/>
        <w:t>consiste</w:t>
      </w:r>
      <w:r>
        <w:rPr>
          <w:spacing w:val="-18"/>
        </w:rPr>
        <w:t> </w:t>
      </w:r>
      <w:r>
        <w:rPr/>
        <w:t>en</w:t>
      </w:r>
      <w:r>
        <w:rPr>
          <w:spacing w:val="-18"/>
        </w:rPr>
        <w:t> </w:t>
      </w:r>
      <w:r>
        <w:rPr/>
        <w:t>presentar</w:t>
      </w:r>
      <w:r>
        <w:rPr>
          <w:spacing w:val="-19"/>
        </w:rPr>
        <w:t> </w:t>
      </w:r>
      <w:r>
        <w:rPr/>
        <w:t>a</w:t>
      </w:r>
      <w:r>
        <w:rPr>
          <w:spacing w:val="-18"/>
        </w:rPr>
        <w:t> </w:t>
      </w:r>
      <w:r>
        <w:rPr/>
        <w:t>los</w:t>
      </w:r>
      <w:r>
        <w:rPr>
          <w:spacing w:val="-18"/>
        </w:rPr>
        <w:t> </w:t>
      </w:r>
      <w:r>
        <w:rPr/>
        <w:t>sujetos</w:t>
      </w:r>
      <w:r>
        <w:rPr>
          <w:spacing w:val="-19"/>
        </w:rPr>
        <w:t> </w:t>
      </w:r>
      <w:r>
        <w:rPr/>
        <w:t>(quienes</w:t>
      </w:r>
      <w:r>
        <w:rPr>
          <w:spacing w:val="-21"/>
        </w:rPr>
        <w:t> </w:t>
      </w:r>
      <w:r>
        <w:rPr/>
        <w:t>actúan</w:t>
      </w:r>
      <w:r>
        <w:rPr>
          <w:spacing w:val="-18"/>
        </w:rPr>
        <w:t> </w:t>
      </w:r>
      <w:r>
        <w:rPr/>
        <w:t>como jueces)</w:t>
      </w:r>
      <w:r>
        <w:rPr>
          <w:spacing w:val="-11"/>
        </w:rPr>
        <w:t> </w:t>
      </w:r>
      <w:r>
        <w:rPr/>
        <w:t>grabaciones</w:t>
      </w:r>
      <w:r>
        <w:rPr>
          <w:spacing w:val="-13"/>
        </w:rPr>
        <w:t> </w:t>
      </w:r>
      <w:r>
        <w:rPr/>
        <w:t>en</w:t>
      </w:r>
      <w:r>
        <w:rPr>
          <w:spacing w:val="-9"/>
        </w:rPr>
        <w:t> </w:t>
      </w:r>
      <w:r>
        <w:rPr/>
        <w:t>donde</w:t>
      </w:r>
      <w:r>
        <w:rPr>
          <w:spacing w:val="-9"/>
        </w:rPr>
        <w:t> </w:t>
      </w:r>
      <w:r>
        <w:rPr/>
        <w:t>se</w:t>
      </w:r>
      <w:r>
        <w:rPr>
          <w:spacing w:val="-12"/>
        </w:rPr>
        <w:t> </w:t>
      </w:r>
      <w:r>
        <w:rPr/>
        <w:t>han</w:t>
      </w:r>
      <w:r>
        <w:rPr>
          <w:spacing w:val="-12"/>
        </w:rPr>
        <w:t> </w:t>
      </w:r>
      <w:r>
        <w:rPr/>
        <w:t>ocultado</w:t>
      </w:r>
      <w:r>
        <w:rPr>
          <w:spacing w:val="-9"/>
        </w:rPr>
        <w:t> </w:t>
      </w:r>
      <w:r>
        <w:rPr/>
        <w:t>cuidadosamente</w:t>
      </w:r>
      <w:r>
        <w:rPr>
          <w:spacing w:val="-11"/>
        </w:rPr>
        <w:t> </w:t>
      </w:r>
      <w:r>
        <w:rPr/>
        <w:t>las</w:t>
      </w:r>
      <w:r>
        <w:rPr>
          <w:spacing w:val="-12"/>
        </w:rPr>
        <w:t> </w:t>
      </w:r>
      <w:r>
        <w:rPr/>
        <w:t>variables</w:t>
      </w:r>
      <w:r>
        <w:rPr>
          <w:spacing w:val="-10"/>
        </w:rPr>
        <w:t> </w:t>
      </w:r>
      <w:r>
        <w:rPr/>
        <w:t>a</w:t>
      </w:r>
      <w:r>
        <w:rPr>
          <w:spacing w:val="-12"/>
        </w:rPr>
        <w:t> </w:t>
      </w:r>
      <w:r>
        <w:rPr/>
        <w:t>medir.</w:t>
      </w:r>
      <w:r>
        <w:rPr>
          <w:spacing w:val="-12"/>
        </w:rPr>
        <w:t> </w:t>
      </w:r>
      <w:r>
        <w:rPr/>
        <w:t>Se les hace creer a los sujetos que las grabaciones están hechas por diferentes personas, aunque no es así, sin embargo, esto permite determinar que sus actitudes se basan en la</w:t>
      </w:r>
      <w:r>
        <w:rPr>
          <w:spacing w:val="-9"/>
        </w:rPr>
        <w:t> </w:t>
      </w:r>
      <w:r>
        <w:rPr/>
        <w:t>variación</w:t>
      </w:r>
      <w:r>
        <w:rPr>
          <w:spacing w:val="-8"/>
        </w:rPr>
        <w:t> </w:t>
      </w:r>
      <w:r>
        <w:rPr/>
        <w:t>y</w:t>
      </w:r>
      <w:r>
        <w:rPr>
          <w:spacing w:val="-12"/>
        </w:rPr>
        <w:t> </w:t>
      </w:r>
      <w:r>
        <w:rPr/>
        <w:t>no</w:t>
      </w:r>
      <w:r>
        <w:rPr>
          <w:spacing w:val="-11"/>
        </w:rPr>
        <w:t> </w:t>
      </w:r>
      <w:r>
        <w:rPr/>
        <w:t>en</w:t>
      </w:r>
      <w:r>
        <w:rPr>
          <w:spacing w:val="-11"/>
        </w:rPr>
        <w:t> </w:t>
      </w:r>
      <w:r>
        <w:rPr/>
        <w:t>quién</w:t>
      </w:r>
      <w:r>
        <w:rPr>
          <w:spacing w:val="-10"/>
        </w:rPr>
        <w:t> </w:t>
      </w:r>
      <w:r>
        <w:rPr/>
        <w:t>produce</w:t>
      </w:r>
      <w:r>
        <w:rPr>
          <w:spacing w:val="-11"/>
        </w:rPr>
        <w:t> </w:t>
      </w:r>
      <w:r>
        <w:rPr/>
        <w:t>el</w:t>
      </w:r>
      <w:r>
        <w:rPr>
          <w:spacing w:val="-10"/>
        </w:rPr>
        <w:t> </w:t>
      </w:r>
      <w:r>
        <w:rPr/>
        <w:t>discurso;</w:t>
      </w:r>
      <w:r>
        <w:rPr>
          <w:spacing w:val="-9"/>
        </w:rPr>
        <w:t> </w:t>
      </w:r>
      <w:r>
        <w:rPr/>
        <w:t>con</w:t>
      </w:r>
      <w:r>
        <w:rPr>
          <w:spacing w:val="-11"/>
        </w:rPr>
        <w:t> </w:t>
      </w:r>
      <w:r>
        <w:rPr/>
        <w:t>base</w:t>
      </w:r>
      <w:r>
        <w:rPr>
          <w:spacing w:val="-11"/>
        </w:rPr>
        <w:t> </w:t>
      </w:r>
      <w:r>
        <w:rPr/>
        <w:t>en</w:t>
      </w:r>
      <w:r>
        <w:rPr>
          <w:spacing w:val="-11"/>
        </w:rPr>
        <w:t> </w:t>
      </w:r>
      <w:r>
        <w:rPr/>
        <w:t>ello,</w:t>
      </w:r>
      <w:r>
        <w:rPr>
          <w:spacing w:val="-11"/>
        </w:rPr>
        <w:t> </w:t>
      </w:r>
      <w:r>
        <w:rPr/>
        <w:t>los</w:t>
      </w:r>
      <w:r>
        <w:rPr>
          <w:spacing w:val="-13"/>
        </w:rPr>
        <w:t> </w:t>
      </w:r>
      <w:r>
        <w:rPr/>
        <w:t>sujetos</w:t>
      </w:r>
      <w:r>
        <w:rPr>
          <w:spacing w:val="-12"/>
        </w:rPr>
        <w:t> </w:t>
      </w:r>
      <w:r>
        <w:rPr/>
        <w:t>de</w:t>
      </w:r>
      <w:r>
        <w:rPr>
          <w:spacing w:val="-11"/>
        </w:rPr>
        <w:t> </w:t>
      </w:r>
      <w:r>
        <w:rPr/>
        <w:t>la</w:t>
      </w:r>
      <w:r>
        <w:rPr>
          <w:spacing w:val="-11"/>
        </w:rPr>
        <w:t> </w:t>
      </w:r>
      <w:r>
        <w:rPr/>
        <w:t>muestra califican el discurso de las grabaciones de acuerdo a su estatus social y rasgos psicosociológicos más característicos (Moreno, F.,</w:t>
      </w:r>
      <w:r>
        <w:rPr>
          <w:spacing w:val="-12"/>
        </w:rPr>
        <w:t> </w:t>
      </w:r>
      <w:r>
        <w:rPr/>
        <w:t>1989).</w:t>
      </w:r>
    </w:p>
    <w:p>
      <w:pPr>
        <w:pStyle w:val="BodyText"/>
        <w:spacing w:line="360" w:lineRule="auto" w:before="202"/>
        <w:ind w:left="242" w:right="107" w:firstLine="707"/>
        <w:jc w:val="both"/>
      </w:pPr>
      <w:r>
        <w:rPr/>
        <w:t>Como</w:t>
      </w:r>
      <w:r>
        <w:rPr>
          <w:spacing w:val="-8"/>
        </w:rPr>
        <w:t> </w:t>
      </w:r>
      <w:r>
        <w:rPr/>
        <w:t>parte</w:t>
      </w:r>
      <w:r>
        <w:rPr>
          <w:spacing w:val="-8"/>
        </w:rPr>
        <w:t> </w:t>
      </w:r>
      <w:r>
        <w:rPr/>
        <w:t>de</w:t>
      </w:r>
      <w:r>
        <w:rPr>
          <w:spacing w:val="-8"/>
        </w:rPr>
        <w:t> </w:t>
      </w:r>
      <w:r>
        <w:rPr/>
        <w:t>los</w:t>
      </w:r>
      <w:r>
        <w:rPr>
          <w:spacing w:val="-9"/>
        </w:rPr>
        <w:t> </w:t>
      </w:r>
      <w:r>
        <w:rPr/>
        <w:t>registros</w:t>
      </w:r>
      <w:r>
        <w:rPr>
          <w:spacing w:val="-7"/>
        </w:rPr>
        <w:t> </w:t>
      </w:r>
      <w:r>
        <w:rPr/>
        <w:t>del</w:t>
      </w:r>
      <w:r>
        <w:rPr>
          <w:spacing w:val="-7"/>
        </w:rPr>
        <w:t> </w:t>
      </w:r>
      <w:r>
        <w:rPr/>
        <w:t>uso</w:t>
      </w:r>
      <w:r>
        <w:rPr>
          <w:spacing w:val="-8"/>
        </w:rPr>
        <w:t> </w:t>
      </w:r>
      <w:r>
        <w:rPr/>
        <w:t>del</w:t>
      </w:r>
      <w:r>
        <w:rPr>
          <w:spacing w:val="-7"/>
        </w:rPr>
        <w:t> </w:t>
      </w:r>
      <w:r>
        <w:rPr>
          <w:i/>
        </w:rPr>
        <w:t>Matched</w:t>
      </w:r>
      <w:r>
        <w:rPr>
          <w:i/>
          <w:spacing w:val="-8"/>
        </w:rPr>
        <w:t> </w:t>
      </w:r>
      <w:r>
        <w:rPr>
          <w:i/>
        </w:rPr>
        <w:t>Guis</w:t>
      </w:r>
      <w:r>
        <w:rPr/>
        <w:t>e</w:t>
      </w:r>
      <w:r>
        <w:rPr>
          <w:spacing w:val="-8"/>
        </w:rPr>
        <w:t> </w:t>
      </w:r>
      <w:r>
        <w:rPr/>
        <w:t>se</w:t>
      </w:r>
      <w:r>
        <w:rPr>
          <w:spacing w:val="-8"/>
        </w:rPr>
        <w:t> </w:t>
      </w:r>
      <w:r>
        <w:rPr/>
        <w:t>tiene</w:t>
      </w:r>
      <w:r>
        <w:rPr>
          <w:spacing w:val="-8"/>
        </w:rPr>
        <w:t> </w:t>
      </w:r>
      <w:r>
        <w:rPr/>
        <w:t>que</w:t>
      </w:r>
      <w:r>
        <w:rPr>
          <w:spacing w:val="-8"/>
        </w:rPr>
        <w:t> </w:t>
      </w:r>
      <w:r>
        <w:rPr/>
        <w:t>el</w:t>
      </w:r>
      <w:r>
        <w:rPr>
          <w:spacing w:val="-7"/>
        </w:rPr>
        <w:t> </w:t>
      </w:r>
      <w:r>
        <w:rPr/>
        <w:t>canadiense Lambert fue el primero en introducir este método para el estudio de las actitudes lingüísticas en 1966, conociéndose así como el creador del </w:t>
      </w:r>
      <w:r>
        <w:rPr>
          <w:i/>
        </w:rPr>
        <w:t>Matched Guise </w:t>
      </w:r>
      <w:r>
        <w:rPr/>
        <w:t>(Blas, J., 2005)</w:t>
      </w:r>
      <w:r>
        <w:rPr>
          <w:i/>
        </w:rPr>
        <w:t>. </w:t>
      </w:r>
      <w:r>
        <w:rPr/>
        <w:t>Otro </w:t>
      </w:r>
      <w:r>
        <w:rPr>
          <w:spacing w:val="-3"/>
        </w:rPr>
        <w:t>autor, </w:t>
      </w:r>
      <w:r>
        <w:rPr/>
        <w:t>cuyo trabajo es representativo por haber usado este método, es Giles cuya aplicación es de las más reconocidas en 1971 para la medición de actitudes (González, J.,</w:t>
      </w:r>
      <w:r>
        <w:rPr>
          <w:spacing w:val="-4"/>
        </w:rPr>
        <w:t> </w:t>
      </w:r>
      <w:r>
        <w:rPr/>
        <w:t>2008).</w:t>
      </w:r>
    </w:p>
    <w:p>
      <w:pPr>
        <w:pStyle w:val="BodyText"/>
        <w:spacing w:line="360" w:lineRule="auto" w:before="5"/>
        <w:ind w:left="242" w:right="113" w:firstLine="359"/>
        <w:jc w:val="both"/>
      </w:pPr>
      <w:r>
        <w:rPr/>
        <w:t>En</w:t>
      </w:r>
      <w:r>
        <w:rPr>
          <w:spacing w:val="-13"/>
        </w:rPr>
        <w:t> </w:t>
      </w:r>
      <w:r>
        <w:rPr/>
        <w:t>el</w:t>
      </w:r>
      <w:r>
        <w:rPr>
          <w:spacing w:val="-17"/>
        </w:rPr>
        <w:t> </w:t>
      </w:r>
      <w:r>
        <w:rPr/>
        <w:t>trabajo</w:t>
      </w:r>
      <w:r>
        <w:rPr>
          <w:spacing w:val="-16"/>
        </w:rPr>
        <w:t> </w:t>
      </w:r>
      <w:r>
        <w:rPr/>
        <w:t>de</w:t>
      </w:r>
      <w:r>
        <w:rPr>
          <w:spacing w:val="-16"/>
        </w:rPr>
        <w:t> </w:t>
      </w:r>
      <w:r>
        <w:rPr/>
        <w:t>Blas</w:t>
      </w:r>
      <w:r>
        <w:rPr>
          <w:spacing w:val="-13"/>
        </w:rPr>
        <w:t> </w:t>
      </w:r>
      <w:r>
        <w:rPr/>
        <w:t>Arroyo</w:t>
      </w:r>
      <w:r>
        <w:rPr>
          <w:spacing w:val="-13"/>
        </w:rPr>
        <w:t> </w:t>
      </w:r>
      <w:r>
        <w:rPr/>
        <w:t>(1995),</w:t>
      </w:r>
      <w:r>
        <w:rPr>
          <w:spacing w:val="-14"/>
        </w:rPr>
        <w:t> </w:t>
      </w:r>
      <w:r>
        <w:rPr/>
        <w:t>se</w:t>
      </w:r>
      <w:r>
        <w:rPr>
          <w:spacing w:val="-15"/>
        </w:rPr>
        <w:t> </w:t>
      </w:r>
      <w:r>
        <w:rPr/>
        <w:t>sugiere</w:t>
      </w:r>
      <w:r>
        <w:rPr>
          <w:spacing w:val="-13"/>
        </w:rPr>
        <w:t> </w:t>
      </w:r>
      <w:r>
        <w:rPr/>
        <w:t>relacionar</w:t>
      </w:r>
      <w:r>
        <w:rPr>
          <w:spacing w:val="-15"/>
        </w:rPr>
        <w:t> </w:t>
      </w:r>
      <w:r>
        <w:rPr/>
        <w:t>los</w:t>
      </w:r>
      <w:r>
        <w:rPr>
          <w:spacing w:val="-13"/>
        </w:rPr>
        <w:t> </w:t>
      </w:r>
      <w:r>
        <w:rPr/>
        <w:t>ítems</w:t>
      </w:r>
      <w:r>
        <w:rPr>
          <w:spacing w:val="-16"/>
        </w:rPr>
        <w:t> </w:t>
      </w:r>
      <w:r>
        <w:rPr/>
        <w:t>a</w:t>
      </w:r>
      <w:r>
        <w:rPr>
          <w:spacing w:val="-15"/>
        </w:rPr>
        <w:t> </w:t>
      </w:r>
      <w:r>
        <w:rPr/>
        <w:t>tres</w:t>
      </w:r>
      <w:r>
        <w:rPr>
          <w:spacing w:val="-14"/>
        </w:rPr>
        <w:t> </w:t>
      </w:r>
      <w:r>
        <w:rPr/>
        <w:t>ocupaciones preferenciales, relacionadas con los tres estratos más grandes de la sociedad: clase media, baja y alta; además, sugiere una clasificación de tres escalas  que responden  </w:t>
      </w:r>
      <w:r>
        <w:rPr>
          <w:spacing w:val="9"/>
        </w:rPr>
        <w:t> </w:t>
      </w:r>
      <w:r>
        <w:rPr/>
        <w:t>a</w:t>
      </w:r>
    </w:p>
    <w:p>
      <w:pPr>
        <w:spacing w:after="0" w:line="360" w:lineRule="auto"/>
        <w:jc w:val="both"/>
        <w:sectPr>
          <w:pgSz w:w="12240" w:h="15840"/>
          <w:pgMar w:header="749" w:footer="1003" w:top="960" w:bottom="1200" w:left="146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26"/>
      </w:pPr>
      <w:r>
        <w:rPr/>
        <w:t>una serie de rasgos que describen el discurso de cualquier hablante con la intención de medir las siguientes características (Blas Arroyo, 1995; 32):</w:t>
      </w:r>
    </w:p>
    <w:p>
      <w:pPr>
        <w:pStyle w:val="ListParagraph"/>
        <w:numPr>
          <w:ilvl w:val="2"/>
          <w:numId w:val="3"/>
        </w:numPr>
        <w:tabs>
          <w:tab w:pos="822" w:val="left" w:leader="none"/>
        </w:tabs>
        <w:spacing w:line="360" w:lineRule="auto" w:before="204" w:after="0"/>
        <w:ind w:left="822" w:right="111" w:hanging="360"/>
        <w:jc w:val="both"/>
        <w:rPr>
          <w:sz w:val="24"/>
        </w:rPr>
      </w:pPr>
      <w:r>
        <w:rPr>
          <w:b/>
          <w:sz w:val="24"/>
        </w:rPr>
        <w:t>Competencia Personal y Estrato Socioeconómico: </w:t>
      </w:r>
      <w:r>
        <w:rPr>
          <w:sz w:val="24"/>
        </w:rPr>
        <w:t>Clase social, liderazgo, inteligencia, capacidad laboral, ambición, cultura, lugar de vivienda, influencia sobre otros, responsabilidad y tendencia</w:t>
      </w:r>
      <w:r>
        <w:rPr>
          <w:spacing w:val="-19"/>
          <w:sz w:val="24"/>
        </w:rPr>
        <w:t> </w:t>
      </w:r>
      <w:r>
        <w:rPr>
          <w:sz w:val="24"/>
        </w:rPr>
        <w:t>política.</w:t>
      </w:r>
    </w:p>
    <w:p>
      <w:pPr>
        <w:pStyle w:val="ListParagraph"/>
        <w:numPr>
          <w:ilvl w:val="2"/>
          <w:numId w:val="3"/>
        </w:numPr>
        <w:tabs>
          <w:tab w:pos="822" w:val="left" w:leader="none"/>
        </w:tabs>
        <w:spacing w:line="360" w:lineRule="auto" w:before="5" w:after="0"/>
        <w:ind w:left="822" w:right="116" w:hanging="360"/>
        <w:jc w:val="both"/>
        <w:rPr>
          <w:sz w:val="24"/>
        </w:rPr>
      </w:pPr>
      <w:r>
        <w:rPr>
          <w:b/>
          <w:sz w:val="24"/>
        </w:rPr>
        <w:t>Integridad Personal: </w:t>
      </w:r>
      <w:r>
        <w:rPr>
          <w:sz w:val="24"/>
        </w:rPr>
        <w:t>Calidad humana: humildad, lealtad, honestidad y sencillez (rasgos</w:t>
      </w:r>
      <w:r>
        <w:rPr>
          <w:spacing w:val="-6"/>
          <w:sz w:val="24"/>
        </w:rPr>
        <w:t> </w:t>
      </w:r>
      <w:r>
        <w:rPr>
          <w:sz w:val="24"/>
        </w:rPr>
        <w:t>psicológicos).</w:t>
      </w:r>
    </w:p>
    <w:p>
      <w:pPr>
        <w:pStyle w:val="ListParagraph"/>
        <w:numPr>
          <w:ilvl w:val="2"/>
          <w:numId w:val="3"/>
        </w:numPr>
        <w:tabs>
          <w:tab w:pos="822" w:val="left" w:leader="none"/>
        </w:tabs>
        <w:spacing w:line="362" w:lineRule="auto" w:before="2" w:after="0"/>
        <w:ind w:left="822" w:right="116" w:hanging="360"/>
        <w:jc w:val="both"/>
        <w:rPr>
          <w:sz w:val="24"/>
        </w:rPr>
      </w:pPr>
      <w:r>
        <w:rPr>
          <w:b/>
          <w:sz w:val="24"/>
        </w:rPr>
        <w:t>Atractivo Social: </w:t>
      </w:r>
      <w:r>
        <w:rPr>
          <w:sz w:val="24"/>
        </w:rPr>
        <w:t>Claridad, espíritu independiente, virilidad, ternura, alegría, simpatía y</w:t>
      </w:r>
      <w:r>
        <w:rPr>
          <w:spacing w:val="-7"/>
          <w:sz w:val="24"/>
        </w:rPr>
        <w:t> </w:t>
      </w:r>
      <w:r>
        <w:rPr>
          <w:sz w:val="24"/>
        </w:rPr>
        <w:t>amistad.</w:t>
      </w:r>
    </w:p>
    <w:p>
      <w:pPr>
        <w:pStyle w:val="BodyText"/>
        <w:spacing w:line="360" w:lineRule="auto"/>
        <w:ind w:left="102" w:right="110" w:firstLine="707"/>
        <w:jc w:val="both"/>
      </w:pPr>
      <w:r>
        <w:rPr/>
        <w:t>González (2008) sugiere el uso de la técnica de los “pares ocultos” cuyo objetivo es</w:t>
      </w:r>
      <w:r>
        <w:rPr>
          <w:spacing w:val="-10"/>
        </w:rPr>
        <w:t> </w:t>
      </w:r>
      <w:r>
        <w:rPr/>
        <w:t>observar</w:t>
      </w:r>
      <w:r>
        <w:rPr>
          <w:spacing w:val="-10"/>
        </w:rPr>
        <w:t> </w:t>
      </w:r>
      <w:r>
        <w:rPr/>
        <w:t>y</w:t>
      </w:r>
      <w:r>
        <w:rPr>
          <w:spacing w:val="-12"/>
        </w:rPr>
        <w:t> </w:t>
      </w:r>
      <w:r>
        <w:rPr/>
        <w:t>evaluar</w:t>
      </w:r>
      <w:r>
        <w:rPr>
          <w:spacing w:val="-10"/>
        </w:rPr>
        <w:t> </w:t>
      </w:r>
      <w:r>
        <w:rPr/>
        <w:t>rasgos</w:t>
      </w:r>
      <w:r>
        <w:rPr>
          <w:spacing w:val="-10"/>
        </w:rPr>
        <w:t> </w:t>
      </w:r>
      <w:r>
        <w:rPr/>
        <w:t>psicosociales</w:t>
      </w:r>
      <w:r>
        <w:rPr>
          <w:spacing w:val="-10"/>
        </w:rPr>
        <w:t> </w:t>
      </w:r>
      <w:r>
        <w:rPr/>
        <w:t>con</w:t>
      </w:r>
      <w:r>
        <w:rPr>
          <w:spacing w:val="-9"/>
        </w:rPr>
        <w:t> </w:t>
      </w:r>
      <w:r>
        <w:rPr/>
        <w:t>respecto</w:t>
      </w:r>
      <w:r>
        <w:rPr>
          <w:spacing w:val="-10"/>
        </w:rPr>
        <w:t> </w:t>
      </w:r>
      <w:r>
        <w:rPr/>
        <w:t>a</w:t>
      </w:r>
      <w:r>
        <w:rPr>
          <w:spacing w:val="-11"/>
        </w:rPr>
        <w:t> </w:t>
      </w:r>
      <w:r>
        <w:rPr/>
        <w:t>usos</w:t>
      </w:r>
      <w:r>
        <w:rPr>
          <w:spacing w:val="-12"/>
        </w:rPr>
        <w:t> </w:t>
      </w:r>
      <w:r>
        <w:rPr/>
        <w:t>lingüísticos;</w:t>
      </w:r>
      <w:r>
        <w:rPr>
          <w:spacing w:val="-10"/>
        </w:rPr>
        <w:t> </w:t>
      </w:r>
      <w:r>
        <w:rPr/>
        <w:t>no</w:t>
      </w:r>
      <w:r>
        <w:rPr>
          <w:spacing w:val="-11"/>
        </w:rPr>
        <w:t> </w:t>
      </w:r>
      <w:r>
        <w:rPr/>
        <w:t>obstante, la escala de medición para este proyecto de investigación es la  “Escala</w:t>
      </w:r>
      <w:r>
        <w:rPr>
          <w:spacing w:val="-18"/>
        </w:rPr>
        <w:t> </w:t>
      </w:r>
      <w:r>
        <w:rPr/>
        <w:t>Likert”.</w:t>
      </w:r>
    </w:p>
    <w:p>
      <w:pPr>
        <w:pStyle w:val="BodyText"/>
        <w:spacing w:line="360" w:lineRule="auto" w:before="5"/>
        <w:ind w:left="102" w:right="108" w:firstLine="707"/>
        <w:jc w:val="both"/>
      </w:pPr>
      <w:r>
        <w:rPr/>
        <w:t>De acuerdo con Cea D’Ancona (1998) ésta consiste en un formato escalar que contiene cinco categorías por cada ítem: </w:t>
      </w:r>
      <w:r>
        <w:rPr>
          <w:i/>
        </w:rPr>
        <w:t>muy de acuerdo, de acuerdo, indiferente, en </w:t>
      </w:r>
      <w:r>
        <w:rPr>
          <w:i/>
        </w:rPr>
        <w:t>desacuerdo </w:t>
      </w:r>
      <w:r>
        <w:rPr/>
        <w:t>y </w:t>
      </w:r>
      <w:r>
        <w:rPr>
          <w:i/>
        </w:rPr>
        <w:t>muy en desacuerdo</w:t>
      </w:r>
      <w:r>
        <w:rPr/>
        <w:t>. Cea D’Ancona menciona que “Las puntuaciones (1, 2, 3, 4, 5 o viceversa 5, 4, 3, 2,1) se asignan en conformidad con el significado de la respuesta para la actitud que miden” (1998: 271) y concluye indicando que la suma de las puntuaciones registradas será la “puntuación global”.</w:t>
      </w:r>
    </w:p>
    <w:p>
      <w:pPr>
        <w:pStyle w:val="BodyText"/>
        <w:spacing w:line="360" w:lineRule="auto" w:before="2"/>
        <w:ind w:left="102" w:right="105" w:firstLine="707"/>
        <w:jc w:val="both"/>
      </w:pPr>
      <w:r>
        <w:rPr/>
        <w:t>Para el diseño de las grabaciones del </w:t>
      </w:r>
      <w:r>
        <w:rPr>
          <w:i/>
        </w:rPr>
        <w:t>matched guise </w:t>
      </w:r>
      <w:r>
        <w:rPr/>
        <w:t>se consultó el trabajo de García</w:t>
      </w:r>
      <w:r>
        <w:rPr>
          <w:spacing w:val="-13"/>
        </w:rPr>
        <w:t> </w:t>
      </w:r>
      <w:r>
        <w:rPr>
          <w:spacing w:val="-3"/>
        </w:rPr>
        <w:t>(2011)</w:t>
      </w:r>
      <w:r>
        <w:rPr>
          <w:spacing w:val="-15"/>
        </w:rPr>
        <w:t> </w:t>
      </w:r>
      <w:r>
        <w:rPr/>
        <w:t>y</w:t>
      </w:r>
      <w:r>
        <w:rPr>
          <w:spacing w:val="-16"/>
        </w:rPr>
        <w:t> </w:t>
      </w:r>
      <w:r>
        <w:rPr/>
        <w:t>Prieto</w:t>
      </w:r>
      <w:r>
        <w:rPr>
          <w:spacing w:val="-13"/>
        </w:rPr>
        <w:t> </w:t>
      </w:r>
      <w:r>
        <w:rPr/>
        <w:t>(2005:</w:t>
      </w:r>
      <w:r>
        <w:rPr>
          <w:spacing w:val="-13"/>
        </w:rPr>
        <w:t> </w:t>
      </w:r>
      <w:r>
        <w:rPr/>
        <w:t>105)</w:t>
      </w:r>
      <w:r>
        <w:rPr>
          <w:spacing w:val="-11"/>
        </w:rPr>
        <w:t> </w:t>
      </w:r>
      <w:r>
        <w:rPr/>
        <w:t>en</w:t>
      </w:r>
      <w:r>
        <w:rPr>
          <w:spacing w:val="-16"/>
        </w:rPr>
        <w:t> </w:t>
      </w:r>
      <w:r>
        <w:rPr/>
        <w:t>donde</w:t>
      </w:r>
      <w:r>
        <w:rPr>
          <w:spacing w:val="-13"/>
        </w:rPr>
        <w:t> </w:t>
      </w:r>
      <w:r>
        <w:rPr/>
        <w:t>se</w:t>
      </w:r>
      <w:r>
        <w:rPr>
          <w:spacing w:val="-13"/>
        </w:rPr>
        <w:t> </w:t>
      </w:r>
      <w:r>
        <w:rPr/>
        <w:t>expone</w:t>
      </w:r>
      <w:r>
        <w:rPr>
          <w:spacing w:val="-13"/>
        </w:rPr>
        <w:t> </w:t>
      </w:r>
      <w:r>
        <w:rPr/>
        <w:t>que</w:t>
      </w:r>
      <w:r>
        <w:rPr>
          <w:spacing w:val="-16"/>
        </w:rPr>
        <w:t> </w:t>
      </w:r>
      <w:r>
        <w:rPr/>
        <w:t>el</w:t>
      </w:r>
      <w:r>
        <w:rPr>
          <w:spacing w:val="-14"/>
        </w:rPr>
        <w:t> </w:t>
      </w:r>
      <w:r>
        <w:rPr/>
        <w:t>internet</w:t>
      </w:r>
      <w:r>
        <w:rPr>
          <w:spacing w:val="-13"/>
        </w:rPr>
        <w:t> </w:t>
      </w:r>
      <w:r>
        <w:rPr/>
        <w:t>es</w:t>
      </w:r>
      <w:r>
        <w:rPr>
          <w:spacing w:val="-14"/>
        </w:rPr>
        <w:t> </w:t>
      </w:r>
      <w:r>
        <w:rPr/>
        <w:t>el</w:t>
      </w:r>
      <w:r>
        <w:rPr>
          <w:spacing w:val="-17"/>
        </w:rPr>
        <w:t> </w:t>
      </w:r>
      <w:r>
        <w:rPr/>
        <w:t>medio</w:t>
      </w:r>
      <w:r>
        <w:rPr>
          <w:spacing w:val="-13"/>
        </w:rPr>
        <w:t> </w:t>
      </w:r>
      <w:r>
        <w:rPr/>
        <w:t>masivo de comunicación con mayor introducción de anglicismos al habla cotidiana de los hispanohablantes</w:t>
      </w:r>
      <w:r>
        <w:rPr>
          <w:spacing w:val="-7"/>
        </w:rPr>
        <w:t> </w:t>
      </w:r>
      <w:r>
        <w:rPr/>
        <w:t>en</w:t>
      </w:r>
      <w:r>
        <w:rPr>
          <w:spacing w:val="-8"/>
        </w:rPr>
        <w:t> </w:t>
      </w:r>
      <w:r>
        <w:rPr/>
        <w:t>México.</w:t>
      </w:r>
      <w:r>
        <w:rPr>
          <w:spacing w:val="-6"/>
        </w:rPr>
        <w:t> </w:t>
      </w:r>
      <w:r>
        <w:rPr/>
        <w:t>Con</w:t>
      </w:r>
      <w:r>
        <w:rPr>
          <w:spacing w:val="-6"/>
        </w:rPr>
        <w:t> </w:t>
      </w:r>
      <w:r>
        <w:rPr/>
        <w:t>base</w:t>
      </w:r>
      <w:r>
        <w:rPr>
          <w:spacing w:val="-6"/>
        </w:rPr>
        <w:t> </w:t>
      </w:r>
      <w:r>
        <w:rPr/>
        <w:t>en</w:t>
      </w:r>
      <w:r>
        <w:rPr>
          <w:spacing w:val="-6"/>
        </w:rPr>
        <w:t> </w:t>
      </w:r>
      <w:r>
        <w:rPr/>
        <w:t>ello,</w:t>
      </w:r>
      <w:r>
        <w:rPr>
          <w:spacing w:val="-6"/>
        </w:rPr>
        <w:t> </w:t>
      </w:r>
      <w:r>
        <w:rPr/>
        <w:t>se</w:t>
      </w:r>
      <w:r>
        <w:rPr>
          <w:spacing w:val="-6"/>
        </w:rPr>
        <w:t> </w:t>
      </w:r>
      <w:r>
        <w:rPr/>
        <w:t>diseñó</w:t>
      </w:r>
      <w:r>
        <w:rPr>
          <w:spacing w:val="-6"/>
        </w:rPr>
        <w:t> </w:t>
      </w:r>
      <w:r>
        <w:rPr/>
        <w:t>un</w:t>
      </w:r>
      <w:r>
        <w:rPr>
          <w:spacing w:val="-8"/>
        </w:rPr>
        <w:t> </w:t>
      </w:r>
      <w:r>
        <w:rPr/>
        <w:t>artículo</w:t>
      </w:r>
      <w:r>
        <w:rPr>
          <w:spacing w:val="-6"/>
        </w:rPr>
        <w:t> </w:t>
      </w:r>
      <w:r>
        <w:rPr/>
        <w:t>cuyo</w:t>
      </w:r>
      <w:r>
        <w:rPr>
          <w:spacing w:val="-6"/>
        </w:rPr>
        <w:t> </w:t>
      </w:r>
      <w:r>
        <w:rPr/>
        <w:t>contenido</w:t>
      </w:r>
      <w:r>
        <w:rPr>
          <w:spacing w:val="-6"/>
        </w:rPr>
        <w:t> </w:t>
      </w:r>
      <w:r>
        <w:rPr/>
        <w:t>son estadísticas de frecuencia de uso de las redes sociales, en un primer artículo se incluyeron 15 anglicismos relacionados al tema y en un segundo artículo se sustituyeron los anglicismos por sus equivalentes en español y se parafraseo el contenido para</w:t>
      </w:r>
      <w:r>
        <w:rPr>
          <w:spacing w:val="-43"/>
        </w:rPr>
        <w:t> </w:t>
      </w:r>
      <w:r>
        <w:rPr/>
        <w:t>evitar una gran similitud en la redacción de los artículos aunque el contenido es el mismo. Los anglicismos empleados fueron: </w:t>
      </w:r>
      <w:r>
        <w:rPr>
          <w:b/>
        </w:rPr>
        <w:t>social networks</w:t>
      </w:r>
      <w:r>
        <w:rPr/>
        <w:t>-redes sociales, </w:t>
      </w:r>
      <w:r>
        <w:rPr>
          <w:b/>
        </w:rPr>
        <w:t>rating</w:t>
      </w:r>
      <w:r>
        <w:rPr/>
        <w:t>-audiencia, </w:t>
      </w:r>
      <w:r>
        <w:rPr>
          <w:b/>
        </w:rPr>
        <w:t>online</w:t>
      </w:r>
      <w:r>
        <w:rPr/>
        <w:t>-en línea, </w:t>
      </w:r>
      <w:r>
        <w:rPr>
          <w:b/>
        </w:rPr>
        <w:t>top</w:t>
      </w:r>
      <w:r>
        <w:rPr/>
        <w:t>-lista de popularidad, </w:t>
      </w:r>
      <w:r>
        <w:rPr>
          <w:b/>
        </w:rPr>
        <w:t>ranking</w:t>
      </w:r>
      <w:r>
        <w:rPr/>
        <w:t>-índice , </w:t>
      </w:r>
      <w:r>
        <w:rPr>
          <w:b/>
        </w:rPr>
        <w:t>web</w:t>
      </w:r>
      <w:r>
        <w:rPr/>
        <w:t>-en la red, </w:t>
      </w:r>
      <w:r>
        <w:rPr>
          <w:b/>
        </w:rPr>
        <w:t>webmarketer</w:t>
      </w:r>
      <w:r>
        <w:rPr/>
        <w:t>- índice  de  visitas  en  línea,  </w:t>
      </w:r>
      <w:r>
        <w:rPr>
          <w:b/>
        </w:rPr>
        <w:t>marketing</w:t>
      </w:r>
      <w:r>
        <w:rPr/>
        <w:t>-anuncios  publicitarios,</w:t>
      </w:r>
      <w:r>
        <w:rPr>
          <w:spacing w:val="5"/>
        </w:rPr>
        <w:t> </w:t>
      </w:r>
      <w:r>
        <w:rPr>
          <w:b/>
        </w:rPr>
        <w:t>smartphones</w:t>
      </w:r>
      <w:r>
        <w:rPr/>
        <w:t>-teléfonos</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spacing w:line="360" w:lineRule="auto" w:before="70"/>
        <w:ind w:left="102" w:right="104" w:firstLine="0"/>
        <w:jc w:val="both"/>
        <w:rPr>
          <w:sz w:val="24"/>
        </w:rPr>
      </w:pPr>
      <w:r>
        <w:rPr>
          <w:sz w:val="24"/>
        </w:rPr>
        <w:t>inteligentes, </w:t>
      </w:r>
      <w:r>
        <w:rPr>
          <w:b/>
          <w:sz w:val="24"/>
        </w:rPr>
        <w:t>tablets</w:t>
      </w:r>
      <w:r>
        <w:rPr>
          <w:sz w:val="24"/>
        </w:rPr>
        <w:t>-tabletas electrónicas, </w:t>
      </w:r>
      <w:r>
        <w:rPr>
          <w:b/>
          <w:sz w:val="24"/>
        </w:rPr>
        <w:t>apps</w:t>
      </w:r>
      <w:r>
        <w:rPr>
          <w:sz w:val="24"/>
        </w:rPr>
        <w:t>-aplicaciones, </w:t>
      </w:r>
      <w:r>
        <w:rPr>
          <w:b/>
          <w:sz w:val="24"/>
        </w:rPr>
        <w:t>chat</w:t>
      </w:r>
      <w:r>
        <w:rPr>
          <w:sz w:val="24"/>
        </w:rPr>
        <w:t>-conversaciones en línea, </w:t>
      </w:r>
      <w:r>
        <w:rPr>
          <w:b/>
          <w:sz w:val="24"/>
        </w:rPr>
        <w:t>chart</w:t>
      </w:r>
      <w:r>
        <w:rPr>
          <w:sz w:val="24"/>
        </w:rPr>
        <w:t>- listado, </w:t>
      </w:r>
      <w:r>
        <w:rPr>
          <w:b/>
          <w:sz w:val="24"/>
        </w:rPr>
        <w:t>juegos online</w:t>
      </w:r>
      <w:r>
        <w:rPr>
          <w:sz w:val="24"/>
        </w:rPr>
        <w:t>-videojuegos y </w:t>
      </w:r>
      <w:r>
        <w:rPr>
          <w:b/>
          <w:sz w:val="24"/>
        </w:rPr>
        <w:t>marketing online</w:t>
      </w:r>
      <w:r>
        <w:rPr>
          <w:sz w:val="24"/>
        </w:rPr>
        <w:t>-mercado en línea, ejemplo:</w:t>
      </w:r>
    </w:p>
    <w:p>
      <w:pPr>
        <w:pStyle w:val="BodyText"/>
        <w:tabs>
          <w:tab w:pos="6897" w:val="left" w:leader="none"/>
        </w:tabs>
        <w:spacing w:before="2"/>
        <w:ind w:left="210" w:right="26"/>
      </w:pPr>
      <w:r>
        <w:rPr>
          <w:spacing w:val="-3"/>
        </w:rPr>
        <w:t>Versión</w:t>
      </w:r>
      <w:r>
        <w:rPr/>
        <w:t> con</w:t>
      </w:r>
      <w:r>
        <w:rPr>
          <w:spacing w:val="-2"/>
        </w:rPr>
        <w:t> </w:t>
      </w:r>
      <w:r>
        <w:rPr/>
        <w:t>anglicismos</w:t>
        <w:tab/>
      </w:r>
      <w:r>
        <w:rPr>
          <w:spacing w:val="-3"/>
        </w:rPr>
        <w:t>Versión </w:t>
      </w:r>
      <w:r>
        <w:rPr/>
        <w:t>sin</w:t>
      </w:r>
      <w:r>
        <w:rPr>
          <w:spacing w:val="1"/>
        </w:rPr>
        <w:t> </w:t>
      </w:r>
      <w:r>
        <w:rPr/>
        <w:t>anglicismos</w:t>
      </w:r>
    </w:p>
    <w:p>
      <w:pPr>
        <w:spacing w:after="0"/>
        <w:sectPr>
          <w:pgSz w:w="12240" w:h="15840"/>
          <w:pgMar w:header="749" w:footer="1003" w:top="960" w:bottom="1200" w:left="1600" w:right="1020"/>
        </w:sectPr>
      </w:pPr>
    </w:p>
    <w:p>
      <w:pPr>
        <w:spacing w:line="240" w:lineRule="auto" w:before="138"/>
        <w:ind w:left="210" w:right="0" w:firstLine="0"/>
        <w:jc w:val="both"/>
        <w:rPr>
          <w:rFonts w:ascii="Calibri" w:hAnsi="Calibri"/>
          <w:sz w:val="22"/>
        </w:rPr>
      </w:pPr>
      <w:r>
        <w:rPr>
          <w:rFonts w:ascii="Calibri" w:hAnsi="Calibri"/>
          <w:sz w:val="22"/>
        </w:rPr>
        <w:t>En gran medida el tiempo de uso de las redes sociales ha aumentado debido a otros factores como</w:t>
      </w:r>
      <w:r>
        <w:rPr>
          <w:rFonts w:ascii="Calibri" w:hAnsi="Calibri"/>
          <w:spacing w:val="-9"/>
          <w:sz w:val="22"/>
        </w:rPr>
        <w:t> </w:t>
      </w:r>
      <w:r>
        <w:rPr>
          <w:rFonts w:ascii="Calibri" w:hAnsi="Calibri"/>
          <w:sz w:val="22"/>
        </w:rPr>
        <w:t>el</w:t>
      </w:r>
      <w:r>
        <w:rPr>
          <w:rFonts w:ascii="Calibri" w:hAnsi="Calibri"/>
          <w:spacing w:val="-7"/>
          <w:sz w:val="22"/>
        </w:rPr>
        <w:t> </w:t>
      </w:r>
      <w:r>
        <w:rPr>
          <w:rFonts w:ascii="Calibri" w:hAnsi="Calibri"/>
          <w:sz w:val="22"/>
        </w:rPr>
        <w:t>implemento</w:t>
      </w:r>
      <w:r>
        <w:rPr>
          <w:rFonts w:ascii="Calibri" w:hAnsi="Calibri"/>
          <w:spacing w:val="-8"/>
          <w:sz w:val="22"/>
        </w:rPr>
        <w:t> </w:t>
      </w:r>
      <w:r>
        <w:rPr>
          <w:rFonts w:ascii="Calibri" w:hAnsi="Calibri"/>
          <w:sz w:val="22"/>
        </w:rPr>
        <w:t>de</w:t>
      </w:r>
      <w:r>
        <w:rPr>
          <w:rFonts w:ascii="Calibri" w:hAnsi="Calibri"/>
          <w:spacing w:val="-7"/>
          <w:sz w:val="22"/>
        </w:rPr>
        <w:t> </w:t>
      </w:r>
      <w:r>
        <w:rPr>
          <w:rFonts w:ascii="Calibri" w:hAnsi="Calibri"/>
          <w:sz w:val="22"/>
        </w:rPr>
        <w:t>dispositivos</w:t>
      </w:r>
      <w:r>
        <w:rPr>
          <w:rFonts w:ascii="Calibri" w:hAnsi="Calibri"/>
          <w:spacing w:val="-10"/>
          <w:sz w:val="22"/>
        </w:rPr>
        <w:t> </w:t>
      </w:r>
      <w:r>
        <w:rPr>
          <w:rFonts w:ascii="Calibri" w:hAnsi="Calibri"/>
          <w:sz w:val="22"/>
        </w:rPr>
        <w:t>móviles</w:t>
      </w:r>
      <w:r>
        <w:rPr>
          <w:rFonts w:ascii="Calibri" w:hAnsi="Calibri"/>
          <w:spacing w:val="-10"/>
          <w:sz w:val="22"/>
        </w:rPr>
        <w:t> </w:t>
      </w:r>
      <w:r>
        <w:rPr>
          <w:rFonts w:ascii="Calibri" w:hAnsi="Calibri"/>
          <w:sz w:val="22"/>
        </w:rPr>
        <w:t>como </w:t>
      </w:r>
      <w:r>
        <w:rPr>
          <w:rFonts w:ascii="Calibri" w:hAnsi="Calibri"/>
          <w:b/>
          <w:sz w:val="22"/>
        </w:rPr>
        <w:t>smartphones </w:t>
      </w:r>
      <w:r>
        <w:rPr>
          <w:rFonts w:ascii="Calibri" w:hAnsi="Calibri"/>
          <w:sz w:val="22"/>
        </w:rPr>
        <w:t>y </w:t>
      </w:r>
      <w:r>
        <w:rPr>
          <w:rFonts w:ascii="Calibri" w:hAnsi="Calibri"/>
          <w:b/>
          <w:sz w:val="22"/>
        </w:rPr>
        <w:t>tablets</w:t>
      </w:r>
      <w:r>
        <w:rPr>
          <w:rFonts w:ascii="Calibri" w:hAnsi="Calibri"/>
          <w:sz w:val="22"/>
        </w:rPr>
        <w:t>, los cuales tienen incluidos los accesos directos a las </w:t>
      </w:r>
      <w:r>
        <w:rPr>
          <w:rFonts w:ascii="Calibri" w:hAnsi="Calibri"/>
          <w:b/>
          <w:sz w:val="22"/>
        </w:rPr>
        <w:t>apps </w:t>
      </w:r>
      <w:r>
        <w:rPr>
          <w:rFonts w:ascii="Calibri" w:hAnsi="Calibri"/>
          <w:sz w:val="22"/>
        </w:rPr>
        <w:t>que permiten la conexión desde cualquier</w:t>
      </w:r>
      <w:r>
        <w:rPr>
          <w:rFonts w:ascii="Calibri" w:hAnsi="Calibri"/>
          <w:spacing w:val="-8"/>
          <w:sz w:val="22"/>
        </w:rPr>
        <w:t> </w:t>
      </w:r>
      <w:r>
        <w:rPr>
          <w:rFonts w:ascii="Calibri" w:hAnsi="Calibri"/>
          <w:sz w:val="22"/>
        </w:rPr>
        <w:t>lugar.</w:t>
      </w:r>
    </w:p>
    <w:p>
      <w:pPr>
        <w:spacing w:before="0"/>
        <w:ind w:left="210" w:right="0" w:firstLine="0"/>
        <w:jc w:val="both"/>
        <w:rPr>
          <w:rFonts w:ascii="Calibri" w:hAnsi="Calibri"/>
          <w:sz w:val="22"/>
        </w:rPr>
      </w:pPr>
      <w:r>
        <w:rPr>
          <w:rFonts w:ascii="Calibri" w:hAnsi="Calibri"/>
          <w:sz w:val="22"/>
        </w:rPr>
        <w:t>Finalmente, entre las actividades que más se realizan dentro de las </w:t>
      </w:r>
      <w:r>
        <w:rPr>
          <w:rFonts w:ascii="Calibri" w:hAnsi="Calibri"/>
          <w:b/>
          <w:i/>
          <w:sz w:val="22"/>
        </w:rPr>
        <w:t>social networks </w:t>
      </w:r>
      <w:r>
        <w:rPr>
          <w:rFonts w:ascii="Calibri" w:hAnsi="Calibri"/>
          <w:sz w:val="22"/>
        </w:rPr>
        <w:t>son el </w:t>
      </w:r>
      <w:r>
        <w:rPr>
          <w:rFonts w:ascii="Calibri" w:hAnsi="Calibri"/>
          <w:b/>
          <w:sz w:val="22"/>
        </w:rPr>
        <w:t>chat</w:t>
      </w:r>
      <w:r>
        <w:rPr>
          <w:rFonts w:ascii="Calibri" w:hAnsi="Calibri"/>
          <w:sz w:val="22"/>
        </w:rPr>
        <w:t>, </w:t>
      </w:r>
      <w:r>
        <w:rPr>
          <w:rFonts w:ascii="Calibri" w:hAnsi="Calibri"/>
          <w:b/>
          <w:sz w:val="22"/>
        </w:rPr>
        <w:t>juegos online </w:t>
      </w:r>
      <w:r>
        <w:rPr>
          <w:rFonts w:ascii="Calibri" w:hAnsi="Calibri"/>
          <w:sz w:val="22"/>
        </w:rPr>
        <w:t>y </w:t>
      </w:r>
      <w:r>
        <w:rPr>
          <w:rFonts w:ascii="Calibri" w:hAnsi="Calibri"/>
          <w:b/>
          <w:sz w:val="22"/>
        </w:rPr>
        <w:t>marketing</w:t>
      </w:r>
      <w:r>
        <w:rPr>
          <w:rFonts w:ascii="Calibri" w:hAnsi="Calibri"/>
          <w:sz w:val="22"/>
        </w:rPr>
        <w:t>.</w:t>
      </w:r>
    </w:p>
    <w:p>
      <w:pPr>
        <w:spacing w:line="240" w:lineRule="auto" w:before="138"/>
        <w:ind w:left="173" w:right="224" w:firstLine="0"/>
        <w:jc w:val="both"/>
        <w:rPr>
          <w:rFonts w:ascii="Calibri" w:hAnsi="Calibri"/>
          <w:sz w:val="22"/>
        </w:rPr>
      </w:pPr>
      <w:r>
        <w:rPr/>
        <w:br w:type="column"/>
      </w:r>
      <w:r>
        <w:rPr>
          <w:rFonts w:ascii="Calibri" w:hAnsi="Calibri"/>
          <w:sz w:val="22"/>
        </w:rPr>
        <w:t>En el </w:t>
      </w:r>
      <w:r>
        <w:rPr>
          <w:rFonts w:ascii="Calibri" w:hAnsi="Calibri"/>
          <w:b/>
          <w:sz w:val="22"/>
        </w:rPr>
        <w:t>listado </w:t>
      </w:r>
      <w:r>
        <w:rPr>
          <w:rFonts w:ascii="Calibri" w:hAnsi="Calibri"/>
          <w:sz w:val="22"/>
        </w:rPr>
        <w:t>de las tres </w:t>
      </w:r>
      <w:r>
        <w:rPr>
          <w:rFonts w:ascii="Calibri" w:hAnsi="Calibri"/>
          <w:b/>
          <w:sz w:val="22"/>
        </w:rPr>
        <w:t>redes sociales </w:t>
      </w:r>
      <w:r>
        <w:rPr>
          <w:rFonts w:ascii="Calibri" w:hAnsi="Calibri"/>
          <w:sz w:val="22"/>
        </w:rPr>
        <w:t>más populares, Twitter toma la segunda posición con 27,4 millones de visitantes y el tercer lugar lo ocupa Orkut con 25,7 millones. Se afirma que entre las actividades más populares realizadas en las redes sociales son las </w:t>
      </w:r>
      <w:r>
        <w:rPr>
          <w:rFonts w:ascii="Calibri" w:hAnsi="Calibri"/>
          <w:b/>
          <w:sz w:val="22"/>
        </w:rPr>
        <w:t>conversaciones entre contactos, los videojuegos y los anuncios publicitarios</w:t>
      </w:r>
      <w:r>
        <w:rPr>
          <w:rFonts w:ascii="Calibri" w:hAnsi="Calibri"/>
          <w:sz w:val="22"/>
        </w:rPr>
        <w:t>.</w:t>
      </w:r>
    </w:p>
    <w:p>
      <w:pPr>
        <w:spacing w:after="0" w:line="240" w:lineRule="auto"/>
        <w:jc w:val="both"/>
        <w:rPr>
          <w:rFonts w:ascii="Calibri" w:hAnsi="Calibri"/>
          <w:sz w:val="22"/>
        </w:rPr>
        <w:sectPr>
          <w:type w:val="continuous"/>
          <w:pgSz w:w="12240" w:h="15840"/>
          <w:pgMar w:top="1500" w:bottom="280" w:left="1600" w:right="1020"/>
          <w:cols w:num="2" w:equalWidth="0">
            <w:col w:w="4695" w:space="40"/>
            <w:col w:w="4885"/>
          </w:cols>
        </w:sectPr>
      </w:pPr>
    </w:p>
    <w:p>
      <w:pPr>
        <w:pStyle w:val="BodyText"/>
        <w:rPr>
          <w:rFonts w:ascii="Calibri"/>
          <w:sz w:val="20"/>
        </w:rPr>
      </w:pPr>
    </w:p>
    <w:p>
      <w:pPr>
        <w:pStyle w:val="BodyText"/>
        <w:rPr>
          <w:rFonts w:ascii="Calibri"/>
          <w:sz w:val="20"/>
        </w:rPr>
      </w:pPr>
    </w:p>
    <w:p>
      <w:pPr>
        <w:pStyle w:val="BodyText"/>
        <w:spacing w:line="360" w:lineRule="auto" w:before="194"/>
        <w:ind w:left="102" w:right="107" w:firstLine="707"/>
        <w:jc w:val="both"/>
      </w:pPr>
      <w:r>
        <w:rPr/>
        <w:t>En</w:t>
      </w:r>
      <w:r>
        <w:rPr>
          <w:spacing w:val="-13"/>
        </w:rPr>
        <w:t> </w:t>
      </w:r>
      <w:r>
        <w:rPr/>
        <w:t>un</w:t>
      </w:r>
      <w:r>
        <w:rPr>
          <w:spacing w:val="-13"/>
        </w:rPr>
        <w:t> </w:t>
      </w:r>
      <w:r>
        <w:rPr/>
        <w:t>primer</w:t>
      </w:r>
      <w:r>
        <w:rPr>
          <w:spacing w:val="-15"/>
        </w:rPr>
        <w:t> </w:t>
      </w:r>
      <w:r>
        <w:rPr/>
        <w:t>borrador</w:t>
      </w:r>
      <w:r>
        <w:rPr>
          <w:spacing w:val="-15"/>
        </w:rPr>
        <w:t> </w:t>
      </w:r>
      <w:r>
        <w:rPr/>
        <w:t>los</w:t>
      </w:r>
      <w:r>
        <w:rPr>
          <w:spacing w:val="-12"/>
        </w:rPr>
        <w:t> </w:t>
      </w:r>
      <w:r>
        <w:rPr/>
        <w:t>artículos</w:t>
      </w:r>
      <w:r>
        <w:rPr>
          <w:spacing w:val="-13"/>
        </w:rPr>
        <w:t> </w:t>
      </w:r>
      <w:r>
        <w:rPr/>
        <w:t>contenían</w:t>
      </w:r>
      <w:r>
        <w:rPr>
          <w:spacing w:val="-13"/>
        </w:rPr>
        <w:t> </w:t>
      </w:r>
      <w:r>
        <w:rPr/>
        <w:t>muchos</w:t>
      </w:r>
      <w:r>
        <w:rPr>
          <w:spacing w:val="-14"/>
        </w:rPr>
        <w:t> </w:t>
      </w:r>
      <w:r>
        <w:rPr/>
        <w:t>porcentajes</w:t>
      </w:r>
      <w:r>
        <w:rPr>
          <w:spacing w:val="-16"/>
        </w:rPr>
        <w:t> </w:t>
      </w:r>
      <w:r>
        <w:rPr/>
        <w:t>estadísticos;</w:t>
      </w:r>
      <w:r>
        <w:rPr>
          <w:spacing w:val="-11"/>
        </w:rPr>
        <w:t> </w:t>
      </w:r>
      <w:r>
        <w:rPr/>
        <w:t>sin embargo, después del primer pilotaje se concluyó que el exceso de información estadística</w:t>
      </w:r>
      <w:r>
        <w:rPr>
          <w:spacing w:val="-12"/>
        </w:rPr>
        <w:t> </w:t>
      </w:r>
      <w:r>
        <w:rPr/>
        <w:t>distraían</w:t>
      </w:r>
      <w:r>
        <w:rPr>
          <w:spacing w:val="-11"/>
        </w:rPr>
        <w:t> </w:t>
      </w:r>
      <w:r>
        <w:rPr/>
        <w:t>a</w:t>
      </w:r>
      <w:r>
        <w:rPr>
          <w:spacing w:val="-13"/>
        </w:rPr>
        <w:t> </w:t>
      </w:r>
      <w:r>
        <w:rPr/>
        <w:t>los</w:t>
      </w:r>
      <w:r>
        <w:rPr>
          <w:spacing w:val="-11"/>
        </w:rPr>
        <w:t> </w:t>
      </w:r>
      <w:r>
        <w:rPr/>
        <w:t>sujetos</w:t>
      </w:r>
      <w:r>
        <w:rPr>
          <w:spacing w:val="-14"/>
        </w:rPr>
        <w:t> </w:t>
      </w:r>
      <w:r>
        <w:rPr/>
        <w:t>de</w:t>
      </w:r>
      <w:r>
        <w:rPr>
          <w:spacing w:val="-13"/>
        </w:rPr>
        <w:t> </w:t>
      </w:r>
      <w:r>
        <w:rPr/>
        <w:t>prestar</w:t>
      </w:r>
      <w:r>
        <w:rPr>
          <w:spacing w:val="-15"/>
        </w:rPr>
        <w:t> </w:t>
      </w:r>
      <w:r>
        <w:rPr/>
        <w:t>atención</w:t>
      </w:r>
      <w:r>
        <w:rPr>
          <w:spacing w:val="-13"/>
        </w:rPr>
        <w:t> </w:t>
      </w:r>
      <w:r>
        <w:rPr/>
        <w:t>a</w:t>
      </w:r>
      <w:r>
        <w:rPr>
          <w:spacing w:val="-11"/>
        </w:rPr>
        <w:t> </w:t>
      </w:r>
      <w:r>
        <w:rPr/>
        <w:t>las</w:t>
      </w:r>
      <w:r>
        <w:rPr>
          <w:spacing w:val="-13"/>
        </w:rPr>
        <w:t> </w:t>
      </w:r>
      <w:r>
        <w:rPr/>
        <w:t>variables</w:t>
      </w:r>
      <w:r>
        <w:rPr>
          <w:spacing w:val="-13"/>
        </w:rPr>
        <w:t> </w:t>
      </w:r>
      <w:r>
        <w:rPr/>
        <w:t>de</w:t>
      </w:r>
      <w:r>
        <w:rPr>
          <w:spacing w:val="-11"/>
        </w:rPr>
        <w:t> </w:t>
      </w:r>
      <w:r>
        <w:rPr/>
        <w:t>la</w:t>
      </w:r>
      <w:r>
        <w:rPr>
          <w:spacing w:val="-13"/>
        </w:rPr>
        <w:t> </w:t>
      </w:r>
      <w:r>
        <w:rPr/>
        <w:t>lengua,</w:t>
      </w:r>
      <w:r>
        <w:rPr>
          <w:spacing w:val="-13"/>
        </w:rPr>
        <w:t> </w:t>
      </w:r>
      <w:r>
        <w:rPr/>
        <w:t>en</w:t>
      </w:r>
      <w:r>
        <w:rPr>
          <w:spacing w:val="-11"/>
        </w:rPr>
        <w:t> </w:t>
      </w:r>
      <w:r>
        <w:rPr/>
        <w:t>este caso, los anglicismos, así que se omitieron algunos de ellos para un segundo pilotaje, para</w:t>
      </w:r>
      <w:r>
        <w:rPr>
          <w:spacing w:val="-19"/>
        </w:rPr>
        <w:t> </w:t>
      </w:r>
      <w:r>
        <w:rPr/>
        <w:t>el</w:t>
      </w:r>
      <w:r>
        <w:rPr>
          <w:spacing w:val="-17"/>
        </w:rPr>
        <w:t> </w:t>
      </w:r>
      <w:r>
        <w:rPr/>
        <w:t>cual</w:t>
      </w:r>
      <w:r>
        <w:rPr>
          <w:spacing w:val="-17"/>
        </w:rPr>
        <w:t> </w:t>
      </w:r>
      <w:r>
        <w:rPr/>
        <w:t>se</w:t>
      </w:r>
      <w:r>
        <w:rPr>
          <w:spacing w:val="-16"/>
        </w:rPr>
        <w:t> </w:t>
      </w:r>
      <w:r>
        <w:rPr/>
        <w:t>volvieron</w:t>
      </w:r>
      <w:r>
        <w:rPr>
          <w:spacing w:val="-16"/>
        </w:rPr>
        <w:t> </w:t>
      </w:r>
      <w:r>
        <w:rPr/>
        <w:t>a</w:t>
      </w:r>
      <w:r>
        <w:rPr>
          <w:spacing w:val="-18"/>
        </w:rPr>
        <w:t> </w:t>
      </w:r>
      <w:r>
        <w:rPr/>
        <w:t>desarrollar</w:t>
      </w:r>
      <w:r>
        <w:rPr>
          <w:spacing w:val="-17"/>
        </w:rPr>
        <w:t> </w:t>
      </w:r>
      <w:r>
        <w:rPr/>
        <w:t>los</w:t>
      </w:r>
      <w:r>
        <w:rPr>
          <w:spacing w:val="-21"/>
        </w:rPr>
        <w:t> </w:t>
      </w:r>
      <w:r>
        <w:rPr/>
        <w:t>mismos</w:t>
      </w:r>
      <w:r>
        <w:rPr>
          <w:spacing w:val="-19"/>
        </w:rPr>
        <w:t> </w:t>
      </w:r>
      <w:r>
        <w:rPr/>
        <w:t>procedimientos</w:t>
      </w:r>
      <w:r>
        <w:rPr>
          <w:spacing w:val="-16"/>
        </w:rPr>
        <w:t> </w:t>
      </w:r>
      <w:r>
        <w:rPr/>
        <w:t>de</w:t>
      </w:r>
      <w:r>
        <w:rPr>
          <w:spacing w:val="-18"/>
        </w:rPr>
        <w:t> </w:t>
      </w:r>
      <w:r>
        <w:rPr/>
        <w:t>la</w:t>
      </w:r>
      <w:r>
        <w:rPr>
          <w:spacing w:val="-18"/>
        </w:rPr>
        <w:t> </w:t>
      </w:r>
      <w:r>
        <w:rPr/>
        <w:t>primera</w:t>
      </w:r>
      <w:r>
        <w:rPr>
          <w:spacing w:val="-19"/>
        </w:rPr>
        <w:t> </w:t>
      </w:r>
      <w:r>
        <w:rPr/>
        <w:t>grabación. Por ejemplo, en el primer pilotaje el artículo con anglicismos contenía muchos datos estadísticos</w:t>
      </w:r>
      <w:r>
        <w:rPr>
          <w:spacing w:val="-3"/>
        </w:rPr>
        <w:t> </w:t>
      </w:r>
      <w:r>
        <w:rPr/>
        <w:t>como:</w:t>
      </w:r>
    </w:p>
    <w:p>
      <w:pPr>
        <w:spacing w:line="360" w:lineRule="auto" w:before="5"/>
        <w:ind w:left="810" w:right="106" w:firstLine="0"/>
        <w:jc w:val="both"/>
        <w:rPr>
          <w:sz w:val="22"/>
        </w:rPr>
      </w:pPr>
      <w:r>
        <w:rPr>
          <w:b/>
          <w:sz w:val="24"/>
        </w:rPr>
        <w:t>“</w:t>
      </w:r>
      <w:r>
        <w:rPr>
          <w:sz w:val="22"/>
        </w:rPr>
        <w:t>En publicaciones relacionadas, el resumen del </w:t>
      </w:r>
      <w:r>
        <w:rPr>
          <w:i/>
          <w:sz w:val="22"/>
        </w:rPr>
        <w:t>webmarketer </w:t>
      </w:r>
      <w:r>
        <w:rPr>
          <w:sz w:val="22"/>
        </w:rPr>
        <w:t>indica que para el 2012 en México los usuarios de Facebook llegaban a los 33 millones de usuarios, </w:t>
      </w:r>
      <w:r>
        <w:rPr>
          <w:sz w:val="22"/>
          <w:u w:val="single"/>
        </w:rPr>
        <w:t>50% </w:t>
      </w:r>
      <w:r>
        <w:rPr>
          <w:sz w:val="22"/>
        </w:rPr>
        <w:t>mujeres </w:t>
      </w:r>
      <w:r>
        <w:rPr>
          <w:sz w:val="22"/>
          <w:u w:val="single"/>
        </w:rPr>
        <w:t>50%</w:t>
      </w:r>
      <w:r>
        <w:rPr>
          <w:spacing w:val="-8"/>
          <w:sz w:val="22"/>
          <w:u w:val="single"/>
        </w:rPr>
        <w:t> </w:t>
      </w:r>
      <w:r>
        <w:rPr>
          <w:sz w:val="22"/>
        </w:rPr>
        <w:t>hombres.</w:t>
      </w:r>
      <w:r>
        <w:rPr>
          <w:spacing w:val="-8"/>
          <w:sz w:val="22"/>
        </w:rPr>
        <w:t> </w:t>
      </w:r>
      <w:r>
        <w:rPr>
          <w:sz w:val="22"/>
        </w:rPr>
        <w:t>El</w:t>
      </w:r>
      <w:r>
        <w:rPr>
          <w:spacing w:val="-12"/>
          <w:sz w:val="22"/>
        </w:rPr>
        <w:t> </w:t>
      </w:r>
      <w:r>
        <w:rPr>
          <w:sz w:val="22"/>
        </w:rPr>
        <w:t>responsable</w:t>
      </w:r>
      <w:r>
        <w:rPr>
          <w:spacing w:val="-9"/>
          <w:sz w:val="22"/>
        </w:rPr>
        <w:t> </w:t>
      </w:r>
      <w:r>
        <w:rPr>
          <w:sz w:val="22"/>
        </w:rPr>
        <w:t>de</w:t>
      </w:r>
      <w:r>
        <w:rPr>
          <w:spacing w:val="-8"/>
          <w:sz w:val="22"/>
        </w:rPr>
        <w:t> </w:t>
      </w:r>
      <w:r>
        <w:rPr>
          <w:i/>
          <w:sz w:val="22"/>
        </w:rPr>
        <w:t>marketing</w:t>
      </w:r>
      <w:r>
        <w:rPr>
          <w:i/>
          <w:spacing w:val="-11"/>
          <w:sz w:val="22"/>
        </w:rPr>
        <w:t> </w:t>
      </w:r>
      <w:r>
        <w:rPr>
          <w:i/>
          <w:sz w:val="22"/>
        </w:rPr>
        <w:t>online</w:t>
      </w:r>
      <w:r>
        <w:rPr>
          <w:i/>
          <w:spacing w:val="-8"/>
          <w:sz w:val="22"/>
        </w:rPr>
        <w:t> </w:t>
      </w:r>
      <w:r>
        <w:rPr>
          <w:sz w:val="22"/>
        </w:rPr>
        <w:t>indicó</w:t>
      </w:r>
      <w:r>
        <w:rPr>
          <w:spacing w:val="-9"/>
          <w:sz w:val="22"/>
        </w:rPr>
        <w:t> </w:t>
      </w:r>
      <w:r>
        <w:rPr>
          <w:sz w:val="22"/>
        </w:rPr>
        <w:t>que</w:t>
      </w:r>
      <w:r>
        <w:rPr>
          <w:spacing w:val="-11"/>
          <w:sz w:val="22"/>
        </w:rPr>
        <w:t> </w:t>
      </w:r>
      <w:r>
        <w:rPr>
          <w:sz w:val="22"/>
        </w:rPr>
        <w:t>el</w:t>
      </w:r>
      <w:r>
        <w:rPr>
          <w:spacing w:val="-9"/>
          <w:sz w:val="22"/>
        </w:rPr>
        <w:t> </w:t>
      </w:r>
      <w:r>
        <w:rPr>
          <w:sz w:val="22"/>
          <w:u w:val="single"/>
        </w:rPr>
        <w:t>33%</w:t>
      </w:r>
      <w:r>
        <w:rPr>
          <w:spacing w:val="-10"/>
          <w:sz w:val="22"/>
          <w:u w:val="single"/>
        </w:rPr>
        <w:t> </w:t>
      </w:r>
      <w:r>
        <w:rPr>
          <w:sz w:val="22"/>
        </w:rPr>
        <w:t>de</w:t>
      </w:r>
      <w:r>
        <w:rPr>
          <w:spacing w:val="-9"/>
          <w:sz w:val="22"/>
        </w:rPr>
        <w:t> </w:t>
      </w:r>
      <w:r>
        <w:rPr>
          <w:sz w:val="22"/>
        </w:rPr>
        <w:t>los</w:t>
      </w:r>
      <w:r>
        <w:rPr>
          <w:spacing w:val="-8"/>
          <w:sz w:val="22"/>
        </w:rPr>
        <w:t> </w:t>
      </w:r>
      <w:r>
        <w:rPr>
          <w:sz w:val="22"/>
        </w:rPr>
        <w:t>usuarios</w:t>
      </w:r>
      <w:r>
        <w:rPr>
          <w:spacing w:val="-11"/>
          <w:sz w:val="22"/>
        </w:rPr>
        <w:t> </w:t>
      </w:r>
      <w:r>
        <w:rPr>
          <w:sz w:val="22"/>
        </w:rPr>
        <w:t>tiene entre 18 y 24 años de edad, seguidos por el </w:t>
      </w:r>
      <w:r>
        <w:rPr>
          <w:sz w:val="22"/>
          <w:u w:val="single"/>
        </w:rPr>
        <w:t>25% </w:t>
      </w:r>
      <w:r>
        <w:rPr>
          <w:sz w:val="22"/>
        </w:rPr>
        <w:t>de entre 25 y 34 años y en tercer lugar con el </w:t>
      </w:r>
      <w:r>
        <w:rPr>
          <w:sz w:val="22"/>
          <w:u w:val="single"/>
        </w:rPr>
        <w:t>12% </w:t>
      </w:r>
      <w:r>
        <w:rPr>
          <w:sz w:val="22"/>
        </w:rPr>
        <w:t>de adolescentes de entre 16 y 17 años de edad y otro </w:t>
      </w:r>
      <w:r>
        <w:rPr>
          <w:sz w:val="22"/>
          <w:u w:val="single"/>
        </w:rPr>
        <w:t>12% </w:t>
      </w:r>
      <w:r>
        <w:rPr>
          <w:sz w:val="22"/>
        </w:rPr>
        <w:t>adultos entre 35</w:t>
      </w:r>
      <w:r>
        <w:rPr>
          <w:spacing w:val="-38"/>
          <w:sz w:val="22"/>
        </w:rPr>
        <w:t> </w:t>
      </w:r>
      <w:r>
        <w:rPr>
          <w:sz w:val="22"/>
        </w:rPr>
        <w:t>y 44 años de</w:t>
      </w:r>
      <w:r>
        <w:rPr>
          <w:spacing w:val="-2"/>
          <w:sz w:val="22"/>
        </w:rPr>
        <w:t> </w:t>
      </w:r>
      <w:r>
        <w:rPr>
          <w:sz w:val="22"/>
        </w:rPr>
        <w:t>edad.”</w:t>
      </w:r>
    </w:p>
    <w:p>
      <w:pPr>
        <w:pStyle w:val="BodyText"/>
        <w:spacing w:line="360" w:lineRule="auto" w:before="6"/>
        <w:ind w:left="102" w:right="109" w:firstLine="707"/>
        <w:jc w:val="both"/>
      </w:pPr>
      <w:r>
        <w:rPr/>
        <w:t>Mostrando seis cantidades expresadas en porcentajes en el fragmento aquí expuesto, mientras que en el segundo pilotaje, que pertenece al artículo de la aplicación final, sólo contó con dos resultados estadísticos:</w:t>
      </w:r>
    </w:p>
    <w:p>
      <w:pPr>
        <w:spacing w:line="360" w:lineRule="auto" w:before="2"/>
        <w:ind w:left="810" w:right="106" w:firstLine="0"/>
        <w:jc w:val="both"/>
        <w:rPr>
          <w:sz w:val="22"/>
        </w:rPr>
      </w:pPr>
      <w:r>
        <w:rPr>
          <w:sz w:val="24"/>
        </w:rPr>
        <w:t>“</w:t>
      </w:r>
      <w:r>
        <w:rPr>
          <w:sz w:val="22"/>
        </w:rPr>
        <w:t>En publicaciones relacionadas, el resumen del </w:t>
      </w:r>
      <w:r>
        <w:rPr>
          <w:b/>
          <w:i/>
          <w:sz w:val="22"/>
        </w:rPr>
        <w:t>webmarketer </w:t>
      </w:r>
      <w:r>
        <w:rPr>
          <w:sz w:val="22"/>
        </w:rPr>
        <w:t>indica que para el 2012 en México los usuarios de Facebook llegaban a los 33 millones de usuarios, </w:t>
      </w:r>
      <w:r>
        <w:rPr>
          <w:sz w:val="22"/>
          <w:u w:val="single"/>
        </w:rPr>
        <w:t>50% </w:t>
      </w:r>
      <w:r>
        <w:rPr>
          <w:sz w:val="22"/>
        </w:rPr>
        <w:t>mujeres </w:t>
      </w:r>
      <w:r>
        <w:rPr>
          <w:sz w:val="22"/>
          <w:u w:val="single"/>
        </w:rPr>
        <w:t>50%  </w:t>
      </w:r>
      <w:r>
        <w:rPr>
          <w:sz w:val="22"/>
        </w:rPr>
        <w:t>hombres.  El  responsable  de  </w:t>
      </w:r>
      <w:r>
        <w:rPr>
          <w:b/>
          <w:i/>
          <w:sz w:val="22"/>
        </w:rPr>
        <w:t>marketing  online  </w:t>
      </w:r>
      <w:r>
        <w:rPr>
          <w:sz w:val="22"/>
        </w:rPr>
        <w:t>indicó  que  los  usuarios    más</w:t>
      </w:r>
    </w:p>
    <w:p>
      <w:pPr>
        <w:spacing w:after="0" w:line="360" w:lineRule="auto"/>
        <w:jc w:val="both"/>
        <w:rPr>
          <w:sz w:val="22"/>
        </w:rPr>
        <w:sectPr>
          <w:type w:val="continuous"/>
          <w:pgSz w:w="12240" w:h="15840"/>
          <w:pgMar w:top="1500" w:bottom="280" w:left="1600" w:right="1020"/>
        </w:sectPr>
      </w:pPr>
    </w:p>
    <w:p>
      <w:pPr>
        <w:pStyle w:val="BodyText"/>
        <w:rPr>
          <w:sz w:val="20"/>
        </w:rPr>
      </w:pPr>
    </w:p>
    <w:p>
      <w:pPr>
        <w:pStyle w:val="BodyText"/>
        <w:rPr>
          <w:sz w:val="20"/>
        </w:rPr>
      </w:pPr>
    </w:p>
    <w:p>
      <w:pPr>
        <w:pStyle w:val="BodyText"/>
        <w:spacing w:before="2"/>
        <w:rPr>
          <w:sz w:val="17"/>
        </w:rPr>
      </w:pPr>
    </w:p>
    <w:p>
      <w:pPr>
        <w:spacing w:line="360" w:lineRule="auto" w:before="72"/>
        <w:ind w:left="810" w:right="107" w:firstLine="0"/>
        <w:jc w:val="both"/>
        <w:rPr>
          <w:sz w:val="22"/>
        </w:rPr>
      </w:pPr>
      <w:r>
        <w:rPr>
          <w:sz w:val="22"/>
        </w:rPr>
        <w:t>frecuentes tienen entre 18 y 24 años de edad, seguidos por usuarios de entre 25 y 34 años</w:t>
      </w:r>
      <w:r>
        <w:rPr>
          <w:spacing w:val="-3"/>
          <w:sz w:val="22"/>
        </w:rPr>
        <w:t> </w:t>
      </w:r>
      <w:r>
        <w:rPr>
          <w:sz w:val="22"/>
        </w:rPr>
        <w:t>y</w:t>
      </w:r>
      <w:r>
        <w:rPr>
          <w:spacing w:val="-5"/>
          <w:sz w:val="22"/>
        </w:rPr>
        <w:t> </w:t>
      </w:r>
      <w:r>
        <w:rPr>
          <w:sz w:val="22"/>
        </w:rPr>
        <w:t>en</w:t>
      </w:r>
      <w:r>
        <w:rPr>
          <w:spacing w:val="-3"/>
          <w:sz w:val="22"/>
        </w:rPr>
        <w:t> </w:t>
      </w:r>
      <w:r>
        <w:rPr>
          <w:sz w:val="22"/>
        </w:rPr>
        <w:t>tercer</w:t>
      </w:r>
      <w:r>
        <w:rPr>
          <w:spacing w:val="-5"/>
          <w:sz w:val="22"/>
        </w:rPr>
        <w:t> </w:t>
      </w:r>
      <w:r>
        <w:rPr>
          <w:sz w:val="22"/>
        </w:rPr>
        <w:t>lugar</w:t>
      </w:r>
      <w:r>
        <w:rPr>
          <w:spacing w:val="-2"/>
          <w:sz w:val="22"/>
        </w:rPr>
        <w:t> </w:t>
      </w:r>
      <w:r>
        <w:rPr>
          <w:sz w:val="22"/>
        </w:rPr>
        <w:t>adolescentes</w:t>
      </w:r>
      <w:r>
        <w:rPr>
          <w:spacing w:val="-2"/>
          <w:sz w:val="22"/>
        </w:rPr>
        <w:t> </w:t>
      </w:r>
      <w:r>
        <w:rPr>
          <w:sz w:val="22"/>
        </w:rPr>
        <w:t>de</w:t>
      </w:r>
      <w:r>
        <w:rPr>
          <w:spacing w:val="-6"/>
          <w:sz w:val="22"/>
        </w:rPr>
        <w:t> </w:t>
      </w:r>
      <w:r>
        <w:rPr>
          <w:sz w:val="22"/>
        </w:rPr>
        <w:t>entre</w:t>
      </w:r>
      <w:r>
        <w:rPr>
          <w:spacing w:val="-3"/>
          <w:sz w:val="22"/>
        </w:rPr>
        <w:t> </w:t>
      </w:r>
      <w:r>
        <w:rPr>
          <w:sz w:val="22"/>
        </w:rPr>
        <w:t>16</w:t>
      </w:r>
      <w:r>
        <w:rPr>
          <w:spacing w:val="-3"/>
          <w:sz w:val="22"/>
        </w:rPr>
        <w:t> </w:t>
      </w:r>
      <w:r>
        <w:rPr>
          <w:sz w:val="22"/>
        </w:rPr>
        <w:t>y</w:t>
      </w:r>
      <w:r>
        <w:rPr>
          <w:spacing w:val="-7"/>
          <w:sz w:val="22"/>
        </w:rPr>
        <w:t> </w:t>
      </w:r>
      <w:r>
        <w:rPr>
          <w:sz w:val="22"/>
        </w:rPr>
        <w:t>17</w:t>
      </w:r>
      <w:r>
        <w:rPr>
          <w:spacing w:val="-3"/>
          <w:sz w:val="22"/>
        </w:rPr>
        <w:t> </w:t>
      </w:r>
      <w:r>
        <w:rPr>
          <w:sz w:val="22"/>
        </w:rPr>
        <w:t>años</w:t>
      </w:r>
      <w:r>
        <w:rPr>
          <w:spacing w:val="-3"/>
          <w:sz w:val="22"/>
        </w:rPr>
        <w:t> </w:t>
      </w:r>
      <w:r>
        <w:rPr>
          <w:sz w:val="22"/>
        </w:rPr>
        <w:t>de</w:t>
      </w:r>
      <w:r>
        <w:rPr>
          <w:spacing w:val="-3"/>
          <w:sz w:val="22"/>
        </w:rPr>
        <w:t> </w:t>
      </w:r>
      <w:r>
        <w:rPr>
          <w:sz w:val="22"/>
        </w:rPr>
        <w:t>edad</w:t>
      </w:r>
      <w:r>
        <w:rPr>
          <w:spacing w:val="-6"/>
          <w:sz w:val="22"/>
        </w:rPr>
        <w:t> </w:t>
      </w:r>
      <w:r>
        <w:rPr>
          <w:sz w:val="22"/>
        </w:rPr>
        <w:t>y</w:t>
      </w:r>
      <w:r>
        <w:rPr>
          <w:spacing w:val="-5"/>
          <w:sz w:val="22"/>
        </w:rPr>
        <w:t> </w:t>
      </w:r>
      <w:r>
        <w:rPr>
          <w:sz w:val="22"/>
        </w:rPr>
        <w:t>el</w:t>
      </w:r>
      <w:r>
        <w:rPr>
          <w:spacing w:val="-4"/>
          <w:sz w:val="22"/>
        </w:rPr>
        <w:t> </w:t>
      </w:r>
      <w:r>
        <w:rPr>
          <w:sz w:val="22"/>
        </w:rPr>
        <w:t>mismo</w:t>
      </w:r>
      <w:r>
        <w:rPr>
          <w:spacing w:val="-3"/>
          <w:sz w:val="22"/>
        </w:rPr>
        <w:t> </w:t>
      </w:r>
      <w:r>
        <w:rPr>
          <w:sz w:val="22"/>
        </w:rPr>
        <w:t>porcentaje de adultos entre 35 y 44 años de edad. Así mismo, en cuanto a entidades federativas el Estado de México ocupa el primer lugar, seguido del Distrito Federal y Jalisco en tercero según así lo indica el </w:t>
      </w:r>
      <w:r>
        <w:rPr>
          <w:b/>
          <w:i/>
          <w:sz w:val="22"/>
        </w:rPr>
        <w:t>chart </w:t>
      </w:r>
      <w:r>
        <w:rPr>
          <w:sz w:val="22"/>
        </w:rPr>
        <w:t>en la</w:t>
      </w:r>
      <w:r>
        <w:rPr>
          <w:spacing w:val="-6"/>
          <w:sz w:val="22"/>
        </w:rPr>
        <w:t> </w:t>
      </w:r>
      <w:r>
        <w:rPr>
          <w:b/>
          <w:i/>
          <w:sz w:val="22"/>
        </w:rPr>
        <w:t>web</w:t>
      </w:r>
      <w:r>
        <w:rPr>
          <w:sz w:val="22"/>
        </w:rPr>
        <w:t>.”</w:t>
      </w:r>
    </w:p>
    <w:p>
      <w:pPr>
        <w:pStyle w:val="BodyText"/>
        <w:rPr>
          <w:sz w:val="22"/>
        </w:rPr>
      </w:pPr>
    </w:p>
    <w:p>
      <w:pPr>
        <w:pStyle w:val="BodyText"/>
        <w:spacing w:line="360" w:lineRule="auto" w:before="166"/>
        <w:ind w:left="102" w:right="112" w:firstLine="707"/>
        <w:jc w:val="both"/>
      </w:pPr>
      <w:r>
        <w:rPr/>
        <w:t>Los artículos se grabaron en formato digital con instrumentos de alta tecnología para evitar la interferencia en los audios como estática y ruidos de un contexto inapropiado. Las grabaciones fueron realizadas por un joven de 30 años de edad con timbre de voz estándar para varios escuchas. Se le pidió mantener la misma entonación y registro en cada una de las grabaciones para no hacer lucir más una grabación que otra. Los textos fueron practicados previamente a su grabación final para que en una última</w:t>
      </w:r>
      <w:r>
        <w:rPr>
          <w:spacing w:val="-8"/>
        </w:rPr>
        <w:t> </w:t>
      </w:r>
      <w:r>
        <w:rPr/>
        <w:t>edición</w:t>
      </w:r>
      <w:r>
        <w:rPr>
          <w:spacing w:val="-6"/>
        </w:rPr>
        <w:t> </w:t>
      </w:r>
      <w:r>
        <w:rPr/>
        <w:t>se</w:t>
      </w:r>
      <w:r>
        <w:rPr>
          <w:spacing w:val="-7"/>
        </w:rPr>
        <w:t> </w:t>
      </w:r>
      <w:r>
        <w:rPr/>
        <w:t>añadieran</w:t>
      </w:r>
      <w:r>
        <w:rPr>
          <w:spacing w:val="-4"/>
        </w:rPr>
        <w:t> </w:t>
      </w:r>
      <w:r>
        <w:rPr/>
        <w:t>los</w:t>
      </w:r>
      <w:r>
        <w:rPr>
          <w:spacing w:val="-6"/>
        </w:rPr>
        <w:t> </w:t>
      </w:r>
      <w:r>
        <w:rPr/>
        <w:t>sonidos</w:t>
      </w:r>
      <w:r>
        <w:rPr>
          <w:spacing w:val="-7"/>
        </w:rPr>
        <w:t> </w:t>
      </w:r>
      <w:r>
        <w:rPr/>
        <w:t>de</w:t>
      </w:r>
      <w:r>
        <w:rPr>
          <w:spacing w:val="-5"/>
        </w:rPr>
        <w:t> </w:t>
      </w:r>
      <w:r>
        <w:rPr/>
        <w:t>“bip”</w:t>
      </w:r>
      <w:r>
        <w:rPr>
          <w:spacing w:val="-7"/>
        </w:rPr>
        <w:t> </w:t>
      </w:r>
      <w:r>
        <w:rPr/>
        <w:t>para</w:t>
      </w:r>
      <w:r>
        <w:rPr>
          <w:spacing w:val="-7"/>
        </w:rPr>
        <w:t> </w:t>
      </w:r>
      <w:r>
        <w:rPr/>
        <w:t>recalcar</w:t>
      </w:r>
      <w:r>
        <w:rPr>
          <w:spacing w:val="-7"/>
        </w:rPr>
        <w:t> </w:t>
      </w:r>
      <w:r>
        <w:rPr/>
        <w:t>el</w:t>
      </w:r>
      <w:r>
        <w:rPr>
          <w:spacing w:val="-10"/>
        </w:rPr>
        <w:t> </w:t>
      </w:r>
      <w:r>
        <w:rPr/>
        <w:t>final</w:t>
      </w:r>
      <w:r>
        <w:rPr>
          <w:spacing w:val="-10"/>
        </w:rPr>
        <w:t> </w:t>
      </w:r>
      <w:r>
        <w:rPr/>
        <w:t>de</w:t>
      </w:r>
      <w:r>
        <w:rPr>
          <w:spacing w:val="-6"/>
        </w:rPr>
        <w:t> </w:t>
      </w:r>
      <w:r>
        <w:rPr/>
        <w:t>las</w:t>
      </w:r>
      <w:r>
        <w:rPr>
          <w:spacing w:val="-9"/>
        </w:rPr>
        <w:t> </w:t>
      </w:r>
      <w:r>
        <w:rPr/>
        <w:t>instrucciones con el inicio de los artículos de</w:t>
      </w:r>
      <w:r>
        <w:rPr>
          <w:spacing w:val="-13"/>
        </w:rPr>
        <w:t> </w:t>
      </w:r>
      <w:r>
        <w:rPr/>
        <w:t>radio.</w:t>
      </w:r>
    </w:p>
    <w:p>
      <w:pPr>
        <w:pStyle w:val="BodyText"/>
        <w:spacing w:line="360" w:lineRule="auto" w:before="5"/>
        <w:ind w:left="102" w:right="108" w:firstLine="707"/>
        <w:jc w:val="both"/>
      </w:pPr>
      <w:r>
        <w:rPr/>
        <w:t>En</w:t>
      </w:r>
      <w:r>
        <w:rPr>
          <w:spacing w:val="-13"/>
        </w:rPr>
        <w:t> </w:t>
      </w:r>
      <w:r>
        <w:rPr/>
        <w:t>un</w:t>
      </w:r>
      <w:r>
        <w:rPr>
          <w:spacing w:val="-13"/>
        </w:rPr>
        <w:t> </w:t>
      </w:r>
      <w:r>
        <w:rPr/>
        <w:t>segundo</w:t>
      </w:r>
      <w:r>
        <w:rPr>
          <w:spacing w:val="-15"/>
        </w:rPr>
        <w:t> </w:t>
      </w:r>
      <w:r>
        <w:rPr/>
        <w:t>paso</w:t>
      </w:r>
      <w:r>
        <w:rPr>
          <w:spacing w:val="-16"/>
        </w:rPr>
        <w:t> </w:t>
      </w:r>
      <w:r>
        <w:rPr/>
        <w:t>del</w:t>
      </w:r>
      <w:r>
        <w:rPr>
          <w:spacing w:val="-14"/>
        </w:rPr>
        <w:t> </w:t>
      </w:r>
      <w:r>
        <w:rPr/>
        <w:t>diseño</w:t>
      </w:r>
      <w:r>
        <w:rPr>
          <w:spacing w:val="-16"/>
        </w:rPr>
        <w:t> </w:t>
      </w:r>
      <w:r>
        <w:rPr/>
        <w:t>del</w:t>
      </w:r>
      <w:r>
        <w:rPr>
          <w:spacing w:val="-14"/>
        </w:rPr>
        <w:t> </w:t>
      </w:r>
      <w:r>
        <w:rPr/>
        <w:t>instrumento,</w:t>
      </w:r>
      <w:r>
        <w:rPr>
          <w:spacing w:val="-16"/>
        </w:rPr>
        <w:t> </w:t>
      </w:r>
      <w:r>
        <w:rPr/>
        <w:t>fue</w:t>
      </w:r>
      <w:r>
        <w:rPr>
          <w:spacing w:val="-15"/>
        </w:rPr>
        <w:t> </w:t>
      </w:r>
      <w:r>
        <w:rPr/>
        <w:t>la</w:t>
      </w:r>
      <w:r>
        <w:rPr>
          <w:spacing w:val="-13"/>
        </w:rPr>
        <w:t> </w:t>
      </w:r>
      <w:r>
        <w:rPr/>
        <w:t>redacción</w:t>
      </w:r>
      <w:r>
        <w:rPr>
          <w:spacing w:val="-15"/>
        </w:rPr>
        <w:t> </w:t>
      </w:r>
      <w:r>
        <w:rPr/>
        <w:t>de</w:t>
      </w:r>
      <w:r>
        <w:rPr>
          <w:spacing w:val="-16"/>
        </w:rPr>
        <w:t> </w:t>
      </w:r>
      <w:r>
        <w:rPr/>
        <w:t>aseveraciones para determinar la percepción social y psicológica de los sujetos de la investigación con las variantes de la</w:t>
      </w:r>
      <w:r>
        <w:rPr>
          <w:spacing w:val="-10"/>
        </w:rPr>
        <w:t> </w:t>
      </w:r>
      <w:r>
        <w:rPr/>
        <w:t>lengua.</w:t>
      </w:r>
    </w:p>
    <w:p>
      <w:pPr>
        <w:pStyle w:val="BodyText"/>
        <w:spacing w:line="360" w:lineRule="auto" w:before="3"/>
        <w:ind w:left="102" w:right="114" w:firstLine="707"/>
        <w:jc w:val="both"/>
      </w:pPr>
      <w:r>
        <w:rPr/>
        <w:t>De</w:t>
      </w:r>
      <w:r>
        <w:rPr>
          <w:spacing w:val="-19"/>
        </w:rPr>
        <w:t> </w:t>
      </w:r>
      <w:r>
        <w:rPr/>
        <w:t>acuerdo</w:t>
      </w:r>
      <w:r>
        <w:rPr>
          <w:spacing w:val="-19"/>
        </w:rPr>
        <w:t> </w:t>
      </w:r>
      <w:r>
        <w:rPr/>
        <w:t>con</w:t>
      </w:r>
      <w:r>
        <w:rPr>
          <w:spacing w:val="-19"/>
        </w:rPr>
        <w:t> </w:t>
      </w:r>
      <w:r>
        <w:rPr/>
        <w:t>Leedy</w:t>
      </w:r>
      <w:r>
        <w:rPr>
          <w:spacing w:val="-20"/>
        </w:rPr>
        <w:t> </w:t>
      </w:r>
      <w:r>
        <w:rPr/>
        <w:t>y</w:t>
      </w:r>
      <w:r>
        <w:rPr>
          <w:spacing w:val="-22"/>
        </w:rPr>
        <w:t> </w:t>
      </w:r>
      <w:r>
        <w:rPr/>
        <w:t>Ormrod</w:t>
      </w:r>
      <w:r>
        <w:rPr>
          <w:spacing w:val="-19"/>
        </w:rPr>
        <w:t> </w:t>
      </w:r>
      <w:r>
        <w:rPr/>
        <w:t>(2005)</w:t>
      </w:r>
      <w:r>
        <w:rPr>
          <w:spacing w:val="-20"/>
        </w:rPr>
        <w:t> </w:t>
      </w:r>
      <w:r>
        <w:rPr/>
        <w:t>una</w:t>
      </w:r>
      <w:r>
        <w:rPr>
          <w:spacing w:val="-19"/>
        </w:rPr>
        <w:t> </w:t>
      </w:r>
      <w:r>
        <w:rPr/>
        <w:t>breve</w:t>
      </w:r>
      <w:r>
        <w:rPr>
          <w:spacing w:val="-19"/>
        </w:rPr>
        <w:t> </w:t>
      </w:r>
      <w:r>
        <w:rPr/>
        <w:t>investigación</w:t>
      </w:r>
      <w:r>
        <w:rPr>
          <w:spacing w:val="-19"/>
        </w:rPr>
        <w:t> </w:t>
      </w:r>
      <w:r>
        <w:rPr/>
        <w:t>exploratoria</w:t>
      </w:r>
      <w:r>
        <w:rPr>
          <w:spacing w:val="-19"/>
        </w:rPr>
        <w:t> </w:t>
      </w:r>
      <w:r>
        <w:rPr/>
        <w:t>ayuda a probar procedimientos particulares, instrumentos de medición o métodos de análisis. Esto evita la pérdida de tiempo y permite al investigador reconocer qué enfoques serán o no efectivos en la solución del problema de</w:t>
      </w:r>
      <w:r>
        <w:rPr>
          <w:spacing w:val="-22"/>
        </w:rPr>
        <w:t> </w:t>
      </w:r>
      <w:r>
        <w:rPr/>
        <w:t>investigación.</w:t>
      </w:r>
    </w:p>
    <w:p>
      <w:pPr>
        <w:pStyle w:val="BodyText"/>
        <w:spacing w:line="360" w:lineRule="auto" w:before="202"/>
        <w:ind w:left="102" w:right="108" w:firstLine="707"/>
        <w:jc w:val="both"/>
      </w:pPr>
      <w:r>
        <w:rPr/>
        <w:t>Finalmente, a manera de justificación, se puede decir como que así como existe prestigio</w:t>
      </w:r>
      <w:r>
        <w:rPr>
          <w:spacing w:val="-6"/>
        </w:rPr>
        <w:t> </w:t>
      </w:r>
      <w:r>
        <w:rPr/>
        <w:t>entre</w:t>
      </w:r>
      <w:r>
        <w:rPr>
          <w:spacing w:val="-6"/>
        </w:rPr>
        <w:t> </w:t>
      </w:r>
      <w:r>
        <w:rPr/>
        <w:t>grupos</w:t>
      </w:r>
      <w:r>
        <w:rPr>
          <w:spacing w:val="-9"/>
        </w:rPr>
        <w:t> </w:t>
      </w:r>
      <w:r>
        <w:rPr/>
        <w:t>sociales,</w:t>
      </w:r>
      <w:r>
        <w:rPr>
          <w:spacing w:val="-6"/>
        </w:rPr>
        <w:t> </w:t>
      </w:r>
      <w:r>
        <w:rPr/>
        <w:t>éste</w:t>
      </w:r>
      <w:r>
        <w:rPr>
          <w:spacing w:val="-8"/>
        </w:rPr>
        <w:t> </w:t>
      </w:r>
      <w:r>
        <w:rPr/>
        <w:t>también</w:t>
      </w:r>
      <w:r>
        <w:rPr>
          <w:spacing w:val="-8"/>
        </w:rPr>
        <w:t> </w:t>
      </w:r>
      <w:r>
        <w:rPr/>
        <w:t>se</w:t>
      </w:r>
      <w:r>
        <w:rPr>
          <w:spacing w:val="-6"/>
        </w:rPr>
        <w:t> </w:t>
      </w:r>
      <w:r>
        <w:rPr/>
        <w:t>da</w:t>
      </w:r>
      <w:r>
        <w:rPr>
          <w:spacing w:val="-8"/>
        </w:rPr>
        <w:t> </w:t>
      </w:r>
      <w:r>
        <w:rPr/>
        <w:t>entre</w:t>
      </w:r>
      <w:r>
        <w:rPr>
          <w:spacing w:val="-6"/>
        </w:rPr>
        <w:t> </w:t>
      </w:r>
      <w:r>
        <w:rPr/>
        <w:t>usos</w:t>
      </w:r>
      <w:r>
        <w:rPr>
          <w:spacing w:val="-7"/>
        </w:rPr>
        <w:t> </w:t>
      </w:r>
      <w:r>
        <w:rPr/>
        <w:t>lingüísticos</w:t>
      </w:r>
      <w:r>
        <w:rPr>
          <w:spacing w:val="-7"/>
        </w:rPr>
        <w:t> </w:t>
      </w:r>
      <w:r>
        <w:rPr/>
        <w:t>y</w:t>
      </w:r>
      <w:r>
        <w:rPr>
          <w:spacing w:val="-9"/>
        </w:rPr>
        <w:t> </w:t>
      </w:r>
      <w:r>
        <w:rPr/>
        <w:t>con</w:t>
      </w:r>
      <w:r>
        <w:rPr>
          <w:spacing w:val="-6"/>
        </w:rPr>
        <w:t> </w:t>
      </w:r>
      <w:r>
        <w:rPr/>
        <w:t>la</w:t>
      </w:r>
      <w:r>
        <w:rPr>
          <w:spacing w:val="-9"/>
        </w:rPr>
        <w:t> </w:t>
      </w:r>
      <w:r>
        <w:rPr/>
        <w:t>ayuda de la sociolingüística se puede estudiar los anglicismos como parte de la variación lingüística de una comunidad y la percepción de los mismos. Además de poder delimitar la comunidad que los usa con mayor frecuencia y la que es más aceptada usándolos, tomando en cuenta las diferentes formas y características de su uso reflejadas en las variables.</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Heading1"/>
        <w:numPr>
          <w:ilvl w:val="2"/>
          <w:numId w:val="4"/>
        </w:numPr>
        <w:tabs>
          <w:tab w:pos="1480" w:val="left" w:leader="none"/>
        </w:tabs>
        <w:spacing w:line="240" w:lineRule="auto" w:before="70" w:after="0"/>
        <w:ind w:left="1479" w:right="0" w:hanging="669"/>
        <w:jc w:val="left"/>
      </w:pPr>
      <w:r>
        <w:rPr/>
        <w:t>Diseño del cuestionario y primer</w:t>
      </w:r>
      <w:r>
        <w:rPr>
          <w:spacing w:val="-12"/>
        </w:rPr>
        <w:t> </w:t>
      </w:r>
      <w:r>
        <w:rPr/>
        <w:t>pilotaje</w:t>
      </w:r>
    </w:p>
    <w:p>
      <w:pPr>
        <w:pStyle w:val="BodyText"/>
        <w:spacing w:before="4"/>
        <w:rPr>
          <w:b/>
          <w:sz w:val="29"/>
        </w:rPr>
      </w:pPr>
    </w:p>
    <w:p>
      <w:pPr>
        <w:pStyle w:val="BodyText"/>
        <w:spacing w:line="360" w:lineRule="auto" w:before="1"/>
        <w:ind w:left="102" w:right="107" w:firstLine="707"/>
        <w:jc w:val="both"/>
      </w:pPr>
      <w:r>
        <w:rPr/>
        <w:t>En un primer pilotaje se cifraron un total de 16 aseveraciones siguiendo los parámetros de redacción propuestos por Méndez y Peña (2006) quienes en su manual para el diseño de la escala Likert sugieren ciertos criterios con la intención de asegurar la validez del instrumento (</w:t>
      </w:r>
      <w:r>
        <w:rPr>
          <w:b/>
        </w:rPr>
        <w:t>véase anexo C</w:t>
      </w:r>
      <w:r>
        <w:rPr/>
        <w:t>). Además, los estudiosos antes</w:t>
      </w:r>
      <w:r>
        <w:rPr>
          <w:spacing w:val="-43"/>
        </w:rPr>
        <w:t> </w:t>
      </w:r>
      <w:r>
        <w:rPr/>
        <w:t>mencionados como Hernández Sampieri </w:t>
      </w:r>
      <w:r>
        <w:rPr>
          <w:i/>
        </w:rPr>
        <w:t>et al. </w:t>
      </w:r>
      <w:r>
        <w:rPr/>
        <w:t>(2008), Leedy y Ormrod (2005) y Zorrilla (1997) mencionan que el pilotaje es una excelente forma de comprobar la confiabilidad del estudio y del instrumento de investigación. Por ello es necesaria la aplicación de una entrevista prueba, con el fin de determinar los cambios necesarios que deben realizarse al</w:t>
      </w:r>
      <w:r>
        <w:rPr>
          <w:spacing w:val="-10"/>
        </w:rPr>
        <w:t> </w:t>
      </w:r>
      <w:r>
        <w:rPr/>
        <w:t>instrumento</w:t>
      </w:r>
      <w:r>
        <w:rPr>
          <w:spacing w:val="-10"/>
        </w:rPr>
        <w:t> </w:t>
      </w:r>
      <w:r>
        <w:rPr/>
        <w:t>en</w:t>
      </w:r>
      <w:r>
        <w:rPr>
          <w:spacing w:val="-8"/>
        </w:rPr>
        <w:t> </w:t>
      </w:r>
      <w:r>
        <w:rPr/>
        <w:t>sí,</w:t>
      </w:r>
      <w:r>
        <w:rPr>
          <w:spacing w:val="-9"/>
        </w:rPr>
        <w:t> </w:t>
      </w:r>
      <w:r>
        <w:rPr/>
        <w:t>los</w:t>
      </w:r>
      <w:r>
        <w:rPr>
          <w:spacing w:val="-9"/>
        </w:rPr>
        <w:t> </w:t>
      </w:r>
      <w:r>
        <w:rPr/>
        <w:t>cuales</w:t>
      </w:r>
      <w:r>
        <w:rPr>
          <w:spacing w:val="-9"/>
        </w:rPr>
        <w:t> </w:t>
      </w:r>
      <w:r>
        <w:rPr/>
        <w:t>pueden</w:t>
      </w:r>
      <w:r>
        <w:rPr>
          <w:spacing w:val="-8"/>
        </w:rPr>
        <w:t> </w:t>
      </w:r>
      <w:r>
        <w:rPr/>
        <w:t>ser</w:t>
      </w:r>
      <w:r>
        <w:rPr>
          <w:spacing w:val="-10"/>
        </w:rPr>
        <w:t> </w:t>
      </w:r>
      <w:r>
        <w:rPr/>
        <w:t>diversos</w:t>
      </w:r>
      <w:r>
        <w:rPr>
          <w:spacing w:val="-9"/>
        </w:rPr>
        <w:t> </w:t>
      </w:r>
      <w:r>
        <w:rPr/>
        <w:t>incluyendo</w:t>
      </w:r>
      <w:r>
        <w:rPr>
          <w:spacing w:val="-8"/>
        </w:rPr>
        <w:t> </w:t>
      </w:r>
      <w:r>
        <w:rPr/>
        <w:t>cambios</w:t>
      </w:r>
      <w:r>
        <w:rPr>
          <w:spacing w:val="-9"/>
        </w:rPr>
        <w:t> </w:t>
      </w:r>
      <w:r>
        <w:rPr/>
        <w:t>en</w:t>
      </w:r>
      <w:r>
        <w:rPr>
          <w:spacing w:val="-8"/>
        </w:rPr>
        <w:t> </w:t>
      </w:r>
      <w:r>
        <w:rPr/>
        <w:t>su</w:t>
      </w:r>
      <w:r>
        <w:rPr>
          <w:spacing w:val="-8"/>
        </w:rPr>
        <w:t> </w:t>
      </w:r>
      <w:r>
        <w:rPr/>
        <w:t>estructura o</w:t>
      </w:r>
      <w:r>
        <w:rPr>
          <w:spacing w:val="-2"/>
        </w:rPr>
        <w:t> </w:t>
      </w:r>
      <w:r>
        <w:rPr/>
        <w:t>secuencia.</w:t>
      </w:r>
    </w:p>
    <w:p>
      <w:pPr>
        <w:pStyle w:val="BodyText"/>
        <w:spacing w:line="360" w:lineRule="auto" w:before="204"/>
        <w:ind w:left="102" w:right="105" w:firstLine="707"/>
        <w:jc w:val="both"/>
      </w:pPr>
      <w:r>
        <w:rPr/>
        <w:t>Para la aplicación del primer pilotaje se citó a 10 sujetos en un cubículo de la biblioteca de la Facultad de Lenguas. Cabe mencionar que a pesar de que los sujetos fueron elegidos al </w:t>
      </w:r>
      <w:r>
        <w:rPr>
          <w:spacing w:val="-4"/>
        </w:rPr>
        <w:t>azar, </w:t>
      </w:r>
      <w:r>
        <w:rPr/>
        <w:t>son parte de una población con características similares a las</w:t>
      </w:r>
      <w:r>
        <w:rPr>
          <w:spacing w:val="-43"/>
        </w:rPr>
        <w:t> </w:t>
      </w:r>
      <w:r>
        <w:rPr/>
        <w:t>de los</w:t>
      </w:r>
      <w:r>
        <w:rPr>
          <w:spacing w:val="-13"/>
        </w:rPr>
        <w:t> </w:t>
      </w:r>
      <w:r>
        <w:rPr/>
        <w:t>sujetos</w:t>
      </w:r>
      <w:r>
        <w:rPr>
          <w:spacing w:val="-14"/>
        </w:rPr>
        <w:t> </w:t>
      </w:r>
      <w:r>
        <w:rPr/>
        <w:t>en</w:t>
      </w:r>
      <w:r>
        <w:rPr>
          <w:spacing w:val="-13"/>
        </w:rPr>
        <w:t> </w:t>
      </w:r>
      <w:r>
        <w:rPr/>
        <w:t>la</w:t>
      </w:r>
      <w:r>
        <w:rPr>
          <w:spacing w:val="-16"/>
        </w:rPr>
        <w:t> </w:t>
      </w:r>
      <w:r>
        <w:rPr/>
        <w:t>aplicación</w:t>
      </w:r>
      <w:r>
        <w:rPr>
          <w:spacing w:val="-15"/>
        </w:rPr>
        <w:t> </w:t>
      </w:r>
      <w:r>
        <w:rPr/>
        <w:t>final:</w:t>
      </w:r>
      <w:r>
        <w:rPr>
          <w:spacing w:val="-13"/>
        </w:rPr>
        <w:t> </w:t>
      </w:r>
      <w:r>
        <w:rPr/>
        <w:t>cinco</w:t>
      </w:r>
      <w:r>
        <w:rPr>
          <w:spacing w:val="-13"/>
        </w:rPr>
        <w:t> </w:t>
      </w:r>
      <w:r>
        <w:rPr/>
        <w:t>de</w:t>
      </w:r>
      <w:r>
        <w:rPr>
          <w:spacing w:val="-13"/>
        </w:rPr>
        <w:t> </w:t>
      </w:r>
      <w:r>
        <w:rPr/>
        <w:t>ellos</w:t>
      </w:r>
      <w:r>
        <w:rPr>
          <w:spacing w:val="-14"/>
        </w:rPr>
        <w:t> </w:t>
      </w:r>
      <w:r>
        <w:rPr/>
        <w:t>mujeres</w:t>
      </w:r>
      <w:r>
        <w:rPr>
          <w:spacing w:val="-14"/>
        </w:rPr>
        <w:t> </w:t>
      </w:r>
      <w:r>
        <w:rPr/>
        <w:t>y</w:t>
      </w:r>
      <w:r>
        <w:rPr>
          <w:spacing w:val="-16"/>
        </w:rPr>
        <w:t> </w:t>
      </w:r>
      <w:r>
        <w:rPr/>
        <w:t>cinco</w:t>
      </w:r>
      <w:r>
        <w:rPr>
          <w:spacing w:val="-15"/>
        </w:rPr>
        <w:t> </w:t>
      </w:r>
      <w:r>
        <w:rPr/>
        <w:t>hombres,</w:t>
      </w:r>
      <w:r>
        <w:rPr>
          <w:spacing w:val="-13"/>
        </w:rPr>
        <w:t> </w:t>
      </w:r>
      <w:r>
        <w:rPr/>
        <w:t>todos</w:t>
      </w:r>
      <w:r>
        <w:rPr>
          <w:spacing w:val="-16"/>
        </w:rPr>
        <w:t> </w:t>
      </w:r>
      <w:r>
        <w:rPr/>
        <w:t>habitantes de la ciudad de </w:t>
      </w:r>
      <w:r>
        <w:rPr>
          <w:spacing w:val="-5"/>
        </w:rPr>
        <w:t>Toluca </w:t>
      </w:r>
      <w:r>
        <w:rPr/>
        <w:t>y de nacionalidad mexicana, con edades entre 21 y 56 años. Se les explicó el procedimiento de la investigación; y las grabaciones, que fueron reproducidas antes de contestar los cuestionarios, se repitieron dos veces para lograr que los sujetos retuvieran las percepciones que crearon de ambas grabaciones para así funcionar como jueces que imprimen el grado de aceptación de cada uno de los ítems. Además, se les pidió que realizaran anotaciones de aspectos en el instrumento que no fueran comprensibles o</w:t>
      </w:r>
      <w:r>
        <w:rPr>
          <w:spacing w:val="-7"/>
        </w:rPr>
        <w:t> </w:t>
      </w:r>
      <w:r>
        <w:rPr/>
        <w:t>claros.</w:t>
      </w:r>
    </w:p>
    <w:p>
      <w:pPr>
        <w:pStyle w:val="BodyText"/>
        <w:spacing w:line="360" w:lineRule="auto" w:before="2"/>
        <w:ind w:left="102" w:right="108" w:firstLine="707"/>
        <w:jc w:val="both"/>
      </w:pPr>
      <w:r>
        <w:rPr/>
        <w:t>Los resultados mostraron que las indicaciones no necesitaban corrección alguna. En cuanto a los datos personales requeridos, se decidió omitir “la ocupación”, ya que no es una variable que se pretenda estudiar en este trabajo de investigación, por lo tanto resultaba innecesaria.</w:t>
      </w:r>
    </w:p>
    <w:p>
      <w:pPr>
        <w:pStyle w:val="BodyText"/>
        <w:spacing w:line="360" w:lineRule="auto" w:before="2"/>
        <w:ind w:left="102" w:right="117" w:firstLine="775"/>
        <w:jc w:val="both"/>
      </w:pPr>
      <w:r>
        <w:rPr/>
        <w:t>En cuanto a las aseveraciones, los resultados mostraron que se tenía una inclinación positiva hacia la hipótesis de prestigio ante el uso de anglicismos, ya que en el diseño se identificó que también eran mayoritarias.</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Heading1"/>
        <w:numPr>
          <w:ilvl w:val="2"/>
          <w:numId w:val="4"/>
        </w:numPr>
        <w:tabs>
          <w:tab w:pos="1480" w:val="left" w:leader="none"/>
        </w:tabs>
        <w:spacing w:line="240" w:lineRule="auto" w:before="70" w:after="0"/>
        <w:ind w:left="1479" w:right="0" w:hanging="669"/>
        <w:jc w:val="left"/>
      </w:pPr>
      <w:r>
        <w:rPr/>
        <w:t>Segundo</w:t>
      </w:r>
      <w:r>
        <w:rPr>
          <w:spacing w:val="-8"/>
        </w:rPr>
        <w:t> </w:t>
      </w:r>
      <w:r>
        <w:rPr/>
        <w:t>Pilotaje</w:t>
      </w:r>
    </w:p>
    <w:p>
      <w:pPr>
        <w:pStyle w:val="BodyText"/>
        <w:rPr>
          <w:b/>
        </w:rPr>
      </w:pPr>
    </w:p>
    <w:p>
      <w:pPr>
        <w:pStyle w:val="BodyText"/>
        <w:rPr>
          <w:b/>
        </w:rPr>
      </w:pPr>
    </w:p>
    <w:p>
      <w:pPr>
        <w:pStyle w:val="BodyText"/>
        <w:spacing w:line="360" w:lineRule="auto"/>
        <w:ind w:left="102" w:right="107" w:firstLine="707"/>
        <w:jc w:val="both"/>
      </w:pPr>
      <w:r>
        <w:rPr/>
        <w:t>Para el segundo pilotaje, en esta ocación en el diseño del “matched guise”, las grabaciones</w:t>
      </w:r>
      <w:r>
        <w:rPr>
          <w:spacing w:val="-9"/>
        </w:rPr>
        <w:t> </w:t>
      </w:r>
      <w:r>
        <w:rPr/>
        <w:t>ya</w:t>
      </w:r>
      <w:r>
        <w:rPr>
          <w:spacing w:val="-6"/>
        </w:rPr>
        <w:t> </w:t>
      </w:r>
      <w:r>
        <w:rPr/>
        <w:t>no</w:t>
      </w:r>
      <w:r>
        <w:rPr>
          <w:spacing w:val="-8"/>
        </w:rPr>
        <w:t> </w:t>
      </w:r>
      <w:r>
        <w:rPr/>
        <w:t>mostraban</w:t>
      </w:r>
      <w:r>
        <w:rPr>
          <w:spacing w:val="-8"/>
        </w:rPr>
        <w:t> </w:t>
      </w:r>
      <w:r>
        <w:rPr/>
        <w:t>gran</w:t>
      </w:r>
      <w:r>
        <w:rPr>
          <w:spacing w:val="-6"/>
        </w:rPr>
        <w:t> </w:t>
      </w:r>
      <w:r>
        <w:rPr/>
        <w:t>cantidad</w:t>
      </w:r>
      <w:r>
        <w:rPr>
          <w:spacing w:val="-8"/>
        </w:rPr>
        <w:t> </w:t>
      </w:r>
      <w:r>
        <w:rPr/>
        <w:t>de</w:t>
      </w:r>
      <w:r>
        <w:rPr>
          <w:spacing w:val="-8"/>
        </w:rPr>
        <w:t> </w:t>
      </w:r>
      <w:r>
        <w:rPr/>
        <w:t>porcentajes</w:t>
      </w:r>
      <w:r>
        <w:rPr>
          <w:spacing w:val="-6"/>
        </w:rPr>
        <w:t> </w:t>
      </w:r>
      <w:r>
        <w:rPr/>
        <w:t>en</w:t>
      </w:r>
      <w:r>
        <w:rPr>
          <w:spacing w:val="-8"/>
        </w:rPr>
        <w:t> </w:t>
      </w:r>
      <w:r>
        <w:rPr/>
        <w:t>las</w:t>
      </w:r>
      <w:r>
        <w:rPr>
          <w:spacing w:val="-9"/>
        </w:rPr>
        <w:t> </w:t>
      </w:r>
      <w:r>
        <w:rPr/>
        <w:t>estadisticas</w:t>
      </w:r>
      <w:r>
        <w:rPr>
          <w:spacing w:val="-7"/>
        </w:rPr>
        <w:t> </w:t>
      </w:r>
      <w:r>
        <w:rPr/>
        <w:t>de</w:t>
      </w:r>
      <w:r>
        <w:rPr>
          <w:spacing w:val="-6"/>
        </w:rPr>
        <w:t> </w:t>
      </w:r>
      <w:r>
        <w:rPr/>
        <w:t>uso</w:t>
      </w:r>
      <w:r>
        <w:rPr>
          <w:spacing w:val="-8"/>
        </w:rPr>
        <w:t> </w:t>
      </w:r>
      <w:r>
        <w:rPr/>
        <w:t>de redes</w:t>
      </w:r>
      <w:r>
        <w:rPr>
          <w:spacing w:val="-9"/>
        </w:rPr>
        <w:t> </w:t>
      </w:r>
      <w:r>
        <w:rPr/>
        <w:t>sociales</w:t>
      </w:r>
      <w:r>
        <w:rPr>
          <w:spacing w:val="-12"/>
        </w:rPr>
        <w:t> </w:t>
      </w:r>
      <w:r>
        <w:rPr/>
        <w:t>en</w:t>
      </w:r>
      <w:r>
        <w:rPr>
          <w:spacing w:val="-8"/>
        </w:rPr>
        <w:t> </w:t>
      </w:r>
      <w:r>
        <w:rPr/>
        <w:t>internet.</w:t>
      </w:r>
      <w:r>
        <w:rPr>
          <w:spacing w:val="-20"/>
        </w:rPr>
        <w:t> </w:t>
      </w:r>
      <w:r>
        <w:rPr/>
        <w:t>Además,</w:t>
      </w:r>
      <w:r>
        <w:rPr>
          <w:spacing w:val="-10"/>
        </w:rPr>
        <w:t> </w:t>
      </w:r>
      <w:r>
        <w:rPr/>
        <w:t>ambas</w:t>
      </w:r>
      <w:r>
        <w:rPr>
          <w:spacing w:val="-8"/>
        </w:rPr>
        <w:t> </w:t>
      </w:r>
      <w:r>
        <w:rPr/>
        <w:t>grabaciones</w:t>
      </w:r>
      <w:r>
        <w:rPr>
          <w:spacing w:val="-9"/>
        </w:rPr>
        <w:t> </w:t>
      </w:r>
      <w:r>
        <w:rPr/>
        <w:t>ya</w:t>
      </w:r>
      <w:r>
        <w:rPr>
          <w:spacing w:val="-8"/>
        </w:rPr>
        <w:t> </w:t>
      </w:r>
      <w:r>
        <w:rPr/>
        <w:t>no</w:t>
      </w:r>
      <w:r>
        <w:rPr>
          <w:spacing w:val="-11"/>
        </w:rPr>
        <w:t> </w:t>
      </w:r>
      <w:r>
        <w:rPr/>
        <w:t>fueron</w:t>
      </w:r>
      <w:r>
        <w:rPr>
          <w:spacing w:val="-8"/>
        </w:rPr>
        <w:t> </w:t>
      </w:r>
      <w:r>
        <w:rPr/>
        <w:t>reproducidas</w:t>
      </w:r>
      <w:r>
        <w:rPr>
          <w:spacing w:val="-9"/>
        </w:rPr>
        <w:t> </w:t>
      </w:r>
      <w:r>
        <w:rPr/>
        <w:t>antes del cuestionario sino cada una previa a la serie de aseveraciones que le corresponden: parte 1 para a grabación 1 y parte 2 para la grabación 2 (</w:t>
      </w:r>
      <w:r>
        <w:rPr>
          <w:b/>
        </w:rPr>
        <w:t>vease anexo</w:t>
      </w:r>
      <w:r>
        <w:rPr>
          <w:b/>
          <w:spacing w:val="-21"/>
        </w:rPr>
        <w:t> </w:t>
      </w:r>
      <w:r>
        <w:rPr>
          <w:b/>
        </w:rPr>
        <w:t>D</w:t>
      </w:r>
      <w:r>
        <w:rPr/>
        <w:t>).</w:t>
      </w:r>
    </w:p>
    <w:p>
      <w:pPr>
        <w:pStyle w:val="BodyText"/>
        <w:spacing w:line="360" w:lineRule="auto" w:before="2"/>
        <w:ind w:left="102" w:right="110" w:firstLine="707"/>
        <w:jc w:val="both"/>
      </w:pPr>
      <w:r>
        <w:rPr/>
        <w:t>Con</w:t>
      </w:r>
      <w:r>
        <w:rPr>
          <w:spacing w:val="-13"/>
        </w:rPr>
        <w:t> </w:t>
      </w:r>
      <w:r>
        <w:rPr/>
        <w:t>la</w:t>
      </w:r>
      <w:r>
        <w:rPr>
          <w:spacing w:val="-13"/>
        </w:rPr>
        <w:t> </w:t>
      </w:r>
      <w:r>
        <w:rPr/>
        <w:t>intención</w:t>
      </w:r>
      <w:r>
        <w:rPr>
          <w:spacing w:val="-15"/>
        </w:rPr>
        <w:t> </w:t>
      </w:r>
      <w:r>
        <w:rPr/>
        <w:t>de</w:t>
      </w:r>
      <w:r>
        <w:rPr>
          <w:spacing w:val="-13"/>
        </w:rPr>
        <w:t> </w:t>
      </w:r>
      <w:r>
        <w:rPr/>
        <w:t>validar</w:t>
      </w:r>
      <w:r>
        <w:rPr>
          <w:spacing w:val="-15"/>
        </w:rPr>
        <w:t> </w:t>
      </w:r>
      <w:r>
        <w:rPr/>
        <w:t>el</w:t>
      </w:r>
      <w:r>
        <w:rPr>
          <w:spacing w:val="-14"/>
        </w:rPr>
        <w:t> </w:t>
      </w:r>
      <w:r>
        <w:rPr/>
        <w:t>instrumento</w:t>
      </w:r>
      <w:r>
        <w:rPr>
          <w:spacing w:val="-13"/>
        </w:rPr>
        <w:t> </w:t>
      </w:r>
      <w:r>
        <w:rPr/>
        <w:t>y</w:t>
      </w:r>
      <w:r>
        <w:rPr>
          <w:spacing w:val="-16"/>
        </w:rPr>
        <w:t> </w:t>
      </w:r>
      <w:r>
        <w:rPr/>
        <w:t>las</w:t>
      </w:r>
      <w:r>
        <w:rPr>
          <w:spacing w:val="-13"/>
        </w:rPr>
        <w:t> </w:t>
      </w:r>
      <w:r>
        <w:rPr/>
        <w:t>aseveraciones</w:t>
      </w:r>
      <w:r>
        <w:rPr>
          <w:spacing w:val="-14"/>
        </w:rPr>
        <w:t> </w:t>
      </w:r>
      <w:r>
        <w:rPr/>
        <w:t>en</w:t>
      </w:r>
      <w:r>
        <w:rPr>
          <w:spacing w:val="-13"/>
        </w:rPr>
        <w:t> </w:t>
      </w:r>
      <w:r>
        <w:rPr/>
        <w:t>él,</w:t>
      </w:r>
      <w:r>
        <w:rPr>
          <w:spacing w:val="-14"/>
        </w:rPr>
        <w:t> </w:t>
      </w:r>
      <w:r>
        <w:rPr/>
        <w:t>el</w:t>
      </w:r>
      <w:r>
        <w:rPr>
          <w:spacing w:val="-14"/>
        </w:rPr>
        <w:t> </w:t>
      </w:r>
      <w:r>
        <w:rPr/>
        <w:t>cuestionario se dividió en dos partes. La primera contiene diez aseveraciones correspondientes a la grabación</w:t>
      </w:r>
      <w:r>
        <w:rPr>
          <w:spacing w:val="-15"/>
        </w:rPr>
        <w:t> </w:t>
      </w:r>
      <w:r>
        <w:rPr/>
        <w:t>con</w:t>
      </w:r>
      <w:r>
        <w:rPr>
          <w:spacing w:val="-16"/>
        </w:rPr>
        <w:t> </w:t>
      </w:r>
      <w:r>
        <w:rPr/>
        <w:t>anglicismos,</w:t>
      </w:r>
      <w:r>
        <w:rPr>
          <w:spacing w:val="-16"/>
        </w:rPr>
        <w:t> </w:t>
      </w:r>
      <w:r>
        <w:rPr/>
        <w:t>cinco</w:t>
      </w:r>
      <w:r>
        <w:rPr>
          <w:spacing w:val="-16"/>
        </w:rPr>
        <w:t> </w:t>
      </w:r>
      <w:r>
        <w:rPr/>
        <w:t>de</w:t>
      </w:r>
      <w:r>
        <w:rPr>
          <w:spacing w:val="-16"/>
        </w:rPr>
        <w:t> </w:t>
      </w:r>
      <w:r>
        <w:rPr/>
        <w:t>ellas</w:t>
      </w:r>
      <w:r>
        <w:rPr>
          <w:spacing w:val="-16"/>
        </w:rPr>
        <w:t> </w:t>
      </w:r>
      <w:r>
        <w:rPr/>
        <w:t>son</w:t>
      </w:r>
      <w:r>
        <w:rPr>
          <w:spacing w:val="-18"/>
        </w:rPr>
        <w:t> </w:t>
      </w:r>
      <w:r>
        <w:rPr/>
        <w:t>positivas</w:t>
      </w:r>
      <w:r>
        <w:rPr>
          <w:spacing w:val="-16"/>
        </w:rPr>
        <w:t> </w:t>
      </w:r>
      <w:r>
        <w:rPr/>
        <w:t>(favorables)</w:t>
      </w:r>
      <w:r>
        <w:rPr>
          <w:spacing w:val="-17"/>
        </w:rPr>
        <w:t> </w:t>
      </w:r>
      <w:r>
        <w:rPr/>
        <w:t>y</w:t>
      </w:r>
      <w:r>
        <w:rPr>
          <w:spacing w:val="-19"/>
        </w:rPr>
        <w:t> </w:t>
      </w:r>
      <w:r>
        <w:rPr/>
        <w:t>cinco</w:t>
      </w:r>
      <w:r>
        <w:rPr>
          <w:spacing w:val="-15"/>
        </w:rPr>
        <w:t> </w:t>
      </w:r>
      <w:r>
        <w:rPr/>
        <w:t>son</w:t>
      </w:r>
      <w:r>
        <w:rPr>
          <w:spacing w:val="-16"/>
        </w:rPr>
        <w:t> </w:t>
      </w:r>
      <w:r>
        <w:rPr/>
        <w:t>negativas (desfavorables), ya que cada ítem positivo debe tener su ítem inmediato negativo que corrobore la actitud del sujeto (Méndez y Peña,</w:t>
      </w:r>
      <w:r>
        <w:rPr>
          <w:spacing w:val="-18"/>
        </w:rPr>
        <w:t> </w:t>
      </w:r>
      <w:r>
        <w:rPr/>
        <w:t>2006).</w:t>
      </w:r>
    </w:p>
    <w:p>
      <w:pPr>
        <w:pStyle w:val="BodyText"/>
        <w:spacing w:line="360" w:lineRule="auto" w:before="5"/>
        <w:ind w:left="102" w:right="107" w:firstLine="707"/>
        <w:jc w:val="both"/>
      </w:pPr>
      <w:r>
        <w:rPr/>
        <w:t>Asimismo, los adjetivos incluidos en las aseveraciones hacen referencia a las variables “prestigio” y “actitud” de la investigación. Para esta primera parte, seis items corresponden a “prestigio” y cuatro a “actitud” (véanse tablas 3.3. y 3.4.).</w:t>
      </w:r>
    </w:p>
    <w:p>
      <w:pPr>
        <w:pStyle w:val="BodyText"/>
        <w:spacing w:line="360" w:lineRule="auto" w:before="2"/>
        <w:ind w:left="102" w:right="114" w:firstLine="707"/>
        <w:jc w:val="both"/>
      </w:pPr>
      <w:r>
        <w:rPr/>
        <w:t>Méndez</w:t>
      </w:r>
      <w:r>
        <w:rPr>
          <w:spacing w:val="-7"/>
        </w:rPr>
        <w:t> </w:t>
      </w:r>
      <w:r>
        <w:rPr/>
        <w:t>y</w:t>
      </w:r>
      <w:r>
        <w:rPr>
          <w:spacing w:val="-7"/>
        </w:rPr>
        <w:t> </w:t>
      </w:r>
      <w:r>
        <w:rPr/>
        <w:t>Peña</w:t>
      </w:r>
      <w:r>
        <w:rPr>
          <w:spacing w:val="-4"/>
        </w:rPr>
        <w:t> </w:t>
      </w:r>
      <w:r>
        <w:rPr/>
        <w:t>(2006:</w:t>
      </w:r>
      <w:r>
        <w:rPr>
          <w:spacing w:val="-6"/>
        </w:rPr>
        <w:t> 11)</w:t>
      </w:r>
      <w:r>
        <w:rPr>
          <w:spacing w:val="-5"/>
        </w:rPr>
        <w:t> </w:t>
      </w:r>
      <w:r>
        <w:rPr/>
        <w:t>mencionan</w:t>
      </w:r>
      <w:r>
        <w:rPr>
          <w:spacing w:val="-4"/>
        </w:rPr>
        <w:t> </w:t>
      </w:r>
      <w:r>
        <w:rPr/>
        <w:t>que</w:t>
      </w:r>
      <w:r>
        <w:rPr>
          <w:spacing w:val="1"/>
        </w:rPr>
        <w:t> </w:t>
      </w:r>
      <w:r>
        <w:rPr/>
        <w:t>“a</w:t>
      </w:r>
      <w:r>
        <w:rPr>
          <w:spacing w:val="-6"/>
        </w:rPr>
        <w:t> </w:t>
      </w:r>
      <w:r>
        <w:rPr/>
        <w:t>cada</w:t>
      </w:r>
      <w:r>
        <w:rPr>
          <w:spacing w:val="-4"/>
        </w:rPr>
        <w:t> </w:t>
      </w:r>
      <w:r>
        <w:rPr/>
        <w:t>categoría</w:t>
      </w:r>
      <w:r>
        <w:rPr>
          <w:spacing w:val="-4"/>
        </w:rPr>
        <w:t> </w:t>
      </w:r>
      <w:r>
        <w:rPr/>
        <w:t>se</w:t>
      </w:r>
      <w:r>
        <w:rPr>
          <w:spacing w:val="-4"/>
        </w:rPr>
        <w:t> </w:t>
      </w:r>
      <w:r>
        <w:rPr/>
        <w:t>le</w:t>
      </w:r>
      <w:r>
        <w:rPr>
          <w:spacing w:val="-4"/>
        </w:rPr>
        <w:t> </w:t>
      </w:r>
      <w:r>
        <w:rPr/>
        <w:t>asigna</w:t>
      </w:r>
      <w:r>
        <w:rPr>
          <w:spacing w:val="-4"/>
        </w:rPr>
        <w:t> </w:t>
      </w:r>
      <w:r>
        <w:rPr/>
        <w:t>un</w:t>
      </w:r>
      <w:r>
        <w:rPr>
          <w:spacing w:val="-4"/>
        </w:rPr>
        <w:t> </w:t>
      </w:r>
      <w:r>
        <w:rPr/>
        <w:t>valor numérico” el cual corresponde a cada una de las opciones en las respuestas y depende del tipo de ítem (favorable o desfavorable) para obtener una puntuación total, por medio del cual, se ubicará al sujeto dentro de un punto de la escala (véase tabla</w:t>
      </w:r>
      <w:r>
        <w:rPr>
          <w:spacing w:val="-23"/>
        </w:rPr>
        <w:t> </w:t>
      </w:r>
      <w:r>
        <w:rPr/>
        <w:t>3.2</w:t>
      </w:r>
      <w:r>
        <w:rPr>
          <w:b/>
        </w:rPr>
        <w:t>.</w:t>
      </w:r>
      <w:r>
        <w:rPr/>
        <w:t>).</w:t>
      </w:r>
    </w:p>
    <w:p>
      <w:pPr>
        <w:pStyle w:val="BodyText"/>
        <w:spacing w:line="360" w:lineRule="auto" w:before="5"/>
        <w:ind w:left="102" w:right="106" w:firstLine="707"/>
        <w:jc w:val="both"/>
      </w:pPr>
      <w:r>
        <w:rPr/>
        <w:t>Para</w:t>
      </w:r>
      <w:r>
        <w:rPr>
          <w:spacing w:val="-8"/>
        </w:rPr>
        <w:t> </w:t>
      </w:r>
      <w:r>
        <w:rPr/>
        <w:t>las</w:t>
      </w:r>
      <w:r>
        <w:rPr>
          <w:spacing w:val="-8"/>
        </w:rPr>
        <w:t> </w:t>
      </w:r>
      <w:r>
        <w:rPr/>
        <w:t>tablas</w:t>
      </w:r>
      <w:r>
        <w:rPr>
          <w:spacing w:val="-8"/>
        </w:rPr>
        <w:t> </w:t>
      </w:r>
      <w:r>
        <w:rPr/>
        <w:t>3.2.</w:t>
      </w:r>
      <w:r>
        <w:rPr>
          <w:spacing w:val="-8"/>
        </w:rPr>
        <w:t> </w:t>
      </w:r>
      <w:r>
        <w:rPr/>
        <w:t>y</w:t>
      </w:r>
      <w:r>
        <w:rPr>
          <w:spacing w:val="-11"/>
        </w:rPr>
        <w:t> </w:t>
      </w:r>
      <w:r>
        <w:rPr/>
        <w:t>3.3.</w:t>
      </w:r>
      <w:r>
        <w:rPr>
          <w:spacing w:val="-8"/>
        </w:rPr>
        <w:t> </w:t>
      </w:r>
      <w:r>
        <w:rPr/>
        <w:t>las</w:t>
      </w:r>
      <w:r>
        <w:rPr>
          <w:spacing w:val="-8"/>
        </w:rPr>
        <w:t> </w:t>
      </w:r>
      <w:r>
        <w:rPr/>
        <w:t>acotaciones</w:t>
      </w:r>
      <w:r>
        <w:rPr>
          <w:spacing w:val="-8"/>
        </w:rPr>
        <w:t> </w:t>
      </w:r>
      <w:r>
        <w:rPr/>
        <w:t>son</w:t>
      </w:r>
      <w:r>
        <w:rPr>
          <w:spacing w:val="-10"/>
        </w:rPr>
        <w:t> </w:t>
      </w:r>
      <w:r>
        <w:rPr/>
        <w:t>las</w:t>
      </w:r>
      <w:r>
        <w:rPr>
          <w:spacing w:val="-8"/>
        </w:rPr>
        <w:t> </w:t>
      </w:r>
      <w:r>
        <w:rPr/>
        <w:t>siguientes</w:t>
      </w:r>
      <w:r>
        <w:rPr>
          <w:b/>
        </w:rPr>
        <w:t>:</w:t>
      </w:r>
      <w:r>
        <w:rPr>
          <w:b/>
          <w:spacing w:val="-6"/>
        </w:rPr>
        <w:t> </w:t>
      </w:r>
      <w:r>
        <w:rPr/>
        <w:t>UII=</w:t>
      </w:r>
      <w:r>
        <w:rPr>
          <w:spacing w:val="-9"/>
        </w:rPr>
        <w:t> </w:t>
      </w:r>
      <w:r>
        <w:rPr/>
        <w:t>Ubicación</w:t>
      </w:r>
      <w:r>
        <w:rPr>
          <w:spacing w:val="-7"/>
        </w:rPr>
        <w:t> </w:t>
      </w:r>
      <w:r>
        <w:rPr/>
        <w:t>inicial ítem, NAV= Número asignado a variable, UIM= Ubicación ítem muestra, UFI= Ubicación final ítem y las variables corresponden a Variable 1 (</w:t>
      </w:r>
      <w:r>
        <w:rPr>
          <w:b/>
        </w:rPr>
        <w:t>V1</w:t>
      </w:r>
      <w:r>
        <w:rPr/>
        <w:t>) a “actitud”; y Variable 2 (</w:t>
      </w:r>
      <w:r>
        <w:rPr>
          <w:b/>
        </w:rPr>
        <w:t>V2</w:t>
      </w:r>
      <w:r>
        <w:rPr/>
        <w:t>) a “prestigio”. El libro de códigos y la ordenación de ítems se realizó con base en lo estipulado por Méndez y Peña, quienes mencionan que un libro de códigos es “…un documento que indica la categoría del ítem y su respectivo código (2006:</w:t>
      </w:r>
      <w:r>
        <w:rPr>
          <w:spacing w:val="-22"/>
        </w:rPr>
        <w:t> </w:t>
      </w:r>
      <w:r>
        <w:rPr/>
        <w:t>50-53)”.</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p>
      <w:pPr>
        <w:pStyle w:val="BodyText"/>
        <w:ind w:left="2014"/>
        <w:rPr>
          <w:sz w:val="20"/>
        </w:rPr>
      </w:pPr>
      <w:r>
        <w:rPr>
          <w:sz w:val="20"/>
        </w:rPr>
        <w:drawing>
          <wp:inline distT="0" distB="0" distL="0" distR="0">
            <wp:extent cx="3536399" cy="2447925"/>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27" cstate="print"/>
                    <a:stretch>
                      <a:fillRect/>
                    </a:stretch>
                  </pic:blipFill>
                  <pic:spPr>
                    <a:xfrm>
                      <a:off x="0" y="0"/>
                      <a:ext cx="3536399" cy="2447925"/>
                    </a:xfrm>
                    <a:prstGeom prst="rect">
                      <a:avLst/>
                    </a:prstGeom>
                  </pic:spPr>
                </pic:pic>
              </a:graphicData>
            </a:graphic>
          </wp:inline>
        </w:drawing>
      </w:r>
      <w:r>
        <w:rPr>
          <w:sz w:val="20"/>
        </w:rPr>
      </w:r>
    </w:p>
    <w:p>
      <w:pPr>
        <w:pStyle w:val="BodyText"/>
        <w:spacing w:before="6"/>
        <w:rPr>
          <w:sz w:val="6"/>
        </w:rPr>
      </w:pPr>
    </w:p>
    <w:p>
      <w:pPr>
        <w:spacing w:before="74"/>
        <w:ind w:left="1669" w:right="339" w:hanging="51"/>
        <w:jc w:val="left"/>
        <w:rPr>
          <w:b/>
          <w:sz w:val="20"/>
        </w:rPr>
      </w:pPr>
      <w:r>
        <w:rPr/>
        <w:drawing>
          <wp:anchor distT="0" distB="0" distL="0" distR="0" allowOverlap="1" layoutInCell="1" locked="0" behindDoc="0" simplePos="0" relativeHeight="1120">
            <wp:simplePos x="0" y="0"/>
            <wp:positionH relativeFrom="page">
              <wp:posOffset>1168908</wp:posOffset>
            </wp:positionH>
            <wp:positionV relativeFrom="paragraph">
              <wp:posOffset>267587</wp:posOffset>
            </wp:positionV>
            <wp:extent cx="5789794" cy="3962400"/>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28" cstate="print"/>
                    <a:stretch>
                      <a:fillRect/>
                    </a:stretch>
                  </pic:blipFill>
                  <pic:spPr>
                    <a:xfrm>
                      <a:off x="0" y="0"/>
                      <a:ext cx="5789794" cy="3962400"/>
                    </a:xfrm>
                    <a:prstGeom prst="rect">
                      <a:avLst/>
                    </a:prstGeom>
                  </pic:spPr>
                </pic:pic>
              </a:graphicData>
            </a:graphic>
          </wp:anchor>
        </w:drawing>
      </w:r>
      <w:r>
        <w:rPr>
          <w:b/>
          <w:sz w:val="20"/>
        </w:rPr>
        <w:t>Tabla 3.2. Libro de códigos por ubicación final del reactivo: Parte 1</w:t>
      </w:r>
    </w:p>
    <w:p>
      <w:pPr>
        <w:spacing w:before="114"/>
        <w:ind w:left="1669" w:right="339" w:firstLine="0"/>
        <w:jc w:val="left"/>
        <w:rPr>
          <w:b/>
          <w:sz w:val="20"/>
        </w:rPr>
      </w:pPr>
      <w:r>
        <w:rPr>
          <w:b/>
          <w:sz w:val="20"/>
        </w:rPr>
        <w:t>Tabla 3.3. Ítems ordenados por número de ubicación final: Parte 1</w:t>
      </w:r>
    </w:p>
    <w:p>
      <w:pPr>
        <w:pStyle w:val="BodyText"/>
        <w:spacing w:before="5"/>
        <w:rPr>
          <w:b/>
          <w:sz w:val="27"/>
        </w:rPr>
      </w:pPr>
    </w:p>
    <w:p>
      <w:pPr>
        <w:pStyle w:val="BodyText"/>
        <w:spacing w:line="360" w:lineRule="auto"/>
        <w:ind w:left="102" w:right="111" w:firstLine="707"/>
        <w:jc w:val="both"/>
      </w:pPr>
      <w:r>
        <w:rPr/>
        <w:t>El mismo proceso fue realizado para la parte 2 del cuestionario en donde se exponen los ítems favorables y desfavorables con respecto a la segunda grabación que no cuenta con anglicismos (véanse tablas 3.4. y 3.5.). La asignación de puntajes a los</w:t>
      </w:r>
    </w:p>
    <w:p>
      <w:pPr>
        <w:spacing w:after="0" w:line="360" w:lineRule="auto"/>
        <w:jc w:val="both"/>
        <w:sectPr>
          <w:footerReference w:type="default" r:id="rId26"/>
          <w:pgSz w:w="12240" w:h="15840"/>
          <w:pgMar w:footer="1003" w:header="749"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26"/>
      </w:pPr>
      <w:r>
        <w:rPr/>
        <w:t>ítems</w:t>
      </w:r>
      <w:r>
        <w:rPr>
          <w:spacing w:val="-9"/>
        </w:rPr>
        <w:t> </w:t>
      </w:r>
      <w:r>
        <w:rPr/>
        <w:t>en</w:t>
      </w:r>
      <w:r>
        <w:rPr>
          <w:spacing w:val="-8"/>
        </w:rPr>
        <w:t> </w:t>
      </w:r>
      <w:r>
        <w:rPr/>
        <w:t>una</w:t>
      </w:r>
      <w:r>
        <w:rPr>
          <w:spacing w:val="-8"/>
        </w:rPr>
        <w:t> </w:t>
      </w:r>
      <w:r>
        <w:rPr/>
        <w:t>escala</w:t>
      </w:r>
      <w:r>
        <w:rPr>
          <w:spacing w:val="-9"/>
        </w:rPr>
        <w:t> </w:t>
      </w:r>
      <w:r>
        <w:rPr/>
        <w:t>Likert</w:t>
      </w:r>
      <w:r>
        <w:rPr>
          <w:spacing w:val="-7"/>
        </w:rPr>
        <w:t> </w:t>
      </w:r>
      <w:r>
        <w:rPr/>
        <w:t>es</w:t>
      </w:r>
      <w:r>
        <w:rPr>
          <w:spacing w:val="-9"/>
        </w:rPr>
        <w:t> </w:t>
      </w:r>
      <w:r>
        <w:rPr/>
        <w:t>una</w:t>
      </w:r>
      <w:r>
        <w:rPr>
          <w:spacing w:val="-8"/>
        </w:rPr>
        <w:t> </w:t>
      </w:r>
      <w:r>
        <w:rPr/>
        <w:t>manera</w:t>
      </w:r>
      <w:r>
        <w:rPr>
          <w:spacing w:val="-9"/>
        </w:rPr>
        <w:t> </w:t>
      </w:r>
      <w:r>
        <w:rPr/>
        <w:t>de</w:t>
      </w:r>
      <w:r>
        <w:rPr>
          <w:spacing w:val="-11"/>
        </w:rPr>
        <w:t> </w:t>
      </w:r>
      <w:r>
        <w:rPr/>
        <w:t>codificar</w:t>
      </w:r>
      <w:r>
        <w:rPr>
          <w:spacing w:val="-7"/>
        </w:rPr>
        <w:t> </w:t>
      </w:r>
      <w:r>
        <w:rPr/>
        <w:t>la</w:t>
      </w:r>
      <w:r>
        <w:rPr>
          <w:spacing w:val="-9"/>
        </w:rPr>
        <w:t> </w:t>
      </w:r>
      <w:r>
        <w:rPr/>
        <w:t>información</w:t>
      </w:r>
      <w:r>
        <w:rPr>
          <w:spacing w:val="-8"/>
        </w:rPr>
        <w:t> </w:t>
      </w:r>
      <w:r>
        <w:rPr/>
        <w:t>a</w:t>
      </w:r>
      <w:r>
        <w:rPr>
          <w:spacing w:val="-8"/>
        </w:rPr>
        <w:t> </w:t>
      </w:r>
      <w:r>
        <w:rPr/>
        <w:t>través</w:t>
      </w:r>
      <w:r>
        <w:rPr>
          <w:spacing w:val="-7"/>
        </w:rPr>
        <w:t> </w:t>
      </w:r>
      <w:r>
        <w:rPr/>
        <w:t>de</w:t>
      </w:r>
      <w:r>
        <w:rPr>
          <w:spacing w:val="-8"/>
        </w:rPr>
        <w:t> </w:t>
      </w:r>
      <w:r>
        <w:rPr/>
        <w:t>un</w:t>
      </w:r>
      <w:r>
        <w:rPr>
          <w:spacing w:val="-8"/>
        </w:rPr>
        <w:t> </w:t>
      </w:r>
      <w:r>
        <w:rPr/>
        <w:t>valor numérico ya sea la posición positiva o negativa del ítem en</w:t>
      </w:r>
      <w:r>
        <w:rPr>
          <w:spacing w:val="-27"/>
        </w:rPr>
        <w:t> </w:t>
      </w:r>
      <w:r>
        <w:rPr/>
        <w:t>cuestión.</w:t>
      </w:r>
    </w:p>
    <w:p>
      <w:pPr>
        <w:pStyle w:val="BodyText"/>
        <w:spacing w:before="5"/>
        <w:rPr>
          <w:sz w:val="14"/>
        </w:rPr>
      </w:pPr>
      <w:r>
        <w:rPr/>
        <w:drawing>
          <wp:anchor distT="0" distB="0" distL="0" distR="0" allowOverlap="1" layoutInCell="1" locked="0" behindDoc="0" simplePos="0" relativeHeight="1144">
            <wp:simplePos x="0" y="0"/>
            <wp:positionH relativeFrom="page">
              <wp:posOffset>1179575</wp:posOffset>
            </wp:positionH>
            <wp:positionV relativeFrom="paragraph">
              <wp:posOffset>130732</wp:posOffset>
            </wp:positionV>
            <wp:extent cx="5761800" cy="2514600"/>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30" cstate="print"/>
                    <a:stretch>
                      <a:fillRect/>
                    </a:stretch>
                  </pic:blipFill>
                  <pic:spPr>
                    <a:xfrm>
                      <a:off x="0" y="0"/>
                      <a:ext cx="5761800" cy="2514600"/>
                    </a:xfrm>
                    <a:prstGeom prst="rect">
                      <a:avLst/>
                    </a:prstGeom>
                  </pic:spPr>
                </pic:pic>
              </a:graphicData>
            </a:graphic>
          </wp:anchor>
        </w:drawing>
      </w:r>
    </w:p>
    <w:p>
      <w:pPr>
        <w:spacing w:before="111"/>
        <w:ind w:left="1669" w:right="339" w:hanging="51"/>
        <w:jc w:val="left"/>
        <w:rPr>
          <w:b/>
          <w:sz w:val="20"/>
        </w:rPr>
      </w:pPr>
      <w:r>
        <w:rPr>
          <w:b/>
          <w:sz w:val="20"/>
        </w:rPr>
        <w:t>Tabla 3.4. Libro de códigos por ubicación final del reactivo: Parte 2</w:t>
      </w:r>
    </w:p>
    <w:p>
      <w:pPr>
        <w:pStyle w:val="BodyText"/>
        <w:rPr>
          <w:b/>
          <w:sz w:val="20"/>
        </w:rPr>
      </w:pPr>
    </w:p>
    <w:p>
      <w:pPr>
        <w:pStyle w:val="BodyText"/>
        <w:rPr>
          <w:b/>
          <w:sz w:val="20"/>
        </w:rPr>
      </w:pPr>
    </w:p>
    <w:p>
      <w:pPr>
        <w:pStyle w:val="BodyText"/>
        <w:rPr>
          <w:b/>
          <w:sz w:val="20"/>
        </w:rPr>
      </w:pPr>
    </w:p>
    <w:p>
      <w:pPr>
        <w:pStyle w:val="BodyText"/>
        <w:spacing w:before="6"/>
        <w:rPr>
          <w:b/>
          <w:sz w:val="11"/>
        </w:rPr>
      </w:pPr>
      <w:r>
        <w:rPr/>
        <w:drawing>
          <wp:anchor distT="0" distB="0" distL="0" distR="0" allowOverlap="1" layoutInCell="1" locked="0" behindDoc="0" simplePos="0" relativeHeight="1168">
            <wp:simplePos x="0" y="0"/>
            <wp:positionH relativeFrom="page">
              <wp:posOffset>1179575</wp:posOffset>
            </wp:positionH>
            <wp:positionV relativeFrom="paragraph">
              <wp:posOffset>108887</wp:posOffset>
            </wp:positionV>
            <wp:extent cx="5767646" cy="3524250"/>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31" cstate="print"/>
                    <a:stretch>
                      <a:fillRect/>
                    </a:stretch>
                  </pic:blipFill>
                  <pic:spPr>
                    <a:xfrm>
                      <a:off x="0" y="0"/>
                      <a:ext cx="5767646" cy="3524250"/>
                    </a:xfrm>
                    <a:prstGeom prst="rect">
                      <a:avLst/>
                    </a:prstGeom>
                  </pic:spPr>
                </pic:pic>
              </a:graphicData>
            </a:graphic>
          </wp:anchor>
        </w:drawing>
      </w:r>
    </w:p>
    <w:p>
      <w:pPr>
        <w:pStyle w:val="BodyText"/>
        <w:rPr>
          <w:b/>
          <w:sz w:val="25"/>
        </w:rPr>
      </w:pPr>
    </w:p>
    <w:p>
      <w:pPr>
        <w:spacing w:before="0"/>
        <w:ind w:left="1669" w:right="339" w:firstLine="0"/>
        <w:jc w:val="left"/>
        <w:rPr>
          <w:b/>
          <w:sz w:val="20"/>
        </w:rPr>
      </w:pPr>
      <w:r>
        <w:rPr>
          <w:b/>
          <w:sz w:val="20"/>
        </w:rPr>
        <w:t>Tabla 3.5. Ítems ordenados por número de ubicación final: Parte 2</w:t>
      </w:r>
    </w:p>
    <w:p>
      <w:pPr>
        <w:spacing w:after="0"/>
        <w:jc w:val="left"/>
        <w:rPr>
          <w:sz w:val="20"/>
        </w:rPr>
        <w:sectPr>
          <w:footerReference w:type="default" r:id="rId29"/>
          <w:pgSz w:w="12240" w:h="15840"/>
          <w:pgMar w:footer="1003" w:header="749" w:top="960" w:bottom="1200" w:left="1600" w:right="1020"/>
          <w:pgNumType w:start="41"/>
        </w:sect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70"/>
        <w:ind w:left="102" w:right="110" w:firstLine="707"/>
        <w:jc w:val="both"/>
      </w:pPr>
      <w:r>
        <w:rPr/>
        <w:t>El diseño del cuestionario es sugerido por Méndez L.M. y Peña J.A., (2006) e indican que entre los métodos más conocidos para medir variables de actitudes a través de escalas, la escala Likert es de las más ventajosas ya que se centra en el sujeto y enfatiza sus diferencias individuales, además de ser de las más fáciles de construir y validar. Es por ello que con un nuevo modelo ya construido se procedió al segundo pilotaje</w:t>
      </w:r>
      <w:r>
        <w:rPr>
          <w:spacing w:val="-8"/>
        </w:rPr>
        <w:t> </w:t>
      </w:r>
      <w:r>
        <w:rPr/>
        <w:t>para</w:t>
      </w:r>
      <w:r>
        <w:rPr>
          <w:spacing w:val="-9"/>
        </w:rPr>
        <w:t> </w:t>
      </w:r>
      <w:r>
        <w:rPr/>
        <w:t>así</w:t>
      </w:r>
      <w:r>
        <w:rPr>
          <w:spacing w:val="-11"/>
        </w:rPr>
        <w:t> </w:t>
      </w:r>
      <w:r>
        <w:rPr/>
        <w:t>comprobar</w:t>
      </w:r>
      <w:r>
        <w:rPr>
          <w:spacing w:val="-10"/>
        </w:rPr>
        <w:t> </w:t>
      </w:r>
      <w:r>
        <w:rPr/>
        <w:t>la</w:t>
      </w:r>
      <w:r>
        <w:rPr>
          <w:spacing w:val="-9"/>
        </w:rPr>
        <w:t> </w:t>
      </w:r>
      <w:r>
        <w:rPr/>
        <w:t>validez</w:t>
      </w:r>
      <w:r>
        <w:rPr>
          <w:spacing w:val="-12"/>
        </w:rPr>
        <w:t> </w:t>
      </w:r>
      <w:r>
        <w:rPr/>
        <w:t>del</w:t>
      </w:r>
      <w:r>
        <w:rPr>
          <w:spacing w:val="-10"/>
        </w:rPr>
        <w:t> </w:t>
      </w:r>
      <w:r>
        <w:rPr/>
        <w:t>constructo</w:t>
      </w:r>
      <w:r>
        <w:rPr>
          <w:spacing w:val="-8"/>
        </w:rPr>
        <w:t> </w:t>
      </w:r>
      <w:r>
        <w:rPr/>
        <w:t>a</w:t>
      </w:r>
      <w:r>
        <w:rPr>
          <w:spacing w:val="-11"/>
        </w:rPr>
        <w:t> </w:t>
      </w:r>
      <w:r>
        <w:rPr/>
        <w:t>utilizar</w:t>
      </w:r>
      <w:r>
        <w:rPr>
          <w:spacing w:val="-10"/>
        </w:rPr>
        <w:t> </w:t>
      </w:r>
      <w:r>
        <w:rPr/>
        <w:t>en</w:t>
      </w:r>
      <w:r>
        <w:rPr>
          <w:spacing w:val="-8"/>
        </w:rPr>
        <w:t> </w:t>
      </w:r>
      <w:r>
        <w:rPr/>
        <w:t>la</w:t>
      </w:r>
      <w:r>
        <w:rPr>
          <w:spacing w:val="-9"/>
        </w:rPr>
        <w:t> </w:t>
      </w:r>
      <w:r>
        <w:rPr/>
        <w:t>aplicación</w:t>
      </w:r>
      <w:r>
        <w:rPr>
          <w:spacing w:val="-8"/>
        </w:rPr>
        <w:t> </w:t>
      </w:r>
      <w:r>
        <w:rPr/>
        <w:t>real</w:t>
      </w:r>
      <w:r>
        <w:rPr>
          <w:spacing w:val="-10"/>
        </w:rPr>
        <w:t> </w:t>
      </w:r>
      <w:r>
        <w:rPr/>
        <w:t>(</w:t>
      </w:r>
      <w:r>
        <w:rPr>
          <w:b/>
        </w:rPr>
        <w:t>véase anexo</w:t>
      </w:r>
      <w:r>
        <w:rPr>
          <w:b/>
          <w:spacing w:val="-5"/>
        </w:rPr>
        <w:t> </w:t>
      </w:r>
      <w:r>
        <w:rPr>
          <w:b/>
        </w:rPr>
        <w:t>4</w:t>
      </w:r>
      <w:r>
        <w:rPr/>
        <w:t>).</w:t>
      </w:r>
    </w:p>
    <w:p>
      <w:pPr>
        <w:pStyle w:val="BodyText"/>
        <w:spacing w:line="360" w:lineRule="auto" w:before="202"/>
        <w:ind w:left="102" w:right="106" w:firstLine="707"/>
        <w:jc w:val="both"/>
      </w:pPr>
      <w:r>
        <w:rPr/>
        <w:t>El segundo pilotaje se realizó en un aula de la facultad de lenguas a 8 sujetos de entre</w:t>
      </w:r>
      <w:r>
        <w:rPr>
          <w:spacing w:val="-6"/>
        </w:rPr>
        <w:t> </w:t>
      </w:r>
      <w:r>
        <w:rPr/>
        <w:t>18</w:t>
      </w:r>
      <w:r>
        <w:rPr>
          <w:spacing w:val="-6"/>
        </w:rPr>
        <w:t> </w:t>
      </w:r>
      <w:r>
        <w:rPr/>
        <w:t>a</w:t>
      </w:r>
      <w:r>
        <w:rPr>
          <w:spacing w:val="-4"/>
        </w:rPr>
        <w:t> </w:t>
      </w:r>
      <w:r>
        <w:rPr/>
        <w:t>25</w:t>
      </w:r>
      <w:r>
        <w:rPr>
          <w:spacing w:val="-6"/>
        </w:rPr>
        <w:t> </w:t>
      </w:r>
      <w:r>
        <w:rPr/>
        <w:t>años</w:t>
      </w:r>
      <w:r>
        <w:rPr>
          <w:spacing w:val="-7"/>
        </w:rPr>
        <w:t> </w:t>
      </w:r>
      <w:r>
        <w:rPr/>
        <w:t>de</w:t>
      </w:r>
      <w:r>
        <w:rPr>
          <w:spacing w:val="-8"/>
        </w:rPr>
        <w:t> </w:t>
      </w:r>
      <w:r>
        <w:rPr/>
        <w:t>edad. Una</w:t>
      </w:r>
      <w:r>
        <w:rPr>
          <w:spacing w:val="-4"/>
        </w:rPr>
        <w:t> </w:t>
      </w:r>
      <w:r>
        <w:rPr/>
        <w:t>vez</w:t>
      </w:r>
      <w:r>
        <w:rPr>
          <w:spacing w:val="-7"/>
        </w:rPr>
        <w:t> </w:t>
      </w:r>
      <w:r>
        <w:rPr/>
        <w:t>habiendo</w:t>
      </w:r>
      <w:r>
        <w:rPr>
          <w:spacing w:val="-4"/>
        </w:rPr>
        <w:t> </w:t>
      </w:r>
      <w:r>
        <w:rPr/>
        <w:t>dado</w:t>
      </w:r>
      <w:r>
        <w:rPr>
          <w:spacing w:val="-4"/>
        </w:rPr>
        <w:t> </w:t>
      </w:r>
      <w:r>
        <w:rPr/>
        <w:t>el</w:t>
      </w:r>
      <w:r>
        <w:rPr>
          <w:spacing w:val="-5"/>
        </w:rPr>
        <w:t> </w:t>
      </w:r>
      <w:r>
        <w:rPr/>
        <w:t>cuestionario</w:t>
      </w:r>
      <w:r>
        <w:rPr>
          <w:spacing w:val="-4"/>
        </w:rPr>
        <w:t> </w:t>
      </w:r>
      <w:r>
        <w:rPr/>
        <w:t>para</w:t>
      </w:r>
      <w:r>
        <w:rPr>
          <w:spacing w:val="-4"/>
        </w:rPr>
        <w:t> </w:t>
      </w:r>
      <w:r>
        <w:rPr/>
        <w:t>llenar</w:t>
      </w:r>
      <w:r>
        <w:rPr>
          <w:spacing w:val="-5"/>
        </w:rPr>
        <w:t> </w:t>
      </w:r>
      <w:r>
        <w:rPr/>
        <w:t>los</w:t>
      </w:r>
      <w:r>
        <w:rPr>
          <w:spacing w:val="-4"/>
        </w:rPr>
        <w:t> </w:t>
      </w:r>
      <w:r>
        <w:rPr/>
        <w:t>datos generales, se leyeron la presentación del instrumento e instrucciones de manera grupal para evitar malas interpretaciones. Nuevamente se les pidió que marcaran las aseveraciones que no fueran claras o que parecieran complejas y se procedió a la aplicación.</w:t>
      </w:r>
      <w:r>
        <w:rPr>
          <w:spacing w:val="-10"/>
        </w:rPr>
        <w:t> </w:t>
      </w:r>
      <w:r>
        <w:rPr/>
        <w:t>Las</w:t>
      </w:r>
      <w:r>
        <w:rPr>
          <w:spacing w:val="-10"/>
        </w:rPr>
        <w:t> </w:t>
      </w:r>
      <w:r>
        <w:rPr/>
        <w:t>grabaciones</w:t>
      </w:r>
      <w:r>
        <w:rPr>
          <w:spacing w:val="-10"/>
        </w:rPr>
        <w:t> </w:t>
      </w:r>
      <w:r>
        <w:rPr/>
        <w:t>fueron</w:t>
      </w:r>
      <w:r>
        <w:rPr>
          <w:spacing w:val="-7"/>
        </w:rPr>
        <w:t> </w:t>
      </w:r>
      <w:r>
        <w:rPr/>
        <w:t>reproducidas</w:t>
      </w:r>
      <w:r>
        <w:rPr>
          <w:spacing w:val="-8"/>
        </w:rPr>
        <w:t> </w:t>
      </w:r>
      <w:r>
        <w:rPr/>
        <w:t>por</w:t>
      </w:r>
      <w:r>
        <w:rPr>
          <w:spacing w:val="-8"/>
        </w:rPr>
        <w:t> </w:t>
      </w:r>
      <w:r>
        <w:rPr/>
        <w:t>separado (grabación</w:t>
      </w:r>
      <w:r>
        <w:rPr>
          <w:spacing w:val="-9"/>
        </w:rPr>
        <w:t> </w:t>
      </w:r>
      <w:r>
        <w:rPr/>
        <w:t>1</w:t>
      </w:r>
      <w:r>
        <w:rPr>
          <w:spacing w:val="-9"/>
        </w:rPr>
        <w:t> </w:t>
      </w:r>
      <w:r>
        <w:rPr/>
        <w:t>para</w:t>
      </w:r>
      <w:r>
        <w:rPr>
          <w:spacing w:val="-8"/>
        </w:rPr>
        <w:t> </w:t>
      </w:r>
      <w:r>
        <w:rPr/>
        <w:t>la</w:t>
      </w:r>
      <w:r>
        <w:rPr>
          <w:spacing w:val="-7"/>
        </w:rPr>
        <w:t> </w:t>
      </w:r>
      <w:r>
        <w:rPr/>
        <w:t>parte 1</w:t>
      </w:r>
      <w:r>
        <w:rPr>
          <w:spacing w:val="-8"/>
        </w:rPr>
        <w:t> </w:t>
      </w:r>
      <w:r>
        <w:rPr/>
        <w:t>y</w:t>
      </w:r>
      <w:r>
        <w:rPr>
          <w:spacing w:val="-10"/>
        </w:rPr>
        <w:t> </w:t>
      </w:r>
      <w:r>
        <w:rPr/>
        <w:t>grabación</w:t>
      </w:r>
      <w:r>
        <w:rPr>
          <w:spacing w:val="-7"/>
        </w:rPr>
        <w:t> </w:t>
      </w:r>
      <w:r>
        <w:rPr/>
        <w:t>2</w:t>
      </w:r>
      <w:r>
        <w:rPr>
          <w:spacing w:val="-8"/>
        </w:rPr>
        <w:t> </w:t>
      </w:r>
      <w:r>
        <w:rPr/>
        <w:t>para</w:t>
      </w:r>
      <w:r>
        <w:rPr>
          <w:spacing w:val="-8"/>
        </w:rPr>
        <w:t> </w:t>
      </w:r>
      <w:r>
        <w:rPr/>
        <w:t>la</w:t>
      </w:r>
      <w:r>
        <w:rPr>
          <w:spacing w:val="-10"/>
        </w:rPr>
        <w:t> </w:t>
      </w:r>
      <w:r>
        <w:rPr/>
        <w:t>parte</w:t>
      </w:r>
      <w:r>
        <w:rPr>
          <w:spacing w:val="-10"/>
        </w:rPr>
        <w:t> </w:t>
      </w:r>
      <w:r>
        <w:rPr/>
        <w:t>2)</w:t>
      </w:r>
      <w:r>
        <w:rPr>
          <w:spacing w:val="-9"/>
        </w:rPr>
        <w:t> </w:t>
      </w:r>
      <w:r>
        <w:rPr/>
        <w:t>pero</w:t>
      </w:r>
      <w:r>
        <w:rPr>
          <w:spacing w:val="-10"/>
        </w:rPr>
        <w:t> </w:t>
      </w:r>
      <w:r>
        <w:rPr/>
        <w:t>repetidas</w:t>
      </w:r>
      <w:r>
        <w:rPr>
          <w:spacing w:val="-8"/>
        </w:rPr>
        <w:t> </w:t>
      </w:r>
      <w:r>
        <w:rPr/>
        <w:t>dos</w:t>
      </w:r>
      <w:r>
        <w:rPr>
          <w:spacing w:val="-8"/>
        </w:rPr>
        <w:t> </w:t>
      </w:r>
      <w:r>
        <w:rPr/>
        <w:t>veces</w:t>
      </w:r>
      <w:r>
        <w:rPr>
          <w:spacing w:val="-8"/>
        </w:rPr>
        <w:t> </w:t>
      </w:r>
      <w:r>
        <w:rPr/>
        <w:t>y</w:t>
      </w:r>
      <w:r>
        <w:rPr>
          <w:spacing w:val="-11"/>
        </w:rPr>
        <w:t> </w:t>
      </w:r>
      <w:r>
        <w:rPr/>
        <w:t>se</w:t>
      </w:r>
      <w:r>
        <w:rPr>
          <w:spacing w:val="-8"/>
        </w:rPr>
        <w:t> </w:t>
      </w:r>
      <w:r>
        <w:rPr/>
        <w:t>les</w:t>
      </w:r>
      <w:r>
        <w:rPr>
          <w:spacing w:val="-8"/>
        </w:rPr>
        <w:t> </w:t>
      </w:r>
      <w:r>
        <w:rPr/>
        <w:t>dio</w:t>
      </w:r>
      <w:r>
        <w:rPr>
          <w:spacing w:val="-8"/>
        </w:rPr>
        <w:t> </w:t>
      </w:r>
      <w:r>
        <w:rPr/>
        <w:t>tiempo</w:t>
      </w:r>
      <w:r>
        <w:rPr>
          <w:spacing w:val="-10"/>
        </w:rPr>
        <w:t> </w:t>
      </w:r>
      <w:r>
        <w:rPr/>
        <w:t>a</w:t>
      </w:r>
      <w:r>
        <w:rPr>
          <w:spacing w:val="-8"/>
        </w:rPr>
        <w:t> </w:t>
      </w:r>
      <w:r>
        <w:rPr/>
        <w:t>los</w:t>
      </w:r>
      <w:r>
        <w:rPr>
          <w:spacing w:val="-8"/>
        </w:rPr>
        <w:t> </w:t>
      </w:r>
      <w:r>
        <w:rPr/>
        <w:t>sujetos de contestar las aseveraciones entre una grabación y otra, es decir, la lectura de las aseveraciones</w:t>
      </w:r>
      <w:r>
        <w:rPr>
          <w:spacing w:val="-9"/>
        </w:rPr>
        <w:t> </w:t>
      </w:r>
      <w:r>
        <w:rPr/>
        <w:t>era</w:t>
      </w:r>
      <w:r>
        <w:rPr>
          <w:spacing w:val="-7"/>
        </w:rPr>
        <w:t> </w:t>
      </w:r>
      <w:r>
        <w:rPr/>
        <w:t>previa</w:t>
      </w:r>
      <w:r>
        <w:rPr>
          <w:spacing w:val="-6"/>
        </w:rPr>
        <w:t> </w:t>
      </w:r>
      <w:r>
        <w:rPr/>
        <w:t>a</w:t>
      </w:r>
      <w:r>
        <w:rPr>
          <w:spacing w:val="-6"/>
        </w:rPr>
        <w:t> </w:t>
      </w:r>
      <w:r>
        <w:rPr/>
        <w:t>la</w:t>
      </w:r>
      <w:r>
        <w:rPr>
          <w:spacing w:val="-6"/>
        </w:rPr>
        <w:t> </w:t>
      </w:r>
      <w:r>
        <w:rPr/>
        <w:t>grabación,</w:t>
      </w:r>
      <w:r>
        <w:rPr>
          <w:spacing w:val="-9"/>
        </w:rPr>
        <w:t> </w:t>
      </w:r>
      <w:r>
        <w:rPr/>
        <w:t>y</w:t>
      </w:r>
      <w:r>
        <w:rPr>
          <w:spacing w:val="-9"/>
        </w:rPr>
        <w:t> </w:t>
      </w:r>
      <w:r>
        <w:rPr/>
        <w:t>después</w:t>
      </w:r>
      <w:r>
        <w:rPr>
          <w:spacing w:val="-9"/>
        </w:rPr>
        <w:t> </w:t>
      </w:r>
      <w:r>
        <w:rPr/>
        <w:t>de</w:t>
      </w:r>
      <w:r>
        <w:rPr>
          <w:spacing w:val="-8"/>
        </w:rPr>
        <w:t> </w:t>
      </w:r>
      <w:r>
        <w:rPr/>
        <w:t>ésta,</w:t>
      </w:r>
      <w:r>
        <w:rPr>
          <w:spacing w:val="-6"/>
        </w:rPr>
        <w:t> </w:t>
      </w:r>
      <w:r>
        <w:rPr/>
        <w:t>se</w:t>
      </w:r>
      <w:r>
        <w:rPr>
          <w:spacing w:val="-8"/>
        </w:rPr>
        <w:t> </w:t>
      </w:r>
      <w:r>
        <w:rPr/>
        <w:t>daba</w:t>
      </w:r>
      <w:r>
        <w:rPr>
          <w:spacing w:val="-6"/>
        </w:rPr>
        <w:t> </w:t>
      </w:r>
      <w:r>
        <w:rPr/>
        <w:t>tiempo</w:t>
      </w:r>
      <w:r>
        <w:rPr>
          <w:spacing w:val="-8"/>
        </w:rPr>
        <w:t> </w:t>
      </w:r>
      <w:r>
        <w:rPr/>
        <w:t>para</w:t>
      </w:r>
      <w:r>
        <w:rPr>
          <w:spacing w:val="-9"/>
        </w:rPr>
        <w:t> </w:t>
      </w:r>
      <w:r>
        <w:rPr/>
        <w:t>marcar una sola opción por cada</w:t>
      </w:r>
      <w:r>
        <w:rPr>
          <w:spacing w:val="-11"/>
        </w:rPr>
        <w:t> </w:t>
      </w:r>
      <w:r>
        <w:rPr/>
        <w:t>aseveración.</w:t>
      </w:r>
    </w:p>
    <w:p>
      <w:pPr>
        <w:pStyle w:val="BodyText"/>
        <w:spacing w:line="360" w:lineRule="auto" w:before="204"/>
        <w:ind w:left="102" w:right="110" w:firstLine="707"/>
        <w:jc w:val="both"/>
      </w:pPr>
      <w:r>
        <w:rPr/>
        <w:t>Como</w:t>
      </w:r>
      <w:r>
        <w:rPr>
          <w:spacing w:val="-8"/>
        </w:rPr>
        <w:t> </w:t>
      </w:r>
      <w:r>
        <w:rPr/>
        <w:t>resultado</w:t>
      </w:r>
      <w:r>
        <w:rPr>
          <w:spacing w:val="-8"/>
        </w:rPr>
        <w:t> </w:t>
      </w:r>
      <w:r>
        <w:rPr/>
        <w:t>se</w:t>
      </w:r>
      <w:r>
        <w:rPr>
          <w:spacing w:val="-8"/>
        </w:rPr>
        <w:t> </w:t>
      </w:r>
      <w:r>
        <w:rPr/>
        <w:t>obtuvo</w:t>
      </w:r>
      <w:r>
        <w:rPr>
          <w:spacing w:val="-8"/>
        </w:rPr>
        <w:t> </w:t>
      </w:r>
      <w:r>
        <w:rPr/>
        <w:t>que</w:t>
      </w:r>
      <w:r>
        <w:rPr>
          <w:spacing w:val="-8"/>
        </w:rPr>
        <w:t> </w:t>
      </w:r>
      <w:r>
        <w:rPr/>
        <w:t>la</w:t>
      </w:r>
      <w:r>
        <w:rPr>
          <w:spacing w:val="-9"/>
        </w:rPr>
        <w:t> </w:t>
      </w:r>
      <w:r>
        <w:rPr/>
        <w:t>redacción</w:t>
      </w:r>
      <w:r>
        <w:rPr>
          <w:spacing w:val="-8"/>
        </w:rPr>
        <w:t> </w:t>
      </w:r>
      <w:r>
        <w:rPr/>
        <w:t>de</w:t>
      </w:r>
      <w:r>
        <w:rPr>
          <w:spacing w:val="-8"/>
        </w:rPr>
        <w:t> </w:t>
      </w:r>
      <w:r>
        <w:rPr/>
        <w:t>las</w:t>
      </w:r>
      <w:r>
        <w:rPr>
          <w:spacing w:val="-9"/>
        </w:rPr>
        <w:t> </w:t>
      </w:r>
      <w:r>
        <w:rPr/>
        <w:t>aseveraciones</w:t>
      </w:r>
      <w:r>
        <w:rPr>
          <w:spacing w:val="-9"/>
        </w:rPr>
        <w:t> </w:t>
      </w:r>
      <w:r>
        <w:rPr/>
        <w:t>es</w:t>
      </w:r>
      <w:r>
        <w:rPr>
          <w:spacing w:val="-12"/>
        </w:rPr>
        <w:t> </w:t>
      </w:r>
      <w:r>
        <w:rPr/>
        <w:t>comprensible ya que nadie marcó ninguna aseveración como difícil de comprender. Los resultados arrojados son consistentes para cada sujeto, los puntajes dieron una media de 2.95, lo que indica que los resultados son muy similares y proporciona validez en el instrumento. Dado que no hubo mayor problema en la secuencia para presentar el instrumento y su llenado, de la misma manera que en este segundo pilotaje se realizó la aplicación final con los sujetos sugeridos en la tabla 3.1 y con las características que allí también se describen.</w:t>
      </w:r>
    </w:p>
    <w:p>
      <w:pPr>
        <w:spacing w:after="0" w:line="360" w:lineRule="auto"/>
        <w:jc w:val="both"/>
        <w:sectPr>
          <w:pgSz w:w="12240" w:h="15840"/>
          <w:pgMar w:header="749" w:footer="1003" w:top="960" w:bottom="1200" w:left="1600" w:right="1020"/>
        </w:sectPr>
      </w:pPr>
    </w:p>
    <w:p>
      <w:pPr>
        <w:pStyle w:val="BodyText"/>
        <w:spacing w:before="4"/>
        <w:rPr>
          <w:sz w:val="11"/>
        </w:rPr>
      </w:pPr>
    </w:p>
    <w:p>
      <w:pPr>
        <w:pStyle w:val="Heading1"/>
        <w:spacing w:before="69"/>
        <w:ind w:left="423" w:right="433"/>
        <w:jc w:val="center"/>
      </w:pPr>
      <w:r>
        <w:rPr/>
        <w:t>CAPÍTULO</w:t>
      </w:r>
      <w:r>
        <w:rPr>
          <w:spacing w:val="62"/>
        </w:rPr>
        <w:t> </w:t>
      </w:r>
      <w:r>
        <w:rPr/>
        <w:t>4</w:t>
      </w:r>
    </w:p>
    <w:p>
      <w:pPr>
        <w:pStyle w:val="ListParagraph"/>
        <w:numPr>
          <w:ilvl w:val="2"/>
          <w:numId w:val="3"/>
        </w:numPr>
        <w:tabs>
          <w:tab w:pos="2728" w:val="left" w:leader="none"/>
        </w:tabs>
        <w:spacing w:line="240" w:lineRule="auto" w:before="137" w:after="0"/>
        <w:ind w:left="2727" w:right="0" w:hanging="261"/>
        <w:jc w:val="left"/>
        <w:rPr>
          <w:b/>
          <w:sz w:val="24"/>
        </w:rPr>
      </w:pPr>
      <w:r>
        <w:rPr>
          <w:b/>
          <w:sz w:val="24"/>
        </w:rPr>
        <w:t>Análisis e interpretación de</w:t>
      </w:r>
      <w:r>
        <w:rPr>
          <w:b/>
          <w:spacing w:val="-16"/>
          <w:sz w:val="24"/>
        </w:rPr>
        <w:t> </w:t>
      </w:r>
      <w:r>
        <w:rPr>
          <w:b/>
          <w:sz w:val="24"/>
        </w:rPr>
        <w:t>resultados</w:t>
      </w:r>
    </w:p>
    <w:p>
      <w:pPr>
        <w:pStyle w:val="BodyText"/>
        <w:rPr>
          <w:b/>
        </w:rPr>
      </w:pPr>
    </w:p>
    <w:p>
      <w:pPr>
        <w:pStyle w:val="BodyText"/>
        <w:rPr>
          <w:b/>
        </w:rPr>
      </w:pPr>
    </w:p>
    <w:p>
      <w:pPr>
        <w:pStyle w:val="BodyText"/>
        <w:spacing w:line="360" w:lineRule="auto"/>
        <w:ind w:left="102" w:right="109" w:firstLine="566"/>
        <w:jc w:val="both"/>
      </w:pPr>
      <w:r>
        <w:rPr/>
        <w:t>En esta investigación se mide cada uno de los factores que pudieran afectar el prestigio</w:t>
      </w:r>
      <w:r>
        <w:rPr>
          <w:spacing w:val="-13"/>
        </w:rPr>
        <w:t> </w:t>
      </w:r>
      <w:r>
        <w:rPr/>
        <w:t>o</w:t>
      </w:r>
      <w:r>
        <w:rPr>
          <w:spacing w:val="-13"/>
        </w:rPr>
        <w:t> </w:t>
      </w:r>
      <w:r>
        <w:rPr/>
        <w:t>desprestigio</w:t>
      </w:r>
      <w:r>
        <w:rPr>
          <w:spacing w:val="-16"/>
        </w:rPr>
        <w:t> </w:t>
      </w:r>
      <w:r>
        <w:rPr/>
        <w:t>de</w:t>
      </w:r>
      <w:r>
        <w:rPr>
          <w:spacing w:val="-16"/>
        </w:rPr>
        <w:t> </w:t>
      </w:r>
      <w:r>
        <w:rPr/>
        <w:t>anglicismos</w:t>
      </w:r>
      <w:r>
        <w:rPr>
          <w:spacing w:val="-16"/>
        </w:rPr>
        <w:t> </w:t>
      </w:r>
      <w:r>
        <w:rPr/>
        <w:t>de</w:t>
      </w:r>
      <w:r>
        <w:rPr>
          <w:spacing w:val="-16"/>
        </w:rPr>
        <w:t> </w:t>
      </w:r>
      <w:r>
        <w:rPr/>
        <w:t>acuerdo</w:t>
      </w:r>
      <w:r>
        <w:rPr>
          <w:spacing w:val="-13"/>
        </w:rPr>
        <w:t> </w:t>
      </w:r>
      <w:r>
        <w:rPr/>
        <w:t>con</w:t>
      </w:r>
      <w:r>
        <w:rPr>
          <w:spacing w:val="-13"/>
        </w:rPr>
        <w:t> </w:t>
      </w:r>
      <w:r>
        <w:rPr/>
        <w:t>las</w:t>
      </w:r>
      <w:r>
        <w:rPr>
          <w:spacing w:val="-16"/>
        </w:rPr>
        <w:t> </w:t>
      </w:r>
      <w:r>
        <w:rPr/>
        <w:t>percepciones</w:t>
      </w:r>
      <w:r>
        <w:rPr>
          <w:spacing w:val="-14"/>
        </w:rPr>
        <w:t> </w:t>
      </w:r>
      <w:r>
        <w:rPr/>
        <w:t>de</w:t>
      </w:r>
      <w:r>
        <w:rPr>
          <w:spacing w:val="-13"/>
        </w:rPr>
        <w:t> </w:t>
      </w:r>
      <w:r>
        <w:rPr/>
        <w:t>los</w:t>
      </w:r>
      <w:r>
        <w:rPr>
          <w:spacing w:val="-16"/>
        </w:rPr>
        <w:t> </w:t>
      </w:r>
      <w:r>
        <w:rPr/>
        <w:t>individuos entrevistados. Para el análisis se tomaron en cuenta cuatro rubros importantes: el género, los grupos de edad, el grado de estudios y por supuesto la totalidad de participantes,</w:t>
      </w:r>
      <w:r>
        <w:rPr>
          <w:spacing w:val="-9"/>
        </w:rPr>
        <w:t> </w:t>
      </w:r>
      <w:r>
        <w:rPr/>
        <w:t>esto</w:t>
      </w:r>
      <w:r>
        <w:rPr>
          <w:spacing w:val="-8"/>
        </w:rPr>
        <w:t> </w:t>
      </w:r>
      <w:r>
        <w:rPr/>
        <w:t>en</w:t>
      </w:r>
      <w:r>
        <w:rPr>
          <w:spacing w:val="-6"/>
        </w:rPr>
        <w:t> </w:t>
      </w:r>
      <w:r>
        <w:rPr/>
        <w:t>cada</w:t>
      </w:r>
      <w:r>
        <w:rPr>
          <w:spacing w:val="-8"/>
        </w:rPr>
        <w:t> </w:t>
      </w:r>
      <w:r>
        <w:rPr/>
        <w:t>una</w:t>
      </w:r>
      <w:r>
        <w:rPr>
          <w:spacing w:val="-8"/>
        </w:rPr>
        <w:t> </w:t>
      </w:r>
      <w:r>
        <w:rPr/>
        <w:t>de</w:t>
      </w:r>
      <w:r>
        <w:rPr>
          <w:spacing w:val="-6"/>
        </w:rPr>
        <w:t> </w:t>
      </w:r>
      <w:r>
        <w:rPr/>
        <w:t>las</w:t>
      </w:r>
      <w:r>
        <w:rPr>
          <w:spacing w:val="-9"/>
        </w:rPr>
        <w:t> </w:t>
      </w:r>
      <w:r>
        <w:rPr/>
        <w:t>partes</w:t>
      </w:r>
      <w:r>
        <w:rPr>
          <w:spacing w:val="-9"/>
        </w:rPr>
        <w:t> </w:t>
      </w:r>
      <w:r>
        <w:rPr/>
        <w:t>del</w:t>
      </w:r>
      <w:r>
        <w:rPr>
          <w:spacing w:val="-7"/>
        </w:rPr>
        <w:t> </w:t>
      </w:r>
      <w:r>
        <w:rPr/>
        <w:t>cuestionario</w:t>
      </w:r>
      <w:r>
        <w:rPr>
          <w:spacing w:val="-6"/>
        </w:rPr>
        <w:t> </w:t>
      </w:r>
      <w:r>
        <w:rPr/>
        <w:t>que</w:t>
      </w:r>
      <w:r>
        <w:rPr>
          <w:spacing w:val="-6"/>
        </w:rPr>
        <w:t> </w:t>
      </w:r>
      <w:r>
        <w:rPr/>
        <w:t>refieren</w:t>
      </w:r>
      <w:r>
        <w:rPr>
          <w:spacing w:val="-6"/>
        </w:rPr>
        <w:t> </w:t>
      </w:r>
      <w:r>
        <w:rPr/>
        <w:t>a</w:t>
      </w:r>
      <w:r>
        <w:rPr>
          <w:spacing w:val="-6"/>
        </w:rPr>
        <w:t> </w:t>
      </w:r>
      <w:r>
        <w:rPr/>
        <w:t>los</w:t>
      </w:r>
      <w:r>
        <w:rPr>
          <w:spacing w:val="-7"/>
        </w:rPr>
        <w:t> </w:t>
      </w:r>
      <w:r>
        <w:rPr/>
        <w:t>dos</w:t>
      </w:r>
      <w:r>
        <w:rPr>
          <w:spacing w:val="-9"/>
        </w:rPr>
        <w:t> </w:t>
      </w:r>
      <w:r>
        <w:rPr/>
        <w:t>tipos de grabaciones proporcionadas, con anglicismos y sin anglicismos (</w:t>
      </w:r>
      <w:r>
        <w:rPr>
          <w:b/>
        </w:rPr>
        <w:t>Véase inciso</w:t>
      </w:r>
      <w:r>
        <w:rPr>
          <w:b/>
          <w:spacing w:val="-27"/>
        </w:rPr>
        <w:t> </w:t>
      </w:r>
      <w:r>
        <w:rPr>
          <w:b/>
        </w:rPr>
        <w:t>3.5</w:t>
      </w:r>
      <w:r>
        <w:rPr/>
        <w:t>).</w:t>
      </w:r>
    </w:p>
    <w:p>
      <w:pPr>
        <w:pStyle w:val="BodyText"/>
        <w:spacing w:line="360" w:lineRule="auto" w:before="202"/>
        <w:ind w:left="102" w:right="106" w:firstLine="566"/>
        <w:jc w:val="both"/>
      </w:pPr>
      <w:r>
        <w:rPr/>
        <w:t>A partir de la validez del instrumento de medición se pudieron descartar todos los posibles</w:t>
      </w:r>
      <w:r>
        <w:rPr>
          <w:spacing w:val="-19"/>
        </w:rPr>
        <w:t> </w:t>
      </w:r>
      <w:r>
        <w:rPr/>
        <w:t>factores</w:t>
      </w:r>
      <w:r>
        <w:rPr>
          <w:spacing w:val="-16"/>
        </w:rPr>
        <w:t> </w:t>
      </w:r>
      <w:r>
        <w:rPr/>
        <w:t>que</w:t>
      </w:r>
      <w:r>
        <w:rPr>
          <w:spacing w:val="-16"/>
        </w:rPr>
        <w:t> </w:t>
      </w:r>
      <w:r>
        <w:rPr/>
        <w:t>influyen</w:t>
      </w:r>
      <w:r>
        <w:rPr>
          <w:spacing w:val="-16"/>
        </w:rPr>
        <w:t> </w:t>
      </w:r>
      <w:r>
        <w:rPr/>
        <w:t>en</w:t>
      </w:r>
      <w:r>
        <w:rPr>
          <w:spacing w:val="-18"/>
        </w:rPr>
        <w:t> </w:t>
      </w:r>
      <w:r>
        <w:rPr/>
        <w:t>el</w:t>
      </w:r>
      <w:r>
        <w:rPr>
          <w:spacing w:val="-17"/>
        </w:rPr>
        <w:t> </w:t>
      </w:r>
      <w:r>
        <w:rPr/>
        <w:t>prestigio</w:t>
      </w:r>
      <w:r>
        <w:rPr>
          <w:spacing w:val="-16"/>
        </w:rPr>
        <w:t> </w:t>
      </w:r>
      <w:r>
        <w:rPr/>
        <w:t>de</w:t>
      </w:r>
      <w:r>
        <w:rPr>
          <w:spacing w:val="-16"/>
        </w:rPr>
        <w:t> </w:t>
      </w:r>
      <w:r>
        <w:rPr/>
        <w:t>anglicismos.</w:t>
      </w:r>
      <w:r>
        <w:rPr>
          <w:spacing w:val="-11"/>
        </w:rPr>
        <w:t> </w:t>
      </w:r>
      <w:r>
        <w:rPr/>
        <w:t>De</w:t>
      </w:r>
      <w:r>
        <w:rPr>
          <w:spacing w:val="-16"/>
        </w:rPr>
        <w:t> </w:t>
      </w:r>
      <w:r>
        <w:rPr/>
        <w:t>tal</w:t>
      </w:r>
      <w:r>
        <w:rPr>
          <w:spacing w:val="-19"/>
        </w:rPr>
        <w:t> </w:t>
      </w:r>
      <w:r>
        <w:rPr/>
        <w:t>manera</w:t>
      </w:r>
      <w:r>
        <w:rPr>
          <w:spacing w:val="-16"/>
        </w:rPr>
        <w:t> </w:t>
      </w:r>
      <w:r>
        <w:rPr/>
        <w:t>que</w:t>
      </w:r>
      <w:r>
        <w:rPr>
          <w:spacing w:val="-16"/>
        </w:rPr>
        <w:t> </w:t>
      </w:r>
      <w:r>
        <w:rPr/>
        <w:t>el</w:t>
      </w:r>
      <w:r>
        <w:rPr>
          <w:spacing w:val="-17"/>
        </w:rPr>
        <w:t> </w:t>
      </w:r>
      <w:r>
        <w:rPr/>
        <w:t>análisis de datos se encuentra ordenado tal como se ha explicado que fueron presentados los ítems dentro del</w:t>
      </w:r>
      <w:r>
        <w:rPr>
          <w:spacing w:val="-10"/>
        </w:rPr>
        <w:t> </w:t>
      </w:r>
      <w:r>
        <w:rPr/>
        <w:t>instrumento.</w:t>
      </w:r>
    </w:p>
    <w:p>
      <w:pPr>
        <w:pStyle w:val="BodyText"/>
        <w:spacing w:line="360" w:lineRule="auto" w:before="204"/>
        <w:ind w:left="102" w:right="115" w:firstLine="566"/>
        <w:jc w:val="both"/>
      </w:pPr>
      <w:r>
        <w:rPr/>
        <w:t>Para</w:t>
      </w:r>
      <w:r>
        <w:rPr>
          <w:spacing w:val="-11"/>
        </w:rPr>
        <w:t> </w:t>
      </w:r>
      <w:r>
        <w:rPr/>
        <w:t>el</w:t>
      </w:r>
      <w:r>
        <w:rPr>
          <w:spacing w:val="-10"/>
        </w:rPr>
        <w:t> </w:t>
      </w:r>
      <w:r>
        <w:rPr/>
        <w:t>análisis</w:t>
      </w:r>
      <w:r>
        <w:rPr>
          <w:spacing w:val="-10"/>
        </w:rPr>
        <w:t> </w:t>
      </w:r>
      <w:r>
        <w:rPr/>
        <w:t>de</w:t>
      </w:r>
      <w:r>
        <w:rPr>
          <w:spacing w:val="-11"/>
        </w:rPr>
        <w:t> </w:t>
      </w:r>
      <w:r>
        <w:rPr/>
        <w:t>las</w:t>
      </w:r>
      <w:r>
        <w:rPr>
          <w:spacing w:val="-11"/>
        </w:rPr>
        <w:t> </w:t>
      </w:r>
      <w:r>
        <w:rPr/>
        <w:t>respuestas</w:t>
      </w:r>
      <w:r>
        <w:rPr>
          <w:spacing w:val="-12"/>
        </w:rPr>
        <w:t> </w:t>
      </w:r>
      <w:r>
        <w:rPr/>
        <w:t>obtenidas</w:t>
      </w:r>
      <w:r>
        <w:rPr>
          <w:spacing w:val="-12"/>
        </w:rPr>
        <w:t> </w:t>
      </w:r>
      <w:r>
        <w:rPr/>
        <w:t>a</w:t>
      </w:r>
      <w:r>
        <w:rPr>
          <w:spacing w:val="-11"/>
        </w:rPr>
        <w:t> </w:t>
      </w:r>
      <w:r>
        <w:rPr/>
        <w:t>través</w:t>
      </w:r>
      <w:r>
        <w:rPr>
          <w:spacing w:val="-9"/>
        </w:rPr>
        <w:t> </w:t>
      </w:r>
      <w:r>
        <w:rPr/>
        <w:t>del</w:t>
      </w:r>
      <w:r>
        <w:rPr>
          <w:spacing w:val="-10"/>
        </w:rPr>
        <w:t> </w:t>
      </w:r>
      <w:r>
        <w:rPr/>
        <w:t>instrumento,</w:t>
      </w:r>
      <w:r>
        <w:rPr>
          <w:spacing w:val="-11"/>
        </w:rPr>
        <w:t> </w:t>
      </w:r>
      <w:r>
        <w:rPr/>
        <w:t>se</w:t>
      </w:r>
      <w:r>
        <w:rPr>
          <w:spacing w:val="-11"/>
        </w:rPr>
        <w:t> </w:t>
      </w:r>
      <w:r>
        <w:rPr/>
        <w:t>diseñó</w:t>
      </w:r>
      <w:r>
        <w:rPr>
          <w:spacing w:val="-8"/>
        </w:rPr>
        <w:t> </w:t>
      </w:r>
      <w:r>
        <w:rPr/>
        <w:t>una base de datos que respalda todos los resultados que serán descritos ampliamente de acuerdo con cada uno de los factores que interesan a esta investigación, y de igual manera, se presenta la interpretación de éstos mismos dentro de este</w:t>
      </w:r>
      <w:r>
        <w:rPr>
          <w:spacing w:val="-25"/>
        </w:rPr>
        <w:t> </w:t>
      </w:r>
      <w:r>
        <w:rPr/>
        <w:t>apartado.</w:t>
      </w:r>
    </w:p>
    <w:p>
      <w:pPr>
        <w:pStyle w:val="BodyText"/>
      </w:pPr>
    </w:p>
    <w:p>
      <w:pPr>
        <w:pStyle w:val="BodyText"/>
        <w:spacing w:before="7"/>
        <w:rPr>
          <w:sz w:val="29"/>
        </w:rPr>
      </w:pPr>
    </w:p>
    <w:p>
      <w:pPr>
        <w:pStyle w:val="Heading1"/>
        <w:ind w:left="810" w:right="339"/>
      </w:pPr>
      <w:r>
        <w:rPr/>
        <w:t>4.1. Codificación de datos</w:t>
      </w:r>
    </w:p>
    <w:p>
      <w:pPr>
        <w:pStyle w:val="BodyText"/>
        <w:spacing w:line="360" w:lineRule="auto" w:before="139"/>
        <w:ind w:left="102" w:right="106" w:firstLine="707"/>
        <w:jc w:val="both"/>
      </w:pPr>
      <w:r>
        <w:rPr/>
        <w:t>Para el proceso de codificación de datos se llevó a cabo el conteo de las respuestas más frecuentes (muy de acuerdo, de acuerdo, indiferente, en desacuerdo y muy en desacuerdo) en cada una de las aseveraciones; primero con la totalidad de la población</w:t>
      </w:r>
      <w:r>
        <w:rPr>
          <w:spacing w:val="-14"/>
        </w:rPr>
        <w:t> </w:t>
      </w:r>
      <w:r>
        <w:rPr/>
        <w:t>y</w:t>
      </w:r>
      <w:r>
        <w:rPr>
          <w:spacing w:val="-17"/>
        </w:rPr>
        <w:t> </w:t>
      </w:r>
      <w:r>
        <w:rPr/>
        <w:t>posteriormente</w:t>
      </w:r>
      <w:r>
        <w:rPr>
          <w:spacing w:val="-16"/>
        </w:rPr>
        <w:t> </w:t>
      </w:r>
      <w:r>
        <w:rPr/>
        <w:t>por</w:t>
      </w:r>
      <w:r>
        <w:rPr>
          <w:spacing w:val="-16"/>
        </w:rPr>
        <w:t> </w:t>
      </w:r>
      <w:r>
        <w:rPr/>
        <w:t>género,</w:t>
      </w:r>
      <w:r>
        <w:rPr>
          <w:spacing w:val="-14"/>
        </w:rPr>
        <w:t> </w:t>
      </w:r>
      <w:r>
        <w:rPr/>
        <w:t>por</w:t>
      </w:r>
      <w:r>
        <w:rPr>
          <w:spacing w:val="-16"/>
        </w:rPr>
        <w:t> </w:t>
      </w:r>
      <w:r>
        <w:rPr/>
        <w:t>cada</w:t>
      </w:r>
      <w:r>
        <w:rPr>
          <w:spacing w:val="-14"/>
        </w:rPr>
        <w:t> </w:t>
      </w:r>
      <w:r>
        <w:rPr/>
        <w:t>grupo</w:t>
      </w:r>
      <w:r>
        <w:rPr>
          <w:spacing w:val="-16"/>
        </w:rPr>
        <w:t> </w:t>
      </w:r>
      <w:r>
        <w:rPr/>
        <w:t>de</w:t>
      </w:r>
      <w:r>
        <w:rPr>
          <w:spacing w:val="-17"/>
        </w:rPr>
        <w:t> </w:t>
      </w:r>
      <w:r>
        <w:rPr/>
        <w:t>edad</w:t>
      </w:r>
      <w:r>
        <w:rPr>
          <w:spacing w:val="-8"/>
        </w:rPr>
        <w:t> </w:t>
      </w:r>
      <w:r>
        <w:rPr/>
        <w:t>(grupo</w:t>
      </w:r>
      <w:r>
        <w:rPr>
          <w:spacing w:val="-17"/>
        </w:rPr>
        <w:t> </w:t>
      </w:r>
      <w:r>
        <w:rPr/>
        <w:t>1</w:t>
      </w:r>
      <w:r>
        <w:rPr>
          <w:spacing w:val="-14"/>
        </w:rPr>
        <w:t> </w:t>
      </w:r>
      <w:r>
        <w:rPr/>
        <w:t>de</w:t>
      </w:r>
      <w:r>
        <w:rPr>
          <w:spacing w:val="-17"/>
        </w:rPr>
        <w:t> </w:t>
      </w:r>
      <w:r>
        <w:rPr/>
        <w:t>15</w:t>
      </w:r>
      <w:r>
        <w:rPr>
          <w:spacing w:val="-16"/>
        </w:rPr>
        <w:t> </w:t>
      </w:r>
      <w:r>
        <w:rPr/>
        <w:t>a</w:t>
      </w:r>
      <w:r>
        <w:rPr>
          <w:spacing w:val="-17"/>
        </w:rPr>
        <w:t> </w:t>
      </w:r>
      <w:r>
        <w:rPr/>
        <w:t>24</w:t>
      </w:r>
      <w:r>
        <w:rPr>
          <w:spacing w:val="-16"/>
        </w:rPr>
        <w:t> </w:t>
      </w:r>
      <w:r>
        <w:rPr/>
        <w:t>años, grupo</w:t>
      </w:r>
      <w:r>
        <w:rPr>
          <w:spacing w:val="-1"/>
        </w:rPr>
        <w:t> </w:t>
      </w:r>
      <w:r>
        <w:rPr/>
        <w:t>2</w:t>
      </w:r>
      <w:r>
        <w:rPr>
          <w:spacing w:val="-2"/>
        </w:rPr>
        <w:t> </w:t>
      </w:r>
      <w:r>
        <w:rPr/>
        <w:t>de</w:t>
      </w:r>
      <w:r>
        <w:rPr>
          <w:spacing w:val="-3"/>
        </w:rPr>
        <w:t> </w:t>
      </w:r>
      <w:r>
        <w:rPr/>
        <w:t>25</w:t>
      </w:r>
      <w:r>
        <w:rPr>
          <w:spacing w:val="-3"/>
        </w:rPr>
        <w:t> </w:t>
      </w:r>
      <w:r>
        <w:rPr/>
        <w:t>a</w:t>
      </w:r>
      <w:r>
        <w:rPr>
          <w:spacing w:val="-2"/>
        </w:rPr>
        <w:t> </w:t>
      </w:r>
      <w:r>
        <w:rPr/>
        <w:t>34</w:t>
      </w:r>
      <w:r>
        <w:rPr>
          <w:spacing w:val="-3"/>
        </w:rPr>
        <w:t> </w:t>
      </w:r>
      <w:r>
        <w:rPr/>
        <w:t>años,</w:t>
      </w:r>
      <w:r>
        <w:rPr>
          <w:spacing w:val="-1"/>
        </w:rPr>
        <w:t> </w:t>
      </w:r>
      <w:r>
        <w:rPr/>
        <w:t>grupo</w:t>
      </w:r>
      <w:r>
        <w:rPr>
          <w:spacing w:val="-3"/>
        </w:rPr>
        <w:t> </w:t>
      </w:r>
      <w:r>
        <w:rPr/>
        <w:t>3</w:t>
      </w:r>
      <w:r>
        <w:rPr>
          <w:spacing w:val="-3"/>
        </w:rPr>
        <w:t> </w:t>
      </w:r>
      <w:r>
        <w:rPr/>
        <w:t>de</w:t>
      </w:r>
      <w:r>
        <w:rPr>
          <w:spacing w:val="-3"/>
        </w:rPr>
        <w:t> </w:t>
      </w:r>
      <w:r>
        <w:rPr/>
        <w:t>35</w:t>
      </w:r>
      <w:r>
        <w:rPr>
          <w:spacing w:val="-3"/>
        </w:rPr>
        <w:t> </w:t>
      </w:r>
      <w:r>
        <w:rPr/>
        <w:t>a</w:t>
      </w:r>
      <w:r>
        <w:rPr>
          <w:spacing w:val="-3"/>
        </w:rPr>
        <w:t> </w:t>
      </w:r>
      <w:r>
        <w:rPr/>
        <w:t>44</w:t>
      </w:r>
      <w:r>
        <w:rPr>
          <w:spacing w:val="-3"/>
        </w:rPr>
        <w:t> </w:t>
      </w:r>
      <w:r>
        <w:rPr/>
        <w:t>años</w:t>
      </w:r>
      <w:r>
        <w:rPr>
          <w:spacing w:val="-4"/>
        </w:rPr>
        <w:t> </w:t>
      </w:r>
      <w:r>
        <w:rPr/>
        <w:t>y</w:t>
      </w:r>
      <w:r>
        <w:rPr>
          <w:spacing w:val="-3"/>
        </w:rPr>
        <w:t> </w:t>
      </w:r>
      <w:r>
        <w:rPr/>
        <w:t>grupo</w:t>
      </w:r>
      <w:r>
        <w:rPr>
          <w:spacing w:val="-3"/>
        </w:rPr>
        <w:t> </w:t>
      </w:r>
      <w:r>
        <w:rPr/>
        <w:t>4</w:t>
      </w:r>
      <w:r>
        <w:rPr>
          <w:spacing w:val="-3"/>
        </w:rPr>
        <w:t> </w:t>
      </w:r>
      <w:r>
        <w:rPr/>
        <w:t>de</w:t>
      </w:r>
      <w:r>
        <w:rPr>
          <w:spacing w:val="-3"/>
        </w:rPr>
        <w:t> </w:t>
      </w:r>
      <w:r>
        <w:rPr/>
        <w:t>45</w:t>
      </w:r>
      <w:r>
        <w:rPr>
          <w:spacing w:val="-3"/>
        </w:rPr>
        <w:t> </w:t>
      </w:r>
      <w:r>
        <w:rPr/>
        <w:t>a</w:t>
      </w:r>
      <w:r>
        <w:rPr>
          <w:spacing w:val="-1"/>
        </w:rPr>
        <w:t> </w:t>
      </w:r>
      <w:r>
        <w:rPr/>
        <w:t>64</w:t>
      </w:r>
      <w:r>
        <w:rPr>
          <w:spacing w:val="-3"/>
        </w:rPr>
        <w:t> </w:t>
      </w:r>
      <w:r>
        <w:rPr/>
        <w:t>años)</w:t>
      </w:r>
      <w:r>
        <w:rPr>
          <w:spacing w:val="5"/>
        </w:rPr>
        <w:t> </w:t>
      </w:r>
      <w:r>
        <w:rPr/>
        <w:t>y</w:t>
      </w:r>
      <w:r>
        <w:rPr>
          <w:spacing w:val="-4"/>
        </w:rPr>
        <w:t> </w:t>
      </w:r>
      <w:r>
        <w:rPr/>
        <w:t>por</w:t>
      </w:r>
      <w:r>
        <w:rPr>
          <w:spacing w:val="-1"/>
        </w:rPr>
        <w:t> </w:t>
      </w:r>
      <w:r>
        <w:rPr/>
        <w:t>nivel educativo (nivel básico, medio superior y</w:t>
      </w:r>
      <w:r>
        <w:rPr>
          <w:spacing w:val="-17"/>
        </w:rPr>
        <w:t> </w:t>
      </w:r>
      <w:r>
        <w:rPr/>
        <w:t>superior).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spacing w:before="57"/>
        <w:ind w:left="423" w:right="427" w:firstLine="0"/>
        <w:jc w:val="center"/>
        <w:rPr>
          <w:rFonts w:ascii="Calibri"/>
          <w:sz w:val="22"/>
        </w:rPr>
      </w:pPr>
      <w:r>
        <w:rPr>
          <w:rFonts w:ascii="Calibri"/>
          <w:sz w:val="22"/>
        </w:rPr>
        <w:t>43</w:t>
      </w:r>
    </w:p>
    <w:p>
      <w:pPr>
        <w:spacing w:after="0"/>
        <w:jc w:val="center"/>
        <w:rPr>
          <w:rFonts w:ascii="Calibri"/>
          <w:sz w:val="22"/>
        </w:rPr>
        <w:sectPr>
          <w:headerReference w:type="default" r:id="rId32"/>
          <w:footerReference w:type="default" r:id="rId33"/>
          <w:pgSz w:w="12240" w:h="15840"/>
          <w:pgMar w:header="0" w:footer="0" w:top="1500" w:bottom="280" w:left="1600" w:right="1020"/>
        </w:sectPr>
      </w:pPr>
    </w:p>
    <w:p>
      <w:pPr>
        <w:pStyle w:val="BodyText"/>
        <w:rPr>
          <w:rFonts w:ascii="Calibri"/>
          <w:sz w:val="20"/>
        </w:rPr>
      </w:pPr>
    </w:p>
    <w:p>
      <w:pPr>
        <w:pStyle w:val="BodyText"/>
        <w:rPr>
          <w:rFonts w:ascii="Calibri"/>
          <w:sz w:val="20"/>
        </w:rPr>
      </w:pPr>
    </w:p>
    <w:p>
      <w:pPr>
        <w:pStyle w:val="BodyText"/>
        <w:spacing w:before="10"/>
        <w:rPr>
          <w:rFonts w:ascii="Calibri"/>
          <w:sz w:val="19"/>
        </w:rPr>
      </w:pPr>
    </w:p>
    <w:p>
      <w:pPr>
        <w:pStyle w:val="BodyText"/>
        <w:spacing w:line="360" w:lineRule="auto"/>
        <w:ind w:left="102" w:right="112" w:firstLine="707"/>
        <w:jc w:val="both"/>
      </w:pPr>
      <w:r>
        <w:rPr/>
        <w:t>Cabe recordar que cada aseveración tenía oculta una variable a medir, ya fuera actitud favorable o desfavorable dependiendo la redacción de la misma. De igual forma, cada parte del cuestionario (primera y segunda parte) era referente a cada uno de los artículos; el primero con anglicismos como contenido y el segundo sin ellos.</w:t>
      </w:r>
    </w:p>
    <w:p>
      <w:pPr>
        <w:pStyle w:val="BodyText"/>
      </w:pPr>
    </w:p>
    <w:p>
      <w:pPr>
        <w:pStyle w:val="BodyText"/>
        <w:spacing w:line="360" w:lineRule="auto" w:before="142"/>
        <w:ind w:left="102" w:right="108" w:firstLine="707"/>
        <w:jc w:val="right"/>
      </w:pPr>
      <w:r>
        <w:rPr/>
        <w:t>Para</w:t>
      </w:r>
      <w:r>
        <w:rPr>
          <w:spacing w:val="-9"/>
        </w:rPr>
        <w:t> </w:t>
      </w:r>
      <w:r>
        <w:rPr/>
        <w:t>la</w:t>
      </w:r>
      <w:r>
        <w:rPr>
          <w:spacing w:val="-11"/>
        </w:rPr>
        <w:t> </w:t>
      </w:r>
      <w:r>
        <w:rPr/>
        <w:t>primera</w:t>
      </w:r>
      <w:r>
        <w:rPr>
          <w:spacing w:val="-11"/>
        </w:rPr>
        <w:t> </w:t>
      </w:r>
      <w:r>
        <w:rPr/>
        <w:t>parte</w:t>
      </w:r>
      <w:r>
        <w:rPr>
          <w:spacing w:val="-8"/>
        </w:rPr>
        <w:t> </w:t>
      </w:r>
      <w:r>
        <w:rPr/>
        <w:t>(</w:t>
      </w:r>
      <w:r>
        <w:rPr>
          <w:b/>
        </w:rPr>
        <w:t>con</w:t>
      </w:r>
      <w:r>
        <w:rPr>
          <w:b/>
          <w:spacing w:val="-10"/>
        </w:rPr>
        <w:t> </w:t>
      </w:r>
      <w:r>
        <w:rPr>
          <w:b/>
        </w:rPr>
        <w:t>anglicismos</w:t>
      </w:r>
      <w:r>
        <w:rPr/>
        <w:t>)</w:t>
      </w:r>
      <w:r>
        <w:rPr>
          <w:spacing w:val="-12"/>
        </w:rPr>
        <w:t> </w:t>
      </w:r>
      <w:r>
        <w:rPr/>
        <w:t>en</w:t>
      </w:r>
      <w:r>
        <w:rPr>
          <w:spacing w:val="-8"/>
        </w:rPr>
        <w:t> </w:t>
      </w:r>
      <w:r>
        <w:rPr/>
        <w:t>la</w:t>
      </w:r>
      <w:r>
        <w:rPr>
          <w:spacing w:val="-8"/>
        </w:rPr>
        <w:t> </w:t>
      </w:r>
      <w:r>
        <w:rPr/>
        <w:t>totalidad</w:t>
      </w:r>
      <w:r>
        <w:rPr>
          <w:spacing w:val="-8"/>
        </w:rPr>
        <w:t> </w:t>
      </w:r>
      <w:r>
        <w:rPr/>
        <w:t>de</w:t>
      </w:r>
      <w:r>
        <w:rPr>
          <w:spacing w:val="-11"/>
        </w:rPr>
        <w:t> </w:t>
      </w:r>
      <w:r>
        <w:rPr/>
        <w:t>la</w:t>
      </w:r>
      <w:r>
        <w:rPr>
          <w:spacing w:val="-9"/>
        </w:rPr>
        <w:t> </w:t>
      </w:r>
      <w:r>
        <w:rPr/>
        <w:t>población</w:t>
      </w:r>
      <w:r>
        <w:rPr>
          <w:spacing w:val="-8"/>
        </w:rPr>
        <w:t> </w:t>
      </w:r>
      <w:r>
        <w:rPr/>
        <w:t>se</w:t>
      </w:r>
      <w:r>
        <w:rPr>
          <w:spacing w:val="-8"/>
        </w:rPr>
        <w:t> </w:t>
      </w:r>
      <w:r>
        <w:rPr/>
        <w:t>registró</w:t>
      </w:r>
      <w:r>
        <w:rPr>
          <w:w w:val="99"/>
        </w:rPr>
        <w:t> </w:t>
      </w:r>
      <w:r>
        <w:rPr/>
        <w:t>mayor porcentaje de actitudes lingüísticas favorables ante el uso de anglicismos y</w:t>
      </w:r>
      <w:r>
        <w:rPr>
          <w:spacing w:val="46"/>
        </w:rPr>
        <w:t> </w:t>
      </w:r>
      <w:r>
        <w:rPr/>
        <w:t>a</w:t>
      </w:r>
      <w:r>
        <w:rPr>
          <w:spacing w:val="11"/>
        </w:rPr>
        <w:t> </w:t>
      </w:r>
      <w:r>
        <w:rPr/>
        <w:t>su</w:t>
      </w:r>
      <w:r>
        <w:rPr>
          <w:w w:val="99"/>
        </w:rPr>
        <w:t> </w:t>
      </w:r>
      <w:r>
        <w:rPr/>
        <w:t>asociación</w:t>
      </w:r>
      <w:r>
        <w:rPr>
          <w:spacing w:val="25"/>
        </w:rPr>
        <w:t> </w:t>
      </w:r>
      <w:r>
        <w:rPr/>
        <w:t>con</w:t>
      </w:r>
      <w:r>
        <w:rPr>
          <w:spacing w:val="25"/>
        </w:rPr>
        <w:t> </w:t>
      </w:r>
      <w:r>
        <w:rPr/>
        <w:t>los</w:t>
      </w:r>
      <w:r>
        <w:rPr>
          <w:spacing w:val="27"/>
        </w:rPr>
        <w:t> </w:t>
      </w:r>
      <w:r>
        <w:rPr/>
        <w:t>puestos</w:t>
      </w:r>
      <w:r>
        <w:rPr>
          <w:spacing w:val="24"/>
        </w:rPr>
        <w:t> </w:t>
      </w:r>
      <w:r>
        <w:rPr/>
        <w:t>más</w:t>
      </w:r>
      <w:r>
        <w:rPr>
          <w:spacing w:val="27"/>
        </w:rPr>
        <w:t> </w:t>
      </w:r>
      <w:r>
        <w:rPr/>
        <w:t>reconocidos</w:t>
      </w:r>
      <w:r>
        <w:rPr>
          <w:spacing w:val="27"/>
        </w:rPr>
        <w:t> </w:t>
      </w:r>
      <w:r>
        <w:rPr/>
        <w:t>o</w:t>
      </w:r>
      <w:r>
        <w:rPr>
          <w:spacing w:val="27"/>
        </w:rPr>
        <w:t> </w:t>
      </w:r>
      <w:r>
        <w:rPr/>
        <w:t>prestigiosos</w:t>
      </w:r>
      <w:r>
        <w:rPr>
          <w:spacing w:val="24"/>
        </w:rPr>
        <w:t> </w:t>
      </w:r>
      <w:r>
        <w:rPr/>
        <w:t>dentro</w:t>
      </w:r>
      <w:r>
        <w:rPr>
          <w:spacing w:val="27"/>
        </w:rPr>
        <w:t> </w:t>
      </w:r>
      <w:r>
        <w:rPr/>
        <w:t>de</w:t>
      </w:r>
      <w:r>
        <w:rPr>
          <w:spacing w:val="25"/>
        </w:rPr>
        <w:t> </w:t>
      </w:r>
      <w:r>
        <w:rPr/>
        <w:t>la</w:t>
      </w:r>
      <w:r>
        <w:rPr>
          <w:spacing w:val="27"/>
        </w:rPr>
        <w:t> </w:t>
      </w:r>
      <w:r>
        <w:rPr/>
        <w:t>sociedad.</w:t>
      </w:r>
      <w:r>
        <w:rPr>
          <w:spacing w:val="27"/>
        </w:rPr>
        <w:t> </w:t>
      </w:r>
      <w:r>
        <w:rPr/>
        <w:t>Lo</w:t>
      </w:r>
      <w:r>
        <w:rPr>
          <w:w w:val="99"/>
        </w:rPr>
        <w:t> </w:t>
      </w:r>
      <w:r>
        <w:rPr/>
        <w:t>anterior</w:t>
      </w:r>
      <w:r>
        <w:rPr>
          <w:spacing w:val="-12"/>
        </w:rPr>
        <w:t> </w:t>
      </w:r>
      <w:r>
        <w:rPr/>
        <w:t>se</w:t>
      </w:r>
      <w:r>
        <w:rPr>
          <w:spacing w:val="-11"/>
        </w:rPr>
        <w:t> </w:t>
      </w:r>
      <w:r>
        <w:rPr/>
        <w:t>puede</w:t>
      </w:r>
      <w:r>
        <w:rPr>
          <w:spacing w:val="-11"/>
        </w:rPr>
        <w:t> </w:t>
      </w:r>
      <w:r>
        <w:rPr/>
        <w:t>comprobar</w:t>
      </w:r>
      <w:r>
        <w:rPr>
          <w:spacing w:val="-12"/>
        </w:rPr>
        <w:t> </w:t>
      </w:r>
      <w:r>
        <w:rPr/>
        <w:t>por</w:t>
      </w:r>
      <w:r>
        <w:rPr>
          <w:spacing w:val="-15"/>
        </w:rPr>
        <w:t> </w:t>
      </w:r>
      <w:r>
        <w:rPr/>
        <w:t>medio</w:t>
      </w:r>
      <w:r>
        <w:rPr>
          <w:spacing w:val="-11"/>
        </w:rPr>
        <w:t> </w:t>
      </w:r>
      <w:r>
        <w:rPr/>
        <w:t>de</w:t>
      </w:r>
      <w:r>
        <w:rPr>
          <w:spacing w:val="-11"/>
        </w:rPr>
        <w:t> </w:t>
      </w:r>
      <w:r>
        <w:rPr/>
        <w:t>un</w:t>
      </w:r>
      <w:r>
        <w:rPr>
          <w:spacing w:val="-11"/>
        </w:rPr>
        <w:t> </w:t>
      </w:r>
      <w:r>
        <w:rPr/>
        <w:t>análisis</w:t>
      </w:r>
      <w:r>
        <w:rPr>
          <w:spacing w:val="-12"/>
        </w:rPr>
        <w:t> </w:t>
      </w:r>
      <w:r>
        <w:rPr/>
        <w:t>en</w:t>
      </w:r>
      <w:r>
        <w:rPr>
          <w:spacing w:val="-11"/>
        </w:rPr>
        <w:t> </w:t>
      </w:r>
      <w:r>
        <w:rPr/>
        <w:t>cada</w:t>
      </w:r>
      <w:r>
        <w:rPr>
          <w:spacing w:val="-11"/>
        </w:rPr>
        <w:t> </w:t>
      </w:r>
      <w:r>
        <w:rPr/>
        <w:t>una</w:t>
      </w:r>
      <w:r>
        <w:rPr>
          <w:spacing w:val="-13"/>
        </w:rPr>
        <w:t> </w:t>
      </w:r>
      <w:r>
        <w:rPr/>
        <w:t>de</w:t>
      </w:r>
      <w:r>
        <w:rPr>
          <w:spacing w:val="-11"/>
        </w:rPr>
        <w:t> </w:t>
      </w:r>
      <w:r>
        <w:rPr/>
        <w:t>las</w:t>
      </w:r>
      <w:r>
        <w:rPr>
          <w:spacing w:val="-11"/>
        </w:rPr>
        <w:t> </w:t>
      </w:r>
      <w:r>
        <w:rPr/>
        <w:t>aseveraciones.</w:t>
      </w:r>
    </w:p>
    <w:p>
      <w:pPr>
        <w:pStyle w:val="BodyText"/>
      </w:pPr>
    </w:p>
    <w:p>
      <w:pPr>
        <w:pStyle w:val="BodyText"/>
        <w:spacing w:line="360" w:lineRule="auto" w:before="142"/>
        <w:ind w:left="102" w:right="106" w:firstLine="707"/>
        <w:jc w:val="both"/>
      </w:pPr>
      <w:r>
        <w:rPr/>
        <w:t>La primera aseveración que dicta de la siguiente manera:” </w:t>
      </w:r>
      <w:r>
        <w:rPr>
          <w:b/>
        </w:rPr>
        <w:t>1. En una estación</w:t>
      </w:r>
      <w:r>
        <w:rPr>
          <w:b/>
          <w:spacing w:val="-38"/>
        </w:rPr>
        <w:t> </w:t>
      </w:r>
      <w:r>
        <w:rPr>
          <w:b/>
        </w:rPr>
        <w:t>de radio, la persona de la grabación sería contratada como locutor por su amplio vocabulario.” </w:t>
      </w:r>
      <w:r>
        <w:rPr/>
        <w:t>Corresponde a la grabación con anglicismos y es del tipo favorable ante su prestigio. En ella se pudo encontrar que 10 de 24 sujetos que representan el 41.6% del total de la población se encuentra “de acuerdo” con lo que establece. De los cuales, el</w:t>
      </w:r>
      <w:r>
        <w:rPr>
          <w:spacing w:val="-14"/>
        </w:rPr>
        <w:t> </w:t>
      </w:r>
      <w:r>
        <w:rPr/>
        <w:t>género</w:t>
      </w:r>
      <w:r>
        <w:rPr>
          <w:spacing w:val="-19"/>
        </w:rPr>
        <w:t> </w:t>
      </w:r>
      <w:r>
        <w:rPr/>
        <w:t>femenino</w:t>
      </w:r>
      <w:r>
        <w:rPr>
          <w:spacing w:val="-15"/>
        </w:rPr>
        <w:t> </w:t>
      </w:r>
      <w:r>
        <w:rPr/>
        <w:t>determinó</w:t>
      </w:r>
      <w:r>
        <w:rPr>
          <w:spacing w:val="-15"/>
        </w:rPr>
        <w:t> </w:t>
      </w:r>
      <w:r>
        <w:rPr/>
        <w:t>lo</w:t>
      </w:r>
      <w:r>
        <w:rPr>
          <w:spacing w:val="-16"/>
        </w:rPr>
        <w:t> </w:t>
      </w:r>
      <w:r>
        <w:rPr/>
        <w:t>mismo</w:t>
      </w:r>
      <w:r>
        <w:rPr>
          <w:spacing w:val="-16"/>
        </w:rPr>
        <w:t> </w:t>
      </w:r>
      <w:r>
        <w:rPr/>
        <w:t>mostrando</w:t>
      </w:r>
      <w:r>
        <w:rPr>
          <w:spacing w:val="-13"/>
        </w:rPr>
        <w:t> </w:t>
      </w:r>
      <w:r>
        <w:rPr/>
        <w:t>un</w:t>
      </w:r>
      <w:r>
        <w:rPr>
          <w:spacing w:val="-8"/>
        </w:rPr>
        <w:t> </w:t>
      </w:r>
      <w:r>
        <w:rPr/>
        <w:t>50%</w:t>
      </w:r>
      <w:r>
        <w:rPr>
          <w:spacing w:val="-14"/>
        </w:rPr>
        <w:t> </w:t>
      </w:r>
      <w:r>
        <w:rPr/>
        <w:t>“de</w:t>
      </w:r>
      <w:r>
        <w:rPr>
          <w:spacing w:val="-13"/>
        </w:rPr>
        <w:t> </w:t>
      </w:r>
      <w:r>
        <w:rPr/>
        <w:t>acuerdo”</w:t>
      </w:r>
      <w:r>
        <w:rPr>
          <w:spacing w:val="-15"/>
        </w:rPr>
        <w:t> </w:t>
      </w:r>
      <w:r>
        <w:rPr/>
        <w:t>(6</w:t>
      </w:r>
      <w:r>
        <w:rPr>
          <w:spacing w:val="-16"/>
        </w:rPr>
        <w:t> </w:t>
      </w:r>
      <w:r>
        <w:rPr/>
        <w:t>de</w:t>
      </w:r>
      <w:r>
        <w:rPr>
          <w:spacing w:val="-16"/>
        </w:rPr>
        <w:t> </w:t>
      </w:r>
      <w:r>
        <w:rPr/>
        <w:t>12</w:t>
      </w:r>
      <w:r>
        <w:rPr>
          <w:spacing w:val="-15"/>
        </w:rPr>
        <w:t> </w:t>
      </w:r>
      <w:r>
        <w:rPr/>
        <w:t>sujetos) y un 33’3% “muy de acuerdo” (4 de 12). El género masculino mostró mayor preferencia ante el uso de anglicismos con 5 de 12 sujetos (41.6%) “muy de acuerdo” y 33.3% “de acuerdo” lo que se aprecia en la tabla 4.1. como 4 de 12</w:t>
      </w:r>
      <w:r>
        <w:rPr>
          <w:spacing w:val="-18"/>
        </w:rPr>
        <w:t> </w:t>
      </w:r>
      <w:r>
        <w:rPr/>
        <w:t>hombres.</w:t>
      </w:r>
    </w:p>
    <w:p>
      <w:pPr>
        <w:pStyle w:val="BodyText"/>
        <w:rPr>
          <w:sz w:val="20"/>
        </w:rPr>
      </w:pPr>
    </w:p>
    <w:p>
      <w:pPr>
        <w:pStyle w:val="BodyText"/>
        <w:spacing w:before="5" w:after="1"/>
        <w:rPr>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8"/>
        <w:gridCol w:w="1366"/>
      </w:tblGrid>
      <w:tr>
        <w:trPr>
          <w:trHeight w:val="437" w:hRule="exact"/>
        </w:trPr>
        <w:tc>
          <w:tcPr>
            <w:tcW w:w="1428" w:type="dxa"/>
            <w:vMerge w:val="restart"/>
          </w:tcPr>
          <w:p>
            <w:pPr>
              <w:pStyle w:val="TableParagraph"/>
              <w:spacing w:before="3"/>
              <w:jc w:val="left"/>
              <w:rPr>
                <w:sz w:val="21"/>
              </w:rPr>
            </w:pPr>
          </w:p>
          <w:p>
            <w:pPr>
              <w:pStyle w:val="TableParagraph"/>
              <w:ind w:left="82" w:right="83"/>
              <w:rPr>
                <w:sz w:val="22"/>
              </w:rPr>
            </w:pPr>
            <w:r>
              <w:rPr>
                <w:sz w:val="22"/>
              </w:rPr>
              <w:t>Aseveración</w:t>
            </w:r>
          </w:p>
          <w:p>
            <w:pPr>
              <w:pStyle w:val="TableParagraph"/>
              <w:spacing w:before="124"/>
              <w:rPr>
                <w:b/>
                <w:sz w:val="22"/>
              </w:rPr>
            </w:pPr>
            <w:r>
              <w:rPr>
                <w:b/>
                <w:w w:val="100"/>
                <w:sz w:val="22"/>
              </w:rPr>
              <w:t>1</w:t>
            </w:r>
          </w:p>
        </w:tc>
        <w:tc>
          <w:tcPr>
            <w:tcW w:w="1721" w:type="dxa"/>
            <w:vMerge w:val="restart"/>
          </w:tcPr>
          <w:p>
            <w:pPr>
              <w:pStyle w:val="TableParagraph"/>
              <w:spacing w:line="357" w:lineRule="auto" w:before="55"/>
              <w:ind w:left="218" w:right="220" w:firstLine="5"/>
              <w:rPr>
                <w:b/>
                <w:sz w:val="22"/>
              </w:rPr>
            </w:pPr>
            <w:r>
              <w:rPr>
                <w:sz w:val="22"/>
              </w:rPr>
              <w:t>Tipo de Aseveración: </w:t>
            </w:r>
            <w:r>
              <w:rPr>
                <w:b/>
                <w:sz w:val="22"/>
              </w:rPr>
              <w:t>Favorable</w:t>
            </w:r>
          </w:p>
        </w:tc>
        <w:tc>
          <w:tcPr>
            <w:tcW w:w="6249" w:type="dxa"/>
            <w:gridSpan w:val="5"/>
          </w:tcPr>
          <w:p>
            <w:pPr>
              <w:pStyle w:val="TableParagraph"/>
              <w:spacing w:before="36"/>
              <w:ind w:left="2517" w:right="2517"/>
              <w:rPr>
                <w:sz w:val="22"/>
              </w:rPr>
            </w:pPr>
            <w:r>
              <w:rPr>
                <w:sz w:val="22"/>
              </w:rPr>
              <w:t>Respuestas</w:t>
            </w:r>
          </w:p>
        </w:tc>
      </w:tr>
      <w:tr>
        <w:trPr>
          <w:trHeight w:val="797" w:hRule="exact"/>
        </w:trPr>
        <w:tc>
          <w:tcPr>
            <w:tcW w:w="1428" w:type="dxa"/>
            <w:vMerge/>
          </w:tcPr>
          <w:p>
            <w:pPr/>
          </w:p>
        </w:tc>
        <w:tc>
          <w:tcPr>
            <w:tcW w:w="1721" w:type="dxa"/>
            <w:vMerge/>
          </w:tcPr>
          <w:p>
            <w:pPr/>
          </w:p>
        </w:tc>
        <w:tc>
          <w:tcPr>
            <w:tcW w:w="1150" w:type="dxa"/>
          </w:tcPr>
          <w:p>
            <w:pPr>
              <w:pStyle w:val="TableParagraph"/>
              <w:spacing w:line="360" w:lineRule="auto" w:before="26"/>
              <w:ind w:left="170" w:right="155" w:firstLine="38"/>
              <w:jc w:val="left"/>
              <w:rPr>
                <w:sz w:val="22"/>
              </w:rPr>
            </w:pPr>
            <w:r>
              <w:rPr>
                <w:sz w:val="22"/>
              </w:rPr>
              <w:t>Muy de acuerdo</w:t>
            </w:r>
          </w:p>
        </w:tc>
        <w:tc>
          <w:tcPr>
            <w:tcW w:w="1121" w:type="dxa"/>
            <w:tcBorders>
              <w:bottom w:val="single" w:sz="15" w:space="0" w:color="2D74B5"/>
            </w:tcBorders>
          </w:tcPr>
          <w:p>
            <w:pPr>
              <w:pStyle w:val="TableParagraph"/>
              <w:spacing w:line="360" w:lineRule="auto" w:before="26"/>
              <w:ind w:left="155" w:right="141" w:firstLine="256"/>
              <w:jc w:val="left"/>
              <w:rPr>
                <w:sz w:val="22"/>
              </w:rPr>
            </w:pPr>
            <w:r>
              <w:rPr>
                <w:sz w:val="22"/>
              </w:rPr>
              <w:t>De acuerdo</w:t>
            </w:r>
          </w:p>
        </w:tc>
        <w:tc>
          <w:tcPr>
            <w:tcW w:w="1244" w:type="dxa"/>
          </w:tcPr>
          <w:p>
            <w:pPr>
              <w:pStyle w:val="TableParagraph"/>
              <w:spacing w:before="9"/>
              <w:jc w:val="left"/>
              <w:rPr>
                <w:sz w:val="18"/>
              </w:rPr>
            </w:pPr>
          </w:p>
          <w:p>
            <w:pPr>
              <w:pStyle w:val="TableParagraph"/>
              <w:ind w:left="83" w:right="82"/>
              <w:rPr>
                <w:sz w:val="22"/>
              </w:rPr>
            </w:pPr>
            <w:r>
              <w:rPr>
                <w:sz w:val="22"/>
              </w:rPr>
              <w:t>indiferente</w:t>
            </w:r>
          </w:p>
        </w:tc>
        <w:tc>
          <w:tcPr>
            <w:tcW w:w="1368" w:type="dxa"/>
          </w:tcPr>
          <w:p>
            <w:pPr>
              <w:pStyle w:val="TableParagraph"/>
              <w:spacing w:line="360" w:lineRule="auto" w:before="26"/>
              <w:ind w:left="103" w:right="85" w:firstLine="439"/>
              <w:jc w:val="left"/>
              <w:rPr>
                <w:sz w:val="22"/>
              </w:rPr>
            </w:pPr>
            <w:r>
              <w:rPr>
                <w:sz w:val="22"/>
              </w:rPr>
              <w:t>En desacuerdo</w:t>
            </w:r>
          </w:p>
        </w:tc>
        <w:tc>
          <w:tcPr>
            <w:tcW w:w="1366" w:type="dxa"/>
          </w:tcPr>
          <w:p>
            <w:pPr>
              <w:pStyle w:val="TableParagraph"/>
              <w:spacing w:line="360" w:lineRule="auto" w:before="26"/>
              <w:ind w:left="100" w:right="86" w:firstLine="213"/>
              <w:jc w:val="left"/>
              <w:rPr>
                <w:sz w:val="22"/>
              </w:rPr>
            </w:pPr>
            <w:r>
              <w:rPr>
                <w:sz w:val="22"/>
              </w:rPr>
              <w:t>Muy en desacuerdo</w:t>
            </w:r>
          </w:p>
        </w:tc>
      </w:tr>
      <w:tr>
        <w:trPr>
          <w:trHeight w:val="439" w:hRule="exact"/>
        </w:trPr>
        <w:tc>
          <w:tcPr>
            <w:tcW w:w="3149" w:type="dxa"/>
            <w:gridSpan w:val="2"/>
          </w:tcPr>
          <w:p>
            <w:pPr>
              <w:pStyle w:val="TableParagraph"/>
              <w:spacing w:before="36"/>
              <w:ind w:left="326"/>
              <w:jc w:val="left"/>
              <w:rPr>
                <w:sz w:val="22"/>
              </w:rPr>
            </w:pPr>
            <w:r>
              <w:rPr>
                <w:sz w:val="22"/>
              </w:rPr>
              <w:t>Total de la población (24)</w:t>
            </w:r>
          </w:p>
        </w:tc>
        <w:tc>
          <w:tcPr>
            <w:tcW w:w="1150" w:type="dxa"/>
            <w:tcBorders>
              <w:bottom w:val="single" w:sz="15" w:space="0" w:color="9CC2E4"/>
            </w:tcBorders>
          </w:tcPr>
          <w:p>
            <w:pPr>
              <w:pStyle w:val="TableParagraph"/>
              <w:spacing w:before="36"/>
              <w:ind w:left="119" w:right="120"/>
              <w:rPr>
                <w:rFonts w:ascii="Calibri Light"/>
                <w:b w:val="0"/>
                <w:sz w:val="20"/>
              </w:rPr>
            </w:pPr>
            <w:r>
              <w:rPr>
                <w:sz w:val="22"/>
              </w:rPr>
              <w:t>9 </w:t>
            </w:r>
            <w:r>
              <w:rPr>
                <w:rFonts w:ascii="Calibri Light"/>
                <w:b w:val="0"/>
                <w:sz w:val="20"/>
              </w:rPr>
              <w:t>(37.5%)</w:t>
            </w:r>
          </w:p>
        </w:tc>
        <w:tc>
          <w:tcPr>
            <w:tcW w:w="1121" w:type="dxa"/>
            <w:shd w:val="clear" w:color="auto" w:fill="2D74B5"/>
          </w:tcPr>
          <w:p>
            <w:pPr>
              <w:pStyle w:val="TableParagraph"/>
              <w:spacing w:before="36"/>
              <w:ind w:left="165"/>
              <w:jc w:val="left"/>
              <w:rPr>
                <w:rFonts w:ascii="Calibri Light"/>
                <w:b w:val="0"/>
                <w:sz w:val="20"/>
              </w:rPr>
            </w:pPr>
            <w:r>
              <w:rPr>
                <w:sz w:val="22"/>
              </w:rPr>
              <w:t>10 </w:t>
            </w:r>
            <w:r>
              <w:rPr>
                <w:rFonts w:ascii="Calibri Light"/>
                <w:b w:val="0"/>
                <w:sz w:val="20"/>
              </w:rPr>
              <w:t>(41.6)</w:t>
            </w:r>
          </w:p>
        </w:tc>
        <w:tc>
          <w:tcPr>
            <w:tcW w:w="1244" w:type="dxa"/>
          </w:tcPr>
          <w:p>
            <w:pPr>
              <w:pStyle w:val="TableParagraph"/>
              <w:spacing w:before="25"/>
              <w:ind w:left="82" w:right="82"/>
              <w:rPr>
                <w:rFonts w:ascii="Calibri Light"/>
                <w:b w:val="0"/>
                <w:sz w:val="22"/>
              </w:rPr>
            </w:pPr>
            <w:r>
              <w:rPr>
                <w:sz w:val="22"/>
              </w:rPr>
              <w:t>1 </w:t>
            </w:r>
            <w:r>
              <w:rPr>
                <w:rFonts w:ascii="Calibri Light"/>
                <w:b w:val="0"/>
                <w:sz w:val="22"/>
              </w:rPr>
              <w:t>(4.1%)</w:t>
            </w:r>
          </w:p>
        </w:tc>
        <w:tc>
          <w:tcPr>
            <w:tcW w:w="1368" w:type="dxa"/>
          </w:tcPr>
          <w:p>
            <w:pPr>
              <w:pStyle w:val="TableParagraph"/>
              <w:spacing w:before="25"/>
              <w:ind w:left="222" w:right="224"/>
              <w:rPr>
                <w:rFonts w:ascii="Calibri Light"/>
                <w:b w:val="0"/>
                <w:sz w:val="22"/>
              </w:rPr>
            </w:pPr>
            <w:r>
              <w:rPr>
                <w:sz w:val="22"/>
              </w:rPr>
              <w:t>4 </w:t>
            </w:r>
            <w:r>
              <w:rPr>
                <w:rFonts w:ascii="Calibri Light"/>
                <w:b w:val="0"/>
                <w:sz w:val="22"/>
              </w:rPr>
              <w:t>(16.6%)</w:t>
            </w:r>
          </w:p>
        </w:tc>
        <w:tc>
          <w:tcPr>
            <w:tcW w:w="1366" w:type="dxa"/>
          </w:tcPr>
          <w:p>
            <w:pPr>
              <w:pStyle w:val="TableParagraph"/>
              <w:spacing w:before="36"/>
              <w:ind w:left="614"/>
              <w:jc w:val="left"/>
              <w:rPr>
                <w:sz w:val="22"/>
              </w:rPr>
            </w:pPr>
            <w:r>
              <w:rPr>
                <w:w w:val="100"/>
                <w:sz w:val="22"/>
              </w:rPr>
              <w:t>0</w:t>
            </w:r>
          </w:p>
        </w:tc>
      </w:tr>
      <w:tr>
        <w:trPr>
          <w:trHeight w:val="442" w:hRule="exact"/>
        </w:trPr>
        <w:tc>
          <w:tcPr>
            <w:tcW w:w="3149" w:type="dxa"/>
            <w:gridSpan w:val="2"/>
          </w:tcPr>
          <w:p>
            <w:pPr>
              <w:pStyle w:val="TableParagraph"/>
              <w:spacing w:before="38"/>
              <w:ind w:left="950"/>
              <w:jc w:val="left"/>
              <w:rPr>
                <w:sz w:val="22"/>
              </w:rPr>
            </w:pPr>
            <w:r>
              <w:rPr>
                <w:sz w:val="22"/>
              </w:rPr>
              <w:t>Mujeres (12)</w:t>
            </w:r>
          </w:p>
        </w:tc>
        <w:tc>
          <w:tcPr>
            <w:tcW w:w="1150" w:type="dxa"/>
            <w:tcBorders>
              <w:bottom w:val="single" w:sz="15" w:space="0" w:color="2D74B5"/>
            </w:tcBorders>
            <w:shd w:val="clear" w:color="auto" w:fill="9CC2E4"/>
          </w:tcPr>
          <w:p>
            <w:pPr>
              <w:pStyle w:val="TableParagraph"/>
              <w:spacing w:before="38"/>
              <w:ind w:left="119" w:right="120"/>
              <w:rPr>
                <w:rFonts w:ascii="Calibri"/>
                <w:sz w:val="18"/>
              </w:rPr>
            </w:pPr>
            <w:r>
              <w:rPr>
                <w:sz w:val="22"/>
              </w:rPr>
              <w:t>4 </w:t>
            </w:r>
            <w:r>
              <w:rPr>
                <w:sz w:val="18"/>
              </w:rPr>
              <w:t>(</w:t>
            </w:r>
            <w:r>
              <w:rPr>
                <w:rFonts w:ascii="Calibri"/>
                <w:sz w:val="18"/>
              </w:rPr>
              <w:t>33.3%)</w:t>
            </w:r>
          </w:p>
        </w:tc>
        <w:tc>
          <w:tcPr>
            <w:tcW w:w="1121" w:type="dxa"/>
            <w:tcBorders>
              <w:bottom w:val="single" w:sz="15" w:space="0" w:color="9CC2E4"/>
            </w:tcBorders>
            <w:shd w:val="clear" w:color="auto" w:fill="2D74B5"/>
          </w:tcPr>
          <w:p>
            <w:pPr>
              <w:pStyle w:val="TableParagraph"/>
              <w:spacing w:before="38"/>
              <w:ind w:left="225" w:right="141"/>
              <w:jc w:val="left"/>
              <w:rPr>
                <w:rFonts w:ascii="Calibri"/>
                <w:sz w:val="20"/>
              </w:rPr>
            </w:pPr>
            <w:r>
              <w:rPr>
                <w:sz w:val="22"/>
              </w:rPr>
              <w:t>6 </w:t>
            </w:r>
            <w:r>
              <w:rPr>
                <w:sz w:val="20"/>
              </w:rPr>
              <w:t>(</w:t>
            </w:r>
            <w:r>
              <w:rPr>
                <w:rFonts w:ascii="Calibri"/>
                <w:sz w:val="20"/>
              </w:rPr>
              <w:t>50%)</w:t>
            </w:r>
          </w:p>
        </w:tc>
        <w:tc>
          <w:tcPr>
            <w:tcW w:w="1244" w:type="dxa"/>
          </w:tcPr>
          <w:p>
            <w:pPr>
              <w:pStyle w:val="TableParagraph"/>
              <w:spacing w:before="38"/>
              <w:rPr>
                <w:sz w:val="22"/>
              </w:rPr>
            </w:pPr>
            <w:r>
              <w:rPr>
                <w:w w:val="100"/>
                <w:sz w:val="22"/>
              </w:rPr>
              <w:t>0</w:t>
            </w:r>
          </w:p>
        </w:tc>
        <w:tc>
          <w:tcPr>
            <w:tcW w:w="1368" w:type="dxa"/>
          </w:tcPr>
          <w:p>
            <w:pPr>
              <w:pStyle w:val="TableParagraph"/>
              <w:spacing w:before="25"/>
              <w:ind w:left="223" w:right="224"/>
              <w:rPr>
                <w:rFonts w:ascii="Calibri Light"/>
                <w:b w:val="0"/>
                <w:sz w:val="22"/>
              </w:rPr>
            </w:pPr>
            <w:r>
              <w:rPr>
                <w:sz w:val="22"/>
              </w:rPr>
              <w:t>2 </w:t>
            </w:r>
            <w:r>
              <w:rPr>
                <w:rFonts w:ascii="Calibri Light"/>
                <w:b w:val="0"/>
                <w:sz w:val="22"/>
              </w:rPr>
              <w:t>(16.6%)</w:t>
            </w:r>
          </w:p>
        </w:tc>
        <w:tc>
          <w:tcPr>
            <w:tcW w:w="1366" w:type="dxa"/>
          </w:tcPr>
          <w:p>
            <w:pPr>
              <w:pStyle w:val="TableParagraph"/>
              <w:spacing w:before="38"/>
              <w:ind w:left="614"/>
              <w:jc w:val="left"/>
              <w:rPr>
                <w:sz w:val="22"/>
              </w:rPr>
            </w:pPr>
            <w:r>
              <w:rPr>
                <w:w w:val="100"/>
                <w:sz w:val="22"/>
              </w:rPr>
              <w:t>0</w:t>
            </w:r>
          </w:p>
        </w:tc>
      </w:tr>
      <w:tr>
        <w:trPr>
          <w:trHeight w:val="442" w:hRule="exact"/>
        </w:trPr>
        <w:tc>
          <w:tcPr>
            <w:tcW w:w="3149" w:type="dxa"/>
            <w:gridSpan w:val="2"/>
          </w:tcPr>
          <w:p>
            <w:pPr>
              <w:pStyle w:val="TableParagraph"/>
              <w:spacing w:before="38"/>
              <w:ind w:left="897"/>
              <w:jc w:val="left"/>
              <w:rPr>
                <w:sz w:val="22"/>
              </w:rPr>
            </w:pPr>
            <w:r>
              <w:rPr>
                <w:sz w:val="22"/>
              </w:rPr>
              <w:t>Hombres (12)</w:t>
            </w:r>
          </w:p>
        </w:tc>
        <w:tc>
          <w:tcPr>
            <w:tcW w:w="1150" w:type="dxa"/>
            <w:shd w:val="clear" w:color="auto" w:fill="2D74B5"/>
          </w:tcPr>
          <w:p>
            <w:pPr>
              <w:pStyle w:val="TableParagraph"/>
              <w:spacing w:before="36"/>
              <w:ind w:left="119" w:right="120"/>
              <w:rPr>
                <w:rFonts w:ascii="Calibri"/>
                <w:sz w:val="18"/>
              </w:rPr>
            </w:pPr>
            <w:r>
              <w:rPr>
                <w:sz w:val="22"/>
              </w:rPr>
              <w:t>5 </w:t>
            </w:r>
            <w:r>
              <w:rPr>
                <w:rFonts w:ascii="Calibri"/>
                <w:sz w:val="18"/>
              </w:rPr>
              <w:t>(41.6%)</w:t>
            </w:r>
          </w:p>
        </w:tc>
        <w:tc>
          <w:tcPr>
            <w:tcW w:w="1121" w:type="dxa"/>
            <w:shd w:val="clear" w:color="auto" w:fill="9CC2E4"/>
          </w:tcPr>
          <w:p>
            <w:pPr>
              <w:pStyle w:val="TableParagraph"/>
              <w:spacing w:before="36"/>
              <w:ind w:left="179" w:right="141"/>
              <w:jc w:val="left"/>
              <w:rPr>
                <w:rFonts w:ascii="Calibri"/>
                <w:sz w:val="18"/>
              </w:rPr>
            </w:pPr>
            <w:r>
              <w:rPr>
                <w:sz w:val="22"/>
              </w:rPr>
              <w:t>4 </w:t>
            </w:r>
            <w:r>
              <w:rPr>
                <w:sz w:val="18"/>
              </w:rPr>
              <w:t>(</w:t>
            </w:r>
            <w:r>
              <w:rPr>
                <w:rFonts w:ascii="Calibri"/>
                <w:sz w:val="18"/>
              </w:rPr>
              <w:t>33.3%)</w:t>
            </w:r>
          </w:p>
        </w:tc>
        <w:tc>
          <w:tcPr>
            <w:tcW w:w="1244" w:type="dxa"/>
          </w:tcPr>
          <w:p>
            <w:pPr>
              <w:pStyle w:val="TableParagraph"/>
              <w:spacing w:before="25"/>
              <w:ind w:left="82" w:right="82"/>
              <w:rPr>
                <w:rFonts w:ascii="Calibri Light"/>
                <w:b w:val="0"/>
                <w:sz w:val="22"/>
              </w:rPr>
            </w:pPr>
            <w:r>
              <w:rPr>
                <w:sz w:val="22"/>
              </w:rPr>
              <w:t>1 </w:t>
            </w:r>
            <w:r>
              <w:rPr>
                <w:rFonts w:ascii="Calibri Light"/>
                <w:b w:val="0"/>
                <w:sz w:val="22"/>
              </w:rPr>
              <w:t>(8%)</w:t>
            </w:r>
          </w:p>
        </w:tc>
        <w:tc>
          <w:tcPr>
            <w:tcW w:w="1368" w:type="dxa"/>
          </w:tcPr>
          <w:p>
            <w:pPr>
              <w:pStyle w:val="TableParagraph"/>
              <w:spacing w:before="25"/>
              <w:ind w:left="223" w:right="224"/>
              <w:rPr>
                <w:rFonts w:ascii="Calibri Light"/>
                <w:b w:val="0"/>
                <w:sz w:val="22"/>
              </w:rPr>
            </w:pPr>
            <w:r>
              <w:rPr>
                <w:sz w:val="22"/>
              </w:rPr>
              <w:t>2 </w:t>
            </w:r>
            <w:r>
              <w:rPr>
                <w:rFonts w:ascii="Calibri Light"/>
                <w:b w:val="0"/>
                <w:sz w:val="22"/>
              </w:rPr>
              <w:t>(16.6%)</w:t>
            </w:r>
          </w:p>
        </w:tc>
        <w:tc>
          <w:tcPr>
            <w:tcW w:w="1366" w:type="dxa"/>
          </w:tcPr>
          <w:p>
            <w:pPr>
              <w:pStyle w:val="TableParagraph"/>
              <w:spacing w:before="38"/>
              <w:ind w:left="614"/>
              <w:jc w:val="left"/>
              <w:rPr>
                <w:sz w:val="22"/>
              </w:rPr>
            </w:pPr>
            <w:r>
              <w:rPr>
                <w:w w:val="100"/>
                <w:sz w:val="22"/>
              </w:rPr>
              <w:t>0</w:t>
            </w:r>
          </w:p>
        </w:tc>
      </w:tr>
    </w:tbl>
    <w:p>
      <w:pPr>
        <w:spacing w:line="225" w:lineRule="exact" w:before="0"/>
        <w:ind w:left="123" w:right="26" w:firstLine="0"/>
        <w:jc w:val="left"/>
        <w:rPr>
          <w:b/>
          <w:sz w:val="20"/>
        </w:rPr>
      </w:pPr>
      <w:r>
        <w:rPr>
          <w:b/>
          <w:sz w:val="20"/>
        </w:rPr>
        <w:t>Tabla 4.1. Locutor con amplio vocabulario; respuestas en la totalidad de la población y por género</w:t>
      </w:r>
    </w:p>
    <w:p>
      <w:pPr>
        <w:spacing w:after="0" w:line="225" w:lineRule="exact"/>
        <w:jc w:val="left"/>
        <w:rPr>
          <w:sz w:val="20"/>
        </w:rPr>
        <w:sectPr>
          <w:headerReference w:type="default" r:id="rId34"/>
          <w:footerReference w:type="default" r:id="rId35"/>
          <w:pgSz w:w="12240" w:h="15840"/>
          <w:pgMar w:header="749" w:footer="1003" w:top="960" w:bottom="1200" w:left="1600" w:right="1020"/>
          <w:pgNumType w:start="44"/>
        </w:sect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70"/>
        <w:ind w:left="102" w:right="107" w:firstLine="707"/>
        <w:jc w:val="both"/>
      </w:pPr>
      <w:r>
        <w:rPr/>
        <w:t>En cuanto a grupos de edad </w:t>
      </w:r>
      <w:r>
        <w:rPr>
          <w:spacing w:val="-6"/>
        </w:rPr>
        <w:t>(Tabla </w:t>
      </w:r>
      <w:r>
        <w:rPr/>
        <w:t>4.2.), el grupo 2 mostró mayor inclinación a favorecer el uso de anglicismos con un 66.6% (4 de 6 sujetos) con respuestas “de acuerdo”</w:t>
      </w:r>
      <w:r>
        <w:rPr>
          <w:spacing w:val="-5"/>
        </w:rPr>
        <w:t> </w:t>
      </w:r>
      <w:r>
        <w:rPr/>
        <w:t>y</w:t>
      </w:r>
      <w:r>
        <w:rPr>
          <w:spacing w:val="-7"/>
        </w:rPr>
        <w:t> </w:t>
      </w:r>
      <w:r>
        <w:rPr/>
        <w:t>el</w:t>
      </w:r>
      <w:r>
        <w:rPr>
          <w:spacing w:val="-5"/>
        </w:rPr>
        <w:t> </w:t>
      </w:r>
      <w:r>
        <w:rPr/>
        <w:t>33.3%</w:t>
      </w:r>
      <w:r>
        <w:rPr>
          <w:spacing w:val="-3"/>
        </w:rPr>
        <w:t> </w:t>
      </w:r>
      <w:r>
        <w:rPr/>
        <w:t>restante</w:t>
      </w:r>
      <w:r>
        <w:rPr>
          <w:spacing w:val="-3"/>
        </w:rPr>
        <w:t> </w:t>
      </w:r>
      <w:r>
        <w:rPr/>
        <w:t>“muy</w:t>
      </w:r>
      <w:r>
        <w:rPr>
          <w:spacing w:val="-7"/>
        </w:rPr>
        <w:t> </w:t>
      </w:r>
      <w:r>
        <w:rPr/>
        <w:t>de</w:t>
      </w:r>
      <w:r>
        <w:rPr>
          <w:spacing w:val="-4"/>
        </w:rPr>
        <w:t> </w:t>
      </w:r>
      <w:r>
        <w:rPr/>
        <w:t>acuerdo”</w:t>
      </w:r>
      <w:r>
        <w:rPr>
          <w:spacing w:val="-5"/>
        </w:rPr>
        <w:t> </w:t>
      </w:r>
      <w:r>
        <w:rPr/>
        <w:t>(2</w:t>
      </w:r>
      <w:r>
        <w:rPr>
          <w:spacing w:val="-4"/>
        </w:rPr>
        <w:t> </w:t>
      </w:r>
      <w:r>
        <w:rPr/>
        <w:t>de</w:t>
      </w:r>
      <w:r>
        <w:rPr>
          <w:spacing w:val="-4"/>
        </w:rPr>
        <w:t> </w:t>
      </w:r>
      <w:r>
        <w:rPr/>
        <w:t>6</w:t>
      </w:r>
      <w:r>
        <w:rPr>
          <w:spacing w:val="-4"/>
        </w:rPr>
        <w:t> </w:t>
      </w:r>
      <w:r>
        <w:rPr/>
        <w:t>sujetos);</w:t>
      </w:r>
      <w:r>
        <w:rPr>
          <w:spacing w:val="-4"/>
        </w:rPr>
        <w:t> </w:t>
      </w:r>
      <w:r>
        <w:rPr/>
        <w:t>seguido</w:t>
      </w:r>
      <w:r>
        <w:rPr>
          <w:spacing w:val="-3"/>
        </w:rPr>
        <w:t> </w:t>
      </w:r>
      <w:r>
        <w:rPr/>
        <w:t>del</w:t>
      </w:r>
      <w:r>
        <w:rPr>
          <w:spacing w:val="-5"/>
        </w:rPr>
        <w:t> </w:t>
      </w:r>
      <w:r>
        <w:rPr/>
        <w:t>grupo</w:t>
      </w:r>
      <w:r>
        <w:rPr>
          <w:spacing w:val="-4"/>
        </w:rPr>
        <w:t> </w:t>
      </w:r>
      <w:r>
        <w:rPr/>
        <w:t>3</w:t>
      </w:r>
      <w:r>
        <w:rPr>
          <w:spacing w:val="-4"/>
        </w:rPr>
        <w:t> </w:t>
      </w:r>
      <w:r>
        <w:rPr/>
        <w:t>con el 50% “de acuerdo” y el 33.3% “muy de acuerdo”; y por último el grupo 1 y el grupo 4, no obstante cabe resaltar que en este último grupo el 66.6% de respuestas son “muy de acuerdo”.</w:t>
      </w:r>
    </w:p>
    <w:p>
      <w:pPr>
        <w:pStyle w:val="BodyText"/>
        <w:rPr>
          <w:sz w:val="20"/>
        </w:rPr>
      </w:pPr>
    </w:p>
    <w:p>
      <w:pPr>
        <w:pStyle w:val="BodyText"/>
        <w:spacing w:before="5" w:after="1"/>
        <w:rPr>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4"/>
        <w:gridCol w:w="1148"/>
        <w:gridCol w:w="1121"/>
        <w:gridCol w:w="1244"/>
        <w:gridCol w:w="1368"/>
        <w:gridCol w:w="1366"/>
      </w:tblGrid>
      <w:tr>
        <w:trPr>
          <w:trHeight w:val="509" w:hRule="exact"/>
        </w:trPr>
        <w:tc>
          <w:tcPr>
            <w:tcW w:w="1428" w:type="dxa"/>
            <w:gridSpan w:val="2"/>
            <w:vMerge w:val="restart"/>
          </w:tcPr>
          <w:p>
            <w:pPr>
              <w:pStyle w:val="TableParagraph"/>
              <w:spacing w:before="7"/>
              <w:jc w:val="left"/>
              <w:rPr>
                <w:sz w:val="24"/>
              </w:rPr>
            </w:pPr>
          </w:p>
          <w:p>
            <w:pPr>
              <w:pStyle w:val="TableParagraph"/>
              <w:ind w:left="82" w:right="83"/>
              <w:rPr>
                <w:sz w:val="22"/>
              </w:rPr>
            </w:pPr>
            <w:r>
              <w:rPr>
                <w:sz w:val="22"/>
              </w:rPr>
              <w:t>Aseveración</w:t>
            </w:r>
          </w:p>
          <w:p>
            <w:pPr>
              <w:pStyle w:val="TableParagraph"/>
              <w:spacing w:before="184"/>
              <w:rPr>
                <w:b/>
                <w:sz w:val="22"/>
              </w:rPr>
            </w:pPr>
            <w:r>
              <w:rPr>
                <w:b/>
                <w:w w:val="100"/>
                <w:sz w:val="22"/>
              </w:rPr>
              <w:t>1</w:t>
            </w:r>
          </w:p>
        </w:tc>
        <w:tc>
          <w:tcPr>
            <w:tcW w:w="1724" w:type="dxa"/>
            <w:vMerge w:val="restart"/>
          </w:tcPr>
          <w:p>
            <w:pPr>
              <w:pStyle w:val="TableParagraph"/>
              <w:spacing w:line="360" w:lineRule="auto" w:before="122"/>
              <w:ind w:left="218" w:right="222" w:firstLine="5"/>
              <w:rPr>
                <w:b/>
                <w:sz w:val="22"/>
              </w:rPr>
            </w:pPr>
            <w:r>
              <w:rPr>
                <w:sz w:val="22"/>
              </w:rPr>
              <w:t>Tipo de Aseveración: </w:t>
            </w:r>
            <w:r>
              <w:rPr>
                <w:b/>
                <w:sz w:val="22"/>
              </w:rPr>
              <w:t>Favorable</w:t>
            </w:r>
          </w:p>
        </w:tc>
        <w:tc>
          <w:tcPr>
            <w:tcW w:w="6246" w:type="dxa"/>
            <w:gridSpan w:val="5"/>
          </w:tcPr>
          <w:p>
            <w:pPr>
              <w:pStyle w:val="TableParagraph"/>
              <w:spacing w:before="57"/>
              <w:ind w:left="2516" w:right="2516"/>
              <w:rPr>
                <w:sz w:val="22"/>
              </w:rPr>
            </w:pPr>
            <w:r>
              <w:rPr>
                <w:sz w:val="22"/>
              </w:rPr>
              <w:t>Respuestas</w:t>
            </w:r>
          </w:p>
        </w:tc>
      </w:tr>
      <w:tr>
        <w:trPr>
          <w:trHeight w:val="891" w:hRule="exact"/>
        </w:trPr>
        <w:tc>
          <w:tcPr>
            <w:tcW w:w="1428" w:type="dxa"/>
            <w:gridSpan w:val="2"/>
            <w:vMerge/>
          </w:tcPr>
          <w:p>
            <w:pPr/>
          </w:p>
        </w:tc>
        <w:tc>
          <w:tcPr>
            <w:tcW w:w="1724" w:type="dxa"/>
            <w:vMerge/>
          </w:tcPr>
          <w:p>
            <w:pPr/>
          </w:p>
        </w:tc>
        <w:tc>
          <w:tcPr>
            <w:tcW w:w="1148" w:type="dxa"/>
          </w:tcPr>
          <w:p>
            <w:pPr>
              <w:pStyle w:val="TableParagraph"/>
              <w:spacing w:line="360" w:lineRule="auto" w:before="60"/>
              <w:ind w:left="167" w:right="155" w:firstLine="38"/>
              <w:jc w:val="left"/>
              <w:rPr>
                <w:sz w:val="22"/>
              </w:rPr>
            </w:pPr>
            <w:r>
              <w:rPr>
                <w:sz w:val="22"/>
              </w:rPr>
              <w:t>Muy de acuerdo</w:t>
            </w:r>
          </w:p>
        </w:tc>
        <w:tc>
          <w:tcPr>
            <w:tcW w:w="1121" w:type="dxa"/>
          </w:tcPr>
          <w:p>
            <w:pPr>
              <w:pStyle w:val="TableParagraph"/>
              <w:spacing w:line="360" w:lineRule="auto" w:before="60"/>
              <w:ind w:left="158" w:right="138" w:firstLine="256"/>
              <w:jc w:val="left"/>
              <w:rPr>
                <w:sz w:val="22"/>
              </w:rPr>
            </w:pPr>
            <w:r>
              <w:rPr>
                <w:sz w:val="22"/>
              </w:rPr>
              <w:t>De acuerdo</w:t>
            </w:r>
          </w:p>
        </w:tc>
        <w:tc>
          <w:tcPr>
            <w:tcW w:w="1244" w:type="dxa"/>
          </w:tcPr>
          <w:p>
            <w:pPr>
              <w:pStyle w:val="TableParagraph"/>
              <w:spacing w:before="8"/>
              <w:jc w:val="left"/>
              <w:rPr>
                <w:sz w:val="21"/>
              </w:rPr>
            </w:pPr>
          </w:p>
          <w:p>
            <w:pPr>
              <w:pStyle w:val="TableParagraph"/>
              <w:ind w:left="83" w:right="82"/>
              <w:rPr>
                <w:sz w:val="22"/>
              </w:rPr>
            </w:pPr>
            <w:r>
              <w:rPr>
                <w:sz w:val="22"/>
              </w:rPr>
              <w:t>indiferente</w:t>
            </w:r>
          </w:p>
        </w:tc>
        <w:tc>
          <w:tcPr>
            <w:tcW w:w="1368" w:type="dxa"/>
          </w:tcPr>
          <w:p>
            <w:pPr>
              <w:pStyle w:val="TableParagraph"/>
              <w:spacing w:line="360" w:lineRule="auto" w:before="60"/>
              <w:ind w:left="103" w:right="85" w:firstLine="439"/>
              <w:jc w:val="left"/>
              <w:rPr>
                <w:sz w:val="22"/>
              </w:rPr>
            </w:pPr>
            <w:r>
              <w:rPr>
                <w:sz w:val="22"/>
              </w:rPr>
              <w:t>En desacuerdo</w:t>
            </w:r>
          </w:p>
        </w:tc>
        <w:tc>
          <w:tcPr>
            <w:tcW w:w="1366" w:type="dxa"/>
          </w:tcPr>
          <w:p>
            <w:pPr>
              <w:pStyle w:val="TableParagraph"/>
              <w:spacing w:line="360" w:lineRule="auto" w:before="60"/>
              <w:ind w:left="100" w:right="86" w:firstLine="213"/>
              <w:jc w:val="left"/>
              <w:rPr>
                <w:sz w:val="22"/>
              </w:rPr>
            </w:pPr>
            <w:r>
              <w:rPr>
                <w:sz w:val="22"/>
              </w:rPr>
              <w:t>Muy en desacuerdo</w:t>
            </w:r>
          </w:p>
        </w:tc>
      </w:tr>
      <w:tr>
        <w:trPr>
          <w:trHeight w:val="533" w:hRule="exact"/>
        </w:trPr>
        <w:tc>
          <w:tcPr>
            <w:tcW w:w="1227" w:type="dxa"/>
            <w:tcBorders>
              <w:right w:val="nil"/>
            </w:tcBorders>
          </w:tcPr>
          <w:p>
            <w:pPr>
              <w:pStyle w:val="TableParagraph"/>
              <w:spacing w:before="69"/>
              <w:ind w:right="58"/>
              <w:jc w:val="right"/>
              <w:rPr>
                <w:sz w:val="22"/>
              </w:rPr>
            </w:pPr>
            <w:r>
              <w:rPr>
                <w:sz w:val="22"/>
              </w:rPr>
              <w:t>Grupo</w:t>
            </w:r>
          </w:p>
        </w:tc>
        <w:tc>
          <w:tcPr>
            <w:tcW w:w="1924" w:type="dxa"/>
            <w:gridSpan w:val="2"/>
            <w:tcBorders>
              <w:left w:val="nil"/>
            </w:tcBorders>
          </w:tcPr>
          <w:p>
            <w:pPr>
              <w:pStyle w:val="TableParagraph"/>
              <w:spacing w:before="69"/>
              <w:ind w:left="60"/>
              <w:jc w:val="left"/>
              <w:rPr>
                <w:sz w:val="22"/>
              </w:rPr>
            </w:pPr>
            <w:r>
              <w:rPr>
                <w:sz w:val="22"/>
              </w:rPr>
              <w:t>de edad 1 (6)</w:t>
            </w:r>
          </w:p>
        </w:tc>
        <w:tc>
          <w:tcPr>
            <w:tcW w:w="1148" w:type="dxa"/>
            <w:tcBorders>
              <w:right w:val="single" w:sz="41" w:space="0" w:color="2D74B5"/>
            </w:tcBorders>
          </w:tcPr>
          <w:p>
            <w:pPr>
              <w:pStyle w:val="TableParagraph"/>
              <w:spacing w:before="57"/>
              <w:ind w:left="114" w:right="75"/>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before="57"/>
              <w:ind w:left="85" w:right="85"/>
              <w:rPr>
                <w:rFonts w:ascii="Calibri Light"/>
                <w:b w:val="0"/>
                <w:sz w:val="22"/>
              </w:rPr>
            </w:pPr>
            <w:r>
              <w:rPr>
                <w:sz w:val="22"/>
              </w:rPr>
              <w:t>3 </w:t>
            </w:r>
            <w:r>
              <w:rPr>
                <w:rFonts w:ascii="Calibri Light"/>
                <w:b w:val="0"/>
                <w:sz w:val="22"/>
              </w:rPr>
              <w:t>(50%)</w:t>
            </w:r>
          </w:p>
        </w:tc>
        <w:tc>
          <w:tcPr>
            <w:tcW w:w="1244" w:type="dxa"/>
            <w:tcBorders>
              <w:left w:val="single" w:sz="45" w:space="0" w:color="2D74B5"/>
            </w:tcBorders>
          </w:tcPr>
          <w:p>
            <w:pPr>
              <w:pStyle w:val="TableParagraph"/>
              <w:spacing w:before="57"/>
              <w:ind w:left="110" w:right="161"/>
              <w:rPr>
                <w:rFonts w:ascii="Calibri Light"/>
                <w:b w:val="0"/>
                <w:sz w:val="22"/>
              </w:rPr>
            </w:pPr>
            <w:r>
              <w:rPr>
                <w:sz w:val="22"/>
              </w:rPr>
              <w:t>1 </w:t>
            </w:r>
            <w:r>
              <w:rPr>
                <w:rFonts w:ascii="Calibri Light"/>
                <w:b w:val="0"/>
                <w:sz w:val="22"/>
              </w:rPr>
              <w:t>(16.6)</w:t>
            </w:r>
          </w:p>
        </w:tc>
        <w:tc>
          <w:tcPr>
            <w:tcW w:w="1368" w:type="dxa"/>
          </w:tcPr>
          <w:p>
            <w:pPr>
              <w:pStyle w:val="TableParagraph"/>
              <w:spacing w:before="57"/>
              <w:ind w:left="223" w:right="224"/>
              <w:rPr>
                <w:rFonts w:ascii="Calibri Light"/>
                <w:b w:val="0"/>
                <w:sz w:val="22"/>
              </w:rPr>
            </w:pPr>
            <w:r>
              <w:rPr>
                <w:sz w:val="22"/>
              </w:rPr>
              <w:t>1 </w:t>
            </w:r>
            <w:r>
              <w:rPr>
                <w:rFonts w:ascii="Calibri Light"/>
                <w:b w:val="0"/>
                <w:sz w:val="22"/>
              </w:rPr>
              <w:t>(16.6)</w:t>
            </w:r>
          </w:p>
        </w:tc>
        <w:tc>
          <w:tcPr>
            <w:tcW w:w="1366" w:type="dxa"/>
          </w:tcPr>
          <w:p>
            <w:pPr>
              <w:pStyle w:val="TableParagraph"/>
              <w:spacing w:before="69"/>
              <w:ind w:left="614"/>
              <w:jc w:val="left"/>
              <w:rPr>
                <w:sz w:val="22"/>
              </w:rPr>
            </w:pPr>
            <w:r>
              <w:rPr>
                <w:w w:val="100"/>
                <w:sz w:val="22"/>
              </w:rPr>
              <w:t>0</w:t>
            </w:r>
          </w:p>
        </w:tc>
      </w:tr>
      <w:tr>
        <w:trPr>
          <w:trHeight w:val="533" w:hRule="exact"/>
        </w:trPr>
        <w:tc>
          <w:tcPr>
            <w:tcW w:w="1227" w:type="dxa"/>
            <w:tcBorders>
              <w:right w:val="nil"/>
            </w:tcBorders>
          </w:tcPr>
          <w:p>
            <w:pPr>
              <w:pStyle w:val="TableParagraph"/>
              <w:spacing w:before="69"/>
              <w:ind w:right="58"/>
              <w:jc w:val="right"/>
              <w:rPr>
                <w:sz w:val="22"/>
              </w:rPr>
            </w:pPr>
            <w:r>
              <w:rPr>
                <w:sz w:val="22"/>
              </w:rPr>
              <w:t>Grupo</w:t>
            </w:r>
          </w:p>
        </w:tc>
        <w:tc>
          <w:tcPr>
            <w:tcW w:w="1924" w:type="dxa"/>
            <w:gridSpan w:val="2"/>
            <w:tcBorders>
              <w:left w:val="nil"/>
            </w:tcBorders>
          </w:tcPr>
          <w:p>
            <w:pPr>
              <w:pStyle w:val="TableParagraph"/>
              <w:spacing w:before="69"/>
              <w:ind w:left="60"/>
              <w:jc w:val="left"/>
              <w:rPr>
                <w:sz w:val="22"/>
              </w:rPr>
            </w:pPr>
            <w:r>
              <w:rPr>
                <w:sz w:val="22"/>
              </w:rPr>
              <w:t>de edad 2 (6)</w:t>
            </w:r>
          </w:p>
        </w:tc>
        <w:tc>
          <w:tcPr>
            <w:tcW w:w="1148" w:type="dxa"/>
            <w:tcBorders>
              <w:right w:val="single" w:sz="41" w:space="0" w:color="2D74B5"/>
            </w:tcBorders>
          </w:tcPr>
          <w:p>
            <w:pPr>
              <w:pStyle w:val="TableParagraph"/>
              <w:spacing w:before="57"/>
              <w:ind w:left="117" w:right="75"/>
              <w:rPr>
                <w:rFonts w:ascii="Calibri Light"/>
                <w:b w:val="0"/>
                <w:sz w:val="22"/>
              </w:rPr>
            </w:pPr>
            <w:r>
              <w:rPr>
                <w:sz w:val="22"/>
              </w:rPr>
              <w:t>2 </w:t>
            </w:r>
            <w:r>
              <w:rPr>
                <w:rFonts w:ascii="Calibri Light"/>
                <w:b w:val="0"/>
                <w:sz w:val="22"/>
              </w:rPr>
              <w:t>(33.3%)</w:t>
            </w:r>
          </w:p>
        </w:tc>
        <w:tc>
          <w:tcPr>
            <w:tcW w:w="1121" w:type="dxa"/>
            <w:shd w:val="clear" w:color="auto" w:fill="2D74B5"/>
          </w:tcPr>
          <w:p>
            <w:pPr>
              <w:pStyle w:val="TableParagraph"/>
              <w:spacing w:before="57"/>
              <w:ind w:left="85" w:right="86"/>
              <w:rPr>
                <w:rFonts w:ascii="Calibri Light"/>
                <w:b w:val="0"/>
                <w:sz w:val="22"/>
              </w:rPr>
            </w:pPr>
            <w:r>
              <w:rPr>
                <w:sz w:val="22"/>
              </w:rPr>
              <w:t>4 </w:t>
            </w:r>
            <w:r>
              <w:rPr>
                <w:rFonts w:ascii="Calibri Light"/>
                <w:b w:val="0"/>
                <w:sz w:val="22"/>
              </w:rPr>
              <w:t>(66.6%)</w:t>
            </w:r>
          </w:p>
        </w:tc>
        <w:tc>
          <w:tcPr>
            <w:tcW w:w="1244" w:type="dxa"/>
            <w:tcBorders>
              <w:left w:val="single" w:sz="45" w:space="0" w:color="2D74B5"/>
            </w:tcBorders>
          </w:tcPr>
          <w:p>
            <w:pPr>
              <w:pStyle w:val="TableParagraph"/>
              <w:spacing w:before="69"/>
              <w:ind w:right="52"/>
              <w:rPr>
                <w:sz w:val="22"/>
              </w:rPr>
            </w:pPr>
            <w:r>
              <w:rPr>
                <w:w w:val="100"/>
                <w:sz w:val="22"/>
              </w:rPr>
              <w:t>0</w:t>
            </w:r>
          </w:p>
        </w:tc>
        <w:tc>
          <w:tcPr>
            <w:tcW w:w="1368" w:type="dxa"/>
          </w:tcPr>
          <w:p>
            <w:pPr>
              <w:pStyle w:val="TableParagraph"/>
              <w:spacing w:before="69"/>
              <w:rPr>
                <w:sz w:val="22"/>
              </w:rPr>
            </w:pPr>
            <w:r>
              <w:rPr>
                <w:w w:val="100"/>
                <w:sz w:val="22"/>
              </w:rPr>
              <w:t>0</w:t>
            </w:r>
          </w:p>
        </w:tc>
        <w:tc>
          <w:tcPr>
            <w:tcW w:w="1366" w:type="dxa"/>
          </w:tcPr>
          <w:p>
            <w:pPr>
              <w:pStyle w:val="TableParagraph"/>
              <w:spacing w:before="69"/>
              <w:ind w:left="614"/>
              <w:jc w:val="left"/>
              <w:rPr>
                <w:sz w:val="22"/>
              </w:rPr>
            </w:pPr>
            <w:r>
              <w:rPr>
                <w:w w:val="100"/>
                <w:sz w:val="22"/>
              </w:rPr>
              <w:t>0</w:t>
            </w:r>
          </w:p>
        </w:tc>
      </w:tr>
      <w:tr>
        <w:trPr>
          <w:trHeight w:val="533" w:hRule="exact"/>
        </w:trPr>
        <w:tc>
          <w:tcPr>
            <w:tcW w:w="1227" w:type="dxa"/>
            <w:tcBorders>
              <w:right w:val="nil"/>
            </w:tcBorders>
          </w:tcPr>
          <w:p>
            <w:pPr>
              <w:pStyle w:val="TableParagraph"/>
              <w:spacing w:before="69"/>
              <w:ind w:right="58"/>
              <w:jc w:val="right"/>
              <w:rPr>
                <w:sz w:val="22"/>
              </w:rPr>
            </w:pPr>
            <w:r>
              <w:rPr>
                <w:sz w:val="22"/>
              </w:rPr>
              <w:t>Grupo</w:t>
            </w:r>
          </w:p>
        </w:tc>
        <w:tc>
          <w:tcPr>
            <w:tcW w:w="1924" w:type="dxa"/>
            <w:gridSpan w:val="2"/>
            <w:tcBorders>
              <w:left w:val="nil"/>
            </w:tcBorders>
          </w:tcPr>
          <w:p>
            <w:pPr>
              <w:pStyle w:val="TableParagraph"/>
              <w:spacing w:before="69"/>
              <w:ind w:left="60"/>
              <w:jc w:val="left"/>
              <w:rPr>
                <w:sz w:val="22"/>
              </w:rPr>
            </w:pPr>
            <w:r>
              <w:rPr>
                <w:sz w:val="22"/>
              </w:rPr>
              <w:t>de edad 3 (6)</w:t>
            </w:r>
          </w:p>
        </w:tc>
        <w:tc>
          <w:tcPr>
            <w:tcW w:w="1148" w:type="dxa"/>
            <w:tcBorders>
              <w:right w:val="single" w:sz="41" w:space="0" w:color="2D74B5"/>
            </w:tcBorders>
          </w:tcPr>
          <w:p>
            <w:pPr>
              <w:pStyle w:val="TableParagraph"/>
              <w:spacing w:before="57"/>
              <w:ind w:left="117" w:right="75"/>
              <w:rPr>
                <w:rFonts w:ascii="Calibri Light"/>
                <w:b w:val="0"/>
                <w:sz w:val="22"/>
              </w:rPr>
            </w:pPr>
            <w:r>
              <w:rPr>
                <w:sz w:val="22"/>
              </w:rPr>
              <w:t>2 </w:t>
            </w:r>
            <w:r>
              <w:rPr>
                <w:rFonts w:ascii="Calibri Light"/>
                <w:b w:val="0"/>
                <w:sz w:val="22"/>
              </w:rPr>
              <w:t>(33.3%)</w:t>
            </w:r>
          </w:p>
        </w:tc>
        <w:tc>
          <w:tcPr>
            <w:tcW w:w="1121" w:type="dxa"/>
            <w:shd w:val="clear" w:color="auto" w:fill="2D74B5"/>
          </w:tcPr>
          <w:p>
            <w:pPr>
              <w:pStyle w:val="TableParagraph"/>
              <w:spacing w:before="57"/>
              <w:ind w:left="85" w:right="86"/>
              <w:rPr>
                <w:rFonts w:ascii="Calibri Light"/>
                <w:b w:val="0"/>
                <w:sz w:val="22"/>
              </w:rPr>
            </w:pPr>
            <w:r>
              <w:rPr>
                <w:sz w:val="22"/>
              </w:rPr>
              <w:t>3 </w:t>
            </w:r>
            <w:r>
              <w:rPr>
                <w:rFonts w:ascii="Calibri Light"/>
                <w:b w:val="0"/>
                <w:sz w:val="22"/>
              </w:rPr>
              <w:t>(66.6%)</w:t>
            </w:r>
          </w:p>
        </w:tc>
        <w:tc>
          <w:tcPr>
            <w:tcW w:w="1244" w:type="dxa"/>
            <w:tcBorders>
              <w:left w:val="single" w:sz="45" w:space="0" w:color="2D74B5"/>
            </w:tcBorders>
          </w:tcPr>
          <w:p>
            <w:pPr>
              <w:pStyle w:val="TableParagraph"/>
              <w:spacing w:before="69"/>
              <w:ind w:right="52"/>
              <w:rPr>
                <w:sz w:val="22"/>
              </w:rPr>
            </w:pPr>
            <w:r>
              <w:rPr>
                <w:w w:val="100"/>
                <w:sz w:val="22"/>
              </w:rPr>
              <w:t>0</w:t>
            </w:r>
          </w:p>
        </w:tc>
        <w:tc>
          <w:tcPr>
            <w:tcW w:w="1368" w:type="dxa"/>
          </w:tcPr>
          <w:p>
            <w:pPr>
              <w:pStyle w:val="TableParagraph"/>
              <w:spacing w:before="57"/>
              <w:ind w:left="223" w:right="224"/>
              <w:rPr>
                <w:rFonts w:ascii="Calibri Light"/>
                <w:b w:val="0"/>
                <w:sz w:val="22"/>
              </w:rPr>
            </w:pPr>
            <w:r>
              <w:rPr>
                <w:sz w:val="22"/>
              </w:rPr>
              <w:t>1 </w:t>
            </w:r>
            <w:r>
              <w:rPr>
                <w:rFonts w:ascii="Calibri Light"/>
                <w:b w:val="0"/>
                <w:sz w:val="22"/>
              </w:rPr>
              <w:t>(16.6)</w:t>
            </w:r>
          </w:p>
        </w:tc>
        <w:tc>
          <w:tcPr>
            <w:tcW w:w="1366" w:type="dxa"/>
          </w:tcPr>
          <w:p>
            <w:pPr>
              <w:pStyle w:val="TableParagraph"/>
              <w:spacing w:before="69"/>
              <w:ind w:left="614"/>
              <w:jc w:val="left"/>
              <w:rPr>
                <w:sz w:val="22"/>
              </w:rPr>
            </w:pPr>
            <w:r>
              <w:rPr>
                <w:w w:val="100"/>
                <w:sz w:val="22"/>
              </w:rPr>
              <w:t>0</w:t>
            </w:r>
          </w:p>
        </w:tc>
      </w:tr>
      <w:tr>
        <w:trPr>
          <w:trHeight w:val="533" w:hRule="exact"/>
        </w:trPr>
        <w:tc>
          <w:tcPr>
            <w:tcW w:w="1227" w:type="dxa"/>
            <w:tcBorders>
              <w:right w:val="nil"/>
            </w:tcBorders>
          </w:tcPr>
          <w:p>
            <w:pPr>
              <w:pStyle w:val="TableParagraph"/>
              <w:spacing w:before="69"/>
              <w:ind w:right="58"/>
              <w:jc w:val="right"/>
              <w:rPr>
                <w:sz w:val="22"/>
              </w:rPr>
            </w:pPr>
            <w:r>
              <w:rPr>
                <w:sz w:val="22"/>
              </w:rPr>
              <w:t>Grupo</w:t>
            </w:r>
          </w:p>
        </w:tc>
        <w:tc>
          <w:tcPr>
            <w:tcW w:w="1924" w:type="dxa"/>
            <w:gridSpan w:val="2"/>
            <w:tcBorders>
              <w:left w:val="nil"/>
              <w:right w:val="single" w:sz="41" w:space="0" w:color="2D74B5"/>
            </w:tcBorders>
          </w:tcPr>
          <w:p>
            <w:pPr>
              <w:pStyle w:val="TableParagraph"/>
              <w:spacing w:before="69"/>
              <w:ind w:left="60"/>
              <w:jc w:val="left"/>
              <w:rPr>
                <w:sz w:val="22"/>
              </w:rPr>
            </w:pPr>
            <w:r>
              <w:rPr>
                <w:sz w:val="22"/>
              </w:rPr>
              <w:t>de edad 4 (6)</w:t>
            </w:r>
          </w:p>
        </w:tc>
        <w:tc>
          <w:tcPr>
            <w:tcW w:w="1148" w:type="dxa"/>
            <w:shd w:val="clear" w:color="auto" w:fill="2D74B5"/>
          </w:tcPr>
          <w:p>
            <w:pPr>
              <w:pStyle w:val="TableParagraph"/>
              <w:spacing w:before="57"/>
              <w:ind w:left="117" w:right="119"/>
              <w:rPr>
                <w:rFonts w:ascii="Calibri Light"/>
                <w:b w:val="0"/>
                <w:sz w:val="22"/>
              </w:rPr>
            </w:pPr>
            <w:r>
              <w:rPr>
                <w:sz w:val="22"/>
              </w:rPr>
              <w:t>4 </w:t>
            </w:r>
            <w:r>
              <w:rPr>
                <w:rFonts w:ascii="Calibri Light"/>
                <w:b w:val="0"/>
                <w:sz w:val="22"/>
              </w:rPr>
              <w:t>(66.6%)</w:t>
            </w:r>
          </w:p>
        </w:tc>
        <w:tc>
          <w:tcPr>
            <w:tcW w:w="1121" w:type="dxa"/>
            <w:tcBorders>
              <w:left w:val="single" w:sz="41" w:space="0" w:color="2D74B5"/>
            </w:tcBorders>
          </w:tcPr>
          <w:p>
            <w:pPr>
              <w:pStyle w:val="TableParagraph"/>
              <w:spacing w:before="69"/>
              <w:ind w:right="44"/>
              <w:rPr>
                <w:sz w:val="22"/>
              </w:rPr>
            </w:pPr>
            <w:r>
              <w:rPr>
                <w:w w:val="100"/>
                <w:sz w:val="22"/>
              </w:rPr>
              <w:t>0</w:t>
            </w:r>
          </w:p>
        </w:tc>
        <w:tc>
          <w:tcPr>
            <w:tcW w:w="1244" w:type="dxa"/>
          </w:tcPr>
          <w:p>
            <w:pPr>
              <w:pStyle w:val="TableParagraph"/>
              <w:spacing w:before="69"/>
              <w:rPr>
                <w:sz w:val="22"/>
              </w:rPr>
            </w:pPr>
            <w:r>
              <w:rPr>
                <w:w w:val="100"/>
                <w:sz w:val="22"/>
              </w:rPr>
              <w:t>0</w:t>
            </w:r>
          </w:p>
        </w:tc>
        <w:tc>
          <w:tcPr>
            <w:tcW w:w="1368" w:type="dxa"/>
          </w:tcPr>
          <w:p>
            <w:pPr>
              <w:pStyle w:val="TableParagraph"/>
              <w:spacing w:before="57"/>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69"/>
              <w:ind w:left="614"/>
              <w:jc w:val="left"/>
              <w:rPr>
                <w:sz w:val="22"/>
              </w:rPr>
            </w:pPr>
            <w:r>
              <w:rPr>
                <w:w w:val="100"/>
                <w:sz w:val="22"/>
              </w:rPr>
              <w:t>0</w:t>
            </w:r>
          </w:p>
        </w:tc>
      </w:tr>
    </w:tbl>
    <w:p>
      <w:pPr>
        <w:spacing w:line="225" w:lineRule="exact" w:before="0"/>
        <w:ind w:left="1662" w:right="339" w:firstLine="0"/>
        <w:jc w:val="left"/>
        <w:rPr>
          <w:b/>
          <w:sz w:val="20"/>
        </w:rPr>
      </w:pPr>
      <w:r>
        <w:rPr>
          <w:b/>
          <w:sz w:val="20"/>
        </w:rPr>
        <w:t>Tabla 4.2. Locutor con amplio vocabulario; respuestas por grupo de edad</w:t>
      </w:r>
    </w:p>
    <w:p>
      <w:pPr>
        <w:pStyle w:val="BodyText"/>
        <w:rPr>
          <w:b/>
          <w:sz w:val="20"/>
        </w:rPr>
      </w:pPr>
    </w:p>
    <w:p>
      <w:pPr>
        <w:pStyle w:val="BodyText"/>
        <w:spacing w:before="3"/>
        <w:rPr>
          <w:b/>
          <w:sz w:val="26"/>
        </w:rPr>
      </w:pPr>
    </w:p>
    <w:p>
      <w:pPr>
        <w:pStyle w:val="BodyText"/>
        <w:spacing w:line="360" w:lineRule="auto"/>
        <w:ind w:left="102" w:right="107" w:firstLine="707"/>
        <w:jc w:val="both"/>
      </w:pPr>
      <w:r>
        <w:rPr/>
        <w:t>En cuanto al nivel de estudios, en la primer aseveración se pudo encontrar (como se observa en la tabla 4.3.) que el nivel básico tiene preferencia ante el uso de anglicismos mostrando un 62.5% con respuestas “muy de acuerdo” y un 25% “de acuerdo”; seguidos del nivel medio superior con un 62.5% de respuestas “de acuerdo” y un</w:t>
      </w:r>
      <w:r>
        <w:rPr>
          <w:spacing w:val="-6"/>
        </w:rPr>
        <w:t> </w:t>
      </w:r>
      <w:r>
        <w:rPr/>
        <w:t>12.5%</w:t>
      </w:r>
      <w:r>
        <w:rPr>
          <w:spacing w:val="-6"/>
        </w:rPr>
        <w:t> </w:t>
      </w:r>
      <w:r>
        <w:rPr/>
        <w:t>“muy</w:t>
      </w:r>
      <w:r>
        <w:rPr>
          <w:spacing w:val="-9"/>
        </w:rPr>
        <w:t> </w:t>
      </w:r>
      <w:r>
        <w:rPr/>
        <w:t>de</w:t>
      </w:r>
      <w:r>
        <w:rPr>
          <w:spacing w:val="-8"/>
        </w:rPr>
        <w:t> </w:t>
      </w:r>
      <w:r>
        <w:rPr/>
        <w:t>acuerdo”;</w:t>
      </w:r>
      <w:r>
        <w:rPr>
          <w:spacing w:val="-9"/>
        </w:rPr>
        <w:t> </w:t>
      </w:r>
      <w:r>
        <w:rPr/>
        <w:t>finalmente,</w:t>
      </w:r>
      <w:r>
        <w:rPr>
          <w:spacing w:val="-9"/>
        </w:rPr>
        <w:t> </w:t>
      </w:r>
      <w:r>
        <w:rPr/>
        <w:t>el</w:t>
      </w:r>
      <w:r>
        <w:rPr>
          <w:spacing w:val="-7"/>
        </w:rPr>
        <w:t> </w:t>
      </w:r>
      <w:r>
        <w:rPr/>
        <w:t>nivel</w:t>
      </w:r>
      <w:r>
        <w:rPr>
          <w:spacing w:val="-7"/>
        </w:rPr>
        <w:t> </w:t>
      </w:r>
      <w:r>
        <w:rPr/>
        <w:t>superior</w:t>
      </w:r>
      <w:r>
        <w:rPr>
          <w:spacing w:val="-7"/>
        </w:rPr>
        <w:t> </w:t>
      </w:r>
      <w:r>
        <w:rPr/>
        <w:t>mostró</w:t>
      </w:r>
      <w:r>
        <w:rPr>
          <w:spacing w:val="-9"/>
        </w:rPr>
        <w:t> </w:t>
      </w:r>
      <w:r>
        <w:rPr/>
        <w:t>un</w:t>
      </w:r>
      <w:r>
        <w:rPr>
          <w:spacing w:val="-4"/>
        </w:rPr>
        <w:t> </w:t>
      </w:r>
      <w:r>
        <w:rPr/>
        <w:t>37.5%</w:t>
      </w:r>
      <w:r>
        <w:rPr>
          <w:spacing w:val="-8"/>
        </w:rPr>
        <w:t> </w:t>
      </w:r>
      <w:r>
        <w:rPr/>
        <w:t>de</w:t>
      </w:r>
      <w:r>
        <w:rPr>
          <w:spacing w:val="-6"/>
        </w:rPr>
        <w:t> </w:t>
      </w:r>
      <w:r>
        <w:rPr/>
        <w:t>respuestas “muy de acuerdo y otro 37.5% “de</w:t>
      </w:r>
      <w:r>
        <w:rPr>
          <w:spacing w:val="-14"/>
        </w:rPr>
        <w:t> </w:t>
      </w:r>
      <w:r>
        <w:rPr/>
        <w:t>acuerdo”.</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6"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1</w:t>
            </w:r>
          </w:p>
        </w:tc>
        <w:tc>
          <w:tcPr>
            <w:tcW w:w="1724" w:type="dxa"/>
            <w:vMerge w:val="restart"/>
          </w:tcPr>
          <w:p>
            <w:pPr>
              <w:pStyle w:val="TableParagraph"/>
              <w:spacing w:line="357" w:lineRule="auto" w:before="12"/>
              <w:ind w:left="218" w:right="222" w:firstLine="5"/>
              <w:rPr>
                <w:b/>
                <w:sz w:val="22"/>
              </w:rPr>
            </w:pPr>
            <w:r>
              <w:rPr>
                <w:sz w:val="22"/>
              </w:rPr>
              <w:t>Tipo de Aseveración: </w:t>
            </w:r>
            <w:r>
              <w:rPr>
                <w:b/>
                <w:sz w:val="22"/>
              </w:rPr>
              <w:t>Favorable</w:t>
            </w:r>
          </w:p>
        </w:tc>
        <w:tc>
          <w:tcPr>
            <w:tcW w:w="6246" w:type="dxa"/>
            <w:gridSpan w:val="5"/>
          </w:tcPr>
          <w:p>
            <w:pPr>
              <w:pStyle w:val="TableParagraph"/>
              <w:spacing w:before="7"/>
              <w:ind w:left="2516" w:right="2516"/>
              <w:rPr>
                <w:sz w:val="22"/>
              </w:rPr>
            </w:pPr>
            <w:r>
              <w:rPr>
                <w:sz w:val="22"/>
              </w:rPr>
              <w:t>Respuestas</w:t>
            </w:r>
          </w:p>
        </w:tc>
      </w:tr>
      <w:tr>
        <w:trPr>
          <w:trHeight w:val="770"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9"/>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Borders>
              <w:right w:val="single" w:sz="41" w:space="0" w:color="2D74B5"/>
            </w:tcBorders>
          </w:tcPr>
          <w:p>
            <w:pPr>
              <w:pStyle w:val="TableParagraph"/>
              <w:spacing w:before="9"/>
              <w:ind w:left="799"/>
              <w:jc w:val="left"/>
              <w:rPr>
                <w:sz w:val="22"/>
              </w:rPr>
            </w:pPr>
            <w:r>
              <w:rPr>
                <w:sz w:val="22"/>
              </w:rPr>
              <w:t>Nivel Básico (8)</w:t>
            </w:r>
          </w:p>
        </w:tc>
        <w:tc>
          <w:tcPr>
            <w:tcW w:w="1148" w:type="dxa"/>
            <w:shd w:val="clear" w:color="auto" w:fill="2D74B5"/>
          </w:tcPr>
          <w:p>
            <w:pPr>
              <w:pStyle w:val="TableParagraph"/>
              <w:spacing w:line="265" w:lineRule="exact"/>
              <w:ind w:left="129"/>
              <w:jc w:val="left"/>
              <w:rPr>
                <w:rFonts w:ascii="Calibri"/>
                <w:sz w:val="22"/>
              </w:rPr>
            </w:pPr>
            <w:r>
              <w:rPr>
                <w:sz w:val="22"/>
              </w:rPr>
              <w:t>5 (</w:t>
            </w:r>
            <w:r>
              <w:rPr>
                <w:rFonts w:ascii="Calibri"/>
                <w:sz w:val="22"/>
              </w:rPr>
              <w:t>62.5%)</w:t>
            </w:r>
          </w:p>
        </w:tc>
        <w:tc>
          <w:tcPr>
            <w:tcW w:w="1121" w:type="dxa"/>
            <w:tcBorders>
              <w:left w:val="single" w:sz="41" w:space="0" w:color="2D74B5"/>
            </w:tcBorders>
          </w:tcPr>
          <w:p>
            <w:pPr>
              <w:pStyle w:val="TableParagraph"/>
              <w:spacing w:line="265" w:lineRule="exact"/>
              <w:ind w:left="59" w:right="102"/>
              <w:rPr>
                <w:rFonts w:ascii="Calibri"/>
                <w:sz w:val="22"/>
              </w:rPr>
            </w:pPr>
            <w:r>
              <w:rPr>
                <w:sz w:val="22"/>
              </w:rPr>
              <w:t>2 (</w:t>
            </w:r>
            <w:r>
              <w:rPr>
                <w:rFonts w:ascii="Calibri"/>
                <w:sz w:val="22"/>
              </w:rPr>
              <w:t>25%)</w:t>
            </w:r>
          </w:p>
        </w:tc>
        <w:tc>
          <w:tcPr>
            <w:tcW w:w="1244" w:type="dxa"/>
          </w:tcPr>
          <w:p>
            <w:pPr>
              <w:pStyle w:val="TableParagraph"/>
              <w:spacing w:before="9"/>
              <w:rPr>
                <w:sz w:val="22"/>
              </w:rPr>
            </w:pPr>
            <w:r>
              <w:rPr>
                <w:w w:val="100"/>
                <w:sz w:val="22"/>
              </w:rPr>
              <w:t>0</w:t>
            </w:r>
          </w:p>
        </w:tc>
        <w:tc>
          <w:tcPr>
            <w:tcW w:w="1368" w:type="dxa"/>
          </w:tcPr>
          <w:p>
            <w:pPr>
              <w:pStyle w:val="TableParagraph"/>
              <w:spacing w:line="265" w:lineRule="exact"/>
              <w:ind w:left="223" w:right="224"/>
              <w:rPr>
                <w:rFonts w:ascii="Calibri"/>
                <w:sz w:val="22"/>
              </w:rPr>
            </w:pPr>
            <w:r>
              <w:rPr>
                <w:sz w:val="22"/>
              </w:rPr>
              <w:t>1 (</w:t>
            </w:r>
            <w:r>
              <w:rPr>
                <w:rFonts w:ascii="Calibri"/>
                <w:sz w:val="22"/>
              </w:rPr>
              <w:t>12.5%)</w:t>
            </w:r>
          </w:p>
        </w:tc>
        <w:tc>
          <w:tcPr>
            <w:tcW w:w="1366" w:type="dxa"/>
          </w:tcPr>
          <w:p>
            <w:pPr>
              <w:pStyle w:val="TableParagraph"/>
              <w:spacing w:before="9"/>
              <w:ind w:left="614"/>
              <w:jc w:val="left"/>
              <w:rPr>
                <w:sz w:val="22"/>
              </w:rPr>
            </w:pPr>
            <w:r>
              <w:rPr>
                <w:w w:val="100"/>
                <w:sz w:val="22"/>
              </w:rPr>
              <w:t>0</w:t>
            </w:r>
          </w:p>
        </w:tc>
      </w:tr>
      <w:tr>
        <w:trPr>
          <w:trHeight w:val="413" w:hRule="exact"/>
        </w:trPr>
        <w:tc>
          <w:tcPr>
            <w:tcW w:w="3152" w:type="dxa"/>
            <w:gridSpan w:val="2"/>
          </w:tcPr>
          <w:p>
            <w:pPr>
              <w:pStyle w:val="TableParagraph"/>
              <w:spacing w:before="9"/>
              <w:ind w:left="383"/>
              <w:jc w:val="left"/>
              <w:rPr>
                <w:sz w:val="22"/>
              </w:rPr>
            </w:pPr>
            <w:r>
              <w:rPr>
                <w:sz w:val="22"/>
              </w:rPr>
              <w:t>Nivel Medio Superior (8)</w:t>
            </w:r>
          </w:p>
        </w:tc>
        <w:tc>
          <w:tcPr>
            <w:tcW w:w="1148" w:type="dxa"/>
            <w:tcBorders>
              <w:right w:val="single" w:sz="41" w:space="0" w:color="2D74B5"/>
            </w:tcBorders>
          </w:tcPr>
          <w:p>
            <w:pPr>
              <w:pStyle w:val="TableParagraph"/>
              <w:spacing w:line="265" w:lineRule="exact"/>
              <w:ind w:left="129"/>
              <w:jc w:val="left"/>
              <w:rPr>
                <w:rFonts w:ascii="Calibri"/>
                <w:sz w:val="22"/>
              </w:rPr>
            </w:pPr>
            <w:r>
              <w:rPr>
                <w:sz w:val="22"/>
              </w:rPr>
              <w:t>1 (</w:t>
            </w:r>
            <w:r>
              <w:rPr>
                <w:rFonts w:ascii="Calibri"/>
                <w:sz w:val="22"/>
              </w:rPr>
              <w:t>12.5%)</w:t>
            </w:r>
          </w:p>
        </w:tc>
        <w:tc>
          <w:tcPr>
            <w:tcW w:w="1121" w:type="dxa"/>
            <w:shd w:val="clear" w:color="auto" w:fill="2D74B5"/>
          </w:tcPr>
          <w:p>
            <w:pPr>
              <w:pStyle w:val="TableParagraph"/>
              <w:spacing w:line="265" w:lineRule="exact"/>
              <w:ind w:left="85" w:right="84"/>
              <w:rPr>
                <w:rFonts w:ascii="Calibri"/>
                <w:sz w:val="22"/>
              </w:rPr>
            </w:pPr>
            <w:r>
              <w:rPr>
                <w:sz w:val="22"/>
              </w:rPr>
              <w:t>5 (</w:t>
            </w:r>
            <w:r>
              <w:rPr>
                <w:rFonts w:ascii="Calibri"/>
                <w:sz w:val="22"/>
              </w:rPr>
              <w:t>62.5%)</w:t>
            </w:r>
          </w:p>
        </w:tc>
        <w:tc>
          <w:tcPr>
            <w:tcW w:w="1244" w:type="dxa"/>
            <w:tcBorders>
              <w:left w:val="single" w:sz="45" w:space="0" w:color="2D74B5"/>
            </w:tcBorders>
          </w:tcPr>
          <w:p>
            <w:pPr>
              <w:pStyle w:val="TableParagraph"/>
              <w:spacing w:line="265" w:lineRule="exact"/>
              <w:ind w:left="110" w:right="161"/>
              <w:rPr>
                <w:rFonts w:ascii="Calibri"/>
                <w:sz w:val="22"/>
              </w:rPr>
            </w:pPr>
            <w:r>
              <w:rPr>
                <w:sz w:val="22"/>
              </w:rPr>
              <w:t>1 (</w:t>
            </w:r>
            <w:r>
              <w:rPr>
                <w:rFonts w:ascii="Calibri"/>
                <w:sz w:val="22"/>
              </w:rPr>
              <w:t>12.5%)</w:t>
            </w:r>
          </w:p>
        </w:tc>
        <w:tc>
          <w:tcPr>
            <w:tcW w:w="1368" w:type="dxa"/>
          </w:tcPr>
          <w:p>
            <w:pPr>
              <w:pStyle w:val="TableParagraph"/>
              <w:spacing w:line="265" w:lineRule="exact"/>
              <w:ind w:left="223" w:right="224"/>
              <w:rPr>
                <w:rFonts w:ascii="Calibri"/>
                <w:sz w:val="22"/>
              </w:rPr>
            </w:pPr>
            <w:r>
              <w:rPr>
                <w:sz w:val="22"/>
              </w:rPr>
              <w:t>1 (</w:t>
            </w:r>
            <w:r>
              <w:rPr>
                <w:rFonts w:ascii="Calibri"/>
                <w:sz w:val="22"/>
              </w:rPr>
              <w:t>12.5%)</w:t>
            </w:r>
          </w:p>
        </w:tc>
        <w:tc>
          <w:tcPr>
            <w:tcW w:w="1366" w:type="dxa"/>
          </w:tcPr>
          <w:p>
            <w:pPr>
              <w:pStyle w:val="TableParagraph"/>
              <w:spacing w:before="9"/>
              <w:ind w:left="614"/>
              <w:jc w:val="left"/>
              <w:rPr>
                <w:sz w:val="22"/>
              </w:rPr>
            </w:pPr>
            <w:r>
              <w:rPr>
                <w:w w:val="100"/>
                <w:sz w:val="22"/>
              </w:rPr>
              <w:t>0</w:t>
            </w:r>
          </w:p>
        </w:tc>
      </w:tr>
      <w:tr>
        <w:trPr>
          <w:trHeight w:val="413" w:hRule="exact"/>
        </w:trPr>
        <w:tc>
          <w:tcPr>
            <w:tcW w:w="3152" w:type="dxa"/>
            <w:gridSpan w:val="2"/>
            <w:tcBorders>
              <w:right w:val="single" w:sz="41" w:space="0" w:color="2D74B5"/>
            </w:tcBorders>
          </w:tcPr>
          <w:p>
            <w:pPr>
              <w:pStyle w:val="TableParagraph"/>
              <w:spacing w:before="9"/>
              <w:ind w:left="712"/>
              <w:jc w:val="left"/>
              <w:rPr>
                <w:sz w:val="22"/>
              </w:rPr>
            </w:pPr>
            <w:r>
              <w:rPr>
                <w:sz w:val="22"/>
              </w:rPr>
              <w:t>Nivel Superior (8)</w:t>
            </w:r>
          </w:p>
        </w:tc>
        <w:tc>
          <w:tcPr>
            <w:tcW w:w="1148" w:type="dxa"/>
            <w:shd w:val="clear" w:color="auto" w:fill="2D74B5"/>
          </w:tcPr>
          <w:p>
            <w:pPr>
              <w:pStyle w:val="TableParagraph"/>
              <w:spacing w:line="265" w:lineRule="exact"/>
              <w:ind w:left="129"/>
              <w:jc w:val="left"/>
              <w:rPr>
                <w:rFonts w:ascii="Calibri"/>
                <w:sz w:val="22"/>
              </w:rPr>
            </w:pPr>
            <w:r>
              <w:rPr>
                <w:sz w:val="22"/>
              </w:rPr>
              <w:t>3 (</w:t>
            </w:r>
            <w:r>
              <w:rPr>
                <w:rFonts w:ascii="Calibri"/>
                <w:sz w:val="22"/>
              </w:rPr>
              <w:t>37.5%)</w:t>
            </w:r>
          </w:p>
        </w:tc>
        <w:tc>
          <w:tcPr>
            <w:tcW w:w="1121" w:type="dxa"/>
            <w:shd w:val="clear" w:color="auto" w:fill="2D74B5"/>
          </w:tcPr>
          <w:p>
            <w:pPr>
              <w:pStyle w:val="TableParagraph"/>
              <w:spacing w:line="265" w:lineRule="exact"/>
              <w:ind w:left="85" w:right="84"/>
              <w:rPr>
                <w:rFonts w:ascii="Calibri"/>
                <w:sz w:val="22"/>
              </w:rPr>
            </w:pPr>
            <w:r>
              <w:rPr>
                <w:sz w:val="22"/>
              </w:rPr>
              <w:t>3 (</w:t>
            </w:r>
            <w:r>
              <w:rPr>
                <w:rFonts w:ascii="Calibri"/>
                <w:sz w:val="22"/>
              </w:rPr>
              <w:t>37.5%)</w:t>
            </w:r>
          </w:p>
        </w:tc>
        <w:tc>
          <w:tcPr>
            <w:tcW w:w="1244" w:type="dxa"/>
            <w:tcBorders>
              <w:left w:val="single" w:sz="45" w:space="0" w:color="2D74B5"/>
            </w:tcBorders>
          </w:tcPr>
          <w:p>
            <w:pPr>
              <w:pStyle w:val="TableParagraph"/>
              <w:spacing w:before="9"/>
              <w:ind w:right="52"/>
              <w:rPr>
                <w:sz w:val="22"/>
              </w:rPr>
            </w:pPr>
            <w:r>
              <w:rPr>
                <w:w w:val="100"/>
                <w:sz w:val="22"/>
              </w:rPr>
              <w:t>0</w:t>
            </w:r>
          </w:p>
        </w:tc>
        <w:tc>
          <w:tcPr>
            <w:tcW w:w="1368" w:type="dxa"/>
          </w:tcPr>
          <w:p>
            <w:pPr>
              <w:pStyle w:val="TableParagraph"/>
              <w:spacing w:line="265" w:lineRule="exact"/>
              <w:ind w:left="223" w:right="223"/>
              <w:rPr>
                <w:rFonts w:ascii="Calibri"/>
                <w:sz w:val="22"/>
              </w:rPr>
            </w:pPr>
            <w:r>
              <w:rPr>
                <w:sz w:val="22"/>
              </w:rPr>
              <w:t>2 (</w:t>
            </w:r>
            <w:r>
              <w:rPr>
                <w:rFonts w:ascii="Calibri"/>
                <w:sz w:val="22"/>
              </w:rPr>
              <w:t>25%)</w:t>
            </w:r>
          </w:p>
        </w:tc>
        <w:tc>
          <w:tcPr>
            <w:tcW w:w="1366" w:type="dxa"/>
          </w:tcPr>
          <w:p>
            <w:pPr>
              <w:pStyle w:val="TableParagraph"/>
              <w:spacing w:before="9"/>
              <w:ind w:left="614"/>
              <w:jc w:val="left"/>
              <w:rPr>
                <w:sz w:val="22"/>
              </w:rPr>
            </w:pPr>
            <w:r>
              <w:rPr>
                <w:w w:val="100"/>
                <w:sz w:val="22"/>
              </w:rPr>
              <w:t>0</w:t>
            </w:r>
          </w:p>
        </w:tc>
      </w:tr>
    </w:tbl>
    <w:p>
      <w:pPr>
        <w:spacing w:line="225" w:lineRule="exact" w:before="0"/>
        <w:ind w:left="1539" w:right="339" w:firstLine="0"/>
        <w:jc w:val="left"/>
        <w:rPr>
          <w:b/>
          <w:sz w:val="20"/>
        </w:rPr>
      </w:pPr>
      <w:r>
        <w:rPr>
          <w:b/>
          <w:sz w:val="20"/>
        </w:rPr>
        <w:t>Tabla 4.3. Locutor con amplio vocabulario; respuestas por nivel de estudios</w:t>
      </w:r>
    </w:p>
    <w:p>
      <w:pPr>
        <w:pStyle w:val="BodyText"/>
        <w:rPr>
          <w:b/>
          <w:sz w:val="20"/>
        </w:rPr>
      </w:pPr>
    </w:p>
    <w:p>
      <w:pPr>
        <w:pStyle w:val="BodyText"/>
        <w:spacing w:before="2"/>
        <w:rPr>
          <w:b/>
          <w:sz w:val="26"/>
        </w:rPr>
      </w:pPr>
    </w:p>
    <w:p>
      <w:pPr>
        <w:pStyle w:val="BodyText"/>
        <w:spacing w:line="360" w:lineRule="auto"/>
        <w:ind w:left="102" w:right="106" w:firstLine="707"/>
        <w:jc w:val="both"/>
      </w:pPr>
      <w:r>
        <w:rPr/>
        <w:t>En cuanto a la aseveración 2: </w:t>
      </w:r>
      <w:r>
        <w:rPr>
          <w:b/>
        </w:rPr>
        <w:t>“La reputación de un maestro se vería afectada si se expresara como en esta grabación” (con anglicismos)</w:t>
      </w:r>
      <w:r>
        <w:rPr/>
        <w:t>, que tiene un sentido desfavorable ante el uso de anglicismos se pudo encontrar que en la totalidad de la población</w:t>
      </w:r>
      <w:r>
        <w:rPr>
          <w:spacing w:val="-15"/>
        </w:rPr>
        <w:t> </w:t>
      </w:r>
      <w:r>
        <w:rPr/>
        <w:t>existe</w:t>
      </w:r>
      <w:r>
        <w:rPr>
          <w:spacing w:val="-15"/>
        </w:rPr>
        <w:t> </w:t>
      </w:r>
      <w:r>
        <w:rPr/>
        <w:t>cierta</w:t>
      </w:r>
      <w:r>
        <w:rPr>
          <w:spacing w:val="-14"/>
        </w:rPr>
        <w:t> </w:t>
      </w:r>
      <w:r>
        <w:rPr/>
        <w:t>inclinación</w:t>
      </w:r>
      <w:r>
        <w:rPr>
          <w:spacing w:val="-14"/>
        </w:rPr>
        <w:t> </w:t>
      </w:r>
      <w:r>
        <w:rPr/>
        <w:t>(41.6%)</w:t>
      </w:r>
      <w:r>
        <w:rPr>
          <w:spacing w:val="-16"/>
        </w:rPr>
        <w:t> </w:t>
      </w:r>
      <w:r>
        <w:rPr/>
        <w:t>por</w:t>
      </w:r>
      <w:r>
        <w:rPr>
          <w:spacing w:val="-18"/>
        </w:rPr>
        <w:t> </w:t>
      </w:r>
      <w:r>
        <w:rPr/>
        <w:t>estar</w:t>
      </w:r>
      <w:r>
        <w:rPr>
          <w:spacing w:val="-12"/>
        </w:rPr>
        <w:t> </w:t>
      </w:r>
      <w:r>
        <w:rPr/>
        <w:t>“en</w:t>
      </w:r>
      <w:r>
        <w:rPr>
          <w:spacing w:val="-15"/>
        </w:rPr>
        <w:t> </w:t>
      </w:r>
      <w:r>
        <w:rPr/>
        <w:t>desacuerdo”</w:t>
      </w:r>
      <w:r>
        <w:rPr>
          <w:spacing w:val="-18"/>
        </w:rPr>
        <w:t> </w:t>
      </w:r>
      <w:r>
        <w:rPr/>
        <w:t>con</w:t>
      </w:r>
      <w:r>
        <w:rPr>
          <w:spacing w:val="-15"/>
        </w:rPr>
        <w:t> </w:t>
      </w:r>
      <w:r>
        <w:rPr/>
        <w:t>lo</w:t>
      </w:r>
      <w:r>
        <w:rPr>
          <w:spacing w:val="-15"/>
        </w:rPr>
        <w:t> </w:t>
      </w:r>
      <w:r>
        <w:rPr/>
        <w:t>que</w:t>
      </w:r>
      <w:r>
        <w:rPr>
          <w:spacing w:val="-15"/>
        </w:rPr>
        <w:t> </w:t>
      </w:r>
      <w:r>
        <w:rPr/>
        <w:t>establece la aseveración 2, lo cual muestra una posición favorable ante los anglicismos, mientras que</w:t>
      </w:r>
      <w:r>
        <w:rPr>
          <w:spacing w:val="-12"/>
        </w:rPr>
        <w:t> </w:t>
      </w:r>
      <w:r>
        <w:rPr/>
        <w:t>un</w:t>
      </w:r>
      <w:r>
        <w:rPr>
          <w:spacing w:val="-12"/>
        </w:rPr>
        <w:t> </w:t>
      </w:r>
      <w:r>
        <w:rPr/>
        <w:t>25%</w:t>
      </w:r>
      <w:r>
        <w:rPr>
          <w:spacing w:val="-15"/>
        </w:rPr>
        <w:t> </w:t>
      </w:r>
      <w:r>
        <w:rPr/>
        <w:t>se</w:t>
      </w:r>
      <w:r>
        <w:rPr>
          <w:spacing w:val="-14"/>
        </w:rPr>
        <w:t> </w:t>
      </w:r>
      <w:r>
        <w:rPr/>
        <w:t>encuentra</w:t>
      </w:r>
      <w:r>
        <w:rPr>
          <w:spacing w:val="-9"/>
        </w:rPr>
        <w:t> </w:t>
      </w:r>
      <w:r>
        <w:rPr/>
        <w:t>“de</w:t>
      </w:r>
      <w:r>
        <w:rPr>
          <w:spacing w:val="-14"/>
        </w:rPr>
        <w:t> </w:t>
      </w:r>
      <w:r>
        <w:rPr/>
        <w:t>acuerdo”</w:t>
      </w:r>
      <w:r>
        <w:rPr>
          <w:spacing w:val="-13"/>
        </w:rPr>
        <w:t> </w:t>
      </w:r>
      <w:r>
        <w:rPr/>
        <w:t>en</w:t>
      </w:r>
      <w:r>
        <w:rPr>
          <w:spacing w:val="-14"/>
        </w:rPr>
        <w:t> </w:t>
      </w:r>
      <w:r>
        <w:rPr/>
        <w:t>desfavorecer</w:t>
      </w:r>
      <w:r>
        <w:rPr>
          <w:spacing w:val="-13"/>
        </w:rPr>
        <w:t> </w:t>
      </w:r>
      <w:r>
        <w:rPr/>
        <w:t>el</w:t>
      </w:r>
      <w:r>
        <w:rPr>
          <w:spacing w:val="-15"/>
        </w:rPr>
        <w:t> </w:t>
      </w:r>
      <w:r>
        <w:rPr/>
        <w:t>uso</w:t>
      </w:r>
      <w:r>
        <w:rPr>
          <w:spacing w:val="-14"/>
        </w:rPr>
        <w:t> </w:t>
      </w:r>
      <w:r>
        <w:rPr/>
        <w:t>de</w:t>
      </w:r>
      <w:r>
        <w:rPr>
          <w:spacing w:val="-14"/>
        </w:rPr>
        <w:t> </w:t>
      </w:r>
      <w:r>
        <w:rPr/>
        <w:t>anglicismos.</w:t>
      </w:r>
      <w:r>
        <w:rPr>
          <w:spacing w:val="-12"/>
        </w:rPr>
        <w:t> </w:t>
      </w:r>
      <w:r>
        <w:rPr/>
        <w:t>Del</w:t>
      </w:r>
      <w:r>
        <w:rPr>
          <w:spacing w:val="-15"/>
        </w:rPr>
        <w:t> </w:t>
      </w:r>
      <w:r>
        <w:rPr/>
        <w:t>41.6% de la totalidad de la población “en desacuerdo”, como se puede apreciar en la tabla 4.4., cinco</w:t>
      </w:r>
      <w:r>
        <w:rPr>
          <w:spacing w:val="-10"/>
        </w:rPr>
        <w:t> </w:t>
      </w:r>
      <w:r>
        <w:rPr/>
        <w:t>de</w:t>
      </w:r>
      <w:r>
        <w:rPr>
          <w:spacing w:val="-13"/>
        </w:rPr>
        <w:t> </w:t>
      </w:r>
      <w:r>
        <w:rPr/>
        <w:t>doce</w:t>
      </w:r>
      <w:r>
        <w:rPr>
          <w:spacing w:val="-11"/>
        </w:rPr>
        <w:t> </w:t>
      </w:r>
      <w:r>
        <w:rPr/>
        <w:t>sujetos</w:t>
      </w:r>
      <w:r>
        <w:rPr>
          <w:spacing w:val="-14"/>
        </w:rPr>
        <w:t> </w:t>
      </w:r>
      <w:r>
        <w:rPr/>
        <w:t>son</w:t>
      </w:r>
      <w:r>
        <w:rPr>
          <w:spacing w:val="-11"/>
        </w:rPr>
        <w:t> </w:t>
      </w:r>
      <w:r>
        <w:rPr/>
        <w:t>hombres</w:t>
      </w:r>
      <w:r>
        <w:rPr>
          <w:spacing w:val="-11"/>
        </w:rPr>
        <w:t> </w:t>
      </w:r>
      <w:r>
        <w:rPr/>
        <w:t>y</w:t>
      </w:r>
      <w:r>
        <w:rPr>
          <w:spacing w:val="-14"/>
        </w:rPr>
        <w:t> </w:t>
      </w:r>
      <w:r>
        <w:rPr/>
        <w:t>cinco</w:t>
      </w:r>
      <w:r>
        <w:rPr>
          <w:spacing w:val="-10"/>
        </w:rPr>
        <w:t> </w:t>
      </w:r>
      <w:r>
        <w:rPr/>
        <w:t>son</w:t>
      </w:r>
      <w:r>
        <w:rPr>
          <w:spacing w:val="-13"/>
        </w:rPr>
        <w:t> </w:t>
      </w:r>
      <w:r>
        <w:rPr/>
        <w:t>mujeres</w:t>
      </w:r>
      <w:r>
        <w:rPr>
          <w:spacing w:val="-14"/>
        </w:rPr>
        <w:t> </w:t>
      </w:r>
      <w:r>
        <w:rPr/>
        <w:t>favoreciendo</w:t>
      </w:r>
      <w:r>
        <w:rPr>
          <w:spacing w:val="-11"/>
        </w:rPr>
        <w:t> </w:t>
      </w:r>
      <w:r>
        <w:rPr/>
        <w:t>los</w:t>
      </w:r>
      <w:r>
        <w:rPr>
          <w:spacing w:val="-11"/>
        </w:rPr>
        <w:t> </w:t>
      </w:r>
      <w:r>
        <w:rPr/>
        <w:t>anglicismos,</w:t>
      </w:r>
      <w:r>
        <w:rPr>
          <w:spacing w:val="-11"/>
        </w:rPr>
        <w:t> </w:t>
      </w:r>
      <w:r>
        <w:rPr/>
        <w:t>sin embargo, en el caso de los hombres cuatro de doce sujetos se encuentran “de acuerdo” en desfavorecer el uso de</w:t>
      </w:r>
      <w:r>
        <w:rPr>
          <w:spacing w:val="-15"/>
        </w:rPr>
        <w:t> </w:t>
      </w:r>
      <w:r>
        <w:rPr/>
        <w:t>anglicismos.</w:t>
      </w:r>
    </w:p>
    <w:p>
      <w:pPr>
        <w:pStyle w:val="BodyText"/>
        <w:rPr>
          <w:sz w:val="20"/>
        </w:rPr>
      </w:pPr>
    </w:p>
    <w:p>
      <w:pPr>
        <w:pStyle w:val="BodyText"/>
        <w:spacing w:before="3"/>
        <w:rPr>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14"/>
        <w:gridCol w:w="1148"/>
        <w:gridCol w:w="1118"/>
        <w:gridCol w:w="1256"/>
        <w:gridCol w:w="1367"/>
        <w:gridCol w:w="1367"/>
      </w:tblGrid>
      <w:tr>
        <w:trPr>
          <w:trHeight w:val="451" w:hRule="exact"/>
        </w:trPr>
        <w:tc>
          <w:tcPr>
            <w:tcW w:w="1428" w:type="dxa"/>
            <w:vMerge w:val="restart"/>
          </w:tcPr>
          <w:p>
            <w:pPr>
              <w:pStyle w:val="TableParagraph"/>
              <w:spacing w:before="1"/>
              <w:jc w:val="left"/>
              <w:rPr>
                <w:sz w:val="22"/>
              </w:rPr>
            </w:pPr>
          </w:p>
          <w:p>
            <w:pPr>
              <w:pStyle w:val="TableParagraph"/>
              <w:ind w:left="82" w:right="83"/>
              <w:rPr>
                <w:sz w:val="22"/>
              </w:rPr>
            </w:pPr>
            <w:r>
              <w:rPr>
                <w:sz w:val="22"/>
              </w:rPr>
              <w:t>Aseveración</w:t>
            </w:r>
          </w:p>
          <w:p>
            <w:pPr>
              <w:pStyle w:val="TableParagraph"/>
              <w:spacing w:before="184"/>
              <w:rPr>
                <w:b/>
                <w:sz w:val="22"/>
              </w:rPr>
            </w:pPr>
            <w:r>
              <w:rPr>
                <w:b/>
                <w:w w:val="100"/>
                <w:sz w:val="22"/>
              </w:rPr>
              <w:t>2</w:t>
            </w:r>
          </w:p>
        </w:tc>
        <w:tc>
          <w:tcPr>
            <w:tcW w:w="1714" w:type="dxa"/>
            <w:vMerge w:val="restart"/>
          </w:tcPr>
          <w:p>
            <w:pPr>
              <w:pStyle w:val="TableParagraph"/>
              <w:spacing w:line="357" w:lineRule="auto" w:before="93"/>
              <w:ind w:left="158" w:right="161" w:firstLine="4"/>
              <w:rPr>
                <w:b/>
                <w:sz w:val="22"/>
              </w:rPr>
            </w:pPr>
            <w:r>
              <w:rPr>
                <w:sz w:val="22"/>
              </w:rPr>
              <w:t>Tipo de Aseveración: </w:t>
            </w:r>
            <w:r>
              <w:rPr>
                <w:b/>
                <w:sz w:val="22"/>
              </w:rPr>
              <w:t>Desfavorable</w:t>
            </w:r>
          </w:p>
        </w:tc>
        <w:tc>
          <w:tcPr>
            <w:tcW w:w="6256" w:type="dxa"/>
            <w:gridSpan w:val="5"/>
          </w:tcPr>
          <w:p>
            <w:pPr>
              <w:pStyle w:val="TableParagraph"/>
              <w:spacing w:before="60"/>
              <w:ind w:left="2521" w:right="2521"/>
              <w:rPr>
                <w:sz w:val="22"/>
              </w:rPr>
            </w:pPr>
            <w:r>
              <w:rPr>
                <w:sz w:val="22"/>
              </w:rPr>
              <w:t>Respuestas</w:t>
            </w:r>
          </w:p>
        </w:tc>
      </w:tr>
      <w:tr>
        <w:trPr>
          <w:trHeight w:val="828" w:hRule="exact"/>
        </w:trPr>
        <w:tc>
          <w:tcPr>
            <w:tcW w:w="1428" w:type="dxa"/>
            <w:vMerge/>
          </w:tcPr>
          <w:p>
            <w:pPr/>
          </w:p>
        </w:tc>
        <w:tc>
          <w:tcPr>
            <w:tcW w:w="1714" w:type="dxa"/>
            <w:vMerge/>
          </w:tcPr>
          <w:p>
            <w:pPr/>
          </w:p>
        </w:tc>
        <w:tc>
          <w:tcPr>
            <w:tcW w:w="1148" w:type="dxa"/>
          </w:tcPr>
          <w:p>
            <w:pPr>
              <w:pStyle w:val="TableParagraph"/>
              <w:spacing w:line="360" w:lineRule="auto" w:before="57"/>
              <w:ind w:left="170" w:right="152" w:firstLine="38"/>
              <w:jc w:val="left"/>
              <w:rPr>
                <w:sz w:val="22"/>
              </w:rPr>
            </w:pPr>
            <w:r>
              <w:rPr>
                <w:sz w:val="22"/>
              </w:rPr>
              <w:t>Muy de acuerdo</w:t>
            </w:r>
          </w:p>
        </w:tc>
        <w:tc>
          <w:tcPr>
            <w:tcW w:w="1118" w:type="dxa"/>
          </w:tcPr>
          <w:p>
            <w:pPr>
              <w:pStyle w:val="TableParagraph"/>
              <w:spacing w:line="360" w:lineRule="auto" w:before="57"/>
              <w:ind w:left="153" w:right="140" w:firstLine="256"/>
              <w:jc w:val="left"/>
              <w:rPr>
                <w:sz w:val="22"/>
              </w:rPr>
            </w:pPr>
            <w:r>
              <w:rPr>
                <w:sz w:val="22"/>
              </w:rPr>
              <w:t>De acuerdo</w:t>
            </w:r>
          </w:p>
        </w:tc>
        <w:tc>
          <w:tcPr>
            <w:tcW w:w="1256" w:type="dxa"/>
          </w:tcPr>
          <w:p>
            <w:pPr>
              <w:pStyle w:val="TableParagraph"/>
              <w:spacing w:before="5"/>
              <w:jc w:val="left"/>
              <w:rPr>
                <w:sz w:val="21"/>
              </w:rPr>
            </w:pPr>
          </w:p>
          <w:p>
            <w:pPr>
              <w:pStyle w:val="TableParagraph"/>
              <w:ind w:left="83" w:right="82"/>
              <w:rPr>
                <w:sz w:val="22"/>
              </w:rPr>
            </w:pPr>
            <w:r>
              <w:rPr>
                <w:sz w:val="22"/>
              </w:rPr>
              <w:t>Indiferente</w:t>
            </w:r>
          </w:p>
        </w:tc>
        <w:tc>
          <w:tcPr>
            <w:tcW w:w="1367" w:type="dxa"/>
          </w:tcPr>
          <w:p>
            <w:pPr>
              <w:pStyle w:val="TableParagraph"/>
              <w:spacing w:line="360" w:lineRule="auto" w:before="57"/>
              <w:ind w:left="103" w:right="84" w:firstLine="439"/>
              <w:jc w:val="left"/>
              <w:rPr>
                <w:sz w:val="22"/>
              </w:rPr>
            </w:pPr>
            <w:r>
              <w:rPr>
                <w:sz w:val="22"/>
              </w:rPr>
              <w:t>En desacuerdo</w:t>
            </w:r>
          </w:p>
        </w:tc>
        <w:tc>
          <w:tcPr>
            <w:tcW w:w="1367" w:type="dxa"/>
          </w:tcPr>
          <w:p>
            <w:pPr>
              <w:pStyle w:val="TableParagraph"/>
              <w:spacing w:line="360" w:lineRule="auto" w:before="57"/>
              <w:ind w:left="102" w:right="85" w:firstLine="213"/>
              <w:jc w:val="left"/>
              <w:rPr>
                <w:sz w:val="22"/>
              </w:rPr>
            </w:pPr>
            <w:r>
              <w:rPr>
                <w:sz w:val="22"/>
              </w:rPr>
              <w:t>Muy en desacuerdo</w:t>
            </w:r>
          </w:p>
        </w:tc>
      </w:tr>
      <w:tr>
        <w:trPr>
          <w:trHeight w:val="533" w:hRule="exact"/>
        </w:trPr>
        <w:tc>
          <w:tcPr>
            <w:tcW w:w="3142" w:type="dxa"/>
            <w:gridSpan w:val="2"/>
          </w:tcPr>
          <w:p>
            <w:pPr>
              <w:pStyle w:val="TableParagraph"/>
              <w:spacing w:before="69"/>
              <w:ind w:left="323"/>
              <w:jc w:val="left"/>
              <w:rPr>
                <w:sz w:val="22"/>
              </w:rPr>
            </w:pPr>
            <w:r>
              <w:rPr>
                <w:sz w:val="22"/>
              </w:rPr>
              <w:t>Total de la población (24)</w:t>
            </w:r>
          </w:p>
        </w:tc>
        <w:tc>
          <w:tcPr>
            <w:tcW w:w="1148" w:type="dxa"/>
          </w:tcPr>
          <w:p>
            <w:pPr>
              <w:pStyle w:val="TableParagraph"/>
              <w:spacing w:before="57"/>
              <w:ind w:left="118" w:right="119"/>
              <w:rPr>
                <w:rFonts w:ascii="Calibri Light"/>
                <w:b w:val="0"/>
                <w:sz w:val="22"/>
              </w:rPr>
            </w:pPr>
            <w:r>
              <w:rPr>
                <w:sz w:val="22"/>
              </w:rPr>
              <w:t>1 </w:t>
            </w:r>
            <w:r>
              <w:rPr>
                <w:rFonts w:ascii="Calibri Light"/>
                <w:b w:val="0"/>
                <w:sz w:val="22"/>
              </w:rPr>
              <w:t>(4.1%)</w:t>
            </w:r>
          </w:p>
        </w:tc>
        <w:tc>
          <w:tcPr>
            <w:tcW w:w="1118" w:type="dxa"/>
          </w:tcPr>
          <w:p>
            <w:pPr>
              <w:pStyle w:val="TableParagraph"/>
              <w:spacing w:before="57"/>
              <w:ind w:left="102" w:right="106"/>
              <w:rPr>
                <w:rFonts w:ascii="Calibri Light"/>
                <w:b w:val="0"/>
                <w:sz w:val="22"/>
              </w:rPr>
            </w:pPr>
            <w:r>
              <w:rPr>
                <w:sz w:val="22"/>
              </w:rPr>
              <w:t>6 </w:t>
            </w:r>
            <w:r>
              <w:rPr>
                <w:rFonts w:ascii="Calibri Light"/>
                <w:b w:val="0"/>
                <w:sz w:val="22"/>
              </w:rPr>
              <w:t>(25%)</w:t>
            </w:r>
          </w:p>
        </w:tc>
        <w:tc>
          <w:tcPr>
            <w:tcW w:w="1256" w:type="dxa"/>
          </w:tcPr>
          <w:p>
            <w:pPr>
              <w:pStyle w:val="TableParagraph"/>
              <w:spacing w:before="57"/>
              <w:ind w:left="82" w:right="82"/>
              <w:rPr>
                <w:rFonts w:ascii="Calibri Light"/>
                <w:b w:val="0"/>
                <w:sz w:val="22"/>
              </w:rPr>
            </w:pPr>
            <w:r>
              <w:rPr>
                <w:sz w:val="22"/>
              </w:rPr>
              <w:t>4 </w:t>
            </w:r>
            <w:r>
              <w:rPr>
                <w:rFonts w:ascii="Calibri Light"/>
                <w:b w:val="0"/>
                <w:sz w:val="22"/>
              </w:rPr>
              <w:t>(16.6%)</w:t>
            </w:r>
          </w:p>
        </w:tc>
        <w:tc>
          <w:tcPr>
            <w:tcW w:w="1367" w:type="dxa"/>
            <w:shd w:val="clear" w:color="auto" w:fill="2D74B5"/>
          </w:tcPr>
          <w:p>
            <w:pPr>
              <w:pStyle w:val="TableParagraph"/>
              <w:spacing w:before="57"/>
              <w:ind w:left="187" w:right="84"/>
              <w:jc w:val="left"/>
              <w:rPr>
                <w:rFonts w:ascii="Calibri Light"/>
                <w:b w:val="0"/>
                <w:sz w:val="22"/>
              </w:rPr>
            </w:pPr>
            <w:r>
              <w:rPr>
                <w:sz w:val="22"/>
              </w:rPr>
              <w:t>10 </w:t>
            </w:r>
            <w:r>
              <w:rPr>
                <w:rFonts w:ascii="Calibri Light"/>
                <w:b w:val="0"/>
                <w:sz w:val="22"/>
              </w:rPr>
              <w:t>(41.6%)</w:t>
            </w:r>
          </w:p>
        </w:tc>
        <w:tc>
          <w:tcPr>
            <w:tcW w:w="1367" w:type="dxa"/>
          </w:tcPr>
          <w:p>
            <w:pPr>
              <w:pStyle w:val="TableParagraph"/>
              <w:spacing w:before="57"/>
              <w:ind w:left="227" w:right="230"/>
              <w:rPr>
                <w:rFonts w:ascii="Calibri Light"/>
                <w:b w:val="0"/>
                <w:sz w:val="22"/>
              </w:rPr>
            </w:pPr>
            <w:r>
              <w:rPr>
                <w:sz w:val="22"/>
              </w:rPr>
              <w:t>3 </w:t>
            </w:r>
            <w:r>
              <w:rPr>
                <w:rFonts w:ascii="Calibri Light"/>
                <w:b w:val="0"/>
                <w:sz w:val="22"/>
              </w:rPr>
              <w:t>(12.5%)</w:t>
            </w:r>
          </w:p>
        </w:tc>
      </w:tr>
      <w:tr>
        <w:trPr>
          <w:trHeight w:val="533" w:hRule="exact"/>
        </w:trPr>
        <w:tc>
          <w:tcPr>
            <w:tcW w:w="3142" w:type="dxa"/>
            <w:gridSpan w:val="2"/>
          </w:tcPr>
          <w:p>
            <w:pPr>
              <w:pStyle w:val="TableParagraph"/>
              <w:spacing w:before="69"/>
              <w:ind w:left="947"/>
              <w:jc w:val="left"/>
              <w:rPr>
                <w:sz w:val="22"/>
              </w:rPr>
            </w:pPr>
            <w:r>
              <w:rPr>
                <w:sz w:val="22"/>
              </w:rPr>
              <w:t>Mujeres (12)</w:t>
            </w:r>
          </w:p>
        </w:tc>
        <w:tc>
          <w:tcPr>
            <w:tcW w:w="1148" w:type="dxa"/>
          </w:tcPr>
          <w:p>
            <w:pPr>
              <w:pStyle w:val="TableParagraph"/>
              <w:spacing w:before="57"/>
              <w:ind w:left="118" w:right="119"/>
              <w:rPr>
                <w:rFonts w:ascii="Calibri Light"/>
                <w:b w:val="0"/>
                <w:sz w:val="22"/>
              </w:rPr>
            </w:pPr>
            <w:r>
              <w:rPr>
                <w:sz w:val="22"/>
              </w:rPr>
              <w:t>1 </w:t>
            </w:r>
            <w:r>
              <w:rPr>
                <w:rFonts w:ascii="Calibri Light"/>
                <w:b w:val="0"/>
                <w:sz w:val="22"/>
              </w:rPr>
              <w:t>(8%)</w:t>
            </w:r>
          </w:p>
        </w:tc>
        <w:tc>
          <w:tcPr>
            <w:tcW w:w="1118" w:type="dxa"/>
          </w:tcPr>
          <w:p>
            <w:pPr>
              <w:pStyle w:val="TableParagraph"/>
              <w:spacing w:before="57"/>
              <w:ind w:left="104" w:right="106"/>
              <w:rPr>
                <w:rFonts w:ascii="Calibri Light"/>
                <w:b w:val="0"/>
                <w:sz w:val="22"/>
              </w:rPr>
            </w:pPr>
            <w:r>
              <w:rPr>
                <w:sz w:val="22"/>
              </w:rPr>
              <w:t>2 </w:t>
            </w:r>
            <w:r>
              <w:rPr>
                <w:rFonts w:ascii="Calibri Light"/>
                <w:b w:val="0"/>
                <w:sz w:val="22"/>
              </w:rPr>
              <w:t>(16.6%)</w:t>
            </w:r>
          </w:p>
        </w:tc>
        <w:tc>
          <w:tcPr>
            <w:tcW w:w="1256" w:type="dxa"/>
          </w:tcPr>
          <w:p>
            <w:pPr>
              <w:pStyle w:val="TableParagraph"/>
              <w:spacing w:before="57"/>
              <w:ind w:left="82" w:right="82"/>
              <w:rPr>
                <w:rFonts w:ascii="Calibri Light"/>
                <w:b w:val="0"/>
                <w:sz w:val="22"/>
              </w:rPr>
            </w:pPr>
            <w:r>
              <w:rPr>
                <w:sz w:val="22"/>
              </w:rPr>
              <w:t>2 </w:t>
            </w:r>
            <w:r>
              <w:rPr>
                <w:rFonts w:ascii="Calibri Light"/>
                <w:b w:val="0"/>
                <w:sz w:val="22"/>
              </w:rPr>
              <w:t>(16.6%)</w:t>
            </w:r>
          </w:p>
        </w:tc>
        <w:tc>
          <w:tcPr>
            <w:tcW w:w="1367" w:type="dxa"/>
            <w:shd w:val="clear" w:color="auto" w:fill="2D74B5"/>
          </w:tcPr>
          <w:p>
            <w:pPr>
              <w:pStyle w:val="TableParagraph"/>
              <w:spacing w:before="57"/>
              <w:ind w:left="247" w:right="84"/>
              <w:jc w:val="left"/>
              <w:rPr>
                <w:rFonts w:ascii="Calibri Light"/>
                <w:b w:val="0"/>
                <w:sz w:val="22"/>
              </w:rPr>
            </w:pPr>
            <w:r>
              <w:rPr>
                <w:sz w:val="22"/>
              </w:rPr>
              <w:t>5 </w:t>
            </w:r>
            <w:r>
              <w:rPr>
                <w:rFonts w:ascii="Calibri Light"/>
                <w:b w:val="0"/>
                <w:sz w:val="22"/>
              </w:rPr>
              <w:t>(41.6%)</w:t>
            </w:r>
          </w:p>
        </w:tc>
        <w:tc>
          <w:tcPr>
            <w:tcW w:w="1367" w:type="dxa"/>
          </w:tcPr>
          <w:p>
            <w:pPr>
              <w:pStyle w:val="TableParagraph"/>
              <w:spacing w:before="57"/>
              <w:ind w:left="227" w:right="230"/>
              <w:rPr>
                <w:rFonts w:ascii="Calibri Light"/>
                <w:b w:val="0"/>
                <w:sz w:val="22"/>
              </w:rPr>
            </w:pPr>
            <w:r>
              <w:rPr>
                <w:sz w:val="22"/>
              </w:rPr>
              <w:t>2 </w:t>
            </w:r>
            <w:r>
              <w:rPr>
                <w:rFonts w:ascii="Calibri Light"/>
                <w:b w:val="0"/>
                <w:sz w:val="22"/>
              </w:rPr>
              <w:t>(16.6%)</w:t>
            </w:r>
          </w:p>
        </w:tc>
      </w:tr>
      <w:tr>
        <w:trPr>
          <w:trHeight w:val="533" w:hRule="exact"/>
        </w:trPr>
        <w:tc>
          <w:tcPr>
            <w:tcW w:w="3142" w:type="dxa"/>
            <w:gridSpan w:val="2"/>
          </w:tcPr>
          <w:p>
            <w:pPr>
              <w:pStyle w:val="TableParagraph"/>
              <w:spacing w:before="69"/>
              <w:ind w:left="892"/>
              <w:jc w:val="left"/>
              <w:rPr>
                <w:sz w:val="22"/>
              </w:rPr>
            </w:pPr>
            <w:r>
              <w:rPr>
                <w:sz w:val="22"/>
              </w:rPr>
              <w:t>Hombres (12)</w:t>
            </w:r>
          </w:p>
        </w:tc>
        <w:tc>
          <w:tcPr>
            <w:tcW w:w="1148" w:type="dxa"/>
          </w:tcPr>
          <w:p>
            <w:pPr>
              <w:pStyle w:val="TableParagraph"/>
              <w:spacing w:before="69"/>
              <w:rPr>
                <w:sz w:val="22"/>
              </w:rPr>
            </w:pPr>
            <w:r>
              <w:rPr>
                <w:w w:val="100"/>
                <w:sz w:val="22"/>
              </w:rPr>
              <w:t>0</w:t>
            </w:r>
          </w:p>
        </w:tc>
        <w:tc>
          <w:tcPr>
            <w:tcW w:w="1118" w:type="dxa"/>
          </w:tcPr>
          <w:p>
            <w:pPr>
              <w:pStyle w:val="TableParagraph"/>
              <w:spacing w:before="57"/>
              <w:ind w:left="104" w:right="106"/>
              <w:rPr>
                <w:rFonts w:ascii="Calibri Light"/>
                <w:b w:val="0"/>
                <w:sz w:val="22"/>
              </w:rPr>
            </w:pPr>
            <w:r>
              <w:rPr>
                <w:sz w:val="22"/>
              </w:rPr>
              <w:t>4 </w:t>
            </w:r>
            <w:r>
              <w:rPr>
                <w:rFonts w:ascii="Calibri Light"/>
                <w:b w:val="0"/>
                <w:sz w:val="22"/>
              </w:rPr>
              <w:t>(33.3%)</w:t>
            </w:r>
          </w:p>
        </w:tc>
        <w:tc>
          <w:tcPr>
            <w:tcW w:w="1256" w:type="dxa"/>
          </w:tcPr>
          <w:p>
            <w:pPr>
              <w:pStyle w:val="TableParagraph"/>
              <w:spacing w:before="57"/>
              <w:ind w:left="82" w:right="82"/>
              <w:rPr>
                <w:rFonts w:ascii="Calibri Light"/>
                <w:b w:val="0"/>
                <w:sz w:val="22"/>
              </w:rPr>
            </w:pPr>
            <w:r>
              <w:rPr>
                <w:sz w:val="22"/>
              </w:rPr>
              <w:t>2 </w:t>
            </w:r>
            <w:r>
              <w:rPr>
                <w:rFonts w:ascii="Calibri Light"/>
                <w:b w:val="0"/>
                <w:sz w:val="22"/>
              </w:rPr>
              <w:t>(16.6%)</w:t>
            </w:r>
          </w:p>
        </w:tc>
        <w:tc>
          <w:tcPr>
            <w:tcW w:w="1367" w:type="dxa"/>
            <w:shd w:val="clear" w:color="auto" w:fill="2D74B5"/>
          </w:tcPr>
          <w:p>
            <w:pPr>
              <w:pStyle w:val="TableParagraph"/>
              <w:spacing w:before="57"/>
              <w:ind w:left="247" w:right="84"/>
              <w:jc w:val="left"/>
              <w:rPr>
                <w:rFonts w:ascii="Calibri Light"/>
                <w:b w:val="0"/>
                <w:sz w:val="22"/>
              </w:rPr>
            </w:pPr>
            <w:r>
              <w:rPr>
                <w:sz w:val="22"/>
              </w:rPr>
              <w:t>5 </w:t>
            </w:r>
            <w:r>
              <w:rPr>
                <w:rFonts w:ascii="Calibri Light"/>
                <w:b w:val="0"/>
                <w:sz w:val="22"/>
              </w:rPr>
              <w:t>(41.6%)</w:t>
            </w:r>
          </w:p>
        </w:tc>
        <w:tc>
          <w:tcPr>
            <w:tcW w:w="1367" w:type="dxa"/>
          </w:tcPr>
          <w:p>
            <w:pPr>
              <w:pStyle w:val="TableParagraph"/>
              <w:spacing w:before="57"/>
              <w:ind w:left="227" w:right="228"/>
              <w:rPr>
                <w:rFonts w:ascii="Calibri Light"/>
                <w:b w:val="0"/>
                <w:sz w:val="22"/>
              </w:rPr>
            </w:pPr>
            <w:r>
              <w:rPr>
                <w:sz w:val="22"/>
              </w:rPr>
              <w:t>1 </w:t>
            </w:r>
            <w:r>
              <w:rPr>
                <w:rFonts w:ascii="Calibri Light"/>
                <w:b w:val="0"/>
                <w:sz w:val="22"/>
              </w:rPr>
              <w:t>(8%)</w:t>
            </w:r>
          </w:p>
        </w:tc>
      </w:tr>
    </w:tbl>
    <w:p>
      <w:pPr>
        <w:spacing w:line="360" w:lineRule="auto" w:before="0"/>
        <w:ind w:left="4471" w:right="339" w:hanging="4033"/>
        <w:jc w:val="left"/>
        <w:rPr>
          <w:b/>
          <w:sz w:val="20"/>
        </w:rPr>
      </w:pPr>
      <w:r>
        <w:rPr>
          <w:b/>
          <w:sz w:val="20"/>
        </w:rPr>
        <w:t>Tabla 4.4. Reputación del maestro afectada; respuestas en la totalidad de la población y por género</w:t>
      </w:r>
    </w:p>
    <w:p>
      <w:pPr>
        <w:pStyle w:val="BodyText"/>
        <w:rPr>
          <w:b/>
          <w:sz w:val="20"/>
        </w:rPr>
      </w:pPr>
    </w:p>
    <w:p>
      <w:pPr>
        <w:pStyle w:val="BodyText"/>
        <w:spacing w:before="6"/>
        <w:rPr>
          <w:b/>
          <w:sz w:val="16"/>
        </w:rPr>
      </w:pPr>
    </w:p>
    <w:p>
      <w:pPr>
        <w:pStyle w:val="BodyText"/>
        <w:spacing w:line="360" w:lineRule="auto"/>
        <w:ind w:left="102" w:right="99" w:firstLine="707"/>
      </w:pPr>
      <w:r>
        <w:rPr/>
        <w:t>En</w:t>
      </w:r>
      <w:r>
        <w:rPr>
          <w:spacing w:val="-8"/>
        </w:rPr>
        <w:t> </w:t>
      </w:r>
      <w:r>
        <w:rPr/>
        <w:t>el</w:t>
      </w:r>
      <w:r>
        <w:rPr>
          <w:spacing w:val="-12"/>
        </w:rPr>
        <w:t> </w:t>
      </w:r>
      <w:r>
        <w:rPr/>
        <w:t>análisis</w:t>
      </w:r>
      <w:r>
        <w:rPr>
          <w:spacing w:val="-10"/>
        </w:rPr>
        <w:t> </w:t>
      </w:r>
      <w:r>
        <w:rPr/>
        <w:t>por</w:t>
      </w:r>
      <w:r>
        <w:rPr>
          <w:spacing w:val="-10"/>
        </w:rPr>
        <w:t> </w:t>
      </w:r>
      <w:r>
        <w:rPr/>
        <w:t>grupo</w:t>
      </w:r>
      <w:r>
        <w:rPr>
          <w:spacing w:val="-8"/>
        </w:rPr>
        <w:t> </w:t>
      </w:r>
      <w:r>
        <w:rPr/>
        <w:t>de</w:t>
      </w:r>
      <w:r>
        <w:rPr>
          <w:spacing w:val="-8"/>
        </w:rPr>
        <w:t> </w:t>
      </w:r>
      <w:r>
        <w:rPr/>
        <w:t>edad,</w:t>
      </w:r>
      <w:r>
        <w:rPr>
          <w:spacing w:val="-9"/>
        </w:rPr>
        <w:t> </w:t>
      </w:r>
      <w:r>
        <w:rPr/>
        <w:t>como</w:t>
      </w:r>
      <w:r>
        <w:rPr>
          <w:spacing w:val="-8"/>
        </w:rPr>
        <w:t> </w:t>
      </w:r>
      <w:r>
        <w:rPr/>
        <w:t>se</w:t>
      </w:r>
      <w:r>
        <w:rPr>
          <w:spacing w:val="-11"/>
        </w:rPr>
        <w:t> </w:t>
      </w:r>
      <w:r>
        <w:rPr/>
        <w:t>puede</w:t>
      </w:r>
      <w:r>
        <w:rPr>
          <w:spacing w:val="-11"/>
        </w:rPr>
        <w:t> </w:t>
      </w:r>
      <w:r>
        <w:rPr/>
        <w:t>observar</w:t>
      </w:r>
      <w:r>
        <w:rPr>
          <w:spacing w:val="-10"/>
        </w:rPr>
        <w:t> </w:t>
      </w:r>
      <w:r>
        <w:rPr/>
        <w:t>en</w:t>
      </w:r>
      <w:r>
        <w:rPr>
          <w:spacing w:val="-8"/>
        </w:rPr>
        <w:t> </w:t>
      </w:r>
      <w:r>
        <w:rPr/>
        <w:t>la</w:t>
      </w:r>
      <w:r>
        <w:rPr>
          <w:spacing w:val="-11"/>
        </w:rPr>
        <w:t> </w:t>
      </w:r>
      <w:r>
        <w:rPr/>
        <w:t>tabla</w:t>
      </w:r>
      <w:r>
        <w:rPr>
          <w:spacing w:val="-3"/>
        </w:rPr>
        <w:t> </w:t>
      </w:r>
      <w:r>
        <w:rPr/>
        <w:t>4.5.</w:t>
      </w:r>
      <w:r>
        <w:rPr>
          <w:spacing w:val="-11"/>
        </w:rPr>
        <w:t> </w:t>
      </w:r>
      <w:r>
        <w:rPr/>
        <w:t>El</w:t>
      </w:r>
      <w:r>
        <w:rPr>
          <w:spacing w:val="-10"/>
        </w:rPr>
        <w:t> </w:t>
      </w:r>
      <w:r>
        <w:rPr/>
        <w:t>grupo 2 al estar “en desacuerdo” en su totalidad con la aseveración dos que es  </w:t>
      </w:r>
      <w:r>
        <w:rPr>
          <w:spacing w:val="55"/>
        </w:rPr>
        <w:t> </w:t>
      </w:r>
      <w:r>
        <w:rPr/>
        <w:t>desfavorable</w:t>
      </w:r>
    </w:p>
    <w:p>
      <w:pPr>
        <w:spacing w:after="0" w:line="360" w:lineRule="auto"/>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4"/>
        <w:jc w:val="both"/>
      </w:pPr>
      <w:r>
        <w:rPr/>
        <w:t>ante</w:t>
      </w:r>
      <w:r>
        <w:rPr>
          <w:spacing w:val="-9"/>
        </w:rPr>
        <w:t> </w:t>
      </w:r>
      <w:r>
        <w:rPr/>
        <w:t>el</w:t>
      </w:r>
      <w:r>
        <w:rPr>
          <w:spacing w:val="-8"/>
        </w:rPr>
        <w:t> </w:t>
      </w:r>
      <w:r>
        <w:rPr/>
        <w:t>uso</w:t>
      </w:r>
      <w:r>
        <w:rPr>
          <w:spacing w:val="-7"/>
        </w:rPr>
        <w:t> </w:t>
      </w:r>
      <w:r>
        <w:rPr/>
        <w:t>de</w:t>
      </w:r>
      <w:r>
        <w:rPr>
          <w:spacing w:val="-7"/>
        </w:rPr>
        <w:t> </w:t>
      </w:r>
      <w:r>
        <w:rPr/>
        <w:t>anglicismos,</w:t>
      </w:r>
      <w:r>
        <w:rPr>
          <w:spacing w:val="-7"/>
        </w:rPr>
        <w:t> </w:t>
      </w:r>
      <w:r>
        <w:rPr/>
        <w:t>se</w:t>
      </w:r>
      <w:r>
        <w:rPr>
          <w:spacing w:val="-7"/>
        </w:rPr>
        <w:t> </w:t>
      </w:r>
      <w:r>
        <w:rPr/>
        <w:t>consideran</w:t>
      </w:r>
      <w:r>
        <w:rPr>
          <w:spacing w:val="-7"/>
        </w:rPr>
        <w:t> </w:t>
      </w:r>
      <w:r>
        <w:rPr/>
        <w:t>con</w:t>
      </w:r>
      <w:r>
        <w:rPr>
          <w:spacing w:val="-7"/>
        </w:rPr>
        <w:t> </w:t>
      </w:r>
      <w:r>
        <w:rPr/>
        <w:t>actitudes</w:t>
      </w:r>
      <w:r>
        <w:rPr>
          <w:spacing w:val="-10"/>
        </w:rPr>
        <w:t> </w:t>
      </w:r>
      <w:r>
        <w:rPr/>
        <w:t>positivas</w:t>
      </w:r>
      <w:r>
        <w:rPr>
          <w:spacing w:val="-8"/>
        </w:rPr>
        <w:t> </w:t>
      </w:r>
      <w:r>
        <w:rPr/>
        <w:t>ante</w:t>
      </w:r>
      <w:r>
        <w:rPr>
          <w:spacing w:val="-9"/>
        </w:rPr>
        <w:t> </w:t>
      </w:r>
      <w:r>
        <w:rPr/>
        <w:t>ellos.</w:t>
      </w:r>
      <w:r>
        <w:rPr>
          <w:spacing w:val="-7"/>
        </w:rPr>
        <w:t> </w:t>
      </w:r>
      <w:r>
        <w:rPr/>
        <w:t>En</w:t>
      </w:r>
      <w:r>
        <w:rPr>
          <w:spacing w:val="-7"/>
        </w:rPr>
        <w:t> </w:t>
      </w:r>
      <w:r>
        <w:rPr/>
        <w:t>el listado a favor de los anglicismos, el grupo 3 es el siguiente con tres de seis sujetos “en desacuerdo” y dos más “muy en desacuerdo”. En seguida se encuentra el grupo 1 con dos de seis sujetos “de acuerdo y otros dos “indiferentes”, finalmente el grupo 4 con una mayoría de cuatro de seis sujetos “de acuerdo” en desfavorecer el artículo con anglicismos.</w:t>
      </w:r>
    </w:p>
    <w:p>
      <w:pPr>
        <w:pStyle w:val="BodyText"/>
        <w:rPr>
          <w:sz w:val="20"/>
        </w:rPr>
      </w:pPr>
    </w:p>
    <w:p>
      <w:pPr>
        <w:pStyle w:val="BodyText"/>
        <w:spacing w:before="5" w:after="1"/>
        <w:rPr>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5"/>
        <w:gridCol w:w="203"/>
        <w:gridCol w:w="1714"/>
        <w:gridCol w:w="1145"/>
        <w:gridCol w:w="1121"/>
        <w:gridCol w:w="1256"/>
        <w:gridCol w:w="1368"/>
        <w:gridCol w:w="1366"/>
      </w:tblGrid>
      <w:tr>
        <w:trPr>
          <w:trHeight w:val="413" w:hRule="exact"/>
        </w:trPr>
        <w:tc>
          <w:tcPr>
            <w:tcW w:w="1428" w:type="dxa"/>
            <w:gridSpan w:val="2"/>
            <w:vMerge w:val="restart"/>
          </w:tcPr>
          <w:p>
            <w:pPr>
              <w:pStyle w:val="TableParagraph"/>
              <w:spacing w:before="8"/>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2</w:t>
            </w:r>
          </w:p>
        </w:tc>
        <w:tc>
          <w:tcPr>
            <w:tcW w:w="1714" w:type="dxa"/>
            <w:vMerge w:val="restart"/>
          </w:tcPr>
          <w:p>
            <w:pPr>
              <w:pStyle w:val="TableParagraph"/>
              <w:spacing w:line="360" w:lineRule="auto" w:before="14"/>
              <w:ind w:left="158" w:right="161" w:firstLine="4"/>
              <w:rPr>
                <w:b/>
                <w:sz w:val="22"/>
              </w:rPr>
            </w:pPr>
            <w:r>
              <w:rPr>
                <w:sz w:val="22"/>
              </w:rPr>
              <w:t>Tipo de Aseveración: </w:t>
            </w:r>
            <w:r>
              <w:rPr>
                <w:b/>
                <w:sz w:val="22"/>
              </w:rPr>
              <w:t>Desfavorable</w:t>
            </w:r>
          </w:p>
        </w:tc>
        <w:tc>
          <w:tcPr>
            <w:tcW w:w="6256" w:type="dxa"/>
            <w:gridSpan w:val="5"/>
          </w:tcPr>
          <w:p>
            <w:pPr>
              <w:pStyle w:val="TableParagraph"/>
              <w:spacing w:before="9"/>
              <w:ind w:left="2521" w:right="2521"/>
              <w:rPr>
                <w:sz w:val="22"/>
              </w:rPr>
            </w:pPr>
            <w:r>
              <w:rPr>
                <w:sz w:val="22"/>
              </w:rPr>
              <w:t>Respuestas</w:t>
            </w:r>
          </w:p>
        </w:tc>
      </w:tr>
      <w:tr>
        <w:trPr>
          <w:trHeight w:val="771" w:hRule="exact"/>
        </w:trPr>
        <w:tc>
          <w:tcPr>
            <w:tcW w:w="1428" w:type="dxa"/>
            <w:gridSpan w:val="2"/>
            <w:vMerge/>
          </w:tcPr>
          <w:p>
            <w:pPr/>
          </w:p>
        </w:tc>
        <w:tc>
          <w:tcPr>
            <w:tcW w:w="1714" w:type="dxa"/>
            <w:vMerge/>
          </w:tcPr>
          <w:p>
            <w:pPr/>
          </w:p>
        </w:tc>
        <w:tc>
          <w:tcPr>
            <w:tcW w:w="1145" w:type="dxa"/>
          </w:tcPr>
          <w:p>
            <w:pPr>
              <w:pStyle w:val="TableParagraph"/>
              <w:spacing w:line="362" w:lineRule="auto"/>
              <w:ind w:left="170" w:right="150" w:firstLine="36"/>
              <w:jc w:val="left"/>
              <w:rPr>
                <w:sz w:val="22"/>
              </w:rPr>
            </w:pPr>
            <w:r>
              <w:rPr>
                <w:sz w:val="22"/>
              </w:rPr>
              <w:t>Muy de acuerdo</w:t>
            </w:r>
          </w:p>
        </w:tc>
        <w:tc>
          <w:tcPr>
            <w:tcW w:w="1121" w:type="dxa"/>
          </w:tcPr>
          <w:p>
            <w:pPr>
              <w:pStyle w:val="TableParagraph"/>
              <w:spacing w:line="362" w:lineRule="auto"/>
              <w:ind w:left="158" w:right="138" w:firstLine="256"/>
              <w:jc w:val="left"/>
              <w:rPr>
                <w:sz w:val="22"/>
              </w:rPr>
            </w:pPr>
            <w:r>
              <w:rPr>
                <w:sz w:val="22"/>
              </w:rPr>
              <w:t>De acuerdo</w:t>
            </w:r>
          </w:p>
        </w:tc>
        <w:tc>
          <w:tcPr>
            <w:tcW w:w="1256" w:type="dxa"/>
          </w:tcPr>
          <w:p>
            <w:pPr>
              <w:pStyle w:val="TableParagraph"/>
              <w:spacing w:before="188"/>
              <w:ind w:left="83" w:right="82"/>
              <w:rPr>
                <w:sz w:val="22"/>
              </w:rPr>
            </w:pPr>
            <w:r>
              <w:rPr>
                <w:sz w:val="22"/>
              </w:rPr>
              <w:t>Indiferente</w:t>
            </w:r>
          </w:p>
        </w:tc>
        <w:tc>
          <w:tcPr>
            <w:tcW w:w="1368" w:type="dxa"/>
          </w:tcPr>
          <w:p>
            <w:pPr>
              <w:pStyle w:val="TableParagraph"/>
              <w:spacing w:line="362" w:lineRule="auto"/>
              <w:ind w:left="103" w:right="85" w:firstLine="439"/>
              <w:jc w:val="left"/>
              <w:rPr>
                <w:sz w:val="22"/>
              </w:rPr>
            </w:pPr>
            <w:r>
              <w:rPr>
                <w:sz w:val="22"/>
              </w:rPr>
              <w:t>En desacuerdo</w:t>
            </w:r>
          </w:p>
        </w:tc>
        <w:tc>
          <w:tcPr>
            <w:tcW w:w="1366" w:type="dxa"/>
          </w:tcPr>
          <w:p>
            <w:pPr>
              <w:pStyle w:val="TableParagraph"/>
              <w:spacing w:line="362" w:lineRule="auto"/>
              <w:ind w:left="100" w:right="86" w:firstLine="213"/>
              <w:jc w:val="left"/>
              <w:rPr>
                <w:sz w:val="22"/>
              </w:rPr>
            </w:pPr>
            <w:r>
              <w:rPr>
                <w:sz w:val="22"/>
              </w:rPr>
              <w:t>Muy en desacuerdo</w:t>
            </w:r>
          </w:p>
        </w:tc>
      </w:tr>
      <w:tr>
        <w:trPr>
          <w:trHeight w:val="413" w:hRule="exact"/>
        </w:trPr>
        <w:tc>
          <w:tcPr>
            <w:tcW w:w="1225" w:type="dxa"/>
            <w:tcBorders>
              <w:right w:val="nil"/>
            </w:tcBorders>
          </w:tcPr>
          <w:p>
            <w:pPr>
              <w:pStyle w:val="TableParagraph"/>
              <w:spacing w:before="9"/>
              <w:ind w:right="58"/>
              <w:jc w:val="right"/>
              <w:rPr>
                <w:sz w:val="22"/>
              </w:rPr>
            </w:pPr>
            <w:r>
              <w:rPr>
                <w:sz w:val="22"/>
              </w:rPr>
              <w:t>Grupo</w:t>
            </w:r>
          </w:p>
        </w:tc>
        <w:tc>
          <w:tcPr>
            <w:tcW w:w="1917" w:type="dxa"/>
            <w:gridSpan w:val="2"/>
            <w:tcBorders>
              <w:left w:val="nil"/>
            </w:tcBorders>
          </w:tcPr>
          <w:p>
            <w:pPr>
              <w:pStyle w:val="TableParagraph"/>
              <w:spacing w:before="9"/>
              <w:ind w:left="60"/>
              <w:jc w:val="left"/>
              <w:rPr>
                <w:sz w:val="22"/>
              </w:rPr>
            </w:pPr>
            <w:r>
              <w:rPr>
                <w:sz w:val="22"/>
              </w:rPr>
              <w:t>de edad 1 (6)</w:t>
            </w:r>
          </w:p>
        </w:tc>
        <w:tc>
          <w:tcPr>
            <w:tcW w:w="1145" w:type="dxa"/>
            <w:tcBorders>
              <w:right w:val="single" w:sz="45" w:space="0" w:color="2D74B5"/>
            </w:tcBorders>
          </w:tcPr>
          <w:p>
            <w:pPr>
              <w:pStyle w:val="TableParagraph"/>
              <w:spacing w:line="265" w:lineRule="exact"/>
              <w:ind w:left="114" w:right="63"/>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5" w:lineRule="exact"/>
              <w:ind w:left="85" w:right="86"/>
              <w:rPr>
                <w:rFonts w:ascii="Calibri Light"/>
                <w:b w:val="0"/>
                <w:sz w:val="22"/>
              </w:rPr>
            </w:pPr>
            <w:r>
              <w:rPr>
                <w:sz w:val="22"/>
              </w:rPr>
              <w:t>2 </w:t>
            </w:r>
            <w:r>
              <w:rPr>
                <w:rFonts w:ascii="Calibri Light"/>
                <w:b w:val="0"/>
                <w:sz w:val="22"/>
              </w:rPr>
              <w:t>(33.3%)</w:t>
            </w:r>
          </w:p>
        </w:tc>
        <w:tc>
          <w:tcPr>
            <w:tcW w:w="1256" w:type="dxa"/>
            <w:shd w:val="clear" w:color="auto" w:fill="2D74B5"/>
          </w:tcPr>
          <w:p>
            <w:pPr>
              <w:pStyle w:val="TableParagraph"/>
              <w:spacing w:line="265" w:lineRule="exact"/>
              <w:ind w:left="82" w:right="82"/>
              <w:rPr>
                <w:rFonts w:ascii="Calibri Light"/>
                <w:b w:val="0"/>
                <w:sz w:val="22"/>
              </w:rPr>
            </w:pPr>
            <w:r>
              <w:rPr>
                <w:sz w:val="22"/>
              </w:rPr>
              <w:t>2 </w:t>
            </w:r>
            <w:r>
              <w:rPr>
                <w:rFonts w:ascii="Calibri Light"/>
                <w:b w:val="0"/>
                <w:sz w:val="22"/>
              </w:rPr>
              <w:t>(33.3%)</w:t>
            </w:r>
          </w:p>
        </w:tc>
        <w:tc>
          <w:tcPr>
            <w:tcW w:w="1368" w:type="dxa"/>
            <w:tcBorders>
              <w:left w:val="single" w:sz="45" w:space="0" w:color="2D74B5"/>
            </w:tcBorders>
          </w:tcPr>
          <w:p>
            <w:pPr>
              <w:pStyle w:val="TableParagraph"/>
              <w:spacing w:line="265" w:lineRule="exact"/>
              <w:ind w:left="177" w:right="228"/>
              <w:rPr>
                <w:rFonts w:ascii="Calibri Light"/>
                <w:b w:val="0"/>
                <w:sz w:val="22"/>
              </w:rPr>
            </w:pPr>
            <w:r>
              <w:rPr>
                <w:sz w:val="22"/>
              </w:rPr>
              <w:t>1 </w:t>
            </w:r>
            <w:r>
              <w:rPr>
                <w:rFonts w:ascii="Calibri Light"/>
                <w:b w:val="0"/>
                <w:sz w:val="22"/>
              </w:rPr>
              <w:t>(16%)</w:t>
            </w:r>
          </w:p>
        </w:tc>
        <w:tc>
          <w:tcPr>
            <w:tcW w:w="1366" w:type="dxa"/>
          </w:tcPr>
          <w:p>
            <w:pPr>
              <w:pStyle w:val="TableParagraph"/>
              <w:spacing w:before="9"/>
              <w:ind w:right="2"/>
              <w:rPr>
                <w:sz w:val="22"/>
              </w:rPr>
            </w:pPr>
            <w:r>
              <w:rPr>
                <w:w w:val="100"/>
                <w:sz w:val="22"/>
              </w:rPr>
              <w:t>0</w:t>
            </w:r>
          </w:p>
        </w:tc>
      </w:tr>
      <w:tr>
        <w:trPr>
          <w:trHeight w:val="413" w:hRule="exact"/>
        </w:trPr>
        <w:tc>
          <w:tcPr>
            <w:tcW w:w="1225" w:type="dxa"/>
            <w:tcBorders>
              <w:right w:val="nil"/>
            </w:tcBorders>
          </w:tcPr>
          <w:p>
            <w:pPr>
              <w:pStyle w:val="TableParagraph"/>
              <w:spacing w:before="9"/>
              <w:ind w:right="58"/>
              <w:jc w:val="right"/>
              <w:rPr>
                <w:sz w:val="22"/>
              </w:rPr>
            </w:pPr>
            <w:r>
              <w:rPr>
                <w:sz w:val="22"/>
              </w:rPr>
              <w:t>Grupo</w:t>
            </w:r>
          </w:p>
        </w:tc>
        <w:tc>
          <w:tcPr>
            <w:tcW w:w="1917" w:type="dxa"/>
            <w:gridSpan w:val="2"/>
            <w:tcBorders>
              <w:left w:val="nil"/>
            </w:tcBorders>
          </w:tcPr>
          <w:p>
            <w:pPr>
              <w:pStyle w:val="TableParagraph"/>
              <w:spacing w:before="9"/>
              <w:ind w:left="60"/>
              <w:jc w:val="left"/>
              <w:rPr>
                <w:sz w:val="22"/>
              </w:rPr>
            </w:pPr>
            <w:r>
              <w:rPr>
                <w:sz w:val="22"/>
              </w:rPr>
              <w:t>de edad 2 (6)</w:t>
            </w:r>
          </w:p>
        </w:tc>
        <w:tc>
          <w:tcPr>
            <w:tcW w:w="1145" w:type="dxa"/>
          </w:tcPr>
          <w:p>
            <w:pPr>
              <w:pStyle w:val="TableParagraph"/>
              <w:spacing w:before="9"/>
              <w:rPr>
                <w:sz w:val="22"/>
              </w:rPr>
            </w:pPr>
            <w:r>
              <w:rPr>
                <w:w w:val="100"/>
                <w:sz w:val="22"/>
              </w:rPr>
              <w:t>0</w:t>
            </w:r>
          </w:p>
        </w:tc>
        <w:tc>
          <w:tcPr>
            <w:tcW w:w="1121" w:type="dxa"/>
          </w:tcPr>
          <w:p>
            <w:pPr>
              <w:pStyle w:val="TableParagraph"/>
              <w:spacing w:before="9"/>
              <w:rPr>
                <w:sz w:val="22"/>
              </w:rPr>
            </w:pPr>
            <w:r>
              <w:rPr>
                <w:w w:val="100"/>
                <w:sz w:val="22"/>
              </w:rPr>
              <w:t>0</w:t>
            </w:r>
          </w:p>
        </w:tc>
        <w:tc>
          <w:tcPr>
            <w:tcW w:w="1256" w:type="dxa"/>
            <w:tcBorders>
              <w:right w:val="single" w:sz="41" w:space="0" w:color="2D74B5"/>
            </w:tcBorders>
          </w:tcPr>
          <w:p>
            <w:pPr>
              <w:pStyle w:val="TableParagraph"/>
              <w:spacing w:before="9"/>
              <w:ind w:left="46"/>
              <w:rPr>
                <w:sz w:val="22"/>
              </w:rPr>
            </w:pPr>
            <w:r>
              <w:rPr>
                <w:w w:val="100"/>
                <w:sz w:val="22"/>
              </w:rPr>
              <w:t>0</w:t>
            </w:r>
          </w:p>
        </w:tc>
        <w:tc>
          <w:tcPr>
            <w:tcW w:w="1368" w:type="dxa"/>
            <w:shd w:val="clear" w:color="auto" w:fill="2D74B5"/>
          </w:tcPr>
          <w:p>
            <w:pPr>
              <w:pStyle w:val="TableParagraph"/>
              <w:spacing w:line="265" w:lineRule="exact"/>
              <w:ind w:left="223" w:right="224"/>
              <w:rPr>
                <w:rFonts w:ascii="Calibri Light"/>
                <w:b w:val="0"/>
                <w:sz w:val="22"/>
              </w:rPr>
            </w:pPr>
            <w:r>
              <w:rPr>
                <w:sz w:val="22"/>
              </w:rPr>
              <w:t>6 </w:t>
            </w:r>
            <w:r>
              <w:rPr>
                <w:rFonts w:ascii="Calibri Light"/>
                <w:b w:val="0"/>
                <w:sz w:val="22"/>
              </w:rPr>
              <w:t>(100%)</w:t>
            </w:r>
          </w:p>
        </w:tc>
        <w:tc>
          <w:tcPr>
            <w:tcW w:w="1366" w:type="dxa"/>
            <w:tcBorders>
              <w:left w:val="thickThinMediumGap" w:sz="23" w:space="0" w:color="2D74B5"/>
            </w:tcBorders>
          </w:tcPr>
          <w:p>
            <w:pPr>
              <w:pStyle w:val="TableParagraph"/>
              <w:spacing w:before="9"/>
              <w:ind w:right="55"/>
              <w:rPr>
                <w:sz w:val="22"/>
              </w:rPr>
            </w:pPr>
            <w:r>
              <w:rPr>
                <w:w w:val="100"/>
                <w:sz w:val="22"/>
              </w:rPr>
              <w:t>0</w:t>
            </w:r>
          </w:p>
        </w:tc>
      </w:tr>
      <w:tr>
        <w:trPr>
          <w:trHeight w:val="413" w:hRule="exact"/>
        </w:trPr>
        <w:tc>
          <w:tcPr>
            <w:tcW w:w="1225" w:type="dxa"/>
            <w:tcBorders>
              <w:right w:val="nil"/>
            </w:tcBorders>
          </w:tcPr>
          <w:p>
            <w:pPr>
              <w:pStyle w:val="TableParagraph"/>
              <w:spacing w:before="9"/>
              <w:ind w:right="58"/>
              <w:jc w:val="right"/>
              <w:rPr>
                <w:sz w:val="22"/>
              </w:rPr>
            </w:pPr>
            <w:r>
              <w:rPr>
                <w:sz w:val="22"/>
              </w:rPr>
              <w:t>Grupo</w:t>
            </w:r>
          </w:p>
        </w:tc>
        <w:tc>
          <w:tcPr>
            <w:tcW w:w="1917" w:type="dxa"/>
            <w:gridSpan w:val="2"/>
            <w:tcBorders>
              <w:left w:val="nil"/>
            </w:tcBorders>
          </w:tcPr>
          <w:p>
            <w:pPr>
              <w:pStyle w:val="TableParagraph"/>
              <w:spacing w:before="9"/>
              <w:ind w:left="60"/>
              <w:jc w:val="left"/>
              <w:rPr>
                <w:sz w:val="22"/>
              </w:rPr>
            </w:pPr>
            <w:r>
              <w:rPr>
                <w:sz w:val="22"/>
              </w:rPr>
              <w:t>de edad 3 (6)</w:t>
            </w:r>
          </w:p>
        </w:tc>
        <w:tc>
          <w:tcPr>
            <w:tcW w:w="1145" w:type="dxa"/>
          </w:tcPr>
          <w:p>
            <w:pPr>
              <w:pStyle w:val="TableParagraph"/>
              <w:spacing w:before="9"/>
              <w:rPr>
                <w:sz w:val="22"/>
              </w:rPr>
            </w:pPr>
            <w:r>
              <w:rPr>
                <w:w w:val="100"/>
                <w:sz w:val="22"/>
              </w:rPr>
              <w:t>0</w:t>
            </w:r>
          </w:p>
        </w:tc>
        <w:tc>
          <w:tcPr>
            <w:tcW w:w="1121" w:type="dxa"/>
          </w:tcPr>
          <w:p>
            <w:pPr>
              <w:pStyle w:val="TableParagraph"/>
              <w:spacing w:before="9"/>
              <w:rPr>
                <w:sz w:val="22"/>
              </w:rPr>
            </w:pPr>
            <w:r>
              <w:rPr>
                <w:w w:val="100"/>
                <w:sz w:val="22"/>
              </w:rPr>
              <w:t>0</w:t>
            </w:r>
          </w:p>
        </w:tc>
        <w:tc>
          <w:tcPr>
            <w:tcW w:w="1256" w:type="dxa"/>
            <w:tcBorders>
              <w:right w:val="single" w:sz="41" w:space="0" w:color="2D74B5"/>
            </w:tcBorders>
          </w:tcPr>
          <w:p>
            <w:pPr>
              <w:pStyle w:val="TableParagraph"/>
              <w:spacing w:line="265" w:lineRule="exact"/>
              <w:ind w:left="255" w:right="209"/>
              <w:rPr>
                <w:rFonts w:ascii="Calibri Light"/>
                <w:b w:val="0"/>
                <w:sz w:val="22"/>
              </w:rPr>
            </w:pPr>
            <w:r>
              <w:rPr>
                <w:sz w:val="22"/>
              </w:rPr>
              <w:t>1 </w:t>
            </w:r>
            <w:r>
              <w:rPr>
                <w:rFonts w:ascii="Calibri Light"/>
                <w:b w:val="0"/>
                <w:sz w:val="22"/>
              </w:rPr>
              <w:t>(16%)</w:t>
            </w:r>
          </w:p>
        </w:tc>
        <w:tc>
          <w:tcPr>
            <w:tcW w:w="1368" w:type="dxa"/>
            <w:tcBorders>
              <w:right w:val="single" w:sz="41" w:space="0" w:color="9CC2E4"/>
            </w:tcBorders>
            <w:shd w:val="clear" w:color="auto" w:fill="2D74B5"/>
          </w:tcPr>
          <w:p>
            <w:pPr>
              <w:pStyle w:val="TableParagraph"/>
              <w:spacing w:line="265" w:lineRule="exact"/>
              <w:ind w:left="311" w:right="266"/>
              <w:rPr>
                <w:rFonts w:ascii="Calibri Light"/>
                <w:b w:val="0"/>
                <w:sz w:val="22"/>
              </w:rPr>
            </w:pPr>
            <w:r>
              <w:rPr>
                <w:sz w:val="22"/>
              </w:rPr>
              <w:t>3 </w:t>
            </w:r>
            <w:r>
              <w:rPr>
                <w:rFonts w:ascii="Calibri Light"/>
                <w:b w:val="0"/>
                <w:sz w:val="22"/>
              </w:rPr>
              <w:t>(50%)</w:t>
            </w:r>
          </w:p>
        </w:tc>
        <w:tc>
          <w:tcPr>
            <w:tcW w:w="1366" w:type="dxa"/>
            <w:tcBorders>
              <w:left w:val="thickThinMediumGap" w:sz="23" w:space="0" w:color="2D74B5"/>
            </w:tcBorders>
            <w:shd w:val="clear" w:color="auto" w:fill="9CC2E4"/>
          </w:tcPr>
          <w:p>
            <w:pPr>
              <w:pStyle w:val="TableParagraph"/>
              <w:spacing w:line="265" w:lineRule="exact"/>
              <w:ind w:left="173" w:right="230"/>
              <w:rPr>
                <w:rFonts w:ascii="Calibri Light"/>
                <w:b w:val="0"/>
                <w:sz w:val="22"/>
              </w:rPr>
            </w:pPr>
            <w:r>
              <w:rPr>
                <w:sz w:val="22"/>
              </w:rPr>
              <w:t>2 </w:t>
            </w:r>
            <w:r>
              <w:rPr>
                <w:rFonts w:ascii="Calibri Light"/>
                <w:b w:val="0"/>
                <w:sz w:val="22"/>
              </w:rPr>
              <w:t>(33.3%)</w:t>
            </w:r>
          </w:p>
        </w:tc>
      </w:tr>
      <w:tr>
        <w:trPr>
          <w:trHeight w:val="413" w:hRule="exact"/>
        </w:trPr>
        <w:tc>
          <w:tcPr>
            <w:tcW w:w="1225" w:type="dxa"/>
            <w:tcBorders>
              <w:right w:val="nil"/>
            </w:tcBorders>
          </w:tcPr>
          <w:p>
            <w:pPr>
              <w:pStyle w:val="TableParagraph"/>
              <w:spacing w:before="9"/>
              <w:ind w:right="58"/>
              <w:jc w:val="right"/>
              <w:rPr>
                <w:sz w:val="22"/>
              </w:rPr>
            </w:pPr>
            <w:r>
              <w:rPr>
                <w:sz w:val="22"/>
              </w:rPr>
              <w:t>Grupo</w:t>
            </w:r>
          </w:p>
        </w:tc>
        <w:tc>
          <w:tcPr>
            <w:tcW w:w="1917" w:type="dxa"/>
            <w:gridSpan w:val="2"/>
            <w:tcBorders>
              <w:left w:val="nil"/>
            </w:tcBorders>
          </w:tcPr>
          <w:p>
            <w:pPr>
              <w:pStyle w:val="TableParagraph"/>
              <w:spacing w:before="9"/>
              <w:ind w:left="60"/>
              <w:jc w:val="left"/>
              <w:rPr>
                <w:sz w:val="22"/>
              </w:rPr>
            </w:pPr>
            <w:r>
              <w:rPr>
                <w:sz w:val="22"/>
              </w:rPr>
              <w:t>de edad 4 (6)</w:t>
            </w:r>
          </w:p>
        </w:tc>
        <w:tc>
          <w:tcPr>
            <w:tcW w:w="1145" w:type="dxa"/>
          </w:tcPr>
          <w:p>
            <w:pPr>
              <w:pStyle w:val="TableParagraph"/>
              <w:spacing w:before="9"/>
              <w:rPr>
                <w:sz w:val="22"/>
              </w:rPr>
            </w:pPr>
            <w:r>
              <w:rPr>
                <w:w w:val="100"/>
                <w:sz w:val="22"/>
              </w:rPr>
              <w:t>0</w:t>
            </w:r>
          </w:p>
        </w:tc>
        <w:tc>
          <w:tcPr>
            <w:tcW w:w="1121" w:type="dxa"/>
            <w:shd w:val="clear" w:color="auto" w:fill="2D74B5"/>
          </w:tcPr>
          <w:p>
            <w:pPr>
              <w:pStyle w:val="TableParagraph"/>
              <w:spacing w:before="9"/>
              <w:rPr>
                <w:sz w:val="22"/>
              </w:rPr>
            </w:pPr>
            <w:r>
              <w:rPr>
                <w:w w:val="100"/>
                <w:sz w:val="22"/>
              </w:rPr>
              <w:t>4</w:t>
            </w:r>
          </w:p>
        </w:tc>
        <w:tc>
          <w:tcPr>
            <w:tcW w:w="1256" w:type="dxa"/>
          </w:tcPr>
          <w:p>
            <w:pPr>
              <w:pStyle w:val="TableParagraph"/>
              <w:spacing w:line="265" w:lineRule="exact"/>
              <w:ind w:left="82" w:right="82"/>
              <w:rPr>
                <w:rFonts w:ascii="Calibri Light"/>
                <w:b w:val="0"/>
                <w:sz w:val="22"/>
              </w:rPr>
            </w:pPr>
            <w:r>
              <w:rPr>
                <w:sz w:val="22"/>
              </w:rPr>
              <w:t>1 </w:t>
            </w:r>
            <w:r>
              <w:rPr>
                <w:rFonts w:ascii="Calibri Light"/>
                <w:b w:val="0"/>
                <w:sz w:val="22"/>
              </w:rPr>
              <w:t>(16%)</w:t>
            </w:r>
          </w:p>
        </w:tc>
        <w:tc>
          <w:tcPr>
            <w:tcW w:w="1368" w:type="dxa"/>
          </w:tcPr>
          <w:p>
            <w:pPr>
              <w:pStyle w:val="TableParagraph"/>
              <w:spacing w:before="9"/>
              <w:rPr>
                <w:sz w:val="22"/>
              </w:rPr>
            </w:pPr>
            <w:r>
              <w:rPr>
                <w:w w:val="100"/>
                <w:sz w:val="22"/>
              </w:rPr>
              <w:t>0</w:t>
            </w:r>
          </w:p>
        </w:tc>
        <w:tc>
          <w:tcPr>
            <w:tcW w:w="1366" w:type="dxa"/>
          </w:tcPr>
          <w:p>
            <w:pPr>
              <w:pStyle w:val="TableParagraph"/>
              <w:spacing w:line="265" w:lineRule="exact"/>
              <w:ind w:left="226" w:right="228"/>
              <w:rPr>
                <w:rFonts w:ascii="Calibri Light"/>
                <w:b w:val="0"/>
                <w:sz w:val="22"/>
              </w:rPr>
            </w:pPr>
            <w:r>
              <w:rPr>
                <w:sz w:val="22"/>
              </w:rPr>
              <w:t>1 </w:t>
            </w:r>
            <w:r>
              <w:rPr>
                <w:rFonts w:ascii="Calibri Light"/>
                <w:b w:val="0"/>
                <w:sz w:val="22"/>
              </w:rPr>
              <w:t>(16%)</w:t>
            </w:r>
          </w:p>
        </w:tc>
      </w:tr>
    </w:tbl>
    <w:p>
      <w:pPr>
        <w:spacing w:line="225" w:lineRule="exact" w:before="0"/>
        <w:ind w:left="1613" w:right="339" w:firstLine="0"/>
        <w:jc w:val="left"/>
        <w:rPr>
          <w:b/>
          <w:sz w:val="20"/>
        </w:rPr>
      </w:pPr>
      <w:r>
        <w:rPr>
          <w:b/>
          <w:sz w:val="20"/>
        </w:rPr>
        <w:t>Tabla 4.5. Reputación del maestro afectada; respuestas por grupo de edad</w:t>
      </w:r>
    </w:p>
    <w:p>
      <w:pPr>
        <w:pStyle w:val="BodyText"/>
        <w:spacing w:line="360" w:lineRule="auto" w:before="119"/>
        <w:ind w:left="102" w:right="112" w:firstLine="707"/>
        <w:jc w:val="both"/>
      </w:pPr>
      <w:r>
        <w:rPr/>
        <w:t>Por nivel de estudios se puede apreciar en la tabla 4.6, que el nivel superior es aquel</w:t>
      </w:r>
      <w:r>
        <w:rPr>
          <w:spacing w:val="-18"/>
        </w:rPr>
        <w:t> </w:t>
      </w:r>
      <w:r>
        <w:rPr/>
        <w:t>que</w:t>
      </w:r>
      <w:r>
        <w:rPr>
          <w:spacing w:val="-19"/>
        </w:rPr>
        <w:t> </w:t>
      </w:r>
      <w:r>
        <w:rPr/>
        <w:t>presenta</w:t>
      </w:r>
      <w:r>
        <w:rPr>
          <w:spacing w:val="-19"/>
        </w:rPr>
        <w:t> </w:t>
      </w:r>
      <w:r>
        <w:rPr/>
        <w:t>mayor</w:t>
      </w:r>
      <w:r>
        <w:rPr>
          <w:spacing w:val="-18"/>
        </w:rPr>
        <w:t> </w:t>
      </w:r>
      <w:r>
        <w:rPr/>
        <w:t>favoritismo</w:t>
      </w:r>
      <w:r>
        <w:rPr>
          <w:spacing w:val="-19"/>
        </w:rPr>
        <w:t> </w:t>
      </w:r>
      <w:r>
        <w:rPr/>
        <w:t>en</w:t>
      </w:r>
      <w:r>
        <w:rPr>
          <w:spacing w:val="-17"/>
        </w:rPr>
        <w:t> </w:t>
      </w:r>
      <w:r>
        <w:rPr/>
        <w:t>cuanto</w:t>
      </w:r>
      <w:r>
        <w:rPr>
          <w:spacing w:val="-19"/>
        </w:rPr>
        <w:t> </w:t>
      </w:r>
      <w:r>
        <w:rPr/>
        <w:t>al</w:t>
      </w:r>
      <w:r>
        <w:rPr>
          <w:spacing w:val="-18"/>
        </w:rPr>
        <w:t> </w:t>
      </w:r>
      <w:r>
        <w:rPr/>
        <w:t>empleo</w:t>
      </w:r>
      <w:r>
        <w:rPr>
          <w:spacing w:val="-18"/>
        </w:rPr>
        <w:t> </w:t>
      </w:r>
      <w:r>
        <w:rPr/>
        <w:t>de</w:t>
      </w:r>
      <w:r>
        <w:rPr>
          <w:spacing w:val="-19"/>
        </w:rPr>
        <w:t> </w:t>
      </w:r>
      <w:r>
        <w:rPr/>
        <w:t>anglicismos</w:t>
      </w:r>
      <w:r>
        <w:rPr>
          <w:spacing w:val="-20"/>
        </w:rPr>
        <w:t> </w:t>
      </w:r>
      <w:r>
        <w:rPr/>
        <w:t>en</w:t>
      </w:r>
      <w:r>
        <w:rPr>
          <w:spacing w:val="-19"/>
        </w:rPr>
        <w:t> </w:t>
      </w:r>
      <w:r>
        <w:rPr/>
        <w:t>la</w:t>
      </w:r>
      <w:r>
        <w:rPr>
          <w:spacing w:val="-19"/>
        </w:rPr>
        <w:t> </w:t>
      </w:r>
      <w:r>
        <w:rPr/>
        <w:t>grabación mostrando el 50% de su población “en desacuerdo” y un 25% “muy en desacuerdo; seguido del nivel superior con otro 4 de 8 sujetos de su población “en desacuerdo”, no obstante otros 3 sujetos se encuentran “de acuerdo” en desfavorecer los anglicismos lo que</w:t>
      </w:r>
      <w:r>
        <w:rPr>
          <w:spacing w:val="-12"/>
        </w:rPr>
        <w:t> </w:t>
      </w:r>
      <w:r>
        <w:rPr/>
        <w:t>hace</w:t>
      </w:r>
      <w:r>
        <w:rPr>
          <w:spacing w:val="-14"/>
        </w:rPr>
        <w:t> </w:t>
      </w:r>
      <w:r>
        <w:rPr/>
        <w:t>difícil</w:t>
      </w:r>
      <w:r>
        <w:rPr>
          <w:spacing w:val="-14"/>
        </w:rPr>
        <w:t> </w:t>
      </w:r>
      <w:r>
        <w:rPr/>
        <w:t>determinar</w:t>
      </w:r>
      <w:r>
        <w:rPr>
          <w:spacing w:val="-13"/>
        </w:rPr>
        <w:t> </w:t>
      </w:r>
      <w:r>
        <w:rPr/>
        <w:t>que</w:t>
      </w:r>
      <w:r>
        <w:rPr>
          <w:spacing w:val="-12"/>
        </w:rPr>
        <w:t> </w:t>
      </w:r>
      <w:r>
        <w:rPr/>
        <w:t>una</w:t>
      </w:r>
      <w:r>
        <w:rPr>
          <w:spacing w:val="-14"/>
        </w:rPr>
        <w:t> </w:t>
      </w:r>
      <w:r>
        <w:rPr/>
        <w:t>mayoría</w:t>
      </w:r>
      <w:r>
        <w:rPr>
          <w:spacing w:val="-12"/>
        </w:rPr>
        <w:t> </w:t>
      </w:r>
      <w:r>
        <w:rPr/>
        <w:t>favorece</w:t>
      </w:r>
      <w:r>
        <w:rPr>
          <w:spacing w:val="-12"/>
        </w:rPr>
        <w:t> </w:t>
      </w:r>
      <w:r>
        <w:rPr/>
        <w:t>los</w:t>
      </w:r>
      <w:r>
        <w:rPr>
          <w:spacing w:val="-12"/>
        </w:rPr>
        <w:t> </w:t>
      </w:r>
      <w:r>
        <w:rPr/>
        <w:t>anglicismos,</w:t>
      </w:r>
      <w:r>
        <w:rPr>
          <w:spacing w:val="-12"/>
        </w:rPr>
        <w:t> </w:t>
      </w:r>
      <w:r>
        <w:rPr/>
        <w:t>hecho</w:t>
      </w:r>
      <w:r>
        <w:rPr>
          <w:spacing w:val="-12"/>
        </w:rPr>
        <w:t> </w:t>
      </w:r>
      <w:r>
        <w:rPr/>
        <w:t>que</w:t>
      </w:r>
      <w:r>
        <w:rPr>
          <w:spacing w:val="-12"/>
        </w:rPr>
        <w:t> </w:t>
      </w:r>
      <w:r>
        <w:rPr/>
        <w:t>de</w:t>
      </w:r>
      <w:r>
        <w:rPr>
          <w:spacing w:val="-12"/>
        </w:rPr>
        <w:t> </w:t>
      </w:r>
      <w:r>
        <w:rPr/>
        <w:t>igual forma pasa con el nivel básico donde el 25% de sujetos en ese nivel se encuentra “de acuerdo”, otro 25% es “indiferente” y otro 25% dijo estar “en</w:t>
      </w:r>
      <w:r>
        <w:rPr>
          <w:spacing w:val="-27"/>
        </w:rPr>
        <w:t> </w:t>
      </w:r>
      <w:r>
        <w:rPr/>
        <w:t>desacuerdo”.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389" w:hRule="exact"/>
        </w:trPr>
        <w:tc>
          <w:tcPr>
            <w:tcW w:w="1428" w:type="dxa"/>
            <w:vMerge w:val="restart"/>
          </w:tcPr>
          <w:p>
            <w:pPr>
              <w:pStyle w:val="TableParagraph"/>
              <w:spacing w:before="192"/>
              <w:ind w:left="82" w:right="83"/>
              <w:rPr>
                <w:sz w:val="22"/>
              </w:rPr>
            </w:pPr>
            <w:r>
              <w:rPr>
                <w:sz w:val="22"/>
              </w:rPr>
              <w:t>Aseveración</w:t>
            </w:r>
          </w:p>
          <w:p>
            <w:pPr>
              <w:pStyle w:val="TableParagraph"/>
              <w:spacing w:before="124"/>
              <w:rPr>
                <w:b/>
                <w:sz w:val="22"/>
              </w:rPr>
            </w:pPr>
            <w:r>
              <w:rPr>
                <w:b/>
                <w:w w:val="100"/>
                <w:sz w:val="22"/>
              </w:rPr>
              <w:t>2</w:t>
            </w:r>
          </w:p>
        </w:tc>
        <w:tc>
          <w:tcPr>
            <w:tcW w:w="1724" w:type="dxa"/>
            <w:vMerge w:val="restart"/>
          </w:tcPr>
          <w:p>
            <w:pPr>
              <w:pStyle w:val="TableParagraph"/>
              <w:spacing w:line="360" w:lineRule="auto" w:before="2"/>
              <w:ind w:left="163" w:right="166" w:firstLine="4"/>
              <w:rPr>
                <w:b/>
                <w:sz w:val="22"/>
              </w:rPr>
            </w:pPr>
            <w:r>
              <w:rPr>
                <w:sz w:val="22"/>
              </w:rPr>
              <w:t>Tipo de Aseveración: </w:t>
            </w:r>
            <w:r>
              <w:rPr>
                <w:b/>
                <w:sz w:val="22"/>
              </w:rPr>
              <w:t>Desfavorable</w:t>
            </w:r>
          </w:p>
        </w:tc>
        <w:tc>
          <w:tcPr>
            <w:tcW w:w="6246" w:type="dxa"/>
            <w:gridSpan w:val="5"/>
          </w:tcPr>
          <w:p>
            <w:pPr>
              <w:pStyle w:val="TableParagraph"/>
              <w:spacing w:line="251" w:lineRule="exact"/>
              <w:ind w:left="2516" w:right="2516"/>
              <w:rPr>
                <w:sz w:val="22"/>
              </w:rPr>
            </w:pPr>
            <w:r>
              <w:rPr>
                <w:sz w:val="22"/>
              </w:rPr>
              <w:t>Respuestas</w:t>
            </w:r>
          </w:p>
        </w:tc>
      </w:tr>
      <w:tr>
        <w:trPr>
          <w:trHeight w:val="771"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8"/>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Pr>
          <w:p>
            <w:pPr>
              <w:pStyle w:val="TableParagraph"/>
              <w:spacing w:before="9"/>
              <w:ind w:left="799"/>
              <w:jc w:val="left"/>
              <w:rPr>
                <w:sz w:val="22"/>
              </w:rPr>
            </w:pPr>
            <w:r>
              <w:rPr>
                <w:sz w:val="22"/>
              </w:rPr>
              <w:t>Nivel Básico (8)</w:t>
            </w:r>
          </w:p>
        </w:tc>
        <w:tc>
          <w:tcPr>
            <w:tcW w:w="1148" w:type="dxa"/>
            <w:tcBorders>
              <w:right w:val="single" w:sz="41" w:space="0" w:color="9CC2E4"/>
            </w:tcBorders>
          </w:tcPr>
          <w:p>
            <w:pPr>
              <w:pStyle w:val="TableParagraph"/>
              <w:spacing w:line="265" w:lineRule="exact"/>
              <w:ind w:left="117" w:right="75"/>
              <w:rPr>
                <w:rFonts w:ascii="Calibri Light"/>
                <w:b w:val="0"/>
                <w:sz w:val="22"/>
              </w:rPr>
            </w:pPr>
            <w:r>
              <w:rPr>
                <w:sz w:val="22"/>
              </w:rPr>
              <w:t>1 </w:t>
            </w:r>
            <w:r>
              <w:rPr>
                <w:rFonts w:ascii="Calibri Light"/>
                <w:b w:val="0"/>
                <w:sz w:val="22"/>
              </w:rPr>
              <w:t>(12.5%)</w:t>
            </w:r>
          </w:p>
        </w:tc>
        <w:tc>
          <w:tcPr>
            <w:tcW w:w="1121" w:type="dxa"/>
            <w:shd w:val="clear" w:color="auto" w:fill="9CC2E4"/>
          </w:tcPr>
          <w:p>
            <w:pPr>
              <w:pStyle w:val="TableParagraph"/>
              <w:spacing w:line="265" w:lineRule="exact"/>
              <w:ind w:left="85" w:right="85"/>
              <w:rPr>
                <w:rFonts w:ascii="Calibri Light"/>
                <w:b w:val="0"/>
                <w:sz w:val="22"/>
              </w:rPr>
            </w:pPr>
            <w:r>
              <w:rPr>
                <w:sz w:val="22"/>
              </w:rPr>
              <w:t>2 </w:t>
            </w:r>
            <w:r>
              <w:rPr>
                <w:rFonts w:ascii="Calibri Light"/>
                <w:b w:val="0"/>
                <w:sz w:val="22"/>
              </w:rPr>
              <w:t>(25%)</w:t>
            </w:r>
          </w:p>
        </w:tc>
        <w:tc>
          <w:tcPr>
            <w:tcW w:w="1244" w:type="dxa"/>
            <w:shd w:val="clear" w:color="auto" w:fill="9CC2E4"/>
          </w:tcPr>
          <w:p>
            <w:pPr>
              <w:pStyle w:val="TableParagraph"/>
              <w:spacing w:line="265" w:lineRule="exact"/>
              <w:ind w:left="82" w:right="82"/>
              <w:rPr>
                <w:rFonts w:ascii="Calibri Light"/>
                <w:b w:val="0"/>
                <w:sz w:val="22"/>
              </w:rPr>
            </w:pPr>
            <w:r>
              <w:rPr>
                <w:sz w:val="22"/>
              </w:rPr>
              <w:t>2 </w:t>
            </w:r>
            <w:r>
              <w:rPr>
                <w:rFonts w:ascii="Calibri Light"/>
                <w:b w:val="0"/>
                <w:sz w:val="22"/>
              </w:rPr>
              <w:t>(25%)</w:t>
            </w:r>
          </w:p>
        </w:tc>
        <w:tc>
          <w:tcPr>
            <w:tcW w:w="1368" w:type="dxa"/>
            <w:shd w:val="clear" w:color="auto" w:fill="9CC2E4"/>
          </w:tcPr>
          <w:p>
            <w:pPr>
              <w:pStyle w:val="TableParagraph"/>
              <w:spacing w:line="265" w:lineRule="exact"/>
              <w:ind w:left="223" w:right="224"/>
              <w:rPr>
                <w:rFonts w:ascii="Calibri Light"/>
                <w:b w:val="0"/>
                <w:sz w:val="22"/>
              </w:rPr>
            </w:pPr>
            <w:r>
              <w:rPr>
                <w:sz w:val="22"/>
              </w:rPr>
              <w:t>2 </w:t>
            </w:r>
            <w:r>
              <w:rPr>
                <w:rFonts w:ascii="Calibri Light"/>
                <w:b w:val="0"/>
                <w:sz w:val="22"/>
              </w:rPr>
              <w:t>(25%)</w:t>
            </w:r>
          </w:p>
        </w:tc>
        <w:tc>
          <w:tcPr>
            <w:tcW w:w="1366" w:type="dxa"/>
            <w:tcBorders>
              <w:left w:val="thickThinMediumGap" w:sz="23" w:space="0" w:color="9CC2E4"/>
            </w:tcBorders>
          </w:tcPr>
          <w:p>
            <w:pPr>
              <w:pStyle w:val="TableParagraph"/>
              <w:spacing w:line="265" w:lineRule="exact"/>
              <w:ind w:left="173" w:right="230"/>
              <w:rPr>
                <w:rFonts w:ascii="Calibri Light"/>
                <w:b w:val="0"/>
                <w:sz w:val="22"/>
              </w:rPr>
            </w:pPr>
            <w:r>
              <w:rPr>
                <w:sz w:val="22"/>
              </w:rPr>
              <w:t>1 </w:t>
            </w:r>
            <w:r>
              <w:rPr>
                <w:rFonts w:ascii="Calibri Light"/>
                <w:b w:val="0"/>
                <w:sz w:val="22"/>
              </w:rPr>
              <w:t>(12.5%)</w:t>
            </w:r>
          </w:p>
        </w:tc>
      </w:tr>
      <w:tr>
        <w:trPr>
          <w:trHeight w:val="413" w:hRule="exact"/>
        </w:trPr>
        <w:tc>
          <w:tcPr>
            <w:tcW w:w="3152" w:type="dxa"/>
            <w:gridSpan w:val="2"/>
          </w:tcPr>
          <w:p>
            <w:pPr>
              <w:pStyle w:val="TableParagraph"/>
              <w:spacing w:before="9"/>
              <w:ind w:left="383"/>
              <w:jc w:val="left"/>
              <w:rPr>
                <w:sz w:val="22"/>
              </w:rPr>
            </w:pPr>
            <w:r>
              <w:rPr>
                <w:sz w:val="22"/>
              </w:rPr>
              <w:t>Nivel Medio Superior (8)</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6"/>
              <w:rPr>
                <w:rFonts w:ascii="Calibri Light"/>
                <w:b w:val="0"/>
                <w:sz w:val="22"/>
              </w:rPr>
            </w:pPr>
            <w:r>
              <w:rPr>
                <w:sz w:val="22"/>
              </w:rPr>
              <w:t>3 </w:t>
            </w:r>
            <w:r>
              <w:rPr>
                <w:rFonts w:ascii="Calibri Light"/>
                <w:b w:val="0"/>
                <w:sz w:val="22"/>
              </w:rPr>
              <w:t>(37.5%)</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(12.5%)</w:t>
            </w:r>
          </w:p>
        </w:tc>
        <w:tc>
          <w:tcPr>
            <w:tcW w:w="1368" w:type="dxa"/>
            <w:shd w:val="clear" w:color="auto" w:fill="2D74B5"/>
          </w:tcPr>
          <w:p>
            <w:pPr>
              <w:pStyle w:val="TableParagraph"/>
              <w:spacing w:line="265" w:lineRule="exact"/>
              <w:ind w:left="223" w:right="224"/>
              <w:rPr>
                <w:rFonts w:ascii="Calibri Light"/>
                <w:b w:val="0"/>
                <w:sz w:val="22"/>
              </w:rPr>
            </w:pPr>
            <w:r>
              <w:rPr>
                <w:sz w:val="22"/>
              </w:rPr>
              <w:t>4 </w:t>
            </w:r>
            <w:r>
              <w:rPr>
                <w:rFonts w:ascii="Calibri Light"/>
                <w:b w:val="0"/>
                <w:sz w:val="22"/>
              </w:rPr>
              <w:t>(50%)</w:t>
            </w:r>
          </w:p>
        </w:tc>
        <w:tc>
          <w:tcPr>
            <w:tcW w:w="1366" w:type="dxa"/>
          </w:tcPr>
          <w:p>
            <w:pPr>
              <w:pStyle w:val="TableParagraph"/>
              <w:spacing w:before="9"/>
              <w:ind w:right="2"/>
              <w:rPr>
                <w:sz w:val="22"/>
              </w:rPr>
            </w:pPr>
            <w:r>
              <w:rPr>
                <w:w w:val="100"/>
                <w:sz w:val="22"/>
              </w:rPr>
              <w:t>0</w:t>
            </w:r>
          </w:p>
        </w:tc>
      </w:tr>
      <w:tr>
        <w:trPr>
          <w:trHeight w:val="413" w:hRule="exact"/>
        </w:trPr>
        <w:tc>
          <w:tcPr>
            <w:tcW w:w="3152" w:type="dxa"/>
            <w:gridSpan w:val="2"/>
          </w:tcPr>
          <w:p>
            <w:pPr>
              <w:pStyle w:val="TableParagraph"/>
              <w:spacing w:before="9"/>
              <w:ind w:left="712"/>
              <w:jc w:val="left"/>
              <w:rPr>
                <w:sz w:val="22"/>
              </w:rPr>
            </w:pPr>
            <w:r>
              <w:rPr>
                <w:sz w:val="22"/>
              </w:rPr>
              <w:t>Nivel Superior (8)</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6"/>
              <w:rPr>
                <w:rFonts w:ascii="Calibri Light"/>
                <w:b w:val="0"/>
                <w:sz w:val="22"/>
              </w:rPr>
            </w:pPr>
            <w:r>
              <w:rPr>
                <w:sz w:val="22"/>
              </w:rPr>
              <w:t>1 </w:t>
            </w:r>
            <w:r>
              <w:rPr>
                <w:rFonts w:ascii="Calibri Light"/>
                <w:b w:val="0"/>
                <w:sz w:val="22"/>
              </w:rPr>
              <w:t>(12.5%)</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(12.5%)</w:t>
            </w:r>
          </w:p>
        </w:tc>
        <w:tc>
          <w:tcPr>
            <w:tcW w:w="1368" w:type="dxa"/>
            <w:tcBorders>
              <w:right w:val="single" w:sz="41" w:space="0" w:color="9CC2E4"/>
            </w:tcBorders>
            <w:shd w:val="clear" w:color="auto" w:fill="2D74B5"/>
          </w:tcPr>
          <w:p>
            <w:pPr>
              <w:pStyle w:val="TableParagraph"/>
              <w:spacing w:line="265" w:lineRule="exact"/>
              <w:ind w:left="311" w:right="266"/>
              <w:rPr>
                <w:rFonts w:ascii="Calibri Light"/>
                <w:b w:val="0"/>
                <w:sz w:val="22"/>
              </w:rPr>
            </w:pPr>
            <w:r>
              <w:rPr>
                <w:sz w:val="22"/>
              </w:rPr>
              <w:t>4 </w:t>
            </w:r>
            <w:r>
              <w:rPr>
                <w:rFonts w:ascii="Calibri Light"/>
                <w:b w:val="0"/>
                <w:sz w:val="22"/>
              </w:rPr>
              <w:t>(50%)</w:t>
            </w:r>
          </w:p>
        </w:tc>
        <w:tc>
          <w:tcPr>
            <w:tcW w:w="1366" w:type="dxa"/>
            <w:shd w:val="clear" w:color="auto" w:fill="9CC2E4"/>
          </w:tcPr>
          <w:p>
            <w:pPr>
              <w:pStyle w:val="TableParagraph"/>
              <w:spacing w:line="265" w:lineRule="exact"/>
              <w:ind w:left="226" w:right="228"/>
              <w:rPr>
                <w:rFonts w:ascii="Calibri Light"/>
                <w:b w:val="0"/>
                <w:sz w:val="22"/>
              </w:rPr>
            </w:pPr>
            <w:r>
              <w:rPr>
                <w:sz w:val="22"/>
              </w:rPr>
              <w:t>2 </w:t>
            </w:r>
            <w:r>
              <w:rPr>
                <w:rFonts w:ascii="Calibri Light"/>
                <w:b w:val="0"/>
                <w:sz w:val="22"/>
              </w:rPr>
              <w:t>(25%)</w:t>
            </w:r>
          </w:p>
        </w:tc>
      </w:tr>
    </w:tbl>
    <w:p>
      <w:pPr>
        <w:spacing w:line="227" w:lineRule="exact" w:before="0"/>
        <w:ind w:left="1225" w:right="339" w:firstLine="0"/>
        <w:jc w:val="left"/>
        <w:rPr>
          <w:b/>
          <w:sz w:val="20"/>
        </w:rPr>
      </w:pPr>
      <w:r>
        <w:rPr>
          <w:b/>
          <w:sz w:val="20"/>
        </w:rPr>
        <w:t>Tabla 4.6. Reputación del maestro afectada; respuestas por nivel educativo</w:t>
      </w:r>
    </w:p>
    <w:p>
      <w:pPr>
        <w:spacing w:after="0" w:line="227" w:lineRule="exact"/>
        <w:jc w:val="left"/>
        <w:rPr>
          <w:sz w:val="20"/>
        </w:rPr>
        <w:sectPr>
          <w:pgSz w:w="12240" w:h="15840"/>
          <w:pgMar w:header="749" w:footer="1003" w:top="960" w:bottom="1200" w:left="1600" w:right="1020"/>
        </w:sectPr>
      </w:pPr>
    </w:p>
    <w:p>
      <w:pPr>
        <w:pStyle w:val="BodyText"/>
        <w:rPr>
          <w:b/>
          <w:sz w:val="20"/>
        </w:rPr>
      </w:pPr>
    </w:p>
    <w:p>
      <w:pPr>
        <w:pStyle w:val="BodyText"/>
        <w:rPr>
          <w:b/>
          <w:sz w:val="20"/>
        </w:rPr>
      </w:pPr>
    </w:p>
    <w:p>
      <w:pPr>
        <w:pStyle w:val="BodyText"/>
        <w:spacing w:before="5"/>
        <w:rPr>
          <w:b/>
          <w:sz w:val="17"/>
        </w:rPr>
      </w:pPr>
    </w:p>
    <w:p>
      <w:pPr>
        <w:spacing w:line="360" w:lineRule="auto" w:before="70"/>
        <w:ind w:left="102" w:right="107" w:firstLine="707"/>
        <w:jc w:val="both"/>
        <w:rPr>
          <w:sz w:val="24"/>
        </w:rPr>
      </w:pPr>
      <w:r>
        <w:rPr>
          <w:sz w:val="24"/>
        </w:rPr>
        <w:t>La aseveración 3 se presentó de la siguiente manera: </w:t>
      </w:r>
      <w:r>
        <w:rPr>
          <w:b/>
          <w:sz w:val="24"/>
        </w:rPr>
        <w:t>“Si un líder empresarial se expresara como en la grabación, el grupo al que se dirigiera encontrarían su discurso</w:t>
      </w:r>
      <w:r>
        <w:rPr>
          <w:b/>
          <w:spacing w:val="-12"/>
          <w:sz w:val="24"/>
        </w:rPr>
        <w:t> </w:t>
      </w:r>
      <w:r>
        <w:rPr>
          <w:b/>
          <w:sz w:val="24"/>
        </w:rPr>
        <w:t>irrelevante”,</w:t>
      </w:r>
      <w:r>
        <w:rPr>
          <w:b/>
          <w:spacing w:val="-6"/>
          <w:sz w:val="24"/>
        </w:rPr>
        <w:t> </w:t>
      </w:r>
      <w:r>
        <w:rPr>
          <w:sz w:val="24"/>
        </w:rPr>
        <w:t>es</w:t>
      </w:r>
      <w:r>
        <w:rPr>
          <w:spacing w:val="-9"/>
          <w:sz w:val="24"/>
        </w:rPr>
        <w:t> </w:t>
      </w:r>
      <w:r>
        <w:rPr>
          <w:sz w:val="24"/>
        </w:rPr>
        <w:t>del</w:t>
      </w:r>
      <w:r>
        <w:rPr>
          <w:spacing w:val="-10"/>
          <w:sz w:val="24"/>
        </w:rPr>
        <w:t> </w:t>
      </w:r>
      <w:r>
        <w:rPr>
          <w:sz w:val="24"/>
        </w:rPr>
        <w:t>tipo</w:t>
      </w:r>
      <w:r>
        <w:rPr>
          <w:spacing w:val="-11"/>
          <w:sz w:val="24"/>
        </w:rPr>
        <w:t> </w:t>
      </w:r>
      <w:r>
        <w:rPr>
          <w:sz w:val="24"/>
        </w:rPr>
        <w:t>desfavorable</w:t>
      </w:r>
      <w:r>
        <w:rPr>
          <w:spacing w:val="-9"/>
          <w:sz w:val="24"/>
        </w:rPr>
        <w:t> </w:t>
      </w:r>
      <w:r>
        <w:rPr>
          <w:sz w:val="24"/>
        </w:rPr>
        <w:t>y</w:t>
      </w:r>
      <w:r>
        <w:rPr>
          <w:spacing w:val="-12"/>
          <w:sz w:val="24"/>
        </w:rPr>
        <w:t> </w:t>
      </w:r>
      <w:r>
        <w:rPr>
          <w:sz w:val="24"/>
        </w:rPr>
        <w:t>la</w:t>
      </w:r>
      <w:r>
        <w:rPr>
          <w:spacing w:val="-9"/>
          <w:sz w:val="24"/>
        </w:rPr>
        <w:t> </w:t>
      </w:r>
      <w:r>
        <w:rPr>
          <w:sz w:val="24"/>
        </w:rPr>
        <w:t>tabla</w:t>
      </w:r>
      <w:r>
        <w:rPr>
          <w:spacing w:val="-9"/>
          <w:sz w:val="24"/>
        </w:rPr>
        <w:t> </w:t>
      </w:r>
      <w:r>
        <w:rPr>
          <w:sz w:val="24"/>
        </w:rPr>
        <w:t>4.7.</w:t>
      </w:r>
      <w:r>
        <w:rPr>
          <w:spacing w:val="-11"/>
          <w:sz w:val="24"/>
        </w:rPr>
        <w:t> </w:t>
      </w:r>
      <w:r>
        <w:rPr>
          <w:sz w:val="24"/>
        </w:rPr>
        <w:t>deja</w:t>
      </w:r>
      <w:r>
        <w:rPr>
          <w:spacing w:val="-8"/>
          <w:sz w:val="24"/>
        </w:rPr>
        <w:t> </w:t>
      </w:r>
      <w:r>
        <w:rPr>
          <w:sz w:val="24"/>
        </w:rPr>
        <w:t>ver</w:t>
      </w:r>
      <w:r>
        <w:rPr>
          <w:spacing w:val="-10"/>
          <w:sz w:val="24"/>
        </w:rPr>
        <w:t> </w:t>
      </w:r>
      <w:r>
        <w:rPr>
          <w:sz w:val="24"/>
        </w:rPr>
        <w:t>que</w:t>
      </w:r>
      <w:r>
        <w:rPr>
          <w:spacing w:val="-8"/>
          <w:sz w:val="24"/>
        </w:rPr>
        <w:t> </w:t>
      </w:r>
      <w:r>
        <w:rPr>
          <w:sz w:val="24"/>
        </w:rPr>
        <w:t>en</w:t>
      </w:r>
      <w:r>
        <w:rPr>
          <w:spacing w:val="-11"/>
          <w:sz w:val="24"/>
        </w:rPr>
        <w:t> </w:t>
      </w:r>
      <w:r>
        <w:rPr>
          <w:sz w:val="24"/>
        </w:rPr>
        <w:t>la</w:t>
      </w:r>
      <w:r>
        <w:rPr>
          <w:spacing w:val="-9"/>
          <w:sz w:val="24"/>
        </w:rPr>
        <w:t> </w:t>
      </w:r>
      <w:r>
        <w:rPr>
          <w:sz w:val="24"/>
        </w:rPr>
        <w:t>totalidad de la población el 50% se encuentra “en desacuerdo” en desfavorecer el uso de anglicismos y el 50% restante se distribuye de diferente manera entre las cuatro respuestas restantes. Lo mismo sucede en el análisis por género, el 50% de los doce hombres y el 50% de las doce mujeres también se encuentran “en</w:t>
      </w:r>
      <w:r>
        <w:rPr>
          <w:spacing w:val="-31"/>
          <w:sz w:val="24"/>
        </w:rPr>
        <w:t> </w:t>
      </w:r>
      <w:r>
        <w:rPr>
          <w:sz w:val="24"/>
        </w:rPr>
        <w:t>desacuerdo”.</w:t>
      </w:r>
    </w:p>
    <w:p>
      <w:pPr>
        <w:pStyle w:val="BodyText"/>
        <w:spacing w:before="8"/>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7"/>
        <w:gridCol w:w="1367"/>
      </w:tblGrid>
      <w:tr>
        <w:trPr>
          <w:trHeight w:val="409"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6"/>
              <w:rPr>
                <w:b/>
                <w:sz w:val="22"/>
              </w:rPr>
            </w:pPr>
            <w:r>
              <w:rPr>
                <w:b/>
                <w:w w:val="100"/>
                <w:sz w:val="22"/>
              </w:rPr>
              <w:t>3</w:t>
            </w:r>
          </w:p>
        </w:tc>
        <w:tc>
          <w:tcPr>
            <w:tcW w:w="1721" w:type="dxa"/>
            <w:vMerge w:val="restart"/>
          </w:tcPr>
          <w:p>
            <w:pPr>
              <w:pStyle w:val="TableParagraph"/>
              <w:spacing w:line="360" w:lineRule="auto" w:before="12"/>
              <w:ind w:left="163" w:right="164" w:firstLine="4"/>
              <w:rPr>
                <w:b/>
                <w:sz w:val="22"/>
              </w:rPr>
            </w:pPr>
            <w:r>
              <w:rPr>
                <w:sz w:val="22"/>
              </w:rPr>
              <w:t>Tipo de Aseveración: </w:t>
            </w:r>
            <w:r>
              <w:rPr>
                <w:b/>
                <w:sz w:val="22"/>
              </w:rPr>
              <w:t>Desfavorable</w:t>
            </w:r>
          </w:p>
        </w:tc>
        <w:tc>
          <w:tcPr>
            <w:tcW w:w="6249" w:type="dxa"/>
            <w:gridSpan w:val="5"/>
          </w:tcPr>
          <w:p>
            <w:pPr>
              <w:pStyle w:val="TableParagraph"/>
              <w:spacing w:before="7"/>
              <w:ind w:left="2517" w:right="2517"/>
              <w:rPr>
                <w:sz w:val="22"/>
              </w:rPr>
            </w:pPr>
            <w:r>
              <w:rPr>
                <w:sz w:val="22"/>
              </w:rPr>
              <w:t>Respuestas</w:t>
            </w:r>
          </w:p>
        </w:tc>
      </w:tr>
      <w:tr>
        <w:trPr>
          <w:trHeight w:val="768" w:hRule="exact"/>
        </w:trPr>
        <w:tc>
          <w:tcPr>
            <w:tcW w:w="1428" w:type="dxa"/>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7" w:type="dxa"/>
          </w:tcPr>
          <w:p>
            <w:pPr>
              <w:pStyle w:val="TableParagraph"/>
              <w:spacing w:line="360" w:lineRule="auto"/>
              <w:ind w:left="103" w:right="84" w:firstLine="439"/>
              <w:jc w:val="left"/>
              <w:rPr>
                <w:sz w:val="22"/>
              </w:rPr>
            </w:pPr>
            <w:r>
              <w:rPr>
                <w:sz w:val="22"/>
              </w:rPr>
              <w:t>En desacuerdo</w:t>
            </w:r>
          </w:p>
        </w:tc>
        <w:tc>
          <w:tcPr>
            <w:tcW w:w="1367" w:type="dxa"/>
          </w:tcPr>
          <w:p>
            <w:pPr>
              <w:pStyle w:val="TableParagraph"/>
              <w:spacing w:line="360" w:lineRule="auto"/>
              <w:ind w:left="102" w:right="85" w:firstLine="213"/>
              <w:jc w:val="left"/>
              <w:rPr>
                <w:sz w:val="22"/>
              </w:rPr>
            </w:pPr>
            <w:r>
              <w:rPr>
                <w:sz w:val="22"/>
              </w:rPr>
              <w:t>Muy en desacuerdo</w:t>
            </w:r>
          </w:p>
        </w:tc>
      </w:tr>
      <w:tr>
        <w:trPr>
          <w:trHeight w:val="413" w:hRule="exact"/>
        </w:trPr>
        <w:tc>
          <w:tcPr>
            <w:tcW w:w="3149" w:type="dxa"/>
            <w:gridSpan w:val="2"/>
          </w:tcPr>
          <w:p>
            <w:pPr>
              <w:pStyle w:val="TableParagraph"/>
              <w:spacing w:before="9"/>
              <w:ind w:left="326"/>
              <w:jc w:val="left"/>
              <w:rPr>
                <w:sz w:val="22"/>
              </w:rPr>
            </w:pPr>
            <w:r>
              <w:rPr>
                <w:sz w:val="22"/>
              </w:rPr>
              <w:t>Total de la población (24)</w:t>
            </w:r>
          </w:p>
        </w:tc>
        <w:tc>
          <w:tcPr>
            <w:tcW w:w="1150" w:type="dxa"/>
          </w:tcPr>
          <w:p>
            <w:pPr>
              <w:pStyle w:val="TableParagraph"/>
              <w:spacing w:line="268" w:lineRule="exact"/>
              <w:ind w:left="118" w:right="120"/>
              <w:rPr>
                <w:rFonts w:ascii="Calibri Light"/>
                <w:b w:val="0"/>
                <w:sz w:val="22"/>
              </w:rPr>
            </w:pPr>
            <w:r>
              <w:rPr>
                <w:sz w:val="22"/>
              </w:rPr>
              <w:t>1 </w:t>
            </w:r>
            <w:r>
              <w:rPr>
                <w:rFonts w:ascii="Calibri Light"/>
                <w:b w:val="0"/>
                <w:sz w:val="22"/>
              </w:rPr>
              <w:t>(4.1%)</w:t>
            </w:r>
          </w:p>
        </w:tc>
        <w:tc>
          <w:tcPr>
            <w:tcW w:w="1121" w:type="dxa"/>
          </w:tcPr>
          <w:p>
            <w:pPr>
              <w:pStyle w:val="TableParagraph"/>
              <w:spacing w:line="268" w:lineRule="exact"/>
              <w:ind w:left="85" w:right="86"/>
              <w:rPr>
                <w:rFonts w:ascii="Calibri Light"/>
                <w:b w:val="0"/>
                <w:sz w:val="22"/>
              </w:rPr>
            </w:pPr>
            <w:r>
              <w:rPr>
                <w:sz w:val="22"/>
              </w:rPr>
              <w:t>5 </w:t>
            </w:r>
            <w:r>
              <w:rPr>
                <w:rFonts w:ascii="Calibri Light"/>
                <w:b w:val="0"/>
                <w:sz w:val="22"/>
              </w:rPr>
              <w:t>(20.8%)</w:t>
            </w:r>
          </w:p>
        </w:tc>
        <w:tc>
          <w:tcPr>
            <w:tcW w:w="1244" w:type="dxa"/>
          </w:tcPr>
          <w:p>
            <w:pPr>
              <w:pStyle w:val="TableParagraph"/>
              <w:spacing w:line="268" w:lineRule="exact"/>
              <w:ind w:left="82" w:right="82"/>
              <w:rPr>
                <w:rFonts w:ascii="Calibri Light"/>
                <w:b w:val="0"/>
                <w:sz w:val="22"/>
              </w:rPr>
            </w:pPr>
            <w:r>
              <w:rPr>
                <w:sz w:val="22"/>
              </w:rPr>
              <w:t>4 </w:t>
            </w:r>
            <w:r>
              <w:rPr>
                <w:rFonts w:ascii="Calibri Light"/>
                <w:b w:val="0"/>
                <w:sz w:val="22"/>
              </w:rPr>
              <w:t>(16.6%)</w:t>
            </w:r>
          </w:p>
        </w:tc>
        <w:tc>
          <w:tcPr>
            <w:tcW w:w="1367" w:type="dxa"/>
            <w:shd w:val="clear" w:color="auto" w:fill="2D74B5"/>
          </w:tcPr>
          <w:p>
            <w:pPr>
              <w:pStyle w:val="TableParagraph"/>
              <w:spacing w:line="268" w:lineRule="exact"/>
              <w:ind w:left="268" w:right="84"/>
              <w:jc w:val="left"/>
              <w:rPr>
                <w:rFonts w:ascii="Calibri Light"/>
                <w:b w:val="0"/>
                <w:sz w:val="22"/>
              </w:rPr>
            </w:pPr>
            <w:r>
              <w:rPr>
                <w:sz w:val="22"/>
              </w:rPr>
              <w:t>12 </w:t>
            </w:r>
            <w:r>
              <w:rPr>
                <w:rFonts w:ascii="Calibri Light"/>
                <w:b w:val="0"/>
                <w:sz w:val="22"/>
              </w:rPr>
              <w:t>(50%)</w:t>
            </w:r>
          </w:p>
        </w:tc>
        <w:tc>
          <w:tcPr>
            <w:tcW w:w="1367" w:type="dxa"/>
          </w:tcPr>
          <w:p>
            <w:pPr>
              <w:pStyle w:val="TableParagraph"/>
              <w:spacing w:line="268" w:lineRule="exact"/>
              <w:ind w:left="227" w:right="228"/>
              <w:rPr>
                <w:rFonts w:ascii="Calibri Light"/>
                <w:b w:val="0"/>
                <w:sz w:val="22"/>
              </w:rPr>
            </w:pPr>
            <w:r>
              <w:rPr>
                <w:sz w:val="22"/>
              </w:rPr>
              <w:t>2 </w:t>
            </w:r>
            <w:r>
              <w:rPr>
                <w:rFonts w:ascii="Calibri Light"/>
                <w:b w:val="0"/>
                <w:sz w:val="22"/>
              </w:rPr>
              <w:t>(8.3%)</w:t>
            </w:r>
          </w:p>
        </w:tc>
      </w:tr>
      <w:tr>
        <w:trPr>
          <w:trHeight w:val="413" w:hRule="exact"/>
        </w:trPr>
        <w:tc>
          <w:tcPr>
            <w:tcW w:w="3149" w:type="dxa"/>
            <w:gridSpan w:val="2"/>
          </w:tcPr>
          <w:p>
            <w:pPr>
              <w:pStyle w:val="TableParagraph"/>
              <w:spacing w:before="12"/>
              <w:ind w:left="950"/>
              <w:jc w:val="left"/>
              <w:rPr>
                <w:sz w:val="22"/>
              </w:rPr>
            </w:pPr>
            <w:r>
              <w:rPr>
                <w:sz w:val="22"/>
              </w:rPr>
              <w:t>Mujeres (12)</w:t>
            </w:r>
          </w:p>
        </w:tc>
        <w:tc>
          <w:tcPr>
            <w:tcW w:w="1150" w:type="dxa"/>
          </w:tcPr>
          <w:p>
            <w:pPr>
              <w:pStyle w:val="TableParagraph"/>
              <w:spacing w:line="268" w:lineRule="exact"/>
              <w:ind w:left="118" w:right="120"/>
              <w:rPr>
                <w:rFonts w:ascii="Calibri Light"/>
                <w:b w:val="0"/>
                <w:sz w:val="22"/>
              </w:rPr>
            </w:pPr>
            <w:r>
              <w:rPr>
                <w:sz w:val="22"/>
              </w:rPr>
              <w:t>1 </w:t>
            </w:r>
            <w:r>
              <w:rPr>
                <w:rFonts w:ascii="Calibri Light"/>
                <w:b w:val="0"/>
                <w:sz w:val="22"/>
              </w:rPr>
              <w:t>(8%)</w:t>
            </w:r>
          </w:p>
        </w:tc>
        <w:tc>
          <w:tcPr>
            <w:tcW w:w="1121" w:type="dxa"/>
          </w:tcPr>
          <w:p>
            <w:pPr>
              <w:pStyle w:val="TableParagraph"/>
              <w:spacing w:line="268" w:lineRule="exact"/>
              <w:ind w:left="85" w:right="87"/>
              <w:rPr>
                <w:rFonts w:ascii="Calibri Light"/>
                <w:b w:val="0"/>
                <w:sz w:val="22"/>
              </w:rPr>
            </w:pPr>
            <w:r>
              <w:rPr>
                <w:sz w:val="22"/>
              </w:rPr>
              <w:t>3 </w:t>
            </w:r>
            <w:r>
              <w:rPr>
                <w:rFonts w:ascii="Calibri Light"/>
                <w:b w:val="0"/>
                <w:sz w:val="22"/>
              </w:rPr>
              <w:t>(25%)</w:t>
            </w:r>
          </w:p>
        </w:tc>
        <w:tc>
          <w:tcPr>
            <w:tcW w:w="1244" w:type="dxa"/>
          </w:tcPr>
          <w:p>
            <w:pPr>
              <w:pStyle w:val="TableParagraph"/>
              <w:spacing w:before="12"/>
              <w:rPr>
                <w:sz w:val="22"/>
              </w:rPr>
            </w:pPr>
            <w:r>
              <w:rPr>
                <w:w w:val="100"/>
                <w:sz w:val="22"/>
              </w:rPr>
              <w:t>0</w:t>
            </w:r>
          </w:p>
        </w:tc>
        <w:tc>
          <w:tcPr>
            <w:tcW w:w="1367" w:type="dxa"/>
            <w:shd w:val="clear" w:color="auto" w:fill="2D74B5"/>
          </w:tcPr>
          <w:p>
            <w:pPr>
              <w:pStyle w:val="TableParagraph"/>
              <w:spacing w:line="268" w:lineRule="exact"/>
              <w:ind w:left="331" w:right="84"/>
              <w:jc w:val="left"/>
              <w:rPr>
                <w:rFonts w:ascii="Calibri Light"/>
                <w:b w:val="0"/>
                <w:sz w:val="22"/>
              </w:rPr>
            </w:pPr>
            <w:r>
              <w:rPr>
                <w:sz w:val="22"/>
              </w:rPr>
              <w:t>6 </w:t>
            </w:r>
            <w:r>
              <w:rPr>
                <w:rFonts w:ascii="Calibri Light"/>
                <w:b w:val="0"/>
                <w:sz w:val="22"/>
              </w:rPr>
              <w:t>(50%)</w:t>
            </w:r>
          </w:p>
        </w:tc>
        <w:tc>
          <w:tcPr>
            <w:tcW w:w="1367" w:type="dxa"/>
          </w:tcPr>
          <w:p>
            <w:pPr>
              <w:pStyle w:val="TableParagraph"/>
              <w:spacing w:line="268" w:lineRule="exact"/>
              <w:ind w:left="227" w:right="230"/>
              <w:rPr>
                <w:rFonts w:ascii="Calibri Light"/>
                <w:b w:val="0"/>
                <w:sz w:val="22"/>
              </w:rPr>
            </w:pPr>
            <w:r>
              <w:rPr>
                <w:sz w:val="22"/>
              </w:rPr>
              <w:t>2</w:t>
            </w:r>
            <w:r>
              <w:rPr>
                <w:rFonts w:ascii="Calibri Light"/>
                <w:b w:val="0"/>
                <w:sz w:val="22"/>
              </w:rPr>
              <w:t>(16.6%)</w:t>
            </w:r>
          </w:p>
        </w:tc>
      </w:tr>
      <w:tr>
        <w:trPr>
          <w:trHeight w:val="415" w:hRule="exact"/>
        </w:trPr>
        <w:tc>
          <w:tcPr>
            <w:tcW w:w="3149" w:type="dxa"/>
            <w:gridSpan w:val="2"/>
          </w:tcPr>
          <w:p>
            <w:pPr>
              <w:pStyle w:val="TableParagraph"/>
              <w:spacing w:before="12"/>
              <w:ind w:left="897"/>
              <w:jc w:val="left"/>
              <w:rPr>
                <w:sz w:val="22"/>
              </w:rPr>
            </w:pPr>
            <w:r>
              <w:rPr>
                <w:sz w:val="22"/>
              </w:rPr>
              <w:t>Hombres (12)</w:t>
            </w:r>
          </w:p>
        </w:tc>
        <w:tc>
          <w:tcPr>
            <w:tcW w:w="1150" w:type="dxa"/>
          </w:tcPr>
          <w:p>
            <w:pPr>
              <w:pStyle w:val="TableParagraph"/>
              <w:spacing w:before="12"/>
              <w:ind w:right="2"/>
              <w:rPr>
                <w:sz w:val="22"/>
              </w:rPr>
            </w:pPr>
            <w:r>
              <w:rPr>
                <w:w w:val="100"/>
                <w:sz w:val="22"/>
              </w:rPr>
              <w:t>0</w:t>
            </w:r>
          </w:p>
        </w:tc>
        <w:tc>
          <w:tcPr>
            <w:tcW w:w="1121" w:type="dxa"/>
          </w:tcPr>
          <w:p>
            <w:pPr>
              <w:pStyle w:val="TableParagraph"/>
              <w:spacing w:line="268" w:lineRule="exact"/>
              <w:ind w:left="85" w:right="86"/>
              <w:rPr>
                <w:rFonts w:ascii="Calibri Light"/>
                <w:b w:val="0"/>
                <w:sz w:val="22"/>
              </w:rPr>
            </w:pPr>
            <w:r>
              <w:rPr>
                <w:sz w:val="22"/>
              </w:rPr>
              <w:t>2 </w:t>
            </w:r>
            <w:r>
              <w:rPr>
                <w:rFonts w:ascii="Calibri Light"/>
                <w:b w:val="0"/>
                <w:sz w:val="22"/>
              </w:rPr>
              <w:t>(16.6%)</w:t>
            </w:r>
          </w:p>
        </w:tc>
        <w:tc>
          <w:tcPr>
            <w:tcW w:w="1244" w:type="dxa"/>
          </w:tcPr>
          <w:p>
            <w:pPr>
              <w:pStyle w:val="TableParagraph"/>
              <w:spacing w:line="268" w:lineRule="exact"/>
              <w:ind w:left="82" w:right="82"/>
              <w:rPr>
                <w:rFonts w:ascii="Calibri Light"/>
                <w:b w:val="0"/>
                <w:sz w:val="22"/>
              </w:rPr>
            </w:pPr>
            <w:r>
              <w:rPr>
                <w:sz w:val="22"/>
              </w:rPr>
              <w:t>4 </w:t>
            </w:r>
            <w:r>
              <w:rPr>
                <w:rFonts w:ascii="Calibri Light"/>
                <w:b w:val="0"/>
                <w:sz w:val="22"/>
              </w:rPr>
              <w:t>(33.3%)</w:t>
            </w:r>
          </w:p>
        </w:tc>
        <w:tc>
          <w:tcPr>
            <w:tcW w:w="1367" w:type="dxa"/>
            <w:shd w:val="clear" w:color="auto" w:fill="2D74B5"/>
          </w:tcPr>
          <w:p>
            <w:pPr>
              <w:pStyle w:val="TableParagraph"/>
              <w:spacing w:line="268" w:lineRule="exact"/>
              <w:ind w:left="331" w:right="84"/>
              <w:jc w:val="left"/>
              <w:rPr>
                <w:rFonts w:ascii="Calibri Light"/>
                <w:b w:val="0"/>
                <w:sz w:val="22"/>
              </w:rPr>
            </w:pPr>
            <w:r>
              <w:rPr>
                <w:sz w:val="22"/>
              </w:rPr>
              <w:t>6 </w:t>
            </w:r>
            <w:r>
              <w:rPr>
                <w:rFonts w:ascii="Calibri Light"/>
                <w:b w:val="0"/>
                <w:sz w:val="22"/>
              </w:rPr>
              <w:t>(50%)</w:t>
            </w:r>
          </w:p>
        </w:tc>
        <w:tc>
          <w:tcPr>
            <w:tcW w:w="1367" w:type="dxa"/>
          </w:tcPr>
          <w:p>
            <w:pPr>
              <w:pStyle w:val="TableParagraph"/>
              <w:spacing w:before="12"/>
              <w:ind w:right="1"/>
              <w:rPr>
                <w:sz w:val="22"/>
              </w:rPr>
            </w:pPr>
            <w:r>
              <w:rPr>
                <w:w w:val="100"/>
                <w:sz w:val="22"/>
              </w:rPr>
              <w:t>0</w:t>
            </w:r>
          </w:p>
        </w:tc>
      </w:tr>
    </w:tbl>
    <w:p>
      <w:pPr>
        <w:spacing w:line="360" w:lineRule="auto" w:before="0"/>
        <w:ind w:left="4283" w:right="99" w:hanging="4175"/>
        <w:jc w:val="left"/>
        <w:rPr>
          <w:b/>
          <w:sz w:val="20"/>
        </w:rPr>
      </w:pPr>
      <w:r>
        <w:rPr>
          <w:b/>
          <w:sz w:val="20"/>
        </w:rPr>
        <w:t>Tabla 4.7. Discurso de un líder empresarial irrelevante; respuestas en la totalidad de la población y por género</w:t>
      </w:r>
    </w:p>
    <w:p>
      <w:pPr>
        <w:pStyle w:val="BodyText"/>
        <w:spacing w:before="8"/>
        <w:rPr>
          <w:b/>
          <w:sz w:val="17"/>
        </w:rPr>
      </w:pPr>
    </w:p>
    <w:p>
      <w:pPr>
        <w:pStyle w:val="BodyText"/>
        <w:spacing w:line="360" w:lineRule="auto"/>
        <w:ind w:left="102" w:right="111" w:firstLine="707"/>
        <w:jc w:val="both"/>
      </w:pPr>
      <w:r>
        <w:rPr/>
        <w:t>En</w:t>
      </w:r>
      <w:r>
        <w:rPr>
          <w:spacing w:val="-13"/>
        </w:rPr>
        <w:t> </w:t>
      </w:r>
      <w:r>
        <w:rPr/>
        <w:t>cuanto</w:t>
      </w:r>
      <w:r>
        <w:rPr>
          <w:spacing w:val="-15"/>
        </w:rPr>
        <w:t> </w:t>
      </w:r>
      <w:r>
        <w:rPr/>
        <w:t>a</w:t>
      </w:r>
      <w:r>
        <w:rPr>
          <w:spacing w:val="-13"/>
        </w:rPr>
        <w:t> </w:t>
      </w:r>
      <w:r>
        <w:rPr/>
        <w:t>grupos</w:t>
      </w:r>
      <w:r>
        <w:rPr>
          <w:spacing w:val="-14"/>
        </w:rPr>
        <w:t> </w:t>
      </w:r>
      <w:r>
        <w:rPr/>
        <w:t>de</w:t>
      </w:r>
      <w:r>
        <w:rPr>
          <w:spacing w:val="-16"/>
        </w:rPr>
        <w:t> </w:t>
      </w:r>
      <w:r>
        <w:rPr/>
        <w:t>edad</w:t>
      </w:r>
      <w:r>
        <w:rPr>
          <w:spacing w:val="-13"/>
        </w:rPr>
        <w:t> </w:t>
      </w:r>
      <w:r>
        <w:rPr/>
        <w:t>(tabla</w:t>
      </w:r>
      <w:r>
        <w:rPr>
          <w:spacing w:val="-14"/>
        </w:rPr>
        <w:t> </w:t>
      </w:r>
      <w:r>
        <w:rPr/>
        <w:t>4.8.),</w:t>
      </w:r>
      <w:r>
        <w:rPr>
          <w:spacing w:val="-14"/>
        </w:rPr>
        <w:t> </w:t>
      </w:r>
      <w:r>
        <w:rPr/>
        <w:t>en</w:t>
      </w:r>
      <w:r>
        <w:rPr>
          <w:spacing w:val="-16"/>
        </w:rPr>
        <w:t> </w:t>
      </w:r>
      <w:r>
        <w:rPr/>
        <w:t>el</w:t>
      </w:r>
      <w:r>
        <w:rPr>
          <w:spacing w:val="-17"/>
        </w:rPr>
        <w:t> </w:t>
      </w:r>
      <w:r>
        <w:rPr/>
        <w:t>grupo</w:t>
      </w:r>
      <w:r>
        <w:rPr>
          <w:spacing w:val="-13"/>
        </w:rPr>
        <w:t> </w:t>
      </w:r>
      <w:r>
        <w:rPr/>
        <w:t>3,</w:t>
      </w:r>
      <w:r>
        <w:rPr>
          <w:spacing w:val="-16"/>
        </w:rPr>
        <w:t> </w:t>
      </w:r>
      <w:r>
        <w:rPr/>
        <w:t>cinco</w:t>
      </w:r>
      <w:r>
        <w:rPr>
          <w:spacing w:val="-15"/>
        </w:rPr>
        <w:t> </w:t>
      </w:r>
      <w:r>
        <w:rPr/>
        <w:t>de</w:t>
      </w:r>
      <w:r>
        <w:rPr>
          <w:spacing w:val="-13"/>
        </w:rPr>
        <w:t> </w:t>
      </w:r>
      <w:r>
        <w:rPr/>
        <w:t>seis</w:t>
      </w:r>
      <w:r>
        <w:rPr>
          <w:spacing w:val="-17"/>
        </w:rPr>
        <w:t> </w:t>
      </w:r>
      <w:r>
        <w:rPr/>
        <w:t>sujetos</w:t>
      </w:r>
      <w:r>
        <w:rPr>
          <w:spacing w:val="-16"/>
        </w:rPr>
        <w:t> </w:t>
      </w:r>
      <w:r>
        <w:rPr/>
        <w:t>dijeron estar</w:t>
      </w:r>
      <w:r>
        <w:rPr>
          <w:spacing w:val="-17"/>
        </w:rPr>
        <w:t> </w:t>
      </w:r>
      <w:r>
        <w:rPr/>
        <w:t>“en</w:t>
      </w:r>
      <w:r>
        <w:rPr>
          <w:spacing w:val="-18"/>
        </w:rPr>
        <w:t> </w:t>
      </w:r>
      <w:r>
        <w:rPr/>
        <w:t>desacuerdo”</w:t>
      </w:r>
      <w:r>
        <w:rPr>
          <w:spacing w:val="-19"/>
        </w:rPr>
        <w:t> </w:t>
      </w:r>
      <w:r>
        <w:rPr/>
        <w:t>con</w:t>
      </w:r>
      <w:r>
        <w:rPr>
          <w:spacing w:val="-16"/>
        </w:rPr>
        <w:t> </w:t>
      </w:r>
      <w:r>
        <w:rPr/>
        <w:t>la</w:t>
      </w:r>
      <w:r>
        <w:rPr>
          <w:spacing w:val="-18"/>
        </w:rPr>
        <w:t> </w:t>
      </w:r>
      <w:r>
        <w:rPr/>
        <w:t>aseveración</w:t>
      </w:r>
      <w:r>
        <w:rPr>
          <w:spacing w:val="-18"/>
        </w:rPr>
        <w:t> </w:t>
      </w:r>
      <w:r>
        <w:rPr/>
        <w:t>desfavorable.</w:t>
      </w:r>
      <w:r>
        <w:rPr>
          <w:spacing w:val="-16"/>
        </w:rPr>
        <w:t> </w:t>
      </w:r>
      <w:r>
        <w:rPr/>
        <w:t>En</w:t>
      </w:r>
      <w:r>
        <w:rPr>
          <w:spacing w:val="-16"/>
        </w:rPr>
        <w:t> </w:t>
      </w:r>
      <w:r>
        <w:rPr/>
        <w:t>el</w:t>
      </w:r>
      <w:r>
        <w:rPr>
          <w:spacing w:val="-17"/>
        </w:rPr>
        <w:t> </w:t>
      </w:r>
      <w:r>
        <w:rPr/>
        <w:t>grupo</w:t>
      </w:r>
      <w:r>
        <w:rPr>
          <w:spacing w:val="-20"/>
        </w:rPr>
        <w:t> </w:t>
      </w:r>
      <w:r>
        <w:rPr/>
        <w:t>2,</w:t>
      </w:r>
      <w:r>
        <w:rPr>
          <w:spacing w:val="-16"/>
        </w:rPr>
        <w:t> </w:t>
      </w:r>
      <w:r>
        <w:rPr/>
        <w:t>tres</w:t>
      </w:r>
      <w:r>
        <w:rPr>
          <w:spacing w:val="-19"/>
        </w:rPr>
        <w:t> </w:t>
      </w:r>
      <w:r>
        <w:rPr/>
        <w:t>de</w:t>
      </w:r>
      <w:r>
        <w:rPr>
          <w:spacing w:val="-16"/>
        </w:rPr>
        <w:t> </w:t>
      </w:r>
      <w:r>
        <w:rPr/>
        <w:t>seis</w:t>
      </w:r>
      <w:r>
        <w:rPr>
          <w:spacing w:val="-17"/>
        </w:rPr>
        <w:t> </w:t>
      </w:r>
      <w:r>
        <w:rPr/>
        <w:t>sujetos se encuentran “en desacuerdo”, uno “muy en desacuerdo” y dos “de acuerdo”. El grupo 1 se mantiene “indiferente” ante esta aseveración. Y el grupo 4 desfavorece una actitud positiva ante los anglicismos con el 50% de sujetos “de</w:t>
      </w:r>
      <w:r>
        <w:rPr>
          <w:spacing w:val="-23"/>
        </w:rPr>
        <w:t> </w:t>
      </w:r>
      <w:r>
        <w:rPr/>
        <w:t>acuerdo”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44"/>
        <w:gridCol w:w="1678"/>
        <w:gridCol w:w="1087"/>
        <w:gridCol w:w="1061"/>
        <w:gridCol w:w="1282"/>
        <w:gridCol w:w="1409"/>
        <w:gridCol w:w="1409"/>
      </w:tblGrid>
      <w:tr>
        <w:trPr>
          <w:trHeight w:val="408" w:hRule="exact"/>
        </w:trPr>
        <w:tc>
          <w:tcPr>
            <w:tcW w:w="1471" w:type="dxa"/>
            <w:gridSpan w:val="2"/>
            <w:vMerge w:val="restart"/>
          </w:tcPr>
          <w:p>
            <w:pPr>
              <w:pStyle w:val="TableParagraph"/>
              <w:spacing w:before="6"/>
              <w:jc w:val="left"/>
              <w:rPr>
                <w:sz w:val="17"/>
              </w:rPr>
            </w:pPr>
          </w:p>
          <w:p>
            <w:pPr>
              <w:pStyle w:val="TableParagraph"/>
              <w:ind w:left="104" w:right="105"/>
              <w:rPr>
                <w:sz w:val="22"/>
              </w:rPr>
            </w:pPr>
            <w:r>
              <w:rPr>
                <w:sz w:val="22"/>
              </w:rPr>
              <w:t>Aseveración</w:t>
            </w:r>
          </w:p>
          <w:p>
            <w:pPr>
              <w:pStyle w:val="TableParagraph"/>
              <w:spacing w:before="124"/>
              <w:rPr>
                <w:b/>
                <w:sz w:val="22"/>
              </w:rPr>
            </w:pPr>
            <w:r>
              <w:rPr>
                <w:b/>
                <w:w w:val="100"/>
                <w:sz w:val="22"/>
              </w:rPr>
              <w:t>3</w:t>
            </w:r>
          </w:p>
        </w:tc>
        <w:tc>
          <w:tcPr>
            <w:tcW w:w="1678" w:type="dxa"/>
            <w:vMerge w:val="restart"/>
          </w:tcPr>
          <w:p>
            <w:pPr>
              <w:pStyle w:val="TableParagraph"/>
              <w:spacing w:line="357" w:lineRule="auto" w:before="12"/>
              <w:ind w:left="141" w:right="142" w:firstLine="4"/>
              <w:rPr>
                <w:b/>
                <w:sz w:val="22"/>
              </w:rPr>
            </w:pPr>
            <w:r>
              <w:rPr>
                <w:sz w:val="22"/>
              </w:rPr>
              <w:t>Tipo de Aseveración: </w:t>
            </w:r>
            <w:r>
              <w:rPr>
                <w:b/>
                <w:sz w:val="22"/>
              </w:rPr>
              <w:t>Desfavorable</w:t>
            </w:r>
          </w:p>
        </w:tc>
        <w:tc>
          <w:tcPr>
            <w:tcW w:w="6249" w:type="dxa"/>
            <w:gridSpan w:val="5"/>
          </w:tcPr>
          <w:p>
            <w:pPr>
              <w:pStyle w:val="TableParagraph"/>
              <w:spacing w:before="7"/>
              <w:ind w:left="2515" w:right="2518"/>
              <w:rPr>
                <w:sz w:val="22"/>
              </w:rPr>
            </w:pPr>
            <w:r>
              <w:rPr>
                <w:sz w:val="22"/>
              </w:rPr>
              <w:t>Respuestas</w:t>
            </w:r>
          </w:p>
        </w:tc>
      </w:tr>
      <w:tr>
        <w:trPr>
          <w:trHeight w:val="768" w:hRule="exact"/>
        </w:trPr>
        <w:tc>
          <w:tcPr>
            <w:tcW w:w="1471" w:type="dxa"/>
            <w:gridSpan w:val="2"/>
            <w:vMerge/>
          </w:tcPr>
          <w:p>
            <w:pPr/>
          </w:p>
        </w:tc>
        <w:tc>
          <w:tcPr>
            <w:tcW w:w="1678" w:type="dxa"/>
            <w:vMerge/>
          </w:tcPr>
          <w:p>
            <w:pPr/>
          </w:p>
        </w:tc>
        <w:tc>
          <w:tcPr>
            <w:tcW w:w="1087" w:type="dxa"/>
          </w:tcPr>
          <w:p>
            <w:pPr>
              <w:pStyle w:val="TableParagraph"/>
              <w:spacing w:line="360" w:lineRule="auto"/>
              <w:ind w:left="139" w:right="123" w:firstLine="36"/>
              <w:jc w:val="left"/>
              <w:rPr>
                <w:sz w:val="22"/>
              </w:rPr>
            </w:pPr>
            <w:r>
              <w:rPr>
                <w:sz w:val="22"/>
              </w:rPr>
              <w:t>Muy de acuerdo</w:t>
            </w:r>
          </w:p>
        </w:tc>
        <w:tc>
          <w:tcPr>
            <w:tcW w:w="1061" w:type="dxa"/>
          </w:tcPr>
          <w:p>
            <w:pPr>
              <w:pStyle w:val="TableParagraph"/>
              <w:spacing w:line="360" w:lineRule="auto"/>
              <w:ind w:left="127" w:right="109" w:firstLine="256"/>
              <w:jc w:val="left"/>
              <w:rPr>
                <w:sz w:val="22"/>
              </w:rPr>
            </w:pPr>
            <w:r>
              <w:rPr>
                <w:sz w:val="22"/>
              </w:rPr>
              <w:t>De acuerdo</w:t>
            </w:r>
          </w:p>
        </w:tc>
        <w:tc>
          <w:tcPr>
            <w:tcW w:w="1282" w:type="dxa"/>
          </w:tcPr>
          <w:p>
            <w:pPr>
              <w:pStyle w:val="TableParagraph"/>
              <w:spacing w:before="187"/>
              <w:ind w:left="103" w:right="101"/>
              <w:rPr>
                <w:sz w:val="22"/>
              </w:rPr>
            </w:pPr>
            <w:r>
              <w:rPr>
                <w:sz w:val="22"/>
              </w:rPr>
              <w:t>indiferente</w:t>
            </w:r>
          </w:p>
        </w:tc>
        <w:tc>
          <w:tcPr>
            <w:tcW w:w="1409" w:type="dxa"/>
          </w:tcPr>
          <w:p>
            <w:pPr>
              <w:pStyle w:val="TableParagraph"/>
              <w:spacing w:line="360" w:lineRule="auto"/>
              <w:ind w:left="125" w:right="105" w:firstLine="439"/>
              <w:jc w:val="left"/>
              <w:rPr>
                <w:sz w:val="22"/>
              </w:rPr>
            </w:pPr>
            <w:r>
              <w:rPr>
                <w:sz w:val="22"/>
              </w:rPr>
              <w:t>En desacuerdo</w:t>
            </w:r>
          </w:p>
        </w:tc>
        <w:tc>
          <w:tcPr>
            <w:tcW w:w="1409" w:type="dxa"/>
          </w:tcPr>
          <w:p>
            <w:pPr>
              <w:pStyle w:val="TableParagraph"/>
              <w:spacing w:line="360" w:lineRule="auto"/>
              <w:ind w:left="122" w:right="107" w:firstLine="216"/>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1 (6)</w:t>
            </w:r>
          </w:p>
        </w:tc>
        <w:tc>
          <w:tcPr>
            <w:tcW w:w="1087" w:type="dxa"/>
          </w:tcPr>
          <w:p>
            <w:pPr>
              <w:pStyle w:val="TableParagraph"/>
              <w:spacing w:line="265" w:lineRule="exact"/>
              <w:ind w:left="87" w:right="89"/>
              <w:rPr>
                <w:rFonts w:ascii="Calibri Light"/>
                <w:b w:val="0"/>
                <w:sz w:val="22"/>
              </w:rPr>
            </w:pPr>
            <w:r>
              <w:rPr>
                <w:sz w:val="22"/>
              </w:rPr>
              <w:t>1 </w:t>
            </w:r>
            <w:r>
              <w:rPr>
                <w:rFonts w:ascii="Calibri Light"/>
                <w:b w:val="0"/>
                <w:sz w:val="22"/>
              </w:rPr>
              <w:t>(16%)</w:t>
            </w:r>
          </w:p>
        </w:tc>
        <w:tc>
          <w:tcPr>
            <w:tcW w:w="1061" w:type="dxa"/>
            <w:tcBorders>
              <w:right w:val="single" w:sz="41" w:space="0" w:color="2D74B5"/>
            </w:tcBorders>
          </w:tcPr>
          <w:p>
            <w:pPr>
              <w:pStyle w:val="TableParagraph"/>
              <w:spacing w:before="9"/>
              <w:ind w:left="45"/>
              <w:rPr>
                <w:sz w:val="22"/>
              </w:rPr>
            </w:pPr>
            <w:r>
              <w:rPr>
                <w:w w:val="100"/>
                <w:sz w:val="22"/>
              </w:rPr>
              <w:t>0</w:t>
            </w:r>
          </w:p>
        </w:tc>
        <w:tc>
          <w:tcPr>
            <w:tcW w:w="1282" w:type="dxa"/>
            <w:shd w:val="clear" w:color="auto" w:fill="2D74B5"/>
          </w:tcPr>
          <w:p>
            <w:pPr>
              <w:pStyle w:val="TableParagraph"/>
              <w:spacing w:line="265" w:lineRule="exact"/>
              <w:ind w:left="103" w:right="100"/>
              <w:rPr>
                <w:rFonts w:ascii="Calibri Light"/>
                <w:b w:val="0"/>
                <w:sz w:val="22"/>
              </w:rPr>
            </w:pPr>
            <w:r>
              <w:rPr>
                <w:sz w:val="22"/>
              </w:rPr>
              <w:t>3 </w:t>
            </w:r>
            <w:r>
              <w:rPr>
                <w:rFonts w:ascii="Calibri Light"/>
                <w:b w:val="0"/>
                <w:sz w:val="22"/>
              </w:rPr>
              <w:t>(50%)</w:t>
            </w:r>
          </w:p>
        </w:tc>
        <w:tc>
          <w:tcPr>
            <w:tcW w:w="1409" w:type="dxa"/>
            <w:tcBorders>
              <w:left w:val="single" w:sz="41" w:space="0" w:color="2D74B5"/>
            </w:tcBorders>
          </w:tcPr>
          <w:p>
            <w:pPr>
              <w:pStyle w:val="TableParagraph"/>
              <w:spacing w:line="265" w:lineRule="exact"/>
              <w:ind w:left="204" w:right="249"/>
              <w:rPr>
                <w:rFonts w:ascii="Calibri Light"/>
                <w:b w:val="0"/>
                <w:sz w:val="22"/>
              </w:rPr>
            </w:pPr>
            <w:r>
              <w:rPr>
                <w:sz w:val="22"/>
              </w:rPr>
              <w:t>2 </w:t>
            </w:r>
            <w:r>
              <w:rPr>
                <w:rFonts w:ascii="Calibri Light"/>
                <w:b w:val="0"/>
                <w:sz w:val="22"/>
              </w:rPr>
              <w:t>(33.3%)</w:t>
            </w:r>
          </w:p>
        </w:tc>
        <w:tc>
          <w:tcPr>
            <w:tcW w:w="1409"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10"/>
              <w:ind w:right="58"/>
              <w:jc w:val="right"/>
              <w:rPr>
                <w:sz w:val="22"/>
              </w:rPr>
            </w:pPr>
            <w:r>
              <w:rPr>
                <w:sz w:val="22"/>
              </w:rPr>
              <w:t>Grupo</w:t>
            </w:r>
          </w:p>
        </w:tc>
        <w:tc>
          <w:tcPr>
            <w:tcW w:w="1922" w:type="dxa"/>
            <w:gridSpan w:val="2"/>
            <w:tcBorders>
              <w:left w:val="nil"/>
            </w:tcBorders>
          </w:tcPr>
          <w:p>
            <w:pPr>
              <w:pStyle w:val="TableParagraph"/>
              <w:spacing w:before="10"/>
              <w:ind w:left="60"/>
              <w:jc w:val="left"/>
              <w:rPr>
                <w:sz w:val="22"/>
              </w:rPr>
            </w:pPr>
            <w:r>
              <w:rPr>
                <w:sz w:val="22"/>
              </w:rPr>
              <w:t>de edad 2 (6)</w:t>
            </w:r>
          </w:p>
        </w:tc>
        <w:tc>
          <w:tcPr>
            <w:tcW w:w="1087" w:type="dxa"/>
          </w:tcPr>
          <w:p>
            <w:pPr>
              <w:pStyle w:val="TableParagraph"/>
              <w:spacing w:before="10"/>
              <w:ind w:right="2"/>
              <w:rPr>
                <w:sz w:val="22"/>
              </w:rPr>
            </w:pPr>
            <w:r>
              <w:rPr>
                <w:w w:val="100"/>
                <w:sz w:val="22"/>
              </w:rPr>
              <w:t>0</w:t>
            </w:r>
          </w:p>
        </w:tc>
        <w:tc>
          <w:tcPr>
            <w:tcW w:w="1061" w:type="dxa"/>
          </w:tcPr>
          <w:p>
            <w:pPr>
              <w:pStyle w:val="TableParagraph"/>
              <w:spacing w:line="266" w:lineRule="exact"/>
              <w:ind w:right="124"/>
              <w:jc w:val="right"/>
              <w:rPr>
                <w:rFonts w:ascii="Calibri Light"/>
                <w:b w:val="0"/>
                <w:sz w:val="22"/>
              </w:rPr>
            </w:pPr>
            <w:r>
              <w:rPr>
                <w:sz w:val="22"/>
              </w:rPr>
              <w:t>2</w:t>
            </w:r>
            <w:r>
              <w:rPr>
                <w:rFonts w:ascii="Calibri Light"/>
                <w:b w:val="0"/>
                <w:sz w:val="22"/>
              </w:rPr>
              <w:t>(33.3%)</w:t>
            </w:r>
          </w:p>
        </w:tc>
        <w:tc>
          <w:tcPr>
            <w:tcW w:w="1282" w:type="dxa"/>
            <w:tcBorders>
              <w:right w:val="single" w:sz="42" w:space="0" w:color="2D74B5"/>
            </w:tcBorders>
          </w:tcPr>
          <w:p>
            <w:pPr>
              <w:pStyle w:val="TableParagraph"/>
              <w:spacing w:before="10"/>
              <w:ind w:left="49"/>
              <w:rPr>
                <w:sz w:val="22"/>
              </w:rPr>
            </w:pPr>
            <w:r>
              <w:rPr>
                <w:w w:val="100"/>
                <w:sz w:val="22"/>
              </w:rPr>
              <w:t>0</w:t>
            </w:r>
          </w:p>
        </w:tc>
        <w:tc>
          <w:tcPr>
            <w:tcW w:w="1409" w:type="dxa"/>
            <w:shd w:val="clear" w:color="auto" w:fill="2D74B5"/>
          </w:tcPr>
          <w:p>
            <w:pPr>
              <w:pStyle w:val="TableParagraph"/>
              <w:spacing w:line="266" w:lineRule="exact"/>
              <w:ind w:left="250" w:right="249"/>
              <w:rPr>
                <w:rFonts w:ascii="Calibri Light"/>
                <w:b w:val="0"/>
                <w:sz w:val="22"/>
              </w:rPr>
            </w:pPr>
            <w:r>
              <w:rPr>
                <w:sz w:val="22"/>
              </w:rPr>
              <w:t>3 </w:t>
            </w:r>
            <w:r>
              <w:rPr>
                <w:rFonts w:ascii="Calibri Light"/>
                <w:b w:val="0"/>
                <w:sz w:val="22"/>
              </w:rPr>
              <w:t>(50%)</w:t>
            </w:r>
          </w:p>
        </w:tc>
        <w:tc>
          <w:tcPr>
            <w:tcW w:w="1409" w:type="dxa"/>
            <w:tcBorders>
              <w:left w:val="single" w:sz="45" w:space="0" w:color="2D74B5"/>
            </w:tcBorders>
          </w:tcPr>
          <w:p>
            <w:pPr>
              <w:pStyle w:val="TableParagraph"/>
              <w:spacing w:line="266" w:lineRule="exact"/>
              <w:ind w:left="196" w:right="250"/>
              <w:rPr>
                <w:rFonts w:ascii="Calibri Light"/>
                <w:b w:val="0"/>
                <w:sz w:val="22"/>
              </w:rPr>
            </w:pPr>
            <w:r>
              <w:rPr>
                <w:sz w:val="22"/>
              </w:rPr>
              <w:t>1 </w:t>
            </w:r>
            <w:r>
              <w:rPr>
                <w:rFonts w:ascii="Calibri Light"/>
                <w:b w:val="0"/>
                <w:sz w:val="22"/>
              </w:rPr>
              <w:t>(16%)</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3 (6)</w:t>
            </w:r>
          </w:p>
        </w:tc>
        <w:tc>
          <w:tcPr>
            <w:tcW w:w="1087" w:type="dxa"/>
          </w:tcPr>
          <w:p>
            <w:pPr>
              <w:pStyle w:val="TableParagraph"/>
              <w:spacing w:before="9"/>
              <w:ind w:right="2"/>
              <w:rPr>
                <w:sz w:val="22"/>
              </w:rPr>
            </w:pPr>
            <w:r>
              <w:rPr>
                <w:w w:val="100"/>
                <w:sz w:val="22"/>
              </w:rPr>
              <w:t>0</w:t>
            </w:r>
          </w:p>
        </w:tc>
        <w:tc>
          <w:tcPr>
            <w:tcW w:w="1061" w:type="dxa"/>
          </w:tcPr>
          <w:p>
            <w:pPr>
              <w:pStyle w:val="TableParagraph"/>
              <w:spacing w:before="9"/>
              <w:ind w:right="1"/>
              <w:rPr>
                <w:sz w:val="22"/>
              </w:rPr>
            </w:pPr>
            <w:r>
              <w:rPr>
                <w:w w:val="100"/>
                <w:sz w:val="22"/>
              </w:rPr>
              <w:t>0</w:t>
            </w:r>
          </w:p>
        </w:tc>
        <w:tc>
          <w:tcPr>
            <w:tcW w:w="1282" w:type="dxa"/>
            <w:tcBorders>
              <w:right w:val="single" w:sz="42" w:space="0" w:color="2D74B5"/>
            </w:tcBorders>
          </w:tcPr>
          <w:p>
            <w:pPr>
              <w:pStyle w:val="TableParagraph"/>
              <w:spacing w:before="9"/>
              <w:ind w:left="49"/>
              <w:rPr>
                <w:sz w:val="22"/>
              </w:rPr>
            </w:pPr>
            <w:r>
              <w:rPr>
                <w:w w:val="100"/>
                <w:sz w:val="22"/>
              </w:rPr>
              <w:t>0</w:t>
            </w:r>
          </w:p>
        </w:tc>
        <w:tc>
          <w:tcPr>
            <w:tcW w:w="1409" w:type="dxa"/>
            <w:shd w:val="clear" w:color="auto" w:fill="2D74B5"/>
          </w:tcPr>
          <w:p>
            <w:pPr>
              <w:pStyle w:val="TableParagraph"/>
              <w:spacing w:line="265" w:lineRule="exact"/>
              <w:ind w:left="250" w:right="251"/>
              <w:rPr>
                <w:rFonts w:ascii="Calibri Light"/>
                <w:b w:val="0"/>
                <w:sz w:val="22"/>
              </w:rPr>
            </w:pPr>
            <w:r>
              <w:rPr>
                <w:sz w:val="22"/>
              </w:rPr>
              <w:t>5 </w:t>
            </w:r>
            <w:r>
              <w:rPr>
                <w:rFonts w:ascii="Calibri Light"/>
                <w:b w:val="0"/>
                <w:sz w:val="22"/>
              </w:rPr>
              <w:t>(83.3%)</w:t>
            </w:r>
          </w:p>
        </w:tc>
        <w:tc>
          <w:tcPr>
            <w:tcW w:w="1409" w:type="dxa"/>
            <w:tcBorders>
              <w:left w:val="single" w:sz="45" w:space="0" w:color="2D74B5"/>
            </w:tcBorders>
          </w:tcPr>
          <w:p>
            <w:pPr>
              <w:pStyle w:val="TableParagraph"/>
              <w:spacing w:line="265" w:lineRule="exact"/>
              <w:ind w:left="196" w:right="250"/>
              <w:rPr>
                <w:rFonts w:ascii="Calibri Light"/>
                <w:b w:val="0"/>
                <w:sz w:val="22"/>
              </w:rPr>
            </w:pPr>
            <w:r>
              <w:rPr>
                <w:sz w:val="22"/>
              </w:rPr>
              <w:t>1 </w:t>
            </w:r>
            <w:r>
              <w:rPr>
                <w:rFonts w:ascii="Calibri Light"/>
                <w:b w:val="0"/>
                <w:sz w:val="22"/>
              </w:rPr>
              <w:t>(16%)</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4 (6)</w:t>
            </w:r>
          </w:p>
        </w:tc>
        <w:tc>
          <w:tcPr>
            <w:tcW w:w="1087" w:type="dxa"/>
            <w:tcBorders>
              <w:right w:val="single" w:sz="45" w:space="0" w:color="2D74B5"/>
            </w:tcBorders>
          </w:tcPr>
          <w:p>
            <w:pPr>
              <w:pStyle w:val="TableParagraph"/>
              <w:spacing w:before="9"/>
              <w:ind w:left="47"/>
              <w:rPr>
                <w:sz w:val="22"/>
              </w:rPr>
            </w:pPr>
            <w:r>
              <w:rPr>
                <w:w w:val="100"/>
                <w:sz w:val="22"/>
              </w:rPr>
              <w:t>0</w:t>
            </w:r>
          </w:p>
        </w:tc>
        <w:tc>
          <w:tcPr>
            <w:tcW w:w="1061" w:type="dxa"/>
            <w:shd w:val="clear" w:color="auto" w:fill="2D74B5"/>
          </w:tcPr>
          <w:p>
            <w:pPr>
              <w:pStyle w:val="TableParagraph"/>
              <w:spacing w:line="265" w:lineRule="exact"/>
              <w:ind w:right="177"/>
              <w:jc w:val="right"/>
              <w:rPr>
                <w:rFonts w:ascii="Calibri Light"/>
                <w:b w:val="0"/>
                <w:sz w:val="22"/>
              </w:rPr>
            </w:pPr>
            <w:r>
              <w:rPr>
                <w:sz w:val="22"/>
              </w:rPr>
              <w:t>3 </w:t>
            </w:r>
            <w:r>
              <w:rPr>
                <w:rFonts w:ascii="Calibri Light"/>
                <w:b w:val="0"/>
                <w:sz w:val="22"/>
              </w:rPr>
              <w:t>(50%)</w:t>
            </w:r>
          </w:p>
        </w:tc>
        <w:tc>
          <w:tcPr>
            <w:tcW w:w="1282" w:type="dxa"/>
            <w:tcBorders>
              <w:left w:val="thickThinMediumGap" w:sz="23" w:space="0" w:color="2D74B5"/>
            </w:tcBorders>
          </w:tcPr>
          <w:p>
            <w:pPr>
              <w:pStyle w:val="TableParagraph"/>
              <w:spacing w:line="265" w:lineRule="exact"/>
              <w:ind w:left="219" w:right="266"/>
              <w:rPr>
                <w:rFonts w:ascii="Calibri Light"/>
                <w:b w:val="0"/>
                <w:sz w:val="22"/>
              </w:rPr>
            </w:pPr>
            <w:r>
              <w:rPr>
                <w:sz w:val="22"/>
              </w:rPr>
              <w:t>1 </w:t>
            </w:r>
            <w:r>
              <w:rPr>
                <w:rFonts w:ascii="Calibri Light"/>
                <w:b w:val="0"/>
                <w:sz w:val="22"/>
              </w:rPr>
              <w:t>(16%)</w:t>
            </w:r>
          </w:p>
        </w:tc>
        <w:tc>
          <w:tcPr>
            <w:tcW w:w="1409" w:type="dxa"/>
          </w:tcPr>
          <w:p>
            <w:pPr>
              <w:pStyle w:val="TableParagraph"/>
              <w:spacing w:line="265" w:lineRule="exact"/>
              <w:ind w:left="250" w:right="251"/>
              <w:rPr>
                <w:rFonts w:ascii="Calibri Light"/>
                <w:b w:val="0"/>
                <w:sz w:val="22"/>
              </w:rPr>
            </w:pPr>
            <w:r>
              <w:rPr>
                <w:sz w:val="22"/>
              </w:rPr>
              <w:t>2 </w:t>
            </w:r>
            <w:r>
              <w:rPr>
                <w:rFonts w:ascii="Calibri Light"/>
                <w:b w:val="0"/>
                <w:sz w:val="22"/>
              </w:rPr>
              <w:t>(33.3%)</w:t>
            </w:r>
          </w:p>
        </w:tc>
        <w:tc>
          <w:tcPr>
            <w:tcW w:w="1409" w:type="dxa"/>
          </w:tcPr>
          <w:p>
            <w:pPr>
              <w:pStyle w:val="TableParagraph"/>
              <w:spacing w:before="9"/>
              <w:ind w:right="2"/>
              <w:rPr>
                <w:sz w:val="22"/>
              </w:rPr>
            </w:pPr>
            <w:r>
              <w:rPr>
                <w:w w:val="100"/>
                <w:sz w:val="22"/>
              </w:rPr>
              <w:t>0</w:t>
            </w:r>
          </w:p>
        </w:tc>
      </w:tr>
    </w:tbl>
    <w:p>
      <w:pPr>
        <w:spacing w:line="227" w:lineRule="exact" w:before="0"/>
        <w:ind w:left="740" w:right="339" w:firstLine="0"/>
        <w:jc w:val="left"/>
        <w:rPr>
          <w:b/>
          <w:sz w:val="20"/>
        </w:rPr>
      </w:pPr>
      <w:r>
        <w:rPr>
          <w:b/>
          <w:sz w:val="20"/>
        </w:rPr>
        <w:t>Tabla 4.8. Discurso de un líder empresarial irrelevante; respuestas por grupo de edad</w:t>
      </w:r>
    </w:p>
    <w:p>
      <w:pPr>
        <w:spacing w:after="0" w:line="227" w:lineRule="exact"/>
        <w:jc w:val="left"/>
        <w:rPr>
          <w:sz w:val="20"/>
        </w:rPr>
        <w:sectPr>
          <w:pgSz w:w="12240" w:h="15840"/>
          <w:pgMar w:header="749" w:footer="1003" w:top="960" w:bottom="1200" w:left="1600" w:right="1020"/>
        </w:sect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70"/>
        <w:ind w:left="102" w:right="113" w:firstLine="707"/>
        <w:jc w:val="both"/>
      </w:pPr>
      <w:r>
        <w:rPr/>
        <w:t>En</w:t>
      </w:r>
      <w:r>
        <w:rPr>
          <w:spacing w:val="-9"/>
        </w:rPr>
        <w:t> </w:t>
      </w:r>
      <w:r>
        <w:rPr/>
        <w:t>cuanto</w:t>
      </w:r>
      <w:r>
        <w:rPr>
          <w:spacing w:val="-11"/>
        </w:rPr>
        <w:t> </w:t>
      </w:r>
      <w:r>
        <w:rPr/>
        <w:t>al</w:t>
      </w:r>
      <w:r>
        <w:rPr>
          <w:spacing w:val="-13"/>
        </w:rPr>
        <w:t> </w:t>
      </w:r>
      <w:r>
        <w:rPr/>
        <w:t>nivel</w:t>
      </w:r>
      <w:r>
        <w:rPr>
          <w:spacing w:val="-11"/>
        </w:rPr>
        <w:t> </w:t>
      </w:r>
      <w:r>
        <w:rPr/>
        <w:t>educativo,</w:t>
      </w:r>
      <w:r>
        <w:rPr>
          <w:spacing w:val="-10"/>
        </w:rPr>
        <w:t> </w:t>
      </w:r>
      <w:r>
        <w:rPr/>
        <w:t>los</w:t>
      </w:r>
      <w:r>
        <w:rPr>
          <w:spacing w:val="-12"/>
        </w:rPr>
        <w:t> </w:t>
      </w:r>
      <w:r>
        <w:rPr/>
        <w:t>resultados</w:t>
      </w:r>
      <w:r>
        <w:rPr>
          <w:spacing w:val="-13"/>
        </w:rPr>
        <w:t> </w:t>
      </w:r>
      <w:r>
        <w:rPr/>
        <w:t>entre</w:t>
      </w:r>
      <w:r>
        <w:rPr>
          <w:spacing w:val="-10"/>
        </w:rPr>
        <w:t> </w:t>
      </w:r>
      <w:r>
        <w:rPr/>
        <w:t>el</w:t>
      </w:r>
      <w:r>
        <w:rPr>
          <w:spacing w:val="-13"/>
        </w:rPr>
        <w:t> </w:t>
      </w:r>
      <w:r>
        <w:rPr/>
        <w:t>nivel</w:t>
      </w:r>
      <w:r>
        <w:rPr>
          <w:spacing w:val="-13"/>
        </w:rPr>
        <w:t> </w:t>
      </w:r>
      <w:r>
        <w:rPr/>
        <w:t>medio</w:t>
      </w:r>
      <w:r>
        <w:rPr>
          <w:spacing w:val="-12"/>
        </w:rPr>
        <w:t> </w:t>
      </w:r>
      <w:r>
        <w:rPr/>
        <w:t>superior</w:t>
      </w:r>
      <w:r>
        <w:rPr>
          <w:spacing w:val="-10"/>
        </w:rPr>
        <w:t> </w:t>
      </w:r>
      <w:r>
        <w:rPr/>
        <w:t>y</w:t>
      </w:r>
      <w:r>
        <w:rPr>
          <w:spacing w:val="-13"/>
        </w:rPr>
        <w:t> </w:t>
      </w:r>
      <w:r>
        <w:rPr/>
        <w:t>superior son muy parecidos (Ver tabla 4.9.), ambos muestran un 50% de opiniones “en desacuerdo” y un 12.5% “muy en desacuerdo” lo que muestra actitudes favorables ante los</w:t>
      </w:r>
      <w:r>
        <w:rPr>
          <w:spacing w:val="-9"/>
        </w:rPr>
        <w:t> </w:t>
      </w:r>
      <w:r>
        <w:rPr/>
        <w:t>anglicismos.</w:t>
      </w:r>
      <w:r>
        <w:rPr>
          <w:spacing w:val="-9"/>
        </w:rPr>
        <w:t> </w:t>
      </w:r>
      <w:r>
        <w:rPr/>
        <w:t>Para</w:t>
      </w:r>
      <w:r>
        <w:rPr>
          <w:spacing w:val="-9"/>
        </w:rPr>
        <w:t> </w:t>
      </w:r>
      <w:r>
        <w:rPr/>
        <w:t>el</w:t>
      </w:r>
      <w:r>
        <w:rPr>
          <w:spacing w:val="-10"/>
        </w:rPr>
        <w:t> </w:t>
      </w:r>
      <w:r>
        <w:rPr/>
        <w:t>nivel</w:t>
      </w:r>
      <w:r>
        <w:rPr>
          <w:spacing w:val="-10"/>
        </w:rPr>
        <w:t> </w:t>
      </w:r>
      <w:r>
        <w:rPr/>
        <w:t>básico</w:t>
      </w:r>
      <w:r>
        <w:rPr>
          <w:spacing w:val="-9"/>
        </w:rPr>
        <w:t> </w:t>
      </w:r>
      <w:r>
        <w:rPr/>
        <w:t>el</w:t>
      </w:r>
      <w:r>
        <w:rPr>
          <w:spacing w:val="-10"/>
        </w:rPr>
        <w:t> </w:t>
      </w:r>
      <w:r>
        <w:rPr/>
        <w:t>50%</w:t>
      </w:r>
      <w:r>
        <w:rPr>
          <w:spacing w:val="-9"/>
        </w:rPr>
        <w:t> </w:t>
      </w:r>
      <w:r>
        <w:rPr/>
        <w:t>de</w:t>
      </w:r>
      <w:r>
        <w:rPr>
          <w:spacing w:val="-8"/>
        </w:rPr>
        <w:t> </w:t>
      </w:r>
      <w:r>
        <w:rPr/>
        <w:t>igual</w:t>
      </w:r>
      <w:r>
        <w:rPr>
          <w:spacing w:val="-10"/>
        </w:rPr>
        <w:t> </w:t>
      </w:r>
      <w:r>
        <w:rPr/>
        <w:t>forma</w:t>
      </w:r>
      <w:r>
        <w:rPr>
          <w:spacing w:val="-8"/>
        </w:rPr>
        <w:t> </w:t>
      </w:r>
      <w:r>
        <w:rPr/>
        <w:t>se</w:t>
      </w:r>
      <w:r>
        <w:rPr>
          <w:spacing w:val="-8"/>
        </w:rPr>
        <w:t> </w:t>
      </w:r>
      <w:r>
        <w:rPr/>
        <w:t>encuentra</w:t>
      </w:r>
      <w:r>
        <w:rPr>
          <w:spacing w:val="-9"/>
        </w:rPr>
        <w:t> </w:t>
      </w:r>
      <w:r>
        <w:rPr/>
        <w:t>“en</w:t>
      </w:r>
      <w:r>
        <w:rPr>
          <w:spacing w:val="-11"/>
        </w:rPr>
        <w:t> </w:t>
      </w:r>
      <w:r>
        <w:rPr/>
        <w:t>desacuerdo” pero un 25%</w:t>
      </w:r>
      <w:r>
        <w:rPr>
          <w:spacing w:val="-5"/>
        </w:rPr>
        <w:t> </w:t>
      </w:r>
      <w:r>
        <w:rPr/>
        <w:t>“indiferente”.</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7"/>
        <w:gridCol w:w="1367"/>
      </w:tblGrid>
      <w:tr>
        <w:trPr>
          <w:trHeight w:val="406" w:hRule="exact"/>
        </w:trPr>
        <w:tc>
          <w:tcPr>
            <w:tcW w:w="1428" w:type="dxa"/>
            <w:vMerge w:val="restart"/>
          </w:tcPr>
          <w:p>
            <w:pPr>
              <w:pStyle w:val="TableParagraph"/>
              <w:spacing w:before="3"/>
              <w:jc w:val="left"/>
              <w:rPr>
                <w:sz w:val="17"/>
              </w:rPr>
            </w:pPr>
          </w:p>
          <w:p>
            <w:pPr>
              <w:pStyle w:val="TableParagraph"/>
              <w:ind w:left="82" w:right="83"/>
              <w:rPr>
                <w:sz w:val="22"/>
              </w:rPr>
            </w:pPr>
            <w:r>
              <w:rPr>
                <w:sz w:val="22"/>
              </w:rPr>
              <w:t>Aseveración</w:t>
            </w:r>
          </w:p>
          <w:p>
            <w:pPr>
              <w:pStyle w:val="TableParagraph"/>
              <w:spacing w:before="126"/>
              <w:rPr>
                <w:b/>
                <w:sz w:val="22"/>
              </w:rPr>
            </w:pPr>
            <w:r>
              <w:rPr>
                <w:b/>
                <w:w w:val="100"/>
                <w:sz w:val="22"/>
              </w:rPr>
              <w:t>3</w:t>
            </w:r>
          </w:p>
        </w:tc>
        <w:tc>
          <w:tcPr>
            <w:tcW w:w="1724" w:type="dxa"/>
            <w:vMerge w:val="restart"/>
          </w:tcPr>
          <w:p>
            <w:pPr>
              <w:pStyle w:val="TableParagraph"/>
              <w:spacing w:line="360" w:lineRule="auto" w:before="9"/>
              <w:ind w:left="163" w:right="166" w:firstLine="4"/>
              <w:rPr>
                <w:b/>
                <w:sz w:val="22"/>
              </w:rPr>
            </w:pPr>
            <w:r>
              <w:rPr>
                <w:sz w:val="22"/>
              </w:rPr>
              <w:t>Tipo de Aseveración: </w:t>
            </w:r>
            <w:r>
              <w:rPr>
                <w:b/>
                <w:sz w:val="22"/>
              </w:rPr>
              <w:t>Desfavorable</w:t>
            </w:r>
          </w:p>
        </w:tc>
        <w:tc>
          <w:tcPr>
            <w:tcW w:w="6246" w:type="dxa"/>
            <w:gridSpan w:val="5"/>
          </w:tcPr>
          <w:p>
            <w:pPr>
              <w:pStyle w:val="TableParagraph"/>
              <w:spacing w:before="5"/>
              <w:ind w:left="2516" w:right="2516"/>
              <w:rPr>
                <w:sz w:val="22"/>
              </w:rPr>
            </w:pPr>
            <w:r>
              <w:rPr>
                <w:sz w:val="22"/>
              </w:rPr>
              <w:t>Respuestas</w:t>
            </w:r>
          </w:p>
        </w:tc>
      </w:tr>
      <w:tr>
        <w:trPr>
          <w:trHeight w:val="768"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7" w:type="dxa"/>
          </w:tcPr>
          <w:p>
            <w:pPr>
              <w:pStyle w:val="TableParagraph"/>
              <w:spacing w:line="360" w:lineRule="auto"/>
              <w:ind w:left="103" w:right="84" w:firstLine="439"/>
              <w:jc w:val="left"/>
              <w:rPr>
                <w:sz w:val="22"/>
              </w:rPr>
            </w:pPr>
            <w:r>
              <w:rPr>
                <w:sz w:val="22"/>
              </w:rPr>
              <w:t>En desacuerdo</w:t>
            </w:r>
          </w:p>
        </w:tc>
        <w:tc>
          <w:tcPr>
            <w:tcW w:w="1367" w:type="dxa"/>
          </w:tcPr>
          <w:p>
            <w:pPr>
              <w:pStyle w:val="TableParagraph"/>
              <w:spacing w:line="360" w:lineRule="auto"/>
              <w:ind w:left="102" w:right="85" w:firstLine="213"/>
              <w:jc w:val="left"/>
              <w:rPr>
                <w:sz w:val="22"/>
              </w:rPr>
            </w:pPr>
            <w:r>
              <w:rPr>
                <w:sz w:val="22"/>
              </w:rPr>
              <w:t>Muy en desacuerdo</w:t>
            </w:r>
          </w:p>
        </w:tc>
      </w:tr>
      <w:tr>
        <w:trPr>
          <w:trHeight w:val="409" w:hRule="exact"/>
        </w:trPr>
        <w:tc>
          <w:tcPr>
            <w:tcW w:w="3152" w:type="dxa"/>
            <w:gridSpan w:val="2"/>
          </w:tcPr>
          <w:p>
            <w:pPr>
              <w:pStyle w:val="TableParagraph"/>
              <w:spacing w:before="8"/>
              <w:ind w:left="799"/>
              <w:jc w:val="left"/>
              <w:rPr>
                <w:sz w:val="22"/>
              </w:rPr>
            </w:pPr>
            <w:r>
              <w:rPr>
                <w:sz w:val="22"/>
              </w:rPr>
              <w:t>Nivel Básico (8)</w:t>
            </w:r>
          </w:p>
        </w:tc>
        <w:tc>
          <w:tcPr>
            <w:tcW w:w="1148" w:type="dxa"/>
          </w:tcPr>
          <w:p>
            <w:pPr>
              <w:pStyle w:val="TableParagraph"/>
              <w:spacing w:before="8"/>
              <w:ind w:right="5"/>
              <w:rPr>
                <w:sz w:val="22"/>
              </w:rPr>
            </w:pPr>
            <w:r>
              <w:rPr>
                <w:w w:val="100"/>
                <w:sz w:val="22"/>
              </w:rPr>
              <w:t>1</w:t>
            </w:r>
          </w:p>
        </w:tc>
        <w:tc>
          <w:tcPr>
            <w:tcW w:w="1121" w:type="dxa"/>
          </w:tcPr>
          <w:p>
            <w:pPr>
              <w:pStyle w:val="TableParagraph"/>
              <w:spacing w:before="8"/>
              <w:rPr>
                <w:sz w:val="22"/>
              </w:rPr>
            </w:pPr>
            <w:r>
              <w:rPr>
                <w:w w:val="100"/>
                <w:sz w:val="22"/>
              </w:rPr>
              <w:t>1</w:t>
            </w:r>
          </w:p>
        </w:tc>
        <w:tc>
          <w:tcPr>
            <w:tcW w:w="1244" w:type="dxa"/>
          </w:tcPr>
          <w:p>
            <w:pPr>
              <w:pStyle w:val="TableParagraph"/>
              <w:spacing w:before="8"/>
              <w:rPr>
                <w:sz w:val="22"/>
              </w:rPr>
            </w:pPr>
            <w:r>
              <w:rPr>
                <w:w w:val="100"/>
                <w:sz w:val="22"/>
              </w:rPr>
              <w:t>2</w:t>
            </w:r>
          </w:p>
        </w:tc>
        <w:tc>
          <w:tcPr>
            <w:tcW w:w="1367" w:type="dxa"/>
            <w:shd w:val="clear" w:color="auto" w:fill="2D74B5"/>
          </w:tcPr>
          <w:p>
            <w:pPr>
              <w:pStyle w:val="TableParagraph"/>
              <w:spacing w:before="8"/>
              <w:ind w:left="616"/>
              <w:jc w:val="left"/>
              <w:rPr>
                <w:sz w:val="22"/>
              </w:rPr>
            </w:pPr>
            <w:r>
              <w:rPr>
                <w:w w:val="100"/>
                <w:sz w:val="22"/>
              </w:rPr>
              <w:t>4</w:t>
            </w:r>
          </w:p>
        </w:tc>
        <w:tc>
          <w:tcPr>
            <w:tcW w:w="1367" w:type="dxa"/>
          </w:tcPr>
          <w:p>
            <w:pPr>
              <w:pStyle w:val="TableParagraph"/>
              <w:spacing w:before="8"/>
              <w:ind w:left="615"/>
              <w:jc w:val="left"/>
              <w:rPr>
                <w:sz w:val="22"/>
              </w:rPr>
            </w:pPr>
            <w:r>
              <w:rPr>
                <w:w w:val="100"/>
                <w:sz w:val="22"/>
              </w:rPr>
              <w:t>0</w:t>
            </w:r>
          </w:p>
        </w:tc>
      </w:tr>
      <w:tr>
        <w:trPr>
          <w:trHeight w:val="408" w:hRule="exact"/>
        </w:trPr>
        <w:tc>
          <w:tcPr>
            <w:tcW w:w="3152" w:type="dxa"/>
            <w:gridSpan w:val="2"/>
          </w:tcPr>
          <w:p>
            <w:pPr>
              <w:pStyle w:val="TableParagraph"/>
              <w:spacing w:before="7"/>
              <w:ind w:left="383"/>
              <w:jc w:val="left"/>
              <w:rPr>
                <w:sz w:val="22"/>
              </w:rPr>
            </w:pPr>
            <w:r>
              <w:rPr>
                <w:sz w:val="22"/>
              </w:rPr>
              <w:t>Nivel Medio Superior (8)</w:t>
            </w:r>
          </w:p>
        </w:tc>
        <w:tc>
          <w:tcPr>
            <w:tcW w:w="1148" w:type="dxa"/>
          </w:tcPr>
          <w:p>
            <w:pPr>
              <w:pStyle w:val="TableParagraph"/>
              <w:spacing w:before="7"/>
              <w:ind w:right="5"/>
              <w:rPr>
                <w:sz w:val="22"/>
              </w:rPr>
            </w:pPr>
            <w:r>
              <w:rPr>
                <w:w w:val="100"/>
                <w:sz w:val="22"/>
              </w:rPr>
              <w:t>0</w:t>
            </w:r>
          </w:p>
        </w:tc>
        <w:tc>
          <w:tcPr>
            <w:tcW w:w="1121" w:type="dxa"/>
          </w:tcPr>
          <w:p>
            <w:pPr>
              <w:pStyle w:val="TableParagraph"/>
              <w:spacing w:before="7"/>
              <w:rPr>
                <w:sz w:val="22"/>
              </w:rPr>
            </w:pPr>
            <w:r>
              <w:rPr>
                <w:w w:val="100"/>
                <w:sz w:val="22"/>
              </w:rPr>
              <w:t>2</w:t>
            </w:r>
          </w:p>
        </w:tc>
        <w:tc>
          <w:tcPr>
            <w:tcW w:w="1244" w:type="dxa"/>
          </w:tcPr>
          <w:p>
            <w:pPr>
              <w:pStyle w:val="TableParagraph"/>
              <w:spacing w:before="7"/>
              <w:rPr>
                <w:sz w:val="22"/>
              </w:rPr>
            </w:pPr>
            <w:r>
              <w:rPr>
                <w:w w:val="100"/>
                <w:sz w:val="22"/>
              </w:rPr>
              <w:t>1</w:t>
            </w:r>
          </w:p>
        </w:tc>
        <w:tc>
          <w:tcPr>
            <w:tcW w:w="1367" w:type="dxa"/>
            <w:shd w:val="clear" w:color="auto" w:fill="2D74B5"/>
          </w:tcPr>
          <w:p>
            <w:pPr>
              <w:pStyle w:val="TableParagraph"/>
              <w:spacing w:before="7"/>
              <w:ind w:left="616"/>
              <w:jc w:val="left"/>
              <w:rPr>
                <w:sz w:val="22"/>
              </w:rPr>
            </w:pPr>
            <w:r>
              <w:rPr>
                <w:w w:val="100"/>
                <w:sz w:val="22"/>
              </w:rPr>
              <w:t>4</w:t>
            </w:r>
          </w:p>
        </w:tc>
        <w:tc>
          <w:tcPr>
            <w:tcW w:w="1367" w:type="dxa"/>
            <w:shd w:val="clear" w:color="auto" w:fill="9CC2E4"/>
          </w:tcPr>
          <w:p>
            <w:pPr>
              <w:pStyle w:val="TableParagraph"/>
              <w:spacing w:before="7"/>
              <w:ind w:left="615"/>
              <w:jc w:val="left"/>
              <w:rPr>
                <w:sz w:val="22"/>
              </w:rPr>
            </w:pPr>
            <w:r>
              <w:rPr>
                <w:w w:val="100"/>
                <w:sz w:val="22"/>
              </w:rPr>
              <w:t>1</w:t>
            </w:r>
          </w:p>
        </w:tc>
      </w:tr>
      <w:tr>
        <w:trPr>
          <w:trHeight w:val="406" w:hRule="exact"/>
        </w:trPr>
        <w:tc>
          <w:tcPr>
            <w:tcW w:w="3152" w:type="dxa"/>
            <w:gridSpan w:val="2"/>
          </w:tcPr>
          <w:p>
            <w:pPr>
              <w:pStyle w:val="TableParagraph"/>
              <w:spacing w:before="5"/>
              <w:ind w:left="712"/>
              <w:jc w:val="left"/>
              <w:rPr>
                <w:sz w:val="22"/>
              </w:rPr>
            </w:pPr>
            <w:r>
              <w:rPr>
                <w:sz w:val="22"/>
              </w:rPr>
              <w:t>Nivel Superior (8)</w:t>
            </w:r>
          </w:p>
        </w:tc>
        <w:tc>
          <w:tcPr>
            <w:tcW w:w="1148" w:type="dxa"/>
          </w:tcPr>
          <w:p>
            <w:pPr>
              <w:pStyle w:val="TableParagraph"/>
              <w:spacing w:before="5"/>
              <w:ind w:right="5"/>
              <w:rPr>
                <w:sz w:val="22"/>
              </w:rPr>
            </w:pPr>
            <w:r>
              <w:rPr>
                <w:w w:val="100"/>
                <w:sz w:val="22"/>
              </w:rPr>
              <w:t>0</w:t>
            </w:r>
          </w:p>
        </w:tc>
        <w:tc>
          <w:tcPr>
            <w:tcW w:w="1121" w:type="dxa"/>
          </w:tcPr>
          <w:p>
            <w:pPr>
              <w:pStyle w:val="TableParagraph"/>
              <w:spacing w:before="5"/>
              <w:rPr>
                <w:sz w:val="22"/>
              </w:rPr>
            </w:pPr>
            <w:r>
              <w:rPr>
                <w:w w:val="100"/>
                <w:sz w:val="22"/>
              </w:rPr>
              <w:t>2</w:t>
            </w:r>
          </w:p>
        </w:tc>
        <w:tc>
          <w:tcPr>
            <w:tcW w:w="1244" w:type="dxa"/>
          </w:tcPr>
          <w:p>
            <w:pPr>
              <w:pStyle w:val="TableParagraph"/>
              <w:spacing w:before="5"/>
              <w:rPr>
                <w:sz w:val="22"/>
              </w:rPr>
            </w:pPr>
            <w:r>
              <w:rPr>
                <w:w w:val="100"/>
                <w:sz w:val="22"/>
              </w:rPr>
              <w:t>1</w:t>
            </w:r>
          </w:p>
        </w:tc>
        <w:tc>
          <w:tcPr>
            <w:tcW w:w="1367" w:type="dxa"/>
            <w:shd w:val="clear" w:color="auto" w:fill="2D74B5"/>
          </w:tcPr>
          <w:p>
            <w:pPr>
              <w:pStyle w:val="TableParagraph"/>
              <w:spacing w:before="5"/>
              <w:ind w:left="616"/>
              <w:jc w:val="left"/>
              <w:rPr>
                <w:sz w:val="22"/>
              </w:rPr>
            </w:pPr>
            <w:r>
              <w:rPr>
                <w:w w:val="100"/>
                <w:sz w:val="22"/>
              </w:rPr>
              <w:t>4</w:t>
            </w:r>
          </w:p>
        </w:tc>
        <w:tc>
          <w:tcPr>
            <w:tcW w:w="1367" w:type="dxa"/>
            <w:shd w:val="clear" w:color="auto" w:fill="9CC2E4"/>
          </w:tcPr>
          <w:p>
            <w:pPr>
              <w:pStyle w:val="TableParagraph"/>
              <w:spacing w:before="5"/>
              <w:ind w:left="615"/>
              <w:jc w:val="left"/>
              <w:rPr>
                <w:sz w:val="22"/>
              </w:rPr>
            </w:pPr>
            <w:r>
              <w:rPr>
                <w:w w:val="100"/>
                <w:sz w:val="22"/>
              </w:rPr>
              <w:t>1</w:t>
            </w:r>
          </w:p>
        </w:tc>
      </w:tr>
    </w:tbl>
    <w:p>
      <w:pPr>
        <w:spacing w:line="227" w:lineRule="exact" w:before="0"/>
        <w:ind w:left="706" w:right="339" w:firstLine="0"/>
        <w:jc w:val="left"/>
        <w:rPr>
          <w:b/>
          <w:sz w:val="20"/>
        </w:rPr>
      </w:pPr>
      <w:r>
        <w:rPr>
          <w:b/>
          <w:sz w:val="20"/>
        </w:rPr>
        <w:t>Tabla 4.9. Discurso de un líder empresarial irrelevante; respuestas por nivel educativo</w:t>
      </w:r>
    </w:p>
    <w:p>
      <w:pPr>
        <w:pStyle w:val="BodyText"/>
        <w:spacing w:before="5"/>
        <w:rPr>
          <w:b/>
          <w:sz w:val="27"/>
        </w:rPr>
      </w:pPr>
    </w:p>
    <w:p>
      <w:pPr>
        <w:spacing w:line="360" w:lineRule="auto" w:before="0"/>
        <w:ind w:left="102" w:right="109" w:firstLine="707"/>
        <w:jc w:val="both"/>
        <w:rPr>
          <w:sz w:val="24"/>
        </w:rPr>
      </w:pPr>
      <w:r>
        <w:rPr>
          <w:sz w:val="24"/>
        </w:rPr>
        <w:t>Para la aseveración 4 </w:t>
      </w:r>
      <w:r>
        <w:rPr>
          <w:b/>
          <w:sz w:val="24"/>
        </w:rPr>
        <w:t>“En una institución bancaria, se narrarían las estadísticas financieras con la precisión y autoridad con la que lo hacen en la grabación”</w:t>
      </w:r>
      <w:r>
        <w:rPr>
          <w:sz w:val="24"/>
        </w:rPr>
        <w:t>, que tiene un sentido favorable al uso de anglicismos, la totalidad de la población dijo estar “de acuerdo” con la aseveración en un 41.6% y un 29.1% dice estar “muy de acuerdo”. El género femenino presenta el mismo porcentaje (33.3%) de respuestas</w:t>
      </w:r>
      <w:r>
        <w:rPr>
          <w:spacing w:val="-12"/>
          <w:sz w:val="24"/>
        </w:rPr>
        <w:t> </w:t>
      </w:r>
      <w:r>
        <w:rPr>
          <w:sz w:val="24"/>
        </w:rPr>
        <w:t>“muy</w:t>
      </w:r>
      <w:r>
        <w:rPr>
          <w:spacing w:val="-14"/>
          <w:sz w:val="24"/>
        </w:rPr>
        <w:t> </w:t>
      </w:r>
      <w:r>
        <w:rPr>
          <w:sz w:val="24"/>
        </w:rPr>
        <w:t>de</w:t>
      </w:r>
      <w:r>
        <w:rPr>
          <w:spacing w:val="-11"/>
          <w:sz w:val="24"/>
        </w:rPr>
        <w:t> </w:t>
      </w:r>
      <w:r>
        <w:rPr>
          <w:sz w:val="24"/>
        </w:rPr>
        <w:t>acuerdo”</w:t>
      </w:r>
      <w:r>
        <w:rPr>
          <w:spacing w:val="-12"/>
          <w:sz w:val="24"/>
        </w:rPr>
        <w:t> </w:t>
      </w:r>
      <w:r>
        <w:rPr>
          <w:sz w:val="24"/>
        </w:rPr>
        <w:t>y</w:t>
      </w:r>
      <w:r>
        <w:rPr>
          <w:spacing w:val="-14"/>
          <w:sz w:val="24"/>
        </w:rPr>
        <w:t> </w:t>
      </w:r>
      <w:r>
        <w:rPr>
          <w:sz w:val="24"/>
        </w:rPr>
        <w:t>“de</w:t>
      </w:r>
      <w:r>
        <w:rPr>
          <w:spacing w:val="-11"/>
          <w:sz w:val="24"/>
        </w:rPr>
        <w:t> </w:t>
      </w:r>
      <w:r>
        <w:rPr>
          <w:sz w:val="24"/>
        </w:rPr>
        <w:t>acuerdo”,</w:t>
      </w:r>
      <w:r>
        <w:rPr>
          <w:spacing w:val="-14"/>
          <w:sz w:val="24"/>
        </w:rPr>
        <w:t> </w:t>
      </w:r>
      <w:r>
        <w:rPr>
          <w:sz w:val="24"/>
        </w:rPr>
        <w:t>y</w:t>
      </w:r>
      <w:r>
        <w:rPr>
          <w:spacing w:val="-14"/>
          <w:sz w:val="24"/>
        </w:rPr>
        <w:t> </w:t>
      </w:r>
      <w:r>
        <w:rPr>
          <w:sz w:val="24"/>
        </w:rPr>
        <w:t>éstas,</w:t>
      </w:r>
      <w:r>
        <w:rPr>
          <w:spacing w:val="-11"/>
          <w:sz w:val="24"/>
        </w:rPr>
        <w:t> </w:t>
      </w:r>
      <w:r>
        <w:rPr>
          <w:sz w:val="24"/>
        </w:rPr>
        <w:t>son</w:t>
      </w:r>
      <w:r>
        <w:rPr>
          <w:spacing w:val="-11"/>
          <w:sz w:val="24"/>
        </w:rPr>
        <w:t> </w:t>
      </w:r>
      <w:r>
        <w:rPr>
          <w:sz w:val="24"/>
        </w:rPr>
        <w:t>mayoría.</w:t>
      </w:r>
      <w:r>
        <w:rPr>
          <w:spacing w:val="-11"/>
          <w:sz w:val="24"/>
        </w:rPr>
        <w:t> </w:t>
      </w:r>
      <w:r>
        <w:rPr>
          <w:sz w:val="24"/>
        </w:rPr>
        <w:t>En</w:t>
      </w:r>
      <w:r>
        <w:rPr>
          <w:spacing w:val="-11"/>
          <w:sz w:val="24"/>
        </w:rPr>
        <w:t> </w:t>
      </w:r>
      <w:r>
        <w:rPr>
          <w:sz w:val="24"/>
        </w:rPr>
        <w:t>el</w:t>
      </w:r>
      <w:r>
        <w:rPr>
          <w:spacing w:val="-12"/>
          <w:sz w:val="24"/>
        </w:rPr>
        <w:t> </w:t>
      </w:r>
      <w:r>
        <w:rPr>
          <w:sz w:val="24"/>
        </w:rPr>
        <w:t>caso</w:t>
      </w:r>
      <w:r>
        <w:rPr>
          <w:spacing w:val="-13"/>
          <w:sz w:val="24"/>
        </w:rPr>
        <w:t> </w:t>
      </w:r>
      <w:r>
        <w:rPr>
          <w:sz w:val="24"/>
        </w:rPr>
        <w:t>del</w:t>
      </w:r>
      <w:r>
        <w:rPr>
          <w:spacing w:val="-12"/>
          <w:sz w:val="24"/>
        </w:rPr>
        <w:t> </w:t>
      </w:r>
      <w:r>
        <w:rPr>
          <w:sz w:val="24"/>
        </w:rPr>
        <w:t>género masculino el 50% de ellos se muestra “de acuerdo” con las aseveración y se apoya en un 25% de respuestas “muy de acuerdo”. Los hombres presentan mayor aceptación de acuerdo con la tabla</w:t>
      </w:r>
      <w:r>
        <w:rPr>
          <w:spacing w:val="-8"/>
          <w:sz w:val="24"/>
        </w:rPr>
        <w:t> </w:t>
      </w:r>
      <w:r>
        <w:rPr>
          <w:sz w:val="24"/>
        </w:rPr>
        <w:t>4.10.</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14"/>
        <w:gridCol w:w="1140"/>
        <w:gridCol w:w="1138"/>
        <w:gridCol w:w="1244"/>
        <w:gridCol w:w="1368"/>
        <w:gridCol w:w="1366"/>
      </w:tblGrid>
      <w:tr>
        <w:trPr>
          <w:trHeight w:val="408"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4</w:t>
            </w:r>
          </w:p>
        </w:tc>
        <w:tc>
          <w:tcPr>
            <w:tcW w:w="1714" w:type="dxa"/>
            <w:vMerge w:val="restart"/>
          </w:tcPr>
          <w:p>
            <w:pPr>
              <w:pStyle w:val="TableParagraph"/>
              <w:spacing w:line="357" w:lineRule="auto" w:before="12"/>
              <w:ind w:left="213" w:right="218" w:firstLine="5"/>
              <w:rPr>
                <w:b/>
                <w:sz w:val="22"/>
              </w:rPr>
            </w:pPr>
            <w:r>
              <w:rPr>
                <w:sz w:val="22"/>
              </w:rPr>
              <w:t>Tipo de Aseveración: </w:t>
            </w:r>
            <w:r>
              <w:rPr>
                <w:b/>
                <w:sz w:val="22"/>
              </w:rPr>
              <w:t>Favorable</w:t>
            </w:r>
          </w:p>
        </w:tc>
        <w:tc>
          <w:tcPr>
            <w:tcW w:w="6256" w:type="dxa"/>
            <w:gridSpan w:val="5"/>
          </w:tcPr>
          <w:p>
            <w:pPr>
              <w:pStyle w:val="TableParagraph"/>
              <w:spacing w:before="7"/>
              <w:ind w:left="2521" w:right="2521"/>
              <w:rPr>
                <w:sz w:val="22"/>
              </w:rPr>
            </w:pPr>
            <w:r>
              <w:rPr>
                <w:sz w:val="22"/>
              </w:rPr>
              <w:t>Respuestas</w:t>
            </w:r>
          </w:p>
        </w:tc>
      </w:tr>
      <w:tr>
        <w:trPr>
          <w:trHeight w:val="768" w:hRule="exact"/>
        </w:trPr>
        <w:tc>
          <w:tcPr>
            <w:tcW w:w="1428" w:type="dxa"/>
            <w:vMerge/>
          </w:tcPr>
          <w:p>
            <w:pPr/>
          </w:p>
        </w:tc>
        <w:tc>
          <w:tcPr>
            <w:tcW w:w="1714" w:type="dxa"/>
            <w:vMerge/>
          </w:tcPr>
          <w:p>
            <w:pPr/>
          </w:p>
        </w:tc>
        <w:tc>
          <w:tcPr>
            <w:tcW w:w="1140" w:type="dxa"/>
          </w:tcPr>
          <w:p>
            <w:pPr>
              <w:pStyle w:val="TableParagraph"/>
              <w:spacing w:line="360" w:lineRule="auto"/>
              <w:ind w:left="168" w:right="147" w:firstLine="36"/>
              <w:jc w:val="left"/>
              <w:rPr>
                <w:sz w:val="22"/>
              </w:rPr>
            </w:pPr>
            <w:r>
              <w:rPr>
                <w:sz w:val="22"/>
              </w:rPr>
              <w:t>Muy de acuerdo</w:t>
            </w:r>
          </w:p>
        </w:tc>
        <w:tc>
          <w:tcPr>
            <w:tcW w:w="1138" w:type="dxa"/>
          </w:tcPr>
          <w:p>
            <w:pPr>
              <w:pStyle w:val="TableParagraph"/>
              <w:spacing w:line="360" w:lineRule="auto"/>
              <w:ind w:left="165" w:right="147"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2" w:type="dxa"/>
            <w:gridSpan w:val="2"/>
          </w:tcPr>
          <w:p>
            <w:pPr>
              <w:pStyle w:val="TableParagraph"/>
              <w:spacing w:before="10"/>
              <w:ind w:left="323"/>
              <w:jc w:val="left"/>
              <w:rPr>
                <w:sz w:val="22"/>
              </w:rPr>
            </w:pPr>
            <w:r>
              <w:rPr>
                <w:sz w:val="22"/>
              </w:rPr>
              <w:t>Total de la población (24)</w:t>
            </w:r>
          </w:p>
        </w:tc>
        <w:tc>
          <w:tcPr>
            <w:tcW w:w="1140" w:type="dxa"/>
            <w:tcBorders>
              <w:right w:val="single" w:sz="41" w:space="0" w:color="2D74B5"/>
            </w:tcBorders>
          </w:tcPr>
          <w:p>
            <w:pPr>
              <w:pStyle w:val="TableParagraph"/>
              <w:spacing w:line="266" w:lineRule="exact"/>
              <w:ind w:left="114" w:right="70"/>
              <w:rPr>
                <w:rFonts w:ascii="Calibri Light"/>
                <w:b w:val="0"/>
                <w:sz w:val="22"/>
              </w:rPr>
            </w:pPr>
            <w:r>
              <w:rPr>
                <w:sz w:val="22"/>
              </w:rPr>
              <w:t>7 </w:t>
            </w:r>
            <w:r>
              <w:rPr>
                <w:rFonts w:ascii="Calibri Light"/>
                <w:b w:val="0"/>
                <w:sz w:val="22"/>
              </w:rPr>
              <w:t>(29.1%)</w:t>
            </w:r>
          </w:p>
        </w:tc>
        <w:tc>
          <w:tcPr>
            <w:tcW w:w="1138" w:type="dxa"/>
            <w:shd w:val="clear" w:color="auto" w:fill="2D74B5"/>
          </w:tcPr>
          <w:p>
            <w:pPr>
              <w:pStyle w:val="TableParagraph"/>
              <w:spacing w:line="266" w:lineRule="exact"/>
              <w:ind w:left="83" w:right="84"/>
              <w:rPr>
                <w:rFonts w:ascii="Calibri Light"/>
                <w:b w:val="0"/>
                <w:sz w:val="22"/>
              </w:rPr>
            </w:pPr>
            <w:r>
              <w:rPr>
                <w:sz w:val="22"/>
              </w:rPr>
              <w:t>10</w:t>
            </w:r>
            <w:r>
              <w:rPr>
                <w:rFonts w:ascii="Calibri Light"/>
                <w:b w:val="0"/>
                <w:sz w:val="22"/>
              </w:rPr>
              <w:t>(41.6%)</w:t>
            </w:r>
          </w:p>
        </w:tc>
        <w:tc>
          <w:tcPr>
            <w:tcW w:w="1244" w:type="dxa"/>
            <w:tcBorders>
              <w:left w:val="single" w:sz="45" w:space="0" w:color="2D74B5"/>
            </w:tcBorders>
          </w:tcPr>
          <w:p>
            <w:pPr>
              <w:pStyle w:val="TableParagraph"/>
              <w:spacing w:line="266" w:lineRule="exact"/>
              <w:ind w:left="110" w:right="161"/>
              <w:rPr>
                <w:rFonts w:ascii="Calibri Light"/>
                <w:b w:val="0"/>
                <w:sz w:val="22"/>
              </w:rPr>
            </w:pPr>
            <w:r>
              <w:rPr>
                <w:sz w:val="22"/>
              </w:rPr>
              <w:t>2 </w:t>
            </w:r>
            <w:r>
              <w:rPr>
                <w:rFonts w:ascii="Calibri Light"/>
                <w:b w:val="0"/>
                <w:sz w:val="22"/>
              </w:rPr>
              <w:t>(8.3%)</w:t>
            </w:r>
          </w:p>
        </w:tc>
        <w:tc>
          <w:tcPr>
            <w:tcW w:w="1368" w:type="dxa"/>
          </w:tcPr>
          <w:p>
            <w:pPr>
              <w:pStyle w:val="TableParagraph"/>
              <w:spacing w:line="266" w:lineRule="exact"/>
              <w:ind w:left="222" w:right="224"/>
              <w:rPr>
                <w:rFonts w:ascii="Calibri Light"/>
                <w:b w:val="0"/>
                <w:sz w:val="22"/>
              </w:rPr>
            </w:pPr>
            <w:r>
              <w:rPr>
                <w:sz w:val="22"/>
              </w:rPr>
              <w:t>5 </w:t>
            </w:r>
            <w:r>
              <w:rPr>
                <w:rFonts w:ascii="Calibri Light"/>
                <w:b w:val="0"/>
                <w:sz w:val="22"/>
              </w:rPr>
              <w:t>(20.8%)</w:t>
            </w:r>
          </w:p>
        </w:tc>
        <w:tc>
          <w:tcPr>
            <w:tcW w:w="1366" w:type="dxa"/>
          </w:tcPr>
          <w:p>
            <w:pPr>
              <w:pStyle w:val="TableParagraph"/>
              <w:spacing w:before="10"/>
              <w:ind w:left="614"/>
              <w:jc w:val="left"/>
              <w:rPr>
                <w:sz w:val="22"/>
              </w:rPr>
            </w:pPr>
            <w:r>
              <w:rPr>
                <w:w w:val="100"/>
                <w:sz w:val="22"/>
              </w:rPr>
              <w:t>0</w:t>
            </w:r>
          </w:p>
        </w:tc>
      </w:tr>
      <w:tr>
        <w:trPr>
          <w:trHeight w:val="413" w:hRule="exact"/>
        </w:trPr>
        <w:tc>
          <w:tcPr>
            <w:tcW w:w="3142" w:type="dxa"/>
            <w:gridSpan w:val="2"/>
            <w:tcBorders>
              <w:right w:val="single" w:sz="45" w:space="0" w:color="9CC2E4"/>
            </w:tcBorders>
          </w:tcPr>
          <w:p>
            <w:pPr>
              <w:pStyle w:val="TableParagraph"/>
              <w:spacing w:before="9"/>
              <w:ind w:left="947"/>
              <w:jc w:val="left"/>
              <w:rPr>
                <w:sz w:val="22"/>
              </w:rPr>
            </w:pPr>
            <w:r>
              <w:rPr>
                <w:sz w:val="22"/>
              </w:rPr>
              <w:t>Mujeres (12)</w:t>
            </w:r>
          </w:p>
        </w:tc>
        <w:tc>
          <w:tcPr>
            <w:tcW w:w="1140" w:type="dxa"/>
            <w:shd w:val="clear" w:color="auto" w:fill="9CC2E4"/>
          </w:tcPr>
          <w:p>
            <w:pPr>
              <w:pStyle w:val="TableParagraph"/>
              <w:spacing w:line="265" w:lineRule="exact"/>
              <w:ind w:left="116" w:right="116"/>
              <w:rPr>
                <w:rFonts w:ascii="Calibri Light"/>
                <w:b w:val="0"/>
                <w:sz w:val="22"/>
              </w:rPr>
            </w:pPr>
            <w:r>
              <w:rPr>
                <w:sz w:val="22"/>
              </w:rPr>
              <w:t>4 </w:t>
            </w:r>
            <w:r>
              <w:rPr>
                <w:rFonts w:ascii="Calibri Light"/>
                <w:b w:val="0"/>
                <w:sz w:val="22"/>
              </w:rPr>
              <w:t>(33.3%)</w:t>
            </w:r>
          </w:p>
        </w:tc>
        <w:tc>
          <w:tcPr>
            <w:tcW w:w="1138" w:type="dxa"/>
            <w:shd w:val="clear" w:color="auto" w:fill="9CC2E4"/>
          </w:tcPr>
          <w:p>
            <w:pPr>
              <w:pStyle w:val="TableParagraph"/>
              <w:spacing w:line="265" w:lineRule="exact"/>
              <w:ind w:left="83" w:right="83"/>
              <w:rPr>
                <w:rFonts w:ascii="Calibri Light"/>
                <w:b w:val="0"/>
                <w:sz w:val="22"/>
              </w:rPr>
            </w:pPr>
            <w:r>
              <w:rPr>
                <w:sz w:val="22"/>
              </w:rPr>
              <w:t>4 </w:t>
            </w:r>
            <w:r>
              <w:rPr>
                <w:rFonts w:ascii="Calibri Light"/>
                <w:b w:val="0"/>
                <w:sz w:val="22"/>
              </w:rPr>
              <w:t>(33.3%)</w:t>
            </w:r>
          </w:p>
        </w:tc>
        <w:tc>
          <w:tcPr>
            <w:tcW w:w="1244" w:type="dxa"/>
            <w:tcBorders>
              <w:left w:val="single" w:sz="45" w:space="0" w:color="9CC2E4"/>
            </w:tcBorders>
          </w:tcPr>
          <w:p>
            <w:pPr>
              <w:pStyle w:val="TableParagraph"/>
              <w:spacing w:line="265" w:lineRule="exact"/>
              <w:ind w:left="109" w:right="161"/>
              <w:rPr>
                <w:rFonts w:ascii="Calibri Light"/>
                <w:b w:val="0"/>
                <w:sz w:val="22"/>
              </w:rPr>
            </w:pPr>
            <w:r>
              <w:rPr>
                <w:sz w:val="22"/>
              </w:rPr>
              <w:t>2 </w:t>
            </w:r>
            <w:r>
              <w:rPr>
                <w:rFonts w:ascii="Calibri Light"/>
                <w:b w:val="0"/>
                <w:sz w:val="22"/>
              </w:rPr>
              <w:t>(16.6%)</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(16.6%)</w:t>
            </w:r>
          </w:p>
        </w:tc>
        <w:tc>
          <w:tcPr>
            <w:tcW w:w="1366" w:type="dxa"/>
          </w:tcPr>
          <w:p>
            <w:pPr>
              <w:pStyle w:val="TableParagraph"/>
              <w:spacing w:before="9"/>
              <w:ind w:left="614"/>
              <w:jc w:val="left"/>
              <w:rPr>
                <w:sz w:val="22"/>
              </w:rPr>
            </w:pPr>
            <w:r>
              <w:rPr>
                <w:w w:val="100"/>
                <w:sz w:val="22"/>
              </w:rPr>
              <w:t>0</w:t>
            </w:r>
          </w:p>
        </w:tc>
      </w:tr>
      <w:tr>
        <w:trPr>
          <w:trHeight w:val="413" w:hRule="exact"/>
        </w:trPr>
        <w:tc>
          <w:tcPr>
            <w:tcW w:w="3142" w:type="dxa"/>
            <w:gridSpan w:val="2"/>
            <w:tcBorders>
              <w:right w:val="single" w:sz="45" w:space="0" w:color="9CC2E4"/>
            </w:tcBorders>
          </w:tcPr>
          <w:p>
            <w:pPr>
              <w:pStyle w:val="TableParagraph"/>
              <w:spacing w:before="9"/>
              <w:ind w:left="892"/>
              <w:jc w:val="left"/>
              <w:rPr>
                <w:sz w:val="22"/>
              </w:rPr>
            </w:pPr>
            <w:r>
              <w:rPr>
                <w:sz w:val="22"/>
              </w:rPr>
              <w:t>Hombres (12)</w:t>
            </w:r>
          </w:p>
        </w:tc>
        <w:tc>
          <w:tcPr>
            <w:tcW w:w="1140" w:type="dxa"/>
            <w:tcBorders>
              <w:right w:val="single" w:sz="41" w:space="0" w:color="2D74B5"/>
            </w:tcBorders>
            <w:shd w:val="clear" w:color="auto" w:fill="9CC2E4"/>
          </w:tcPr>
          <w:p>
            <w:pPr>
              <w:pStyle w:val="TableParagraph"/>
              <w:spacing w:line="265" w:lineRule="exact"/>
              <w:ind w:left="114" w:right="67"/>
              <w:rPr>
                <w:rFonts w:ascii="Calibri Light"/>
                <w:b w:val="0"/>
                <w:sz w:val="22"/>
              </w:rPr>
            </w:pPr>
            <w:r>
              <w:rPr>
                <w:sz w:val="22"/>
              </w:rPr>
              <w:t>3 </w:t>
            </w:r>
            <w:r>
              <w:rPr>
                <w:rFonts w:ascii="Calibri Light"/>
                <w:b w:val="0"/>
                <w:sz w:val="22"/>
              </w:rPr>
              <w:t>(25%)</w:t>
            </w:r>
          </w:p>
        </w:tc>
        <w:tc>
          <w:tcPr>
            <w:tcW w:w="1138" w:type="dxa"/>
            <w:tcBorders>
              <w:left w:val="single" w:sz="41" w:space="0" w:color="9CC2E4"/>
            </w:tcBorders>
            <w:shd w:val="clear" w:color="auto" w:fill="2D74B5"/>
          </w:tcPr>
          <w:p>
            <w:pPr>
              <w:pStyle w:val="TableParagraph"/>
              <w:spacing w:line="265" w:lineRule="exact"/>
              <w:ind w:left="151" w:right="195"/>
              <w:rPr>
                <w:rFonts w:ascii="Calibri Light"/>
                <w:b w:val="0"/>
                <w:sz w:val="22"/>
              </w:rPr>
            </w:pPr>
            <w:r>
              <w:rPr>
                <w:sz w:val="22"/>
              </w:rPr>
              <w:t>6 </w:t>
            </w:r>
            <w:r>
              <w:rPr>
                <w:rFonts w:ascii="Calibri Light"/>
                <w:b w:val="0"/>
                <w:sz w:val="22"/>
              </w:rPr>
              <w:t>(50%)</w:t>
            </w:r>
          </w:p>
        </w:tc>
        <w:tc>
          <w:tcPr>
            <w:tcW w:w="1244" w:type="dxa"/>
            <w:tcBorders>
              <w:left w:val="single" w:sz="45" w:space="0" w:color="2D74B5"/>
            </w:tcBorders>
          </w:tcPr>
          <w:p>
            <w:pPr>
              <w:pStyle w:val="TableParagraph"/>
              <w:spacing w:before="9"/>
              <w:ind w:right="52"/>
              <w:rPr>
                <w:sz w:val="22"/>
              </w:rPr>
            </w:pPr>
            <w:r>
              <w:rPr>
                <w:w w:val="100"/>
                <w:sz w:val="22"/>
              </w:rPr>
              <w:t>0</w:t>
            </w:r>
          </w:p>
        </w:tc>
        <w:tc>
          <w:tcPr>
            <w:tcW w:w="1368" w:type="dxa"/>
          </w:tcPr>
          <w:p>
            <w:pPr>
              <w:pStyle w:val="TableParagraph"/>
              <w:spacing w:line="265" w:lineRule="exact"/>
              <w:ind w:left="223" w:right="224"/>
              <w:rPr>
                <w:rFonts w:ascii="Calibri Light"/>
                <w:b w:val="0"/>
                <w:sz w:val="22"/>
              </w:rPr>
            </w:pPr>
            <w:r>
              <w:rPr>
                <w:sz w:val="22"/>
              </w:rPr>
              <w:t>3 </w:t>
            </w:r>
            <w:r>
              <w:rPr>
                <w:rFonts w:ascii="Calibri Light"/>
                <w:b w:val="0"/>
                <w:sz w:val="22"/>
              </w:rPr>
              <w:t>(25%)</w:t>
            </w:r>
          </w:p>
        </w:tc>
        <w:tc>
          <w:tcPr>
            <w:tcW w:w="1366" w:type="dxa"/>
          </w:tcPr>
          <w:p>
            <w:pPr>
              <w:pStyle w:val="TableParagraph"/>
              <w:spacing w:before="9"/>
              <w:ind w:left="614"/>
              <w:jc w:val="left"/>
              <w:rPr>
                <w:sz w:val="22"/>
              </w:rPr>
            </w:pPr>
            <w:r>
              <w:rPr>
                <w:w w:val="100"/>
                <w:sz w:val="22"/>
              </w:rPr>
              <w:t>0</w:t>
            </w:r>
          </w:p>
        </w:tc>
      </w:tr>
    </w:tbl>
    <w:p>
      <w:pPr>
        <w:spacing w:line="362" w:lineRule="auto" w:before="0"/>
        <w:ind w:left="3700" w:right="326" w:hanging="3363"/>
        <w:jc w:val="left"/>
        <w:rPr>
          <w:b/>
          <w:sz w:val="20"/>
        </w:rPr>
      </w:pPr>
      <w:r>
        <w:rPr>
          <w:b/>
          <w:sz w:val="20"/>
        </w:rPr>
        <w:t>Tabla 4.10. Estadísticas financieras con precisión y autoridad; respuestas en la totalidad de la población y por género</w:t>
      </w:r>
    </w:p>
    <w:p>
      <w:pPr>
        <w:spacing w:after="0" w:line="362" w:lineRule="auto"/>
        <w:jc w:val="left"/>
        <w:rPr>
          <w:sz w:val="20"/>
        </w:rPr>
        <w:sectPr>
          <w:pgSz w:w="12240" w:h="15840"/>
          <w:pgMar w:header="749" w:footer="1003" w:top="960" w:bottom="1200" w:left="1600" w:right="1020"/>
        </w:sect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70"/>
        <w:ind w:left="102" w:right="108" w:firstLine="707"/>
        <w:jc w:val="both"/>
      </w:pPr>
      <w:r>
        <w:rPr/>
        <w:t>En</w:t>
      </w:r>
      <w:r>
        <w:rPr>
          <w:spacing w:val="-6"/>
        </w:rPr>
        <w:t> </w:t>
      </w:r>
      <w:r>
        <w:rPr/>
        <w:t>cuanto</w:t>
      </w:r>
      <w:r>
        <w:rPr>
          <w:spacing w:val="-8"/>
        </w:rPr>
        <w:t> </w:t>
      </w:r>
      <w:r>
        <w:rPr/>
        <w:t>al</w:t>
      </w:r>
      <w:r>
        <w:rPr>
          <w:spacing w:val="-10"/>
        </w:rPr>
        <w:t> </w:t>
      </w:r>
      <w:r>
        <w:rPr/>
        <w:t>análisis</w:t>
      </w:r>
      <w:r>
        <w:rPr>
          <w:spacing w:val="-10"/>
        </w:rPr>
        <w:t> </w:t>
      </w:r>
      <w:r>
        <w:rPr/>
        <w:t>por</w:t>
      </w:r>
      <w:r>
        <w:rPr>
          <w:spacing w:val="-7"/>
        </w:rPr>
        <w:t> </w:t>
      </w:r>
      <w:r>
        <w:rPr/>
        <w:t>grupo</w:t>
      </w:r>
      <w:r>
        <w:rPr>
          <w:spacing w:val="-8"/>
        </w:rPr>
        <w:t> </w:t>
      </w:r>
      <w:r>
        <w:rPr/>
        <w:t>de</w:t>
      </w:r>
      <w:r>
        <w:rPr>
          <w:spacing w:val="-8"/>
        </w:rPr>
        <w:t> </w:t>
      </w:r>
      <w:r>
        <w:rPr/>
        <w:t>edad,</w:t>
      </w:r>
      <w:r>
        <w:rPr>
          <w:spacing w:val="-9"/>
        </w:rPr>
        <w:t> </w:t>
      </w:r>
      <w:r>
        <w:rPr/>
        <w:t>como</w:t>
      </w:r>
      <w:r>
        <w:rPr>
          <w:spacing w:val="-6"/>
        </w:rPr>
        <w:t> </w:t>
      </w:r>
      <w:r>
        <w:rPr/>
        <w:t>se</w:t>
      </w:r>
      <w:r>
        <w:rPr>
          <w:spacing w:val="-8"/>
        </w:rPr>
        <w:t> </w:t>
      </w:r>
      <w:r>
        <w:rPr/>
        <w:t>puede</w:t>
      </w:r>
      <w:r>
        <w:rPr>
          <w:spacing w:val="-8"/>
        </w:rPr>
        <w:t> </w:t>
      </w:r>
      <w:r>
        <w:rPr/>
        <w:t>apreciar</w:t>
      </w:r>
      <w:r>
        <w:rPr>
          <w:spacing w:val="-10"/>
        </w:rPr>
        <w:t> </w:t>
      </w:r>
      <w:r>
        <w:rPr/>
        <w:t>en</w:t>
      </w:r>
      <w:r>
        <w:rPr>
          <w:spacing w:val="-8"/>
        </w:rPr>
        <w:t> </w:t>
      </w:r>
      <w:r>
        <w:rPr/>
        <w:t>la</w:t>
      </w:r>
      <w:r>
        <w:rPr>
          <w:spacing w:val="-6"/>
        </w:rPr>
        <w:t> </w:t>
      </w:r>
      <w:r>
        <w:rPr/>
        <w:t>tabla</w:t>
      </w:r>
      <w:r>
        <w:rPr>
          <w:spacing w:val="-1"/>
        </w:rPr>
        <w:t> </w:t>
      </w:r>
      <w:r>
        <w:rPr/>
        <w:t>4.11., el grupo 1 es el más concreto al presentar cuatro de seis respuestas “de acuerdo” y las dos restantes son “indiferentes”. El grupo 2 le sucede con tres de seis sujetos con respuestas “muy de acuerdo” y dos “de acuerdo”. Posteriormente se puede observar el grupo 4 con tres de seis sujetos que dijeron estar “muy de acuerdo” con la aseveración del tipo favorable ante el uso de anglicismos y un sujeto “de acuerdo”, a la inversa del grupo 3 con un sujeto “muy de acuerdo” y tres “de acuerdo”, aun así, la mayoría de la población en los cuatro grupos presentan actitudes favorables ante la grabación con anglicismos.</w:t>
      </w:r>
    </w:p>
    <w:p>
      <w:pPr>
        <w:pStyle w:val="BodyText"/>
        <w:spacing w:before="8"/>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4"/>
        <w:gridCol w:w="1148"/>
        <w:gridCol w:w="1121"/>
        <w:gridCol w:w="1244"/>
        <w:gridCol w:w="1368"/>
        <w:gridCol w:w="1366"/>
      </w:tblGrid>
      <w:tr>
        <w:trPr>
          <w:trHeight w:val="408"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6"/>
              <w:rPr>
                <w:b/>
                <w:sz w:val="22"/>
              </w:rPr>
            </w:pPr>
            <w:r>
              <w:rPr>
                <w:b/>
                <w:w w:val="100"/>
                <w:sz w:val="22"/>
              </w:rPr>
              <w:t>4</w:t>
            </w:r>
          </w:p>
        </w:tc>
        <w:tc>
          <w:tcPr>
            <w:tcW w:w="1724" w:type="dxa"/>
            <w:vMerge w:val="restart"/>
          </w:tcPr>
          <w:p>
            <w:pPr>
              <w:pStyle w:val="TableParagraph"/>
              <w:spacing w:line="360" w:lineRule="auto" w:before="12"/>
              <w:ind w:left="218" w:right="222" w:firstLine="5"/>
              <w:rPr>
                <w:b/>
                <w:sz w:val="22"/>
              </w:rPr>
            </w:pPr>
            <w:r>
              <w:rPr>
                <w:sz w:val="22"/>
              </w:rPr>
              <w:t>Tipo de Aseveración: </w:t>
            </w:r>
            <w:r>
              <w:rPr>
                <w:b/>
                <w:sz w:val="22"/>
              </w:rPr>
              <w:t>Favorable</w:t>
            </w:r>
          </w:p>
        </w:tc>
        <w:tc>
          <w:tcPr>
            <w:tcW w:w="6246" w:type="dxa"/>
            <w:gridSpan w:val="5"/>
          </w:tcPr>
          <w:p>
            <w:pPr>
              <w:pStyle w:val="TableParagraph"/>
              <w:spacing w:before="7"/>
              <w:ind w:left="2516" w:right="2516"/>
              <w:rPr>
                <w:sz w:val="22"/>
              </w:rPr>
            </w:pPr>
            <w:r>
              <w:rPr>
                <w:sz w:val="22"/>
              </w:rPr>
              <w:t>Respuestas</w:t>
            </w:r>
          </w:p>
        </w:tc>
      </w:tr>
      <w:tr>
        <w:trPr>
          <w:trHeight w:val="768" w:hRule="exact"/>
        </w:trPr>
        <w:tc>
          <w:tcPr>
            <w:tcW w:w="1428" w:type="dxa"/>
            <w:gridSpan w:val="2"/>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1 (6)</w:t>
            </w:r>
          </w:p>
        </w:tc>
        <w:tc>
          <w:tcPr>
            <w:tcW w:w="1148" w:type="dxa"/>
            <w:tcBorders>
              <w:right w:val="single" w:sz="41" w:space="0" w:color="2D74B5"/>
            </w:tcBorders>
          </w:tcPr>
          <w:p>
            <w:pPr>
              <w:pStyle w:val="TableParagraph"/>
              <w:spacing w:before="9"/>
              <w:ind w:left="39"/>
              <w:rPr>
                <w:sz w:val="22"/>
              </w:rPr>
            </w:pPr>
            <w:r>
              <w:rPr>
                <w:w w:val="100"/>
                <w:sz w:val="22"/>
              </w:rPr>
              <w:t>0</w:t>
            </w:r>
          </w:p>
        </w:tc>
        <w:tc>
          <w:tcPr>
            <w:tcW w:w="1121" w:type="dxa"/>
            <w:shd w:val="clear" w:color="auto" w:fill="2D74B5"/>
          </w:tcPr>
          <w:p>
            <w:pPr>
              <w:pStyle w:val="TableParagraph"/>
              <w:spacing w:line="268" w:lineRule="exact"/>
              <w:ind w:left="85" w:right="86"/>
              <w:rPr>
                <w:rFonts w:ascii="Calibri Light"/>
                <w:b w:val="0"/>
                <w:sz w:val="22"/>
              </w:rPr>
            </w:pPr>
            <w:r>
              <w:rPr>
                <w:sz w:val="22"/>
              </w:rPr>
              <w:t>4 </w:t>
            </w:r>
            <w:r>
              <w:rPr>
                <w:rFonts w:ascii="Calibri Light"/>
                <w:b w:val="0"/>
                <w:sz w:val="22"/>
              </w:rPr>
              <w:t>(66.6%)</w:t>
            </w:r>
          </w:p>
        </w:tc>
        <w:tc>
          <w:tcPr>
            <w:tcW w:w="1244" w:type="dxa"/>
            <w:tcBorders>
              <w:left w:val="single" w:sz="45" w:space="0" w:color="2D74B5"/>
            </w:tcBorders>
          </w:tcPr>
          <w:p>
            <w:pPr>
              <w:pStyle w:val="TableParagraph"/>
              <w:spacing w:line="268" w:lineRule="exact"/>
              <w:ind w:left="110" w:right="159"/>
              <w:rPr>
                <w:rFonts w:ascii="Calibri Light"/>
                <w:b w:val="0"/>
                <w:sz w:val="22"/>
              </w:rPr>
            </w:pPr>
            <w:r>
              <w:rPr>
                <w:sz w:val="22"/>
              </w:rPr>
              <w:t>2 </w:t>
            </w:r>
            <w:r>
              <w:rPr>
                <w:rFonts w:ascii="Calibri Light"/>
                <w:b w:val="0"/>
                <w:sz w:val="22"/>
              </w:rPr>
              <w:t>(33.3%)</w:t>
            </w:r>
          </w:p>
        </w:tc>
        <w:tc>
          <w:tcPr>
            <w:tcW w:w="1368" w:type="dxa"/>
          </w:tcPr>
          <w:p>
            <w:pPr>
              <w:pStyle w:val="TableParagraph"/>
              <w:spacing w:before="9"/>
              <w:rPr>
                <w:sz w:val="22"/>
              </w:rPr>
            </w:pPr>
            <w:r>
              <w:rPr>
                <w:w w:val="100"/>
                <w:sz w:val="22"/>
              </w:rPr>
              <w:t>0</w:t>
            </w:r>
          </w:p>
        </w:tc>
        <w:tc>
          <w:tcPr>
            <w:tcW w:w="1366" w:type="dxa"/>
          </w:tcPr>
          <w:p>
            <w:pPr>
              <w:pStyle w:val="TableParagraph"/>
              <w:spacing w:before="9"/>
              <w:ind w:left="614"/>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right w:val="single" w:sz="41" w:space="0" w:color="2D74B5"/>
            </w:tcBorders>
          </w:tcPr>
          <w:p>
            <w:pPr>
              <w:pStyle w:val="TableParagraph"/>
              <w:spacing w:before="9"/>
              <w:ind w:left="60"/>
              <w:jc w:val="left"/>
              <w:rPr>
                <w:sz w:val="22"/>
              </w:rPr>
            </w:pPr>
            <w:r>
              <w:rPr>
                <w:sz w:val="22"/>
              </w:rPr>
              <w:t>de edad 2 (6)</w:t>
            </w:r>
          </w:p>
        </w:tc>
        <w:tc>
          <w:tcPr>
            <w:tcW w:w="1148" w:type="dxa"/>
            <w:tcBorders>
              <w:right w:val="single" w:sz="41" w:space="0" w:color="9CC2E4"/>
            </w:tcBorders>
            <w:shd w:val="clear" w:color="auto" w:fill="2D74B5"/>
          </w:tcPr>
          <w:p>
            <w:pPr>
              <w:pStyle w:val="TableParagraph"/>
              <w:spacing w:line="268" w:lineRule="exact"/>
              <w:ind w:left="114" w:right="75"/>
              <w:rPr>
                <w:rFonts w:ascii="Calibri Light"/>
                <w:b w:val="0"/>
                <w:sz w:val="22"/>
              </w:rPr>
            </w:pPr>
            <w:r>
              <w:rPr>
                <w:sz w:val="22"/>
              </w:rPr>
              <w:t>3 </w:t>
            </w:r>
            <w:r>
              <w:rPr>
                <w:rFonts w:ascii="Calibri Light"/>
                <w:b w:val="0"/>
                <w:sz w:val="22"/>
              </w:rPr>
              <w:t>(50%)</w:t>
            </w:r>
          </w:p>
        </w:tc>
        <w:tc>
          <w:tcPr>
            <w:tcW w:w="1121" w:type="dxa"/>
            <w:tcBorders>
              <w:left w:val="single" w:sz="41" w:space="0" w:color="2D74B5"/>
            </w:tcBorders>
            <w:shd w:val="clear" w:color="auto" w:fill="9CC2E4"/>
          </w:tcPr>
          <w:p>
            <w:pPr>
              <w:pStyle w:val="TableParagraph"/>
              <w:spacing w:line="268" w:lineRule="exact"/>
              <w:ind w:left="59" w:right="105"/>
              <w:rPr>
                <w:rFonts w:ascii="Calibri Light"/>
                <w:b w:val="0"/>
                <w:sz w:val="22"/>
              </w:rPr>
            </w:pPr>
            <w:r>
              <w:rPr>
                <w:sz w:val="22"/>
              </w:rPr>
              <w:t>2 </w:t>
            </w:r>
            <w:r>
              <w:rPr>
                <w:rFonts w:ascii="Calibri Light"/>
                <w:b w:val="0"/>
                <w:sz w:val="22"/>
              </w:rPr>
              <w:t>(33.3%)</w:t>
            </w:r>
          </w:p>
        </w:tc>
        <w:tc>
          <w:tcPr>
            <w:tcW w:w="1244" w:type="dxa"/>
            <w:tcBorders>
              <w:left w:val="single" w:sz="45" w:space="0" w:color="9CC2E4"/>
            </w:tcBorders>
          </w:tcPr>
          <w:p>
            <w:pPr>
              <w:pStyle w:val="TableParagraph"/>
              <w:spacing w:before="9"/>
              <w:ind w:right="52"/>
              <w:rPr>
                <w:sz w:val="22"/>
              </w:rPr>
            </w:pPr>
            <w:r>
              <w:rPr>
                <w:w w:val="100"/>
                <w:sz w:val="22"/>
              </w:rPr>
              <w:t>0</w:t>
            </w:r>
          </w:p>
        </w:tc>
        <w:tc>
          <w:tcPr>
            <w:tcW w:w="1368" w:type="dxa"/>
          </w:tcPr>
          <w:p>
            <w:pPr>
              <w:pStyle w:val="TableParagraph"/>
              <w:spacing w:line="268" w:lineRule="exact"/>
              <w:ind w:left="223" w:right="224"/>
              <w:rPr>
                <w:rFonts w:ascii="Calibri Light"/>
                <w:b w:val="0"/>
                <w:sz w:val="22"/>
              </w:rPr>
            </w:pPr>
            <w:r>
              <w:rPr>
                <w:sz w:val="22"/>
              </w:rPr>
              <w:t>1 </w:t>
            </w:r>
            <w:r>
              <w:rPr>
                <w:rFonts w:ascii="Calibri Light"/>
                <w:b w:val="0"/>
                <w:sz w:val="22"/>
              </w:rPr>
              <w:t>(16%)</w:t>
            </w:r>
          </w:p>
        </w:tc>
        <w:tc>
          <w:tcPr>
            <w:tcW w:w="1366" w:type="dxa"/>
          </w:tcPr>
          <w:p>
            <w:pPr>
              <w:pStyle w:val="TableParagraph"/>
              <w:spacing w:before="9"/>
              <w:ind w:left="614"/>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3 (6)</w:t>
            </w:r>
          </w:p>
        </w:tc>
        <w:tc>
          <w:tcPr>
            <w:tcW w:w="1148" w:type="dxa"/>
            <w:tcBorders>
              <w:right w:val="single" w:sz="41" w:space="0" w:color="2D74B5"/>
            </w:tcBorders>
          </w:tcPr>
          <w:p>
            <w:pPr>
              <w:pStyle w:val="TableParagraph"/>
              <w:spacing w:line="268" w:lineRule="exact"/>
              <w:ind w:left="114" w:right="75"/>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8" w:lineRule="exact"/>
              <w:ind w:left="85" w:right="85"/>
              <w:rPr>
                <w:rFonts w:ascii="Calibri Light"/>
                <w:b w:val="0"/>
                <w:sz w:val="22"/>
              </w:rPr>
            </w:pPr>
            <w:r>
              <w:rPr>
                <w:sz w:val="22"/>
              </w:rPr>
              <w:t>3 </w:t>
            </w:r>
            <w:r>
              <w:rPr>
                <w:rFonts w:ascii="Calibri Light"/>
                <w:b w:val="0"/>
                <w:sz w:val="22"/>
              </w:rPr>
              <w:t>(50%)</w:t>
            </w:r>
          </w:p>
        </w:tc>
        <w:tc>
          <w:tcPr>
            <w:tcW w:w="1244" w:type="dxa"/>
            <w:tcBorders>
              <w:left w:val="single" w:sz="45" w:space="0" w:color="2D74B5"/>
            </w:tcBorders>
          </w:tcPr>
          <w:p>
            <w:pPr>
              <w:pStyle w:val="TableParagraph"/>
              <w:spacing w:before="9"/>
              <w:ind w:right="52"/>
              <w:rPr>
                <w:sz w:val="22"/>
              </w:rPr>
            </w:pPr>
            <w:r>
              <w:rPr>
                <w:w w:val="100"/>
                <w:sz w:val="22"/>
              </w:rPr>
              <w:t>0</w:t>
            </w:r>
          </w:p>
        </w:tc>
        <w:tc>
          <w:tcPr>
            <w:tcW w:w="1368" w:type="dxa"/>
          </w:tcPr>
          <w:p>
            <w:pPr>
              <w:pStyle w:val="TableParagraph"/>
              <w:spacing w:line="268"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9"/>
              <w:ind w:left="614"/>
              <w:jc w:val="left"/>
              <w:rPr>
                <w:sz w:val="22"/>
              </w:rPr>
            </w:pPr>
            <w:r>
              <w:rPr>
                <w:w w:val="100"/>
                <w:sz w:val="22"/>
              </w:rPr>
              <w:t>0</w:t>
            </w:r>
          </w:p>
        </w:tc>
      </w:tr>
      <w:tr>
        <w:trPr>
          <w:trHeight w:val="415"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right w:val="single" w:sz="41" w:space="0" w:color="2D74B5"/>
            </w:tcBorders>
          </w:tcPr>
          <w:p>
            <w:pPr>
              <w:pStyle w:val="TableParagraph"/>
              <w:spacing w:before="9"/>
              <w:ind w:left="60"/>
              <w:jc w:val="left"/>
              <w:rPr>
                <w:sz w:val="22"/>
              </w:rPr>
            </w:pPr>
            <w:r>
              <w:rPr>
                <w:sz w:val="22"/>
              </w:rPr>
              <w:t>de edad 4 (6)</w:t>
            </w:r>
          </w:p>
        </w:tc>
        <w:tc>
          <w:tcPr>
            <w:tcW w:w="1148" w:type="dxa"/>
            <w:shd w:val="clear" w:color="auto" w:fill="2D74B5"/>
          </w:tcPr>
          <w:p>
            <w:pPr>
              <w:pStyle w:val="TableParagraph"/>
              <w:spacing w:line="268" w:lineRule="exact"/>
              <w:ind w:left="115" w:right="119"/>
              <w:rPr>
                <w:rFonts w:ascii="Calibri Light"/>
                <w:b w:val="0"/>
                <w:sz w:val="22"/>
              </w:rPr>
            </w:pPr>
            <w:r>
              <w:rPr>
                <w:sz w:val="22"/>
              </w:rPr>
              <w:t>3 </w:t>
            </w:r>
            <w:r>
              <w:rPr>
                <w:rFonts w:ascii="Calibri Light"/>
                <w:b w:val="0"/>
                <w:sz w:val="22"/>
              </w:rPr>
              <w:t>(50%)</w:t>
            </w:r>
          </w:p>
        </w:tc>
        <w:tc>
          <w:tcPr>
            <w:tcW w:w="1121" w:type="dxa"/>
            <w:tcBorders>
              <w:left w:val="single" w:sz="41" w:space="0" w:color="2D74B5"/>
            </w:tcBorders>
          </w:tcPr>
          <w:p>
            <w:pPr>
              <w:pStyle w:val="TableParagraph"/>
              <w:spacing w:line="268" w:lineRule="exact"/>
              <w:ind w:left="59" w:right="103"/>
              <w:rPr>
                <w:rFonts w:ascii="Calibri Light"/>
                <w:b w:val="0"/>
                <w:sz w:val="22"/>
              </w:rPr>
            </w:pPr>
            <w:r>
              <w:rPr>
                <w:sz w:val="22"/>
              </w:rPr>
              <w:t>1 </w:t>
            </w:r>
            <w:r>
              <w:rPr>
                <w:rFonts w:ascii="Calibri Light"/>
                <w:b w:val="0"/>
                <w:sz w:val="22"/>
              </w:rPr>
              <w:t>(16%)</w:t>
            </w:r>
          </w:p>
        </w:tc>
        <w:tc>
          <w:tcPr>
            <w:tcW w:w="1244" w:type="dxa"/>
          </w:tcPr>
          <w:p>
            <w:pPr>
              <w:pStyle w:val="TableParagraph"/>
              <w:spacing w:before="9"/>
              <w:rPr>
                <w:sz w:val="22"/>
              </w:rPr>
            </w:pPr>
            <w:r>
              <w:rPr>
                <w:w w:val="100"/>
                <w:sz w:val="22"/>
              </w:rPr>
              <w:t>0</w:t>
            </w:r>
          </w:p>
        </w:tc>
        <w:tc>
          <w:tcPr>
            <w:tcW w:w="1368" w:type="dxa"/>
          </w:tcPr>
          <w:p>
            <w:pPr>
              <w:pStyle w:val="TableParagraph"/>
              <w:spacing w:line="268"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9"/>
              <w:ind w:left="614"/>
              <w:jc w:val="left"/>
              <w:rPr>
                <w:sz w:val="22"/>
              </w:rPr>
            </w:pPr>
            <w:r>
              <w:rPr>
                <w:w w:val="100"/>
                <w:sz w:val="22"/>
              </w:rPr>
              <w:t>0</w:t>
            </w:r>
          </w:p>
        </w:tc>
      </w:tr>
    </w:tbl>
    <w:p>
      <w:pPr>
        <w:spacing w:line="228" w:lineRule="exact" w:before="0"/>
        <w:ind w:left="385" w:right="339" w:firstLine="0"/>
        <w:jc w:val="left"/>
        <w:rPr>
          <w:b/>
          <w:sz w:val="20"/>
        </w:rPr>
      </w:pPr>
      <w:r>
        <w:rPr>
          <w:b/>
          <w:sz w:val="20"/>
        </w:rPr>
        <w:t>Tabla 4.11. Estadísticas financieras con precisión y autoridad; respuestas por grupo de edad</w:t>
      </w:r>
    </w:p>
    <w:p>
      <w:pPr>
        <w:pStyle w:val="BodyText"/>
        <w:spacing w:before="5"/>
        <w:rPr>
          <w:b/>
          <w:sz w:val="27"/>
        </w:rPr>
      </w:pPr>
    </w:p>
    <w:p>
      <w:pPr>
        <w:pStyle w:val="BodyText"/>
        <w:spacing w:line="360" w:lineRule="auto"/>
        <w:ind w:left="102" w:right="111" w:firstLine="707"/>
        <w:jc w:val="both"/>
      </w:pPr>
      <w:r>
        <w:rPr/>
        <w:t>Las respuestas obtenidas en la aseveración 4 por nivel de estudio muestran que el nivel superior presenta mayor aceptación a los anglicismos proporcionando cuatro de ocho</w:t>
      </w:r>
      <w:r>
        <w:rPr>
          <w:spacing w:val="-7"/>
        </w:rPr>
        <w:t> </w:t>
      </w:r>
      <w:r>
        <w:rPr/>
        <w:t>respuestas</w:t>
      </w:r>
      <w:r>
        <w:rPr>
          <w:spacing w:val="-8"/>
        </w:rPr>
        <w:t> </w:t>
      </w:r>
      <w:r>
        <w:rPr/>
        <w:t>en</w:t>
      </w:r>
      <w:r>
        <w:rPr>
          <w:spacing w:val="-7"/>
        </w:rPr>
        <w:t> </w:t>
      </w:r>
      <w:r>
        <w:rPr/>
        <w:t>“de</w:t>
      </w:r>
      <w:r>
        <w:rPr>
          <w:spacing w:val="-5"/>
        </w:rPr>
        <w:t> </w:t>
      </w:r>
      <w:r>
        <w:rPr/>
        <w:t>acuerdo”</w:t>
      </w:r>
      <w:r>
        <w:rPr>
          <w:spacing w:val="-6"/>
        </w:rPr>
        <w:t> </w:t>
      </w:r>
      <w:r>
        <w:rPr/>
        <w:t>y</w:t>
      </w:r>
      <w:r>
        <w:rPr>
          <w:spacing w:val="-8"/>
        </w:rPr>
        <w:t> </w:t>
      </w:r>
      <w:r>
        <w:rPr/>
        <w:t>tres</w:t>
      </w:r>
      <w:r>
        <w:rPr>
          <w:spacing w:val="-8"/>
        </w:rPr>
        <w:t> </w:t>
      </w:r>
      <w:r>
        <w:rPr/>
        <w:t>de</w:t>
      </w:r>
      <w:r>
        <w:rPr>
          <w:spacing w:val="-7"/>
        </w:rPr>
        <w:t> </w:t>
      </w:r>
      <w:r>
        <w:rPr/>
        <w:t>ocho</w:t>
      </w:r>
      <w:r>
        <w:rPr>
          <w:spacing w:val="-5"/>
        </w:rPr>
        <w:t> </w:t>
      </w:r>
      <w:r>
        <w:rPr/>
        <w:t>“muy</w:t>
      </w:r>
      <w:r>
        <w:rPr>
          <w:spacing w:val="-8"/>
        </w:rPr>
        <w:t> </w:t>
      </w:r>
      <w:r>
        <w:rPr/>
        <w:t>de</w:t>
      </w:r>
      <w:r>
        <w:rPr>
          <w:spacing w:val="-7"/>
        </w:rPr>
        <w:t> </w:t>
      </w:r>
      <w:r>
        <w:rPr/>
        <w:t>acuerdo”.</w:t>
      </w:r>
      <w:r>
        <w:rPr>
          <w:spacing w:val="-9"/>
        </w:rPr>
        <w:t> </w:t>
      </w:r>
      <w:r>
        <w:rPr/>
        <w:t>Seguidos</w:t>
      </w:r>
      <w:r>
        <w:rPr>
          <w:spacing w:val="-8"/>
        </w:rPr>
        <w:t> </w:t>
      </w:r>
      <w:r>
        <w:rPr/>
        <w:t>del</w:t>
      </w:r>
      <w:r>
        <w:rPr>
          <w:spacing w:val="-8"/>
        </w:rPr>
        <w:t> </w:t>
      </w:r>
      <w:r>
        <w:rPr/>
        <w:t>nivel</w:t>
      </w:r>
      <w:r>
        <w:rPr>
          <w:spacing w:val="-6"/>
        </w:rPr>
        <w:t> </w:t>
      </w:r>
      <w:r>
        <w:rPr/>
        <w:t>de educación básico con cuatro de ocho respuestas “de acuerdo” y dos “muy de acuerdo”. Para el nivel medio superior resulta un tato difícil la interpretación, ya que a pesar de presentar una mayoría de tres respuestas en desacuerdo, dos de las ocho respuestas son “de acuerdo” y otras dos “muy de acuerdo” (Ver tabla</w:t>
      </w:r>
      <w:r>
        <w:rPr>
          <w:spacing w:val="-18"/>
        </w:rPr>
        <w:t> </w:t>
      </w:r>
      <w:r>
        <w:rPr/>
        <w:t>4.12).</w:t>
      </w:r>
    </w:p>
    <w:p>
      <w:pPr>
        <w:spacing w:after="0" w:line="360" w:lineRule="auto"/>
        <w:jc w:val="both"/>
        <w:sectPr>
          <w:footerReference w:type="default" r:id="rId36"/>
          <w:pgSz w:w="12240" w:h="15840"/>
          <w:pgMar w:footer="1003" w:header="749" w:top="960" w:bottom="1200" w:left="1600" w:right="1020"/>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8"/>
        <w:gridCol w:w="1366"/>
      </w:tblGrid>
      <w:tr>
        <w:trPr>
          <w:trHeight w:val="406"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4</w:t>
            </w:r>
          </w:p>
        </w:tc>
        <w:tc>
          <w:tcPr>
            <w:tcW w:w="1721" w:type="dxa"/>
            <w:vMerge w:val="restart"/>
          </w:tcPr>
          <w:p>
            <w:pPr>
              <w:pStyle w:val="TableParagraph"/>
              <w:spacing w:line="357" w:lineRule="auto" w:before="12"/>
              <w:ind w:left="218" w:right="220" w:firstLine="5"/>
              <w:rPr>
                <w:b/>
                <w:sz w:val="22"/>
              </w:rPr>
            </w:pPr>
            <w:r>
              <w:rPr>
                <w:sz w:val="22"/>
              </w:rPr>
              <w:t>Tipo de Aseveración: </w:t>
            </w:r>
            <w:r>
              <w:rPr>
                <w:b/>
                <w:sz w:val="22"/>
              </w:rPr>
              <w:t>Favorable</w:t>
            </w:r>
          </w:p>
        </w:tc>
        <w:tc>
          <w:tcPr>
            <w:tcW w:w="6249" w:type="dxa"/>
            <w:gridSpan w:val="5"/>
          </w:tcPr>
          <w:p>
            <w:pPr>
              <w:pStyle w:val="TableParagraph"/>
              <w:spacing w:before="7"/>
              <w:ind w:left="2517" w:right="2517"/>
              <w:rPr>
                <w:sz w:val="22"/>
              </w:rPr>
            </w:pPr>
            <w:r>
              <w:rPr>
                <w:sz w:val="22"/>
              </w:rPr>
              <w:t>Respuestas</w:t>
            </w:r>
          </w:p>
        </w:tc>
      </w:tr>
      <w:tr>
        <w:trPr>
          <w:trHeight w:val="770" w:hRule="exact"/>
        </w:trPr>
        <w:tc>
          <w:tcPr>
            <w:tcW w:w="1428" w:type="dxa"/>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9"/>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9" w:type="dxa"/>
            <w:gridSpan w:val="2"/>
            <w:tcBorders>
              <w:right w:val="single" w:sz="45" w:space="0" w:color="9CC2E4"/>
            </w:tcBorders>
          </w:tcPr>
          <w:p>
            <w:pPr>
              <w:pStyle w:val="TableParagraph"/>
              <w:spacing w:before="9"/>
              <w:ind w:left="799"/>
              <w:jc w:val="left"/>
              <w:rPr>
                <w:sz w:val="22"/>
              </w:rPr>
            </w:pPr>
            <w:r>
              <w:rPr>
                <w:sz w:val="22"/>
              </w:rPr>
              <w:t>Nivel Básico (8)</w:t>
            </w:r>
          </w:p>
        </w:tc>
        <w:tc>
          <w:tcPr>
            <w:tcW w:w="1150" w:type="dxa"/>
            <w:tcBorders>
              <w:right w:val="single" w:sz="41" w:space="0" w:color="2D74B5"/>
            </w:tcBorders>
            <w:shd w:val="clear" w:color="auto" w:fill="9CC2E4"/>
          </w:tcPr>
          <w:p>
            <w:pPr>
              <w:pStyle w:val="TableParagraph"/>
              <w:spacing w:line="265" w:lineRule="exact"/>
              <w:ind w:left="117" w:right="75"/>
              <w:rPr>
                <w:rFonts w:ascii="Calibri Light"/>
                <w:b w:val="0"/>
                <w:sz w:val="22"/>
              </w:rPr>
            </w:pPr>
            <w:r>
              <w:rPr>
                <w:sz w:val="22"/>
              </w:rPr>
              <w:t>2 </w:t>
            </w:r>
            <w:r>
              <w:rPr>
                <w:rFonts w:ascii="Calibri Light"/>
                <w:b w:val="0"/>
                <w:sz w:val="22"/>
              </w:rPr>
              <w:t>(25%)</w:t>
            </w:r>
          </w:p>
        </w:tc>
        <w:tc>
          <w:tcPr>
            <w:tcW w:w="1121" w:type="dxa"/>
            <w:tcBorders>
              <w:left w:val="thickThinMediumGap" w:sz="23" w:space="0" w:color="9CC2E4"/>
            </w:tcBorders>
            <w:shd w:val="clear" w:color="auto" w:fill="2D74B5"/>
          </w:tcPr>
          <w:p>
            <w:pPr>
              <w:pStyle w:val="TableParagraph"/>
              <w:spacing w:line="265" w:lineRule="exact"/>
              <w:ind w:left="134" w:right="189"/>
              <w:rPr>
                <w:rFonts w:ascii="Calibri Light"/>
                <w:b w:val="0"/>
                <w:sz w:val="22"/>
              </w:rPr>
            </w:pPr>
            <w:r>
              <w:rPr>
                <w:sz w:val="22"/>
              </w:rPr>
              <w:t>4 </w:t>
            </w:r>
            <w:r>
              <w:rPr>
                <w:rFonts w:ascii="Calibri Light"/>
                <w:b w:val="0"/>
                <w:sz w:val="22"/>
              </w:rPr>
              <w:t>(50%)</w:t>
            </w:r>
          </w:p>
        </w:tc>
        <w:tc>
          <w:tcPr>
            <w:tcW w:w="1244" w:type="dxa"/>
            <w:tcBorders>
              <w:left w:val="single" w:sz="45" w:space="0" w:color="2D74B5"/>
            </w:tcBorders>
          </w:tcPr>
          <w:p>
            <w:pPr>
              <w:pStyle w:val="TableParagraph"/>
              <w:spacing w:line="265" w:lineRule="exact"/>
              <w:ind w:left="110" w:right="159"/>
              <w:rPr>
                <w:rFonts w:ascii="Calibri Light"/>
                <w:b w:val="0"/>
                <w:sz w:val="22"/>
              </w:rPr>
            </w:pPr>
            <w:r>
              <w:rPr>
                <w:sz w:val="22"/>
              </w:rPr>
              <w:t>1 </w:t>
            </w:r>
            <w:r>
              <w:rPr>
                <w:rFonts w:ascii="Calibri Light"/>
                <w:b w:val="0"/>
                <w:sz w:val="22"/>
              </w:rPr>
              <w:t>(12.5%)</w:t>
            </w:r>
          </w:p>
        </w:tc>
        <w:tc>
          <w:tcPr>
            <w:tcW w:w="1368" w:type="dxa"/>
          </w:tcPr>
          <w:p>
            <w:pPr>
              <w:pStyle w:val="TableParagraph"/>
              <w:spacing w:line="265" w:lineRule="exact"/>
              <w:ind w:left="222" w:right="224"/>
              <w:rPr>
                <w:rFonts w:ascii="Calibri Light"/>
                <w:b w:val="0"/>
                <w:sz w:val="22"/>
              </w:rPr>
            </w:pPr>
            <w:r>
              <w:rPr>
                <w:sz w:val="22"/>
              </w:rPr>
              <w:t>1 </w:t>
            </w:r>
            <w:r>
              <w:rPr>
                <w:rFonts w:ascii="Calibri Light"/>
                <w:b w:val="0"/>
                <w:sz w:val="22"/>
              </w:rPr>
              <w:t>(12.5%)</w:t>
            </w:r>
          </w:p>
        </w:tc>
        <w:tc>
          <w:tcPr>
            <w:tcW w:w="1366" w:type="dxa"/>
          </w:tcPr>
          <w:p>
            <w:pPr>
              <w:pStyle w:val="TableParagraph"/>
              <w:spacing w:before="9"/>
              <w:ind w:left="614"/>
              <w:jc w:val="left"/>
              <w:rPr>
                <w:sz w:val="22"/>
              </w:rPr>
            </w:pPr>
            <w:r>
              <w:rPr>
                <w:w w:val="100"/>
                <w:sz w:val="22"/>
              </w:rPr>
              <w:t>0</w:t>
            </w:r>
          </w:p>
        </w:tc>
      </w:tr>
      <w:tr>
        <w:trPr>
          <w:trHeight w:val="413" w:hRule="exact"/>
        </w:trPr>
        <w:tc>
          <w:tcPr>
            <w:tcW w:w="3149" w:type="dxa"/>
            <w:gridSpan w:val="2"/>
          </w:tcPr>
          <w:p>
            <w:pPr>
              <w:pStyle w:val="TableParagraph"/>
              <w:spacing w:before="9"/>
              <w:ind w:left="383"/>
              <w:jc w:val="left"/>
              <w:rPr>
                <w:sz w:val="22"/>
              </w:rPr>
            </w:pPr>
            <w:r>
              <w:rPr>
                <w:sz w:val="22"/>
              </w:rPr>
              <w:t>Nivel Medio Superior (8)</w:t>
            </w:r>
          </w:p>
        </w:tc>
        <w:tc>
          <w:tcPr>
            <w:tcW w:w="1150" w:type="dxa"/>
          </w:tcPr>
          <w:p>
            <w:pPr>
              <w:pStyle w:val="TableParagraph"/>
              <w:spacing w:line="265" w:lineRule="exact"/>
              <w:ind w:left="118" w:right="120"/>
              <w:rPr>
                <w:rFonts w:ascii="Calibri Light"/>
                <w:b w:val="0"/>
                <w:sz w:val="22"/>
              </w:rPr>
            </w:pPr>
            <w:r>
              <w:rPr>
                <w:sz w:val="22"/>
              </w:rPr>
              <w:t>2 </w:t>
            </w:r>
            <w:r>
              <w:rPr>
                <w:rFonts w:ascii="Calibri Light"/>
                <w:b w:val="0"/>
                <w:sz w:val="22"/>
              </w:rPr>
              <w:t>(25%)</w:t>
            </w:r>
          </w:p>
        </w:tc>
        <w:tc>
          <w:tcPr>
            <w:tcW w:w="1121" w:type="dxa"/>
          </w:tcPr>
          <w:p>
            <w:pPr>
              <w:pStyle w:val="TableParagraph"/>
              <w:spacing w:line="265" w:lineRule="exact"/>
              <w:ind w:left="85" w:right="87"/>
              <w:rPr>
                <w:rFonts w:ascii="Calibri Light"/>
                <w:b w:val="0"/>
                <w:sz w:val="22"/>
              </w:rPr>
            </w:pPr>
            <w:r>
              <w:rPr>
                <w:sz w:val="22"/>
              </w:rPr>
              <w:t>2 </w:t>
            </w:r>
            <w:r>
              <w:rPr>
                <w:rFonts w:ascii="Calibri Light"/>
                <w:b w:val="0"/>
                <w:sz w:val="22"/>
              </w:rPr>
              <w:t>(25%)</w:t>
            </w:r>
          </w:p>
        </w:tc>
        <w:tc>
          <w:tcPr>
            <w:tcW w:w="1244" w:type="dxa"/>
            <w:tcBorders>
              <w:right w:val="single" w:sz="41" w:space="0" w:color="2D74B5"/>
            </w:tcBorders>
          </w:tcPr>
          <w:p>
            <w:pPr>
              <w:pStyle w:val="TableParagraph"/>
              <w:spacing w:line="265" w:lineRule="exact"/>
              <w:ind w:left="167" w:right="121"/>
              <w:rPr>
                <w:rFonts w:ascii="Calibri Light"/>
                <w:b w:val="0"/>
                <w:sz w:val="22"/>
              </w:rPr>
            </w:pPr>
            <w:r>
              <w:rPr>
                <w:sz w:val="22"/>
              </w:rPr>
              <w:t>1 </w:t>
            </w:r>
            <w:r>
              <w:rPr>
                <w:rFonts w:ascii="Calibri Light"/>
                <w:b w:val="0"/>
                <w:sz w:val="22"/>
              </w:rPr>
              <w:t>(12.5%)</w:t>
            </w:r>
          </w:p>
        </w:tc>
        <w:tc>
          <w:tcPr>
            <w:tcW w:w="1368" w:type="dxa"/>
            <w:shd w:val="clear" w:color="auto" w:fill="2D74B5"/>
          </w:tcPr>
          <w:p>
            <w:pPr>
              <w:pStyle w:val="TableParagraph"/>
              <w:spacing w:line="265" w:lineRule="exact"/>
              <w:ind w:left="222" w:right="224"/>
              <w:rPr>
                <w:rFonts w:ascii="Calibri Light"/>
                <w:b w:val="0"/>
                <w:sz w:val="22"/>
              </w:rPr>
            </w:pPr>
            <w:r>
              <w:rPr>
                <w:sz w:val="22"/>
              </w:rPr>
              <w:t>3 </w:t>
            </w:r>
            <w:r>
              <w:rPr>
                <w:rFonts w:ascii="Calibri Light"/>
                <w:b w:val="0"/>
                <w:sz w:val="22"/>
              </w:rPr>
              <w:t>(37.5%)</w:t>
            </w:r>
          </w:p>
        </w:tc>
        <w:tc>
          <w:tcPr>
            <w:tcW w:w="1366" w:type="dxa"/>
            <w:tcBorders>
              <w:left w:val="thickThinMediumGap" w:sz="23" w:space="0" w:color="2D74B5"/>
            </w:tcBorders>
          </w:tcPr>
          <w:p>
            <w:pPr>
              <w:pStyle w:val="TableParagraph"/>
              <w:spacing w:before="9"/>
              <w:ind w:left="561"/>
              <w:jc w:val="left"/>
              <w:rPr>
                <w:sz w:val="22"/>
              </w:rPr>
            </w:pPr>
            <w:r>
              <w:rPr>
                <w:w w:val="100"/>
                <w:sz w:val="22"/>
              </w:rPr>
              <w:t>0</w:t>
            </w:r>
          </w:p>
        </w:tc>
      </w:tr>
      <w:tr>
        <w:trPr>
          <w:trHeight w:val="413" w:hRule="exact"/>
        </w:trPr>
        <w:tc>
          <w:tcPr>
            <w:tcW w:w="3149" w:type="dxa"/>
            <w:gridSpan w:val="2"/>
          </w:tcPr>
          <w:p>
            <w:pPr>
              <w:pStyle w:val="TableParagraph"/>
              <w:spacing w:before="9"/>
              <w:ind w:left="712"/>
              <w:jc w:val="left"/>
              <w:rPr>
                <w:sz w:val="22"/>
              </w:rPr>
            </w:pPr>
            <w:r>
              <w:rPr>
                <w:sz w:val="22"/>
              </w:rPr>
              <w:t>Nivel Superior (8)</w:t>
            </w:r>
          </w:p>
        </w:tc>
        <w:tc>
          <w:tcPr>
            <w:tcW w:w="1150" w:type="dxa"/>
            <w:tcBorders>
              <w:right w:val="single" w:sz="41" w:space="0" w:color="2D74B5"/>
            </w:tcBorders>
          </w:tcPr>
          <w:p>
            <w:pPr>
              <w:pStyle w:val="TableParagraph"/>
              <w:spacing w:line="265" w:lineRule="exact"/>
              <w:ind w:left="119" w:right="75"/>
              <w:rPr>
                <w:rFonts w:ascii="Calibri Light"/>
                <w:b w:val="0"/>
                <w:sz w:val="22"/>
              </w:rPr>
            </w:pPr>
            <w:r>
              <w:rPr>
                <w:sz w:val="22"/>
              </w:rPr>
              <w:t>3 </w:t>
            </w:r>
            <w:r>
              <w:rPr>
                <w:rFonts w:ascii="Calibri Light"/>
                <w:b w:val="0"/>
                <w:sz w:val="22"/>
              </w:rPr>
              <w:t>(37.5%)</w:t>
            </w:r>
          </w:p>
        </w:tc>
        <w:tc>
          <w:tcPr>
            <w:tcW w:w="1121" w:type="dxa"/>
            <w:shd w:val="clear" w:color="auto" w:fill="2D74B5"/>
          </w:tcPr>
          <w:p>
            <w:pPr>
              <w:pStyle w:val="TableParagraph"/>
              <w:spacing w:line="265" w:lineRule="exact"/>
              <w:ind w:left="85" w:right="87"/>
              <w:rPr>
                <w:rFonts w:ascii="Calibri Light"/>
                <w:b w:val="0"/>
                <w:sz w:val="22"/>
              </w:rPr>
            </w:pPr>
            <w:r>
              <w:rPr>
                <w:sz w:val="22"/>
              </w:rPr>
              <w:t>4 </w:t>
            </w:r>
            <w:r>
              <w:rPr>
                <w:rFonts w:ascii="Calibri Light"/>
                <w:b w:val="0"/>
                <w:sz w:val="22"/>
              </w:rPr>
              <w:t>(50%)</w:t>
            </w:r>
          </w:p>
        </w:tc>
        <w:tc>
          <w:tcPr>
            <w:tcW w:w="1244" w:type="dxa"/>
            <w:tcBorders>
              <w:left w:val="single" w:sz="45" w:space="0" w:color="2D74B5"/>
            </w:tcBorders>
          </w:tcPr>
          <w:p>
            <w:pPr>
              <w:pStyle w:val="TableParagraph"/>
              <w:spacing w:before="9"/>
              <w:ind w:right="52"/>
              <w:rPr>
                <w:sz w:val="22"/>
              </w:rPr>
            </w:pPr>
            <w:r>
              <w:rPr>
                <w:w w:val="100"/>
                <w:sz w:val="22"/>
              </w:rPr>
              <w:t>0</w:t>
            </w:r>
          </w:p>
        </w:tc>
        <w:tc>
          <w:tcPr>
            <w:tcW w:w="1368" w:type="dxa"/>
          </w:tcPr>
          <w:p>
            <w:pPr>
              <w:pStyle w:val="TableParagraph"/>
              <w:spacing w:line="265" w:lineRule="exact"/>
              <w:ind w:left="222" w:right="224"/>
              <w:rPr>
                <w:rFonts w:ascii="Calibri Light"/>
                <w:b w:val="0"/>
                <w:sz w:val="22"/>
              </w:rPr>
            </w:pPr>
            <w:r>
              <w:rPr>
                <w:sz w:val="22"/>
              </w:rPr>
              <w:t>1 </w:t>
            </w:r>
            <w:r>
              <w:rPr>
                <w:rFonts w:ascii="Calibri Light"/>
                <w:b w:val="0"/>
                <w:sz w:val="22"/>
              </w:rPr>
              <w:t>(12.5%)</w:t>
            </w:r>
          </w:p>
        </w:tc>
        <w:tc>
          <w:tcPr>
            <w:tcW w:w="1366" w:type="dxa"/>
          </w:tcPr>
          <w:p>
            <w:pPr>
              <w:pStyle w:val="TableParagraph"/>
              <w:spacing w:before="9"/>
              <w:ind w:left="614"/>
              <w:jc w:val="left"/>
              <w:rPr>
                <w:sz w:val="22"/>
              </w:rPr>
            </w:pPr>
            <w:r>
              <w:rPr>
                <w:w w:val="100"/>
                <w:sz w:val="22"/>
              </w:rPr>
              <w:t>0</w:t>
            </w:r>
          </w:p>
        </w:tc>
      </w:tr>
    </w:tbl>
    <w:p>
      <w:pPr>
        <w:spacing w:line="227" w:lineRule="exact" w:before="0"/>
        <w:ind w:left="262" w:right="26" w:firstLine="0"/>
        <w:jc w:val="left"/>
        <w:rPr>
          <w:b/>
          <w:sz w:val="20"/>
        </w:rPr>
      </w:pPr>
      <w:r>
        <w:rPr>
          <w:b/>
          <w:sz w:val="20"/>
        </w:rPr>
        <w:t>Tabla 4.12. Estadísticas financieras con precisión y autoridad; respuestas por nivel de estudios</w:t>
      </w:r>
    </w:p>
    <w:p>
      <w:pPr>
        <w:pStyle w:val="BodyText"/>
        <w:spacing w:before="5"/>
        <w:rPr>
          <w:b/>
          <w:sz w:val="27"/>
        </w:rPr>
      </w:pPr>
    </w:p>
    <w:p>
      <w:pPr>
        <w:pStyle w:val="BodyText"/>
        <w:spacing w:line="360" w:lineRule="auto"/>
        <w:ind w:left="102" w:right="108" w:firstLine="707"/>
        <w:jc w:val="both"/>
      </w:pPr>
      <w:r>
        <w:rPr/>
        <w:t>En la aseveración 5 (</w:t>
      </w:r>
      <w:r>
        <w:rPr>
          <w:b/>
        </w:rPr>
        <w:t>“El vocabulario en la grabación es particularmente empleado por tenderos, comerciantes, vigilantes, etc.”</w:t>
      </w:r>
      <w:r>
        <w:rPr/>
        <w:t>) que corresponde a la primer parte del cuestionario con la grabación que contiene anglicismos, la totalidad de la población</w:t>
      </w:r>
      <w:r>
        <w:rPr>
          <w:spacing w:val="-8"/>
        </w:rPr>
        <w:t> </w:t>
      </w:r>
      <w:r>
        <w:rPr/>
        <w:t>fue</w:t>
      </w:r>
      <w:r>
        <w:rPr>
          <w:spacing w:val="-8"/>
        </w:rPr>
        <w:t> </w:t>
      </w:r>
      <w:r>
        <w:rPr/>
        <w:t>muy</w:t>
      </w:r>
      <w:r>
        <w:rPr>
          <w:spacing w:val="-9"/>
        </w:rPr>
        <w:t> </w:t>
      </w:r>
      <w:r>
        <w:rPr/>
        <w:t>determinante</w:t>
      </w:r>
      <w:r>
        <w:rPr>
          <w:spacing w:val="-8"/>
        </w:rPr>
        <w:t> </w:t>
      </w:r>
      <w:r>
        <w:rPr/>
        <w:t>en</w:t>
      </w:r>
      <w:r>
        <w:rPr>
          <w:spacing w:val="-6"/>
        </w:rPr>
        <w:t> </w:t>
      </w:r>
      <w:r>
        <w:rPr/>
        <w:t>las</w:t>
      </w:r>
      <w:r>
        <w:rPr>
          <w:spacing w:val="-9"/>
        </w:rPr>
        <w:t> </w:t>
      </w:r>
      <w:r>
        <w:rPr/>
        <w:t>actitudes</w:t>
      </w:r>
      <w:r>
        <w:rPr>
          <w:spacing w:val="-7"/>
        </w:rPr>
        <w:t> </w:t>
      </w:r>
      <w:r>
        <w:rPr/>
        <w:t>presentadas</w:t>
      </w:r>
      <w:r>
        <w:rPr>
          <w:spacing w:val="-9"/>
        </w:rPr>
        <w:t> </w:t>
      </w:r>
      <w:r>
        <w:rPr/>
        <w:t>a</w:t>
      </w:r>
      <w:r>
        <w:rPr>
          <w:spacing w:val="-6"/>
        </w:rPr>
        <w:t> </w:t>
      </w:r>
      <w:r>
        <w:rPr/>
        <w:t>esta</w:t>
      </w:r>
      <w:r>
        <w:rPr>
          <w:spacing w:val="-6"/>
        </w:rPr>
        <w:t> </w:t>
      </w:r>
      <w:r>
        <w:rPr/>
        <w:t>aseveración</w:t>
      </w:r>
      <w:r>
        <w:rPr>
          <w:spacing w:val="-8"/>
        </w:rPr>
        <w:t> </w:t>
      </w:r>
      <w:r>
        <w:rPr/>
        <w:t>del</w:t>
      </w:r>
      <w:r>
        <w:rPr>
          <w:spacing w:val="-7"/>
        </w:rPr>
        <w:t> </w:t>
      </w:r>
      <w:r>
        <w:rPr/>
        <w:t>tipo desfavorable: el 54.1% se encuentra “en desacuerdo” y el 37.5% “muy en desacuerdo”. Como muestra la tabla 4.13., las mujeres presentaron una inclinación del 50% por estar “en desacuerdo” y 50% “muy en desacuerdo”. Los hombres presentan un 58.3% de respuestas “de acuerdo” y un 25% “muy en</w:t>
      </w:r>
      <w:r>
        <w:rPr>
          <w:spacing w:val="-20"/>
        </w:rPr>
        <w:t> </w:t>
      </w:r>
      <w:r>
        <w:rPr/>
        <w:t>desacuerdo”.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7"/>
        <w:gridCol w:w="1367"/>
      </w:tblGrid>
      <w:tr>
        <w:trPr>
          <w:trHeight w:val="408"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5</w:t>
            </w:r>
          </w:p>
        </w:tc>
        <w:tc>
          <w:tcPr>
            <w:tcW w:w="1724" w:type="dxa"/>
            <w:vMerge w:val="restart"/>
          </w:tcPr>
          <w:p>
            <w:pPr>
              <w:pStyle w:val="TableParagraph"/>
              <w:spacing w:line="357" w:lineRule="auto" w:before="12"/>
              <w:ind w:left="163" w:right="166" w:firstLine="4"/>
              <w:rPr>
                <w:b/>
                <w:sz w:val="22"/>
              </w:rPr>
            </w:pPr>
            <w:r>
              <w:rPr>
                <w:sz w:val="22"/>
              </w:rPr>
              <w:t>Tipo de Aseveración: </w:t>
            </w:r>
            <w:r>
              <w:rPr>
                <w:b/>
                <w:sz w:val="22"/>
              </w:rPr>
              <w:t>Desfavorable</w:t>
            </w:r>
          </w:p>
        </w:tc>
        <w:tc>
          <w:tcPr>
            <w:tcW w:w="6246" w:type="dxa"/>
            <w:gridSpan w:val="5"/>
          </w:tcPr>
          <w:p>
            <w:pPr>
              <w:pStyle w:val="TableParagraph"/>
              <w:spacing w:before="7"/>
              <w:ind w:left="2516" w:right="2517"/>
              <w:rPr>
                <w:sz w:val="22"/>
              </w:rPr>
            </w:pPr>
            <w:r>
              <w:rPr>
                <w:sz w:val="22"/>
              </w:rPr>
              <w:t>Respuestas</w:t>
            </w:r>
          </w:p>
        </w:tc>
      </w:tr>
      <w:tr>
        <w:trPr>
          <w:trHeight w:val="768" w:hRule="exact"/>
        </w:trPr>
        <w:tc>
          <w:tcPr>
            <w:tcW w:w="1428" w:type="dxa"/>
            <w:vMerge/>
          </w:tcPr>
          <w:p>
            <w:pPr/>
          </w:p>
        </w:tc>
        <w:tc>
          <w:tcPr>
            <w:tcW w:w="1724" w:type="dxa"/>
            <w:vMerge/>
          </w:tcPr>
          <w:p>
            <w:pPr/>
          </w:p>
        </w:tc>
        <w:tc>
          <w:tcPr>
            <w:tcW w:w="1148" w:type="dxa"/>
          </w:tcPr>
          <w:p>
            <w:pPr>
              <w:pStyle w:val="TableParagraph"/>
              <w:spacing w:line="360" w:lineRule="auto"/>
              <w:ind w:left="100" w:right="222"/>
              <w:jc w:val="left"/>
              <w:rPr>
                <w:sz w:val="22"/>
              </w:rPr>
            </w:pPr>
            <w:r>
              <w:rPr>
                <w:sz w:val="22"/>
              </w:rPr>
              <w:t>Muy de acuerdo</w:t>
            </w:r>
          </w:p>
        </w:tc>
        <w:tc>
          <w:tcPr>
            <w:tcW w:w="1121" w:type="dxa"/>
          </w:tcPr>
          <w:p>
            <w:pPr>
              <w:pStyle w:val="TableParagraph"/>
              <w:spacing w:line="360" w:lineRule="auto"/>
              <w:ind w:left="103" w:right="193"/>
              <w:jc w:val="left"/>
              <w:rPr>
                <w:sz w:val="22"/>
              </w:rPr>
            </w:pPr>
            <w:r>
              <w:rPr>
                <w:sz w:val="22"/>
              </w:rPr>
              <w:t>De acuerdo</w:t>
            </w:r>
          </w:p>
        </w:tc>
        <w:tc>
          <w:tcPr>
            <w:tcW w:w="1244" w:type="dxa"/>
          </w:tcPr>
          <w:p>
            <w:pPr>
              <w:pStyle w:val="TableParagraph"/>
              <w:spacing w:line="251" w:lineRule="exact"/>
              <w:ind w:left="83" w:right="82"/>
              <w:rPr>
                <w:sz w:val="22"/>
              </w:rPr>
            </w:pPr>
            <w:r>
              <w:rPr>
                <w:sz w:val="22"/>
              </w:rPr>
              <w:t>indiferente</w:t>
            </w:r>
          </w:p>
        </w:tc>
        <w:tc>
          <w:tcPr>
            <w:tcW w:w="1367" w:type="dxa"/>
          </w:tcPr>
          <w:p>
            <w:pPr>
              <w:pStyle w:val="TableParagraph"/>
              <w:spacing w:line="360" w:lineRule="auto"/>
              <w:ind w:left="103" w:right="84"/>
              <w:jc w:val="left"/>
              <w:rPr>
                <w:sz w:val="22"/>
              </w:rPr>
            </w:pPr>
            <w:r>
              <w:rPr>
                <w:sz w:val="22"/>
              </w:rPr>
              <w:t>En desacuerdo</w:t>
            </w:r>
          </w:p>
        </w:tc>
        <w:tc>
          <w:tcPr>
            <w:tcW w:w="1367" w:type="dxa"/>
          </w:tcPr>
          <w:p>
            <w:pPr>
              <w:pStyle w:val="TableParagraph"/>
              <w:spacing w:line="360" w:lineRule="auto"/>
              <w:ind w:left="102" w:right="85"/>
              <w:jc w:val="left"/>
              <w:rPr>
                <w:sz w:val="22"/>
              </w:rPr>
            </w:pPr>
            <w:r>
              <w:rPr>
                <w:sz w:val="22"/>
              </w:rPr>
              <w:t>Muy en desacuerdo</w:t>
            </w:r>
          </w:p>
        </w:tc>
      </w:tr>
      <w:tr>
        <w:trPr>
          <w:trHeight w:val="413" w:hRule="exact"/>
        </w:trPr>
        <w:tc>
          <w:tcPr>
            <w:tcW w:w="3152" w:type="dxa"/>
            <w:gridSpan w:val="2"/>
          </w:tcPr>
          <w:p>
            <w:pPr>
              <w:pStyle w:val="TableParagraph"/>
              <w:spacing w:before="9"/>
              <w:ind w:left="326"/>
              <w:jc w:val="left"/>
              <w:rPr>
                <w:sz w:val="22"/>
              </w:rPr>
            </w:pPr>
            <w:r>
              <w:rPr>
                <w:sz w:val="22"/>
              </w:rPr>
              <w:t>Total de la población (24)</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5"/>
              <w:rPr>
                <w:rFonts w:ascii="Calibri Light"/>
                <w:b w:val="0"/>
                <w:sz w:val="22"/>
              </w:rPr>
            </w:pPr>
            <w:r>
              <w:rPr>
                <w:sz w:val="22"/>
              </w:rPr>
              <w:t>2 </w:t>
            </w:r>
            <w:r>
              <w:rPr>
                <w:rFonts w:ascii="Calibri Light"/>
                <w:b w:val="0"/>
                <w:sz w:val="22"/>
              </w:rPr>
              <w:t>(8.3%)</w:t>
            </w:r>
          </w:p>
        </w:tc>
        <w:tc>
          <w:tcPr>
            <w:tcW w:w="1244" w:type="dxa"/>
          </w:tcPr>
          <w:p>
            <w:pPr>
              <w:pStyle w:val="TableParagraph"/>
              <w:spacing w:before="9"/>
              <w:rPr>
                <w:sz w:val="22"/>
              </w:rPr>
            </w:pPr>
            <w:r>
              <w:rPr>
                <w:w w:val="100"/>
                <w:sz w:val="22"/>
              </w:rPr>
              <w:t>0</w:t>
            </w:r>
          </w:p>
        </w:tc>
        <w:tc>
          <w:tcPr>
            <w:tcW w:w="1367" w:type="dxa"/>
            <w:shd w:val="clear" w:color="auto" w:fill="2D74B5"/>
          </w:tcPr>
          <w:p>
            <w:pPr>
              <w:pStyle w:val="TableParagraph"/>
              <w:spacing w:line="265" w:lineRule="exact"/>
              <w:ind w:left="168" w:right="168"/>
              <w:rPr>
                <w:rFonts w:ascii="Calibri Light"/>
                <w:b w:val="0"/>
                <w:sz w:val="22"/>
              </w:rPr>
            </w:pPr>
            <w:r>
              <w:rPr>
                <w:sz w:val="22"/>
              </w:rPr>
              <w:t>13 </w:t>
            </w:r>
            <w:r>
              <w:rPr>
                <w:rFonts w:ascii="Calibri Light"/>
                <w:b w:val="0"/>
                <w:sz w:val="22"/>
              </w:rPr>
              <w:t>(54.1%)</w:t>
            </w:r>
          </w:p>
        </w:tc>
        <w:tc>
          <w:tcPr>
            <w:tcW w:w="1367" w:type="dxa"/>
          </w:tcPr>
          <w:p>
            <w:pPr>
              <w:pStyle w:val="TableParagraph"/>
              <w:spacing w:line="265" w:lineRule="exact"/>
              <w:ind w:left="227" w:right="230"/>
              <w:rPr>
                <w:rFonts w:ascii="Calibri Light"/>
                <w:b w:val="0"/>
                <w:sz w:val="22"/>
              </w:rPr>
            </w:pPr>
            <w:r>
              <w:rPr>
                <w:sz w:val="22"/>
              </w:rPr>
              <w:t>9 </w:t>
            </w:r>
            <w:r>
              <w:rPr>
                <w:rFonts w:ascii="Calibri Light"/>
                <w:b w:val="0"/>
                <w:sz w:val="22"/>
              </w:rPr>
              <w:t>(37.5%)</w:t>
            </w:r>
          </w:p>
        </w:tc>
      </w:tr>
      <w:tr>
        <w:trPr>
          <w:trHeight w:val="413" w:hRule="exact"/>
        </w:trPr>
        <w:tc>
          <w:tcPr>
            <w:tcW w:w="3152" w:type="dxa"/>
            <w:gridSpan w:val="2"/>
          </w:tcPr>
          <w:p>
            <w:pPr>
              <w:pStyle w:val="TableParagraph"/>
              <w:spacing w:before="9"/>
              <w:ind w:left="950"/>
              <w:jc w:val="left"/>
              <w:rPr>
                <w:sz w:val="22"/>
              </w:rPr>
            </w:pPr>
            <w:r>
              <w:rPr>
                <w:sz w:val="22"/>
              </w:rPr>
              <w:t>Mujeres (12)</w:t>
            </w:r>
          </w:p>
        </w:tc>
        <w:tc>
          <w:tcPr>
            <w:tcW w:w="1148" w:type="dxa"/>
          </w:tcPr>
          <w:p>
            <w:pPr>
              <w:pStyle w:val="TableParagraph"/>
              <w:spacing w:before="9"/>
              <w:ind w:right="5"/>
              <w:rPr>
                <w:sz w:val="22"/>
              </w:rPr>
            </w:pPr>
            <w:r>
              <w:rPr>
                <w:w w:val="100"/>
                <w:sz w:val="22"/>
              </w:rPr>
              <w:t>0</w:t>
            </w:r>
          </w:p>
        </w:tc>
        <w:tc>
          <w:tcPr>
            <w:tcW w:w="1121" w:type="dxa"/>
          </w:tcPr>
          <w:p>
            <w:pPr>
              <w:pStyle w:val="TableParagraph"/>
              <w:spacing w:before="9"/>
              <w:rPr>
                <w:sz w:val="22"/>
              </w:rPr>
            </w:pPr>
            <w:r>
              <w:rPr>
                <w:w w:val="100"/>
                <w:sz w:val="22"/>
              </w:rPr>
              <w:t>0</w:t>
            </w:r>
          </w:p>
        </w:tc>
        <w:tc>
          <w:tcPr>
            <w:tcW w:w="1244" w:type="dxa"/>
          </w:tcPr>
          <w:p>
            <w:pPr>
              <w:pStyle w:val="TableParagraph"/>
              <w:spacing w:before="9"/>
              <w:rPr>
                <w:sz w:val="22"/>
              </w:rPr>
            </w:pPr>
            <w:r>
              <w:rPr>
                <w:w w:val="100"/>
                <w:sz w:val="22"/>
              </w:rPr>
              <w:t>0</w:t>
            </w:r>
          </w:p>
        </w:tc>
        <w:tc>
          <w:tcPr>
            <w:tcW w:w="1367" w:type="dxa"/>
            <w:tcBorders>
              <w:right w:val="single" w:sz="41" w:space="0" w:color="9CC2E4"/>
            </w:tcBorders>
            <w:shd w:val="clear" w:color="auto" w:fill="2D74B5"/>
          </w:tcPr>
          <w:p>
            <w:pPr>
              <w:pStyle w:val="TableParagraph"/>
              <w:spacing w:line="265" w:lineRule="exact"/>
              <w:ind w:left="311" w:right="265"/>
              <w:rPr>
                <w:rFonts w:ascii="Calibri Light"/>
                <w:b w:val="0"/>
                <w:sz w:val="22"/>
              </w:rPr>
            </w:pPr>
            <w:r>
              <w:rPr>
                <w:sz w:val="22"/>
              </w:rPr>
              <w:t>6 </w:t>
            </w:r>
            <w:r>
              <w:rPr>
                <w:rFonts w:ascii="Calibri Light"/>
                <w:b w:val="0"/>
                <w:sz w:val="22"/>
              </w:rPr>
              <w:t>(50%)</w:t>
            </w:r>
          </w:p>
        </w:tc>
        <w:tc>
          <w:tcPr>
            <w:tcW w:w="1367" w:type="dxa"/>
            <w:shd w:val="clear" w:color="auto" w:fill="9CC2E4"/>
          </w:tcPr>
          <w:p>
            <w:pPr>
              <w:pStyle w:val="TableParagraph"/>
              <w:spacing w:line="265" w:lineRule="exact"/>
              <w:ind w:left="227" w:right="228"/>
              <w:rPr>
                <w:rFonts w:ascii="Calibri Light"/>
                <w:b w:val="0"/>
                <w:sz w:val="22"/>
              </w:rPr>
            </w:pPr>
            <w:r>
              <w:rPr>
                <w:sz w:val="22"/>
              </w:rPr>
              <w:t>6 </w:t>
            </w:r>
            <w:r>
              <w:rPr>
                <w:rFonts w:ascii="Calibri Light"/>
                <w:b w:val="0"/>
                <w:sz w:val="22"/>
              </w:rPr>
              <w:t>(50%)</w:t>
            </w:r>
          </w:p>
        </w:tc>
      </w:tr>
      <w:tr>
        <w:trPr>
          <w:trHeight w:val="413" w:hRule="exact"/>
        </w:trPr>
        <w:tc>
          <w:tcPr>
            <w:tcW w:w="3152" w:type="dxa"/>
            <w:gridSpan w:val="2"/>
          </w:tcPr>
          <w:p>
            <w:pPr>
              <w:pStyle w:val="TableParagraph"/>
              <w:spacing w:before="9"/>
              <w:ind w:left="897"/>
              <w:jc w:val="left"/>
              <w:rPr>
                <w:sz w:val="22"/>
              </w:rPr>
            </w:pPr>
            <w:r>
              <w:rPr>
                <w:sz w:val="22"/>
              </w:rPr>
              <w:t>Hombres (12)</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6"/>
              <w:rPr>
                <w:rFonts w:ascii="Calibri Light"/>
                <w:b w:val="0"/>
                <w:sz w:val="22"/>
              </w:rPr>
            </w:pPr>
            <w:r>
              <w:rPr>
                <w:sz w:val="22"/>
              </w:rPr>
              <w:t>2 </w:t>
            </w:r>
            <w:r>
              <w:rPr>
                <w:rFonts w:ascii="Calibri Light"/>
                <w:b w:val="0"/>
                <w:sz w:val="22"/>
              </w:rPr>
              <w:t>(16.6%)</w:t>
            </w:r>
          </w:p>
        </w:tc>
        <w:tc>
          <w:tcPr>
            <w:tcW w:w="1244" w:type="dxa"/>
          </w:tcPr>
          <w:p>
            <w:pPr>
              <w:pStyle w:val="TableParagraph"/>
              <w:spacing w:before="9"/>
              <w:rPr>
                <w:sz w:val="22"/>
              </w:rPr>
            </w:pPr>
            <w:r>
              <w:rPr>
                <w:w w:val="100"/>
                <w:sz w:val="22"/>
              </w:rPr>
              <w:t>0</w:t>
            </w:r>
          </w:p>
        </w:tc>
        <w:tc>
          <w:tcPr>
            <w:tcW w:w="1367" w:type="dxa"/>
            <w:shd w:val="clear" w:color="auto" w:fill="2D74B5"/>
          </w:tcPr>
          <w:p>
            <w:pPr>
              <w:pStyle w:val="TableParagraph"/>
              <w:spacing w:line="265" w:lineRule="exact"/>
              <w:ind w:left="168" w:right="168"/>
              <w:rPr>
                <w:rFonts w:ascii="Calibri Light"/>
                <w:b w:val="0"/>
                <w:sz w:val="22"/>
              </w:rPr>
            </w:pPr>
            <w:r>
              <w:rPr>
                <w:sz w:val="22"/>
              </w:rPr>
              <w:t>7 </w:t>
            </w:r>
            <w:r>
              <w:rPr>
                <w:rFonts w:ascii="Calibri Light"/>
                <w:b w:val="0"/>
                <w:sz w:val="22"/>
              </w:rPr>
              <w:t>(58.3%)</w:t>
            </w:r>
          </w:p>
        </w:tc>
        <w:tc>
          <w:tcPr>
            <w:tcW w:w="1367" w:type="dxa"/>
          </w:tcPr>
          <w:p>
            <w:pPr>
              <w:pStyle w:val="TableParagraph"/>
              <w:spacing w:line="265" w:lineRule="exact"/>
              <w:ind w:left="227" w:right="228"/>
              <w:rPr>
                <w:rFonts w:ascii="Calibri Light"/>
                <w:b w:val="0"/>
                <w:sz w:val="22"/>
              </w:rPr>
            </w:pPr>
            <w:r>
              <w:rPr>
                <w:sz w:val="22"/>
              </w:rPr>
              <w:t>3 </w:t>
            </w:r>
            <w:r>
              <w:rPr>
                <w:rFonts w:ascii="Calibri Light"/>
                <w:b w:val="0"/>
                <w:sz w:val="22"/>
              </w:rPr>
              <w:t>(25%)</w:t>
            </w:r>
          </w:p>
        </w:tc>
      </w:tr>
    </w:tbl>
    <w:p>
      <w:pPr>
        <w:spacing w:line="362" w:lineRule="auto" w:before="0"/>
        <w:ind w:left="3700" w:right="251" w:hanging="3443"/>
        <w:jc w:val="left"/>
        <w:rPr>
          <w:b/>
          <w:sz w:val="20"/>
        </w:rPr>
      </w:pPr>
      <w:r>
        <w:rPr>
          <w:b/>
          <w:sz w:val="20"/>
        </w:rPr>
        <w:t>Tabla 4.13. Vocabulario empleado por tenderos y comerciantes; respuestas en la totalidad de la población y por género</w:t>
      </w:r>
    </w:p>
    <w:p>
      <w:pPr>
        <w:pStyle w:val="BodyText"/>
        <w:spacing w:before="6"/>
        <w:rPr>
          <w:b/>
          <w:sz w:val="17"/>
        </w:rPr>
      </w:pPr>
    </w:p>
    <w:p>
      <w:pPr>
        <w:pStyle w:val="BodyText"/>
        <w:spacing w:line="360" w:lineRule="auto"/>
        <w:ind w:left="102" w:right="116" w:firstLine="707"/>
        <w:jc w:val="both"/>
      </w:pPr>
      <w:r>
        <w:rPr/>
        <w:t>Reiterando que la aseveración cinco tiene un sentido desfavorable ante el uso de anglicismos</w:t>
      </w:r>
      <w:r>
        <w:rPr>
          <w:spacing w:val="-14"/>
        </w:rPr>
        <w:t> </w:t>
      </w:r>
      <w:r>
        <w:rPr/>
        <w:t>en</w:t>
      </w:r>
      <w:r>
        <w:rPr>
          <w:spacing w:val="-13"/>
        </w:rPr>
        <w:t> </w:t>
      </w:r>
      <w:r>
        <w:rPr/>
        <w:t>la</w:t>
      </w:r>
      <w:r>
        <w:rPr>
          <w:spacing w:val="-13"/>
        </w:rPr>
        <w:t> </w:t>
      </w:r>
      <w:r>
        <w:rPr/>
        <w:t>grabación</w:t>
      </w:r>
      <w:r>
        <w:rPr>
          <w:spacing w:val="-13"/>
        </w:rPr>
        <w:t> </w:t>
      </w:r>
      <w:r>
        <w:rPr/>
        <w:t>número</w:t>
      </w:r>
      <w:r>
        <w:rPr>
          <w:spacing w:val="-14"/>
        </w:rPr>
        <w:t> </w:t>
      </w:r>
      <w:r>
        <w:rPr/>
        <w:t>1,</w:t>
      </w:r>
      <w:r>
        <w:rPr>
          <w:spacing w:val="-16"/>
        </w:rPr>
        <w:t> </w:t>
      </w:r>
      <w:r>
        <w:rPr/>
        <w:t>el</w:t>
      </w:r>
      <w:r>
        <w:rPr>
          <w:spacing w:val="-14"/>
        </w:rPr>
        <w:t> </w:t>
      </w:r>
      <w:r>
        <w:rPr/>
        <w:t>grupo</w:t>
      </w:r>
      <w:r>
        <w:rPr>
          <w:spacing w:val="-13"/>
        </w:rPr>
        <w:t> </w:t>
      </w:r>
      <w:r>
        <w:rPr/>
        <w:t>de</w:t>
      </w:r>
      <w:r>
        <w:rPr>
          <w:spacing w:val="-16"/>
        </w:rPr>
        <w:t> </w:t>
      </w:r>
      <w:r>
        <w:rPr/>
        <w:t>edad</w:t>
      </w:r>
      <w:r>
        <w:rPr>
          <w:spacing w:val="-13"/>
        </w:rPr>
        <w:t> </w:t>
      </w:r>
      <w:r>
        <w:rPr/>
        <w:t>que</w:t>
      </w:r>
      <w:r>
        <w:rPr>
          <w:spacing w:val="-16"/>
        </w:rPr>
        <w:t> </w:t>
      </w:r>
      <w:r>
        <w:rPr/>
        <w:t>mostró</w:t>
      </w:r>
      <w:r>
        <w:rPr>
          <w:spacing w:val="-16"/>
        </w:rPr>
        <w:t> </w:t>
      </w:r>
      <w:r>
        <w:rPr/>
        <w:t>estar</w:t>
      </w:r>
      <w:r>
        <w:rPr>
          <w:spacing w:val="-15"/>
        </w:rPr>
        <w:t> </w:t>
      </w:r>
      <w:r>
        <w:rPr/>
        <w:t>completamente “en desacuerdo” con lo que establece la aseveración, es el grupo 3. El grupo 2 presenta un 50% “en desacuerdo” y el otro 50% “muy en desacuerdo”. Los grupos de edad 1 y 4 presentaron los mismos porcentajes 50% “muy en desacuerdo”, 33.3% “en desacuerdo” y el 16.6% “de acuerdo” (Ver tabla</w:t>
      </w:r>
      <w:r>
        <w:rPr>
          <w:spacing w:val="-8"/>
        </w:rPr>
        <w:t> </w:t>
      </w:r>
      <w:r>
        <w:rPr/>
        <w:t>4.14).</w:t>
      </w:r>
    </w:p>
    <w:p>
      <w:pPr>
        <w:spacing w:after="0" w:line="360" w:lineRule="auto"/>
        <w:jc w:val="both"/>
        <w:sectPr>
          <w:footerReference w:type="default" r:id="rId37"/>
          <w:pgSz w:w="12240" w:h="15840"/>
          <w:pgMar w:footer="1003" w:header="749" w:top="960" w:bottom="1200" w:left="1600" w:right="1020"/>
          <w:pgNumType w:start="51"/>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4"/>
        <w:gridCol w:w="1148"/>
        <w:gridCol w:w="1121"/>
        <w:gridCol w:w="1244"/>
        <w:gridCol w:w="1368"/>
        <w:gridCol w:w="1366"/>
      </w:tblGrid>
      <w:tr>
        <w:trPr>
          <w:trHeight w:val="406"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5</w:t>
            </w:r>
          </w:p>
        </w:tc>
        <w:tc>
          <w:tcPr>
            <w:tcW w:w="1724" w:type="dxa"/>
            <w:vMerge w:val="restart"/>
          </w:tcPr>
          <w:p>
            <w:pPr>
              <w:pStyle w:val="TableParagraph"/>
              <w:spacing w:line="357" w:lineRule="auto" w:before="12"/>
              <w:ind w:left="163" w:right="166" w:firstLine="4"/>
              <w:rPr>
                <w:b/>
                <w:sz w:val="22"/>
              </w:rPr>
            </w:pPr>
            <w:r>
              <w:rPr>
                <w:sz w:val="22"/>
              </w:rPr>
              <w:t>Tipo de Aseveración: </w:t>
            </w:r>
            <w:r>
              <w:rPr>
                <w:b/>
                <w:sz w:val="22"/>
              </w:rPr>
              <w:t>Desfavorable</w:t>
            </w:r>
          </w:p>
        </w:tc>
        <w:tc>
          <w:tcPr>
            <w:tcW w:w="6246" w:type="dxa"/>
            <w:gridSpan w:val="5"/>
          </w:tcPr>
          <w:p>
            <w:pPr>
              <w:pStyle w:val="TableParagraph"/>
              <w:spacing w:before="7"/>
              <w:ind w:left="2516" w:right="2516"/>
              <w:rPr>
                <w:sz w:val="22"/>
              </w:rPr>
            </w:pPr>
            <w:r>
              <w:rPr>
                <w:sz w:val="22"/>
              </w:rPr>
              <w:t>Respuestas</w:t>
            </w:r>
          </w:p>
        </w:tc>
      </w:tr>
      <w:tr>
        <w:trPr>
          <w:trHeight w:val="770" w:hRule="exact"/>
        </w:trPr>
        <w:tc>
          <w:tcPr>
            <w:tcW w:w="1428" w:type="dxa"/>
            <w:gridSpan w:val="2"/>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9"/>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1 (6)</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5"/>
              <w:rPr>
                <w:rFonts w:ascii="Calibri Light"/>
                <w:b w:val="0"/>
                <w:sz w:val="22"/>
              </w:rPr>
            </w:pPr>
            <w:r>
              <w:rPr>
                <w:sz w:val="22"/>
              </w:rPr>
              <w:t>1 </w:t>
            </w:r>
            <w:r>
              <w:rPr>
                <w:rFonts w:ascii="Calibri Light"/>
                <w:b w:val="0"/>
                <w:sz w:val="22"/>
              </w:rPr>
              <w:t>(16%)</w:t>
            </w:r>
          </w:p>
        </w:tc>
        <w:tc>
          <w:tcPr>
            <w:tcW w:w="1244" w:type="dxa"/>
          </w:tcPr>
          <w:p>
            <w:pPr>
              <w:pStyle w:val="TableParagraph"/>
              <w:spacing w:before="9"/>
              <w:rPr>
                <w:sz w:val="22"/>
              </w:rPr>
            </w:pPr>
            <w:r>
              <w:rPr>
                <w:w w:val="100"/>
                <w:sz w:val="22"/>
              </w:rPr>
              <w:t>0</w:t>
            </w:r>
          </w:p>
        </w:tc>
        <w:tc>
          <w:tcPr>
            <w:tcW w:w="1368" w:type="dxa"/>
            <w:tcBorders>
              <w:right w:val="single" w:sz="41" w:space="0" w:color="2D74B5"/>
            </w:tcBorders>
          </w:tcPr>
          <w:p>
            <w:pPr>
              <w:pStyle w:val="TableParagraph"/>
              <w:spacing w:line="265" w:lineRule="exact"/>
              <w:ind w:left="247"/>
              <w:jc w:val="left"/>
              <w:rPr>
                <w:rFonts w:ascii="Calibri Light"/>
                <w:b w:val="0"/>
                <w:sz w:val="22"/>
              </w:rPr>
            </w:pPr>
            <w:r>
              <w:rPr>
                <w:sz w:val="22"/>
              </w:rPr>
              <w:t>2 </w:t>
            </w:r>
            <w:r>
              <w:rPr>
                <w:rFonts w:ascii="Calibri Light"/>
                <w:b w:val="0"/>
                <w:sz w:val="22"/>
              </w:rPr>
              <w:t>(33.3%)</w:t>
            </w:r>
          </w:p>
        </w:tc>
        <w:tc>
          <w:tcPr>
            <w:tcW w:w="1366" w:type="dxa"/>
            <w:shd w:val="clear" w:color="auto" w:fill="2D74B5"/>
          </w:tcPr>
          <w:p>
            <w:pPr>
              <w:pStyle w:val="TableParagraph"/>
              <w:spacing w:line="265" w:lineRule="exact"/>
              <w:ind w:left="226" w:right="228"/>
              <w:rPr>
                <w:rFonts w:ascii="Calibri Light"/>
                <w:b w:val="0"/>
                <w:sz w:val="22"/>
              </w:rPr>
            </w:pPr>
            <w:r>
              <w:rPr>
                <w:sz w:val="22"/>
              </w:rPr>
              <w:t>3 </w:t>
            </w:r>
            <w:r>
              <w:rPr>
                <w:rFonts w:ascii="Calibri Light"/>
                <w:b w:val="0"/>
                <w:sz w:val="22"/>
              </w:rPr>
              <w:t>(50%)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2 (6)</w:t>
            </w:r>
          </w:p>
        </w:tc>
        <w:tc>
          <w:tcPr>
            <w:tcW w:w="1148" w:type="dxa"/>
          </w:tcPr>
          <w:p>
            <w:pPr>
              <w:pStyle w:val="TableParagraph"/>
              <w:spacing w:before="9"/>
              <w:ind w:right="5"/>
              <w:rPr>
                <w:sz w:val="22"/>
              </w:rPr>
            </w:pPr>
            <w:r>
              <w:rPr>
                <w:w w:val="100"/>
                <w:sz w:val="22"/>
              </w:rPr>
              <w:t>0</w:t>
            </w:r>
          </w:p>
        </w:tc>
        <w:tc>
          <w:tcPr>
            <w:tcW w:w="1121" w:type="dxa"/>
          </w:tcPr>
          <w:p>
            <w:pPr>
              <w:pStyle w:val="TableParagraph"/>
              <w:spacing w:before="9"/>
              <w:rPr>
                <w:sz w:val="22"/>
              </w:rPr>
            </w:pPr>
            <w:r>
              <w:rPr>
                <w:w w:val="100"/>
                <w:sz w:val="22"/>
              </w:rPr>
              <w:t>0</w:t>
            </w:r>
          </w:p>
        </w:tc>
        <w:tc>
          <w:tcPr>
            <w:tcW w:w="1244" w:type="dxa"/>
            <w:tcBorders>
              <w:right w:val="single" w:sz="41" w:space="0" w:color="9CC2E4"/>
            </w:tcBorders>
          </w:tcPr>
          <w:p>
            <w:pPr>
              <w:pStyle w:val="TableParagraph"/>
              <w:spacing w:before="9"/>
              <w:ind w:left="44"/>
              <w:rPr>
                <w:sz w:val="22"/>
              </w:rPr>
            </w:pPr>
            <w:r>
              <w:rPr>
                <w:w w:val="100"/>
                <w:sz w:val="22"/>
              </w:rPr>
              <w:t>0</w:t>
            </w:r>
          </w:p>
        </w:tc>
        <w:tc>
          <w:tcPr>
            <w:tcW w:w="1368" w:type="dxa"/>
            <w:tcBorders>
              <w:right w:val="single" w:sz="41" w:space="0" w:color="2D74B5"/>
            </w:tcBorders>
            <w:shd w:val="clear" w:color="auto" w:fill="9CC2E4"/>
          </w:tcPr>
          <w:p>
            <w:pPr>
              <w:pStyle w:val="TableParagraph"/>
              <w:spacing w:line="265" w:lineRule="exact"/>
              <w:ind w:left="331"/>
              <w:jc w:val="left"/>
              <w:rPr>
                <w:rFonts w:ascii="Calibri Light"/>
                <w:b w:val="0"/>
                <w:sz w:val="22"/>
              </w:rPr>
            </w:pPr>
            <w:r>
              <w:rPr>
                <w:sz w:val="22"/>
              </w:rPr>
              <w:t>3 </w:t>
            </w:r>
            <w:r>
              <w:rPr>
                <w:rFonts w:ascii="Calibri Light"/>
                <w:b w:val="0"/>
                <w:sz w:val="22"/>
              </w:rPr>
              <w:t>(50%)</w:t>
            </w:r>
          </w:p>
        </w:tc>
        <w:tc>
          <w:tcPr>
            <w:tcW w:w="1366" w:type="dxa"/>
            <w:tcBorders>
              <w:left w:val="thickThinMediumGap" w:sz="23" w:space="0" w:color="9CC2E4"/>
            </w:tcBorders>
            <w:shd w:val="clear" w:color="auto" w:fill="2D74B5"/>
          </w:tcPr>
          <w:p>
            <w:pPr>
              <w:pStyle w:val="TableParagraph"/>
              <w:spacing w:line="265" w:lineRule="exact"/>
              <w:ind w:left="173" w:right="228"/>
              <w:rPr>
                <w:rFonts w:ascii="Calibri Light"/>
                <w:b w:val="0"/>
                <w:sz w:val="22"/>
              </w:rPr>
            </w:pPr>
            <w:r>
              <w:rPr>
                <w:sz w:val="22"/>
              </w:rPr>
              <w:t>3 </w:t>
            </w:r>
            <w:r>
              <w:rPr>
                <w:rFonts w:ascii="Calibri Light"/>
                <w:b w:val="0"/>
                <w:sz w:val="22"/>
              </w:rPr>
              <w:t>(50%)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3 (6)</w:t>
            </w:r>
          </w:p>
        </w:tc>
        <w:tc>
          <w:tcPr>
            <w:tcW w:w="1148" w:type="dxa"/>
          </w:tcPr>
          <w:p>
            <w:pPr>
              <w:pStyle w:val="TableParagraph"/>
              <w:spacing w:before="9"/>
              <w:ind w:right="5"/>
              <w:rPr>
                <w:sz w:val="22"/>
              </w:rPr>
            </w:pPr>
            <w:r>
              <w:rPr>
                <w:w w:val="100"/>
                <w:sz w:val="22"/>
              </w:rPr>
              <w:t>0</w:t>
            </w:r>
          </w:p>
        </w:tc>
        <w:tc>
          <w:tcPr>
            <w:tcW w:w="1121" w:type="dxa"/>
          </w:tcPr>
          <w:p>
            <w:pPr>
              <w:pStyle w:val="TableParagraph"/>
              <w:spacing w:before="9"/>
              <w:rPr>
                <w:sz w:val="22"/>
              </w:rPr>
            </w:pPr>
            <w:r>
              <w:rPr>
                <w:w w:val="100"/>
                <w:sz w:val="22"/>
              </w:rPr>
              <w:t>0</w:t>
            </w:r>
          </w:p>
        </w:tc>
        <w:tc>
          <w:tcPr>
            <w:tcW w:w="1244" w:type="dxa"/>
            <w:tcBorders>
              <w:right w:val="single" w:sz="41" w:space="0" w:color="2D74B5"/>
            </w:tcBorders>
          </w:tcPr>
          <w:p>
            <w:pPr>
              <w:pStyle w:val="TableParagraph"/>
              <w:spacing w:before="9"/>
              <w:ind w:left="44"/>
              <w:rPr>
                <w:sz w:val="22"/>
              </w:rPr>
            </w:pPr>
            <w:r>
              <w:rPr>
                <w:w w:val="100"/>
                <w:sz w:val="22"/>
              </w:rPr>
              <w:t>0</w:t>
            </w:r>
          </w:p>
        </w:tc>
        <w:tc>
          <w:tcPr>
            <w:tcW w:w="1368" w:type="dxa"/>
            <w:shd w:val="clear" w:color="auto" w:fill="2D74B5"/>
          </w:tcPr>
          <w:p>
            <w:pPr>
              <w:pStyle w:val="TableParagraph"/>
              <w:spacing w:line="265" w:lineRule="exact"/>
              <w:ind w:left="275" w:right="85"/>
              <w:jc w:val="left"/>
              <w:rPr>
                <w:rFonts w:ascii="Calibri Light"/>
                <w:b w:val="0"/>
                <w:sz w:val="22"/>
              </w:rPr>
            </w:pPr>
            <w:r>
              <w:rPr>
                <w:sz w:val="22"/>
              </w:rPr>
              <w:t>6 </w:t>
            </w:r>
            <w:r>
              <w:rPr>
                <w:rFonts w:ascii="Calibri Light"/>
                <w:b w:val="0"/>
                <w:sz w:val="22"/>
              </w:rPr>
              <w:t>(100%)</w:t>
            </w:r>
          </w:p>
        </w:tc>
        <w:tc>
          <w:tcPr>
            <w:tcW w:w="1366" w:type="dxa"/>
            <w:tcBorders>
              <w:left w:val="thickThinMediumGap" w:sz="23" w:space="0" w:color="2D74B5"/>
            </w:tcBorders>
          </w:tcPr>
          <w:p>
            <w:pPr>
              <w:pStyle w:val="TableParagraph"/>
              <w:spacing w:before="9"/>
              <w:ind w:right="55"/>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4 (6)</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5"/>
              <w:rPr>
                <w:rFonts w:ascii="Calibri Light"/>
                <w:b w:val="0"/>
                <w:sz w:val="22"/>
              </w:rPr>
            </w:pPr>
            <w:r>
              <w:rPr>
                <w:sz w:val="22"/>
              </w:rPr>
              <w:t>1 </w:t>
            </w:r>
            <w:r>
              <w:rPr>
                <w:rFonts w:ascii="Calibri Light"/>
                <w:b w:val="0"/>
                <w:sz w:val="22"/>
              </w:rPr>
              <w:t>(16%)</w:t>
            </w:r>
          </w:p>
        </w:tc>
        <w:tc>
          <w:tcPr>
            <w:tcW w:w="1244" w:type="dxa"/>
          </w:tcPr>
          <w:p>
            <w:pPr>
              <w:pStyle w:val="TableParagraph"/>
              <w:spacing w:before="9"/>
              <w:rPr>
                <w:sz w:val="22"/>
              </w:rPr>
            </w:pPr>
            <w:r>
              <w:rPr>
                <w:w w:val="100"/>
                <w:sz w:val="22"/>
              </w:rPr>
              <w:t>0</w:t>
            </w:r>
          </w:p>
        </w:tc>
        <w:tc>
          <w:tcPr>
            <w:tcW w:w="1368" w:type="dxa"/>
            <w:tcBorders>
              <w:right w:val="single" w:sz="41" w:space="0" w:color="2D74B5"/>
            </w:tcBorders>
          </w:tcPr>
          <w:p>
            <w:pPr>
              <w:pStyle w:val="TableParagraph"/>
              <w:spacing w:line="265" w:lineRule="exact"/>
              <w:ind w:left="247"/>
              <w:jc w:val="left"/>
              <w:rPr>
                <w:rFonts w:ascii="Calibri Light"/>
                <w:b w:val="0"/>
                <w:sz w:val="22"/>
              </w:rPr>
            </w:pPr>
            <w:r>
              <w:rPr>
                <w:sz w:val="22"/>
              </w:rPr>
              <w:t>2 </w:t>
            </w:r>
            <w:r>
              <w:rPr>
                <w:rFonts w:ascii="Calibri Light"/>
                <w:b w:val="0"/>
                <w:sz w:val="22"/>
              </w:rPr>
              <w:t>(33.3%)</w:t>
            </w:r>
          </w:p>
        </w:tc>
        <w:tc>
          <w:tcPr>
            <w:tcW w:w="1366" w:type="dxa"/>
            <w:shd w:val="clear" w:color="auto" w:fill="2D74B5"/>
          </w:tcPr>
          <w:p>
            <w:pPr>
              <w:pStyle w:val="TableParagraph"/>
              <w:spacing w:line="265" w:lineRule="exact"/>
              <w:ind w:left="226" w:right="228"/>
              <w:rPr>
                <w:rFonts w:ascii="Calibri Light"/>
                <w:b w:val="0"/>
                <w:sz w:val="22"/>
              </w:rPr>
            </w:pPr>
            <w:r>
              <w:rPr>
                <w:sz w:val="22"/>
              </w:rPr>
              <w:t>3 </w:t>
            </w:r>
            <w:r>
              <w:rPr>
                <w:rFonts w:ascii="Calibri Light"/>
                <w:b w:val="0"/>
                <w:sz w:val="22"/>
              </w:rPr>
              <w:t>(50%)</w:t>
            </w:r>
          </w:p>
        </w:tc>
      </w:tr>
    </w:tbl>
    <w:p>
      <w:pPr>
        <w:spacing w:line="227" w:lineRule="exact" w:before="0"/>
        <w:ind w:left="308" w:right="26" w:firstLine="0"/>
        <w:jc w:val="left"/>
        <w:rPr>
          <w:b/>
          <w:sz w:val="20"/>
        </w:rPr>
      </w:pPr>
      <w:r>
        <w:rPr>
          <w:b/>
          <w:sz w:val="20"/>
        </w:rPr>
        <w:t>Tabla 4.14. Vocabulario empleado por tenderos y comerciantes; respuestas por grupo de edad</w:t>
      </w:r>
    </w:p>
    <w:p>
      <w:pPr>
        <w:pStyle w:val="BodyText"/>
        <w:spacing w:before="5"/>
        <w:rPr>
          <w:b/>
          <w:sz w:val="27"/>
        </w:rPr>
      </w:pPr>
    </w:p>
    <w:p>
      <w:pPr>
        <w:pStyle w:val="BodyText"/>
        <w:spacing w:line="360" w:lineRule="auto" w:before="1"/>
        <w:ind w:left="102" w:right="107" w:firstLine="707"/>
        <w:jc w:val="both"/>
      </w:pPr>
      <w:r>
        <w:rPr/>
        <w:t>El nivel de estudios con mayor aceptación ante los anglicismos es el medio superior presentando cinco de ocho respuestas “en desacuerdo” ante una aseveración desfavorable</w:t>
      </w:r>
      <w:r>
        <w:rPr>
          <w:spacing w:val="-7"/>
        </w:rPr>
        <w:t> </w:t>
      </w:r>
      <w:r>
        <w:rPr/>
        <w:t>para</w:t>
      </w:r>
      <w:r>
        <w:rPr>
          <w:spacing w:val="-5"/>
        </w:rPr>
        <w:t> </w:t>
      </w:r>
      <w:r>
        <w:rPr/>
        <w:t>los</w:t>
      </w:r>
      <w:r>
        <w:rPr>
          <w:spacing w:val="-8"/>
        </w:rPr>
        <w:t> </w:t>
      </w:r>
      <w:r>
        <w:rPr/>
        <w:t>anglicismos,</w:t>
      </w:r>
      <w:r>
        <w:rPr>
          <w:spacing w:val="-7"/>
        </w:rPr>
        <w:t> </w:t>
      </w:r>
      <w:r>
        <w:rPr/>
        <w:t>además</w:t>
      </w:r>
      <w:r>
        <w:rPr>
          <w:spacing w:val="-5"/>
        </w:rPr>
        <w:t> </w:t>
      </w:r>
      <w:r>
        <w:rPr/>
        <w:t>lo</w:t>
      </w:r>
      <w:r>
        <w:rPr>
          <w:spacing w:val="-5"/>
        </w:rPr>
        <w:t> </w:t>
      </w:r>
      <w:r>
        <w:rPr/>
        <w:t>afirman</w:t>
      </w:r>
      <w:r>
        <w:rPr>
          <w:spacing w:val="-5"/>
        </w:rPr>
        <w:t> </w:t>
      </w:r>
      <w:r>
        <w:rPr/>
        <w:t>las</w:t>
      </w:r>
      <w:r>
        <w:rPr>
          <w:spacing w:val="-7"/>
        </w:rPr>
        <w:t> </w:t>
      </w:r>
      <w:r>
        <w:rPr/>
        <w:t>tres</w:t>
      </w:r>
      <w:r>
        <w:rPr>
          <w:spacing w:val="-8"/>
        </w:rPr>
        <w:t> </w:t>
      </w:r>
      <w:r>
        <w:rPr/>
        <w:t>respuestas</w:t>
      </w:r>
      <w:r>
        <w:rPr>
          <w:spacing w:val="-8"/>
        </w:rPr>
        <w:t> </w:t>
      </w:r>
      <w:r>
        <w:rPr/>
        <w:t>restantes</w:t>
      </w:r>
      <w:r>
        <w:rPr>
          <w:spacing w:val="-8"/>
        </w:rPr>
        <w:t> </w:t>
      </w:r>
      <w:r>
        <w:rPr/>
        <w:t>en</w:t>
      </w:r>
      <w:r>
        <w:rPr>
          <w:spacing w:val="-7"/>
        </w:rPr>
        <w:t> </w:t>
      </w:r>
      <w:r>
        <w:rPr/>
        <w:t>la opción “muy en desacuerdo” (Ver tabla 4.15.). Posteriormente le siguen el nivel superior con cuatro de ocho respuestas “muy en desacuerdo” y tres “en desacuerdo; y el nivel básico con cinco de ocho respuestas “en desacuerdo” y dos “muy en</w:t>
      </w:r>
      <w:r>
        <w:rPr>
          <w:spacing w:val="-33"/>
        </w:rPr>
        <w:t> </w:t>
      </w:r>
      <w:r>
        <w:rPr/>
        <w:t>desacuerdo”.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1"/>
        <w:gridCol w:w="1678"/>
        <w:gridCol w:w="1087"/>
        <w:gridCol w:w="1061"/>
        <w:gridCol w:w="1282"/>
        <w:gridCol w:w="1409"/>
        <w:gridCol w:w="1409"/>
      </w:tblGrid>
      <w:tr>
        <w:trPr>
          <w:trHeight w:val="408" w:hRule="exact"/>
        </w:trPr>
        <w:tc>
          <w:tcPr>
            <w:tcW w:w="1471" w:type="dxa"/>
            <w:vMerge w:val="restart"/>
          </w:tcPr>
          <w:p>
            <w:pPr>
              <w:pStyle w:val="TableParagraph"/>
              <w:spacing w:before="6"/>
              <w:jc w:val="left"/>
              <w:rPr>
                <w:sz w:val="17"/>
              </w:rPr>
            </w:pPr>
          </w:p>
          <w:p>
            <w:pPr>
              <w:pStyle w:val="TableParagraph"/>
              <w:ind w:left="104" w:right="105"/>
              <w:rPr>
                <w:sz w:val="22"/>
              </w:rPr>
            </w:pPr>
            <w:r>
              <w:rPr>
                <w:sz w:val="22"/>
              </w:rPr>
              <w:t>Aseveración</w:t>
            </w:r>
          </w:p>
          <w:p>
            <w:pPr>
              <w:pStyle w:val="TableParagraph"/>
              <w:spacing w:before="124"/>
              <w:rPr>
                <w:b/>
                <w:sz w:val="22"/>
              </w:rPr>
            </w:pPr>
            <w:r>
              <w:rPr>
                <w:b/>
                <w:w w:val="100"/>
                <w:sz w:val="22"/>
              </w:rPr>
              <w:t>5</w:t>
            </w:r>
          </w:p>
        </w:tc>
        <w:tc>
          <w:tcPr>
            <w:tcW w:w="1678" w:type="dxa"/>
            <w:vMerge w:val="restart"/>
          </w:tcPr>
          <w:p>
            <w:pPr>
              <w:pStyle w:val="TableParagraph"/>
              <w:spacing w:line="357" w:lineRule="auto" w:before="12"/>
              <w:ind w:left="141" w:right="142" w:firstLine="4"/>
              <w:rPr>
                <w:b/>
                <w:sz w:val="22"/>
              </w:rPr>
            </w:pPr>
            <w:r>
              <w:rPr>
                <w:sz w:val="22"/>
              </w:rPr>
              <w:t>Tipo de Aseveración: </w:t>
            </w:r>
            <w:r>
              <w:rPr>
                <w:b/>
                <w:sz w:val="22"/>
              </w:rPr>
              <w:t>Desfavorable</w:t>
            </w:r>
          </w:p>
        </w:tc>
        <w:tc>
          <w:tcPr>
            <w:tcW w:w="6249" w:type="dxa"/>
            <w:gridSpan w:val="5"/>
          </w:tcPr>
          <w:p>
            <w:pPr>
              <w:pStyle w:val="TableParagraph"/>
              <w:spacing w:before="7"/>
              <w:ind w:left="2515" w:right="2518"/>
              <w:rPr>
                <w:sz w:val="22"/>
              </w:rPr>
            </w:pPr>
            <w:r>
              <w:rPr>
                <w:sz w:val="22"/>
              </w:rPr>
              <w:t>Respuestas</w:t>
            </w:r>
          </w:p>
        </w:tc>
      </w:tr>
      <w:tr>
        <w:trPr>
          <w:trHeight w:val="768" w:hRule="exact"/>
        </w:trPr>
        <w:tc>
          <w:tcPr>
            <w:tcW w:w="1471" w:type="dxa"/>
            <w:vMerge/>
          </w:tcPr>
          <w:p>
            <w:pPr/>
          </w:p>
        </w:tc>
        <w:tc>
          <w:tcPr>
            <w:tcW w:w="1678" w:type="dxa"/>
            <w:vMerge/>
          </w:tcPr>
          <w:p>
            <w:pPr/>
          </w:p>
        </w:tc>
        <w:tc>
          <w:tcPr>
            <w:tcW w:w="1087" w:type="dxa"/>
          </w:tcPr>
          <w:p>
            <w:pPr>
              <w:pStyle w:val="TableParagraph"/>
              <w:spacing w:line="360" w:lineRule="auto"/>
              <w:ind w:left="139" w:right="123" w:firstLine="36"/>
              <w:jc w:val="left"/>
              <w:rPr>
                <w:sz w:val="22"/>
              </w:rPr>
            </w:pPr>
            <w:r>
              <w:rPr>
                <w:sz w:val="22"/>
              </w:rPr>
              <w:t>Muy de acuerdo</w:t>
            </w:r>
          </w:p>
        </w:tc>
        <w:tc>
          <w:tcPr>
            <w:tcW w:w="1061" w:type="dxa"/>
          </w:tcPr>
          <w:p>
            <w:pPr>
              <w:pStyle w:val="TableParagraph"/>
              <w:spacing w:line="360" w:lineRule="auto"/>
              <w:ind w:left="127" w:right="109" w:firstLine="256"/>
              <w:jc w:val="left"/>
              <w:rPr>
                <w:sz w:val="22"/>
              </w:rPr>
            </w:pPr>
            <w:r>
              <w:rPr>
                <w:sz w:val="22"/>
              </w:rPr>
              <w:t>De acuerdo</w:t>
            </w:r>
          </w:p>
        </w:tc>
        <w:tc>
          <w:tcPr>
            <w:tcW w:w="1282" w:type="dxa"/>
          </w:tcPr>
          <w:p>
            <w:pPr>
              <w:pStyle w:val="TableParagraph"/>
              <w:spacing w:before="187"/>
              <w:ind w:left="103" w:right="101"/>
              <w:rPr>
                <w:sz w:val="22"/>
              </w:rPr>
            </w:pPr>
            <w:r>
              <w:rPr>
                <w:sz w:val="22"/>
              </w:rPr>
              <w:t>indiferente</w:t>
            </w:r>
          </w:p>
        </w:tc>
        <w:tc>
          <w:tcPr>
            <w:tcW w:w="1409" w:type="dxa"/>
          </w:tcPr>
          <w:p>
            <w:pPr>
              <w:pStyle w:val="TableParagraph"/>
              <w:spacing w:line="360" w:lineRule="auto"/>
              <w:ind w:left="125" w:right="105" w:firstLine="439"/>
              <w:jc w:val="left"/>
              <w:rPr>
                <w:sz w:val="22"/>
              </w:rPr>
            </w:pPr>
            <w:r>
              <w:rPr>
                <w:sz w:val="22"/>
              </w:rPr>
              <w:t>En desacuerdo</w:t>
            </w:r>
          </w:p>
        </w:tc>
        <w:tc>
          <w:tcPr>
            <w:tcW w:w="1409" w:type="dxa"/>
          </w:tcPr>
          <w:p>
            <w:pPr>
              <w:pStyle w:val="TableParagraph"/>
              <w:spacing w:line="360" w:lineRule="auto"/>
              <w:ind w:left="122" w:right="107" w:firstLine="216"/>
              <w:jc w:val="left"/>
              <w:rPr>
                <w:sz w:val="22"/>
              </w:rPr>
            </w:pPr>
            <w:r>
              <w:rPr>
                <w:sz w:val="22"/>
              </w:rPr>
              <w:t>Muy en desacuerdo</w:t>
            </w:r>
          </w:p>
        </w:tc>
      </w:tr>
      <w:tr>
        <w:trPr>
          <w:trHeight w:val="413" w:hRule="exact"/>
        </w:trPr>
        <w:tc>
          <w:tcPr>
            <w:tcW w:w="3149" w:type="dxa"/>
            <w:gridSpan w:val="2"/>
          </w:tcPr>
          <w:p>
            <w:pPr>
              <w:pStyle w:val="TableParagraph"/>
              <w:spacing w:before="9"/>
              <w:ind w:left="799"/>
              <w:jc w:val="left"/>
              <w:rPr>
                <w:sz w:val="22"/>
              </w:rPr>
            </w:pPr>
            <w:r>
              <w:rPr>
                <w:sz w:val="22"/>
              </w:rPr>
              <w:t>Nivel Básico (8)</w:t>
            </w:r>
          </w:p>
        </w:tc>
        <w:tc>
          <w:tcPr>
            <w:tcW w:w="1087" w:type="dxa"/>
          </w:tcPr>
          <w:p>
            <w:pPr>
              <w:pStyle w:val="TableParagraph"/>
              <w:spacing w:before="9"/>
              <w:ind w:right="2"/>
              <w:rPr>
                <w:sz w:val="22"/>
              </w:rPr>
            </w:pPr>
            <w:r>
              <w:rPr>
                <w:w w:val="100"/>
                <w:sz w:val="22"/>
              </w:rPr>
              <w:t>0</w:t>
            </w:r>
          </w:p>
        </w:tc>
        <w:tc>
          <w:tcPr>
            <w:tcW w:w="1061" w:type="dxa"/>
          </w:tcPr>
          <w:p>
            <w:pPr>
              <w:pStyle w:val="TableParagraph"/>
              <w:spacing w:line="265" w:lineRule="exact"/>
              <w:ind w:left="106" w:right="106"/>
              <w:rPr>
                <w:rFonts w:ascii="Calibri Light"/>
                <w:b w:val="0"/>
                <w:sz w:val="22"/>
              </w:rPr>
            </w:pPr>
            <w:r>
              <w:rPr>
                <w:sz w:val="22"/>
              </w:rPr>
              <w:t>1</w:t>
            </w:r>
            <w:r>
              <w:rPr>
                <w:rFonts w:ascii="Calibri Light"/>
                <w:b w:val="0"/>
                <w:sz w:val="22"/>
              </w:rPr>
              <w:t>(12.5%)</w:t>
            </w:r>
          </w:p>
        </w:tc>
        <w:tc>
          <w:tcPr>
            <w:tcW w:w="1282" w:type="dxa"/>
            <w:tcBorders>
              <w:right w:val="single" w:sz="42" w:space="0" w:color="2D74B5"/>
            </w:tcBorders>
          </w:tcPr>
          <w:p>
            <w:pPr>
              <w:pStyle w:val="TableParagraph"/>
              <w:spacing w:before="9"/>
              <w:ind w:left="49"/>
              <w:rPr>
                <w:sz w:val="22"/>
              </w:rPr>
            </w:pPr>
            <w:r>
              <w:rPr>
                <w:w w:val="100"/>
                <w:sz w:val="22"/>
              </w:rPr>
              <w:t>0</w:t>
            </w:r>
          </w:p>
        </w:tc>
        <w:tc>
          <w:tcPr>
            <w:tcW w:w="1409" w:type="dxa"/>
            <w:shd w:val="clear" w:color="auto" w:fill="2D74B5"/>
          </w:tcPr>
          <w:p>
            <w:pPr>
              <w:pStyle w:val="TableParagraph"/>
              <w:spacing w:line="265" w:lineRule="exact"/>
              <w:ind w:left="250" w:right="251"/>
              <w:rPr>
                <w:rFonts w:ascii="Calibri Light"/>
                <w:b w:val="0"/>
                <w:sz w:val="22"/>
              </w:rPr>
            </w:pPr>
            <w:r>
              <w:rPr>
                <w:sz w:val="22"/>
              </w:rPr>
              <w:t>5 </w:t>
            </w:r>
            <w:r>
              <w:rPr>
                <w:rFonts w:ascii="Calibri Light"/>
                <w:b w:val="0"/>
                <w:sz w:val="22"/>
              </w:rPr>
              <w:t>(62.5%)</w:t>
            </w:r>
          </w:p>
        </w:tc>
        <w:tc>
          <w:tcPr>
            <w:tcW w:w="1409" w:type="dxa"/>
            <w:tcBorders>
              <w:left w:val="single" w:sz="45" w:space="0" w:color="2D74B5"/>
            </w:tcBorders>
          </w:tcPr>
          <w:p>
            <w:pPr>
              <w:pStyle w:val="TableParagraph"/>
              <w:spacing w:line="265" w:lineRule="exact"/>
              <w:ind w:left="196" w:right="250"/>
              <w:rPr>
                <w:rFonts w:ascii="Calibri Light"/>
                <w:b w:val="0"/>
                <w:sz w:val="22"/>
              </w:rPr>
            </w:pPr>
            <w:r>
              <w:rPr>
                <w:sz w:val="22"/>
              </w:rPr>
              <w:t>2 </w:t>
            </w:r>
            <w:r>
              <w:rPr>
                <w:rFonts w:ascii="Calibri Light"/>
                <w:b w:val="0"/>
                <w:sz w:val="22"/>
              </w:rPr>
              <w:t>(25%)</w:t>
            </w:r>
          </w:p>
        </w:tc>
      </w:tr>
      <w:tr>
        <w:trPr>
          <w:trHeight w:val="413" w:hRule="exact"/>
        </w:trPr>
        <w:tc>
          <w:tcPr>
            <w:tcW w:w="3149" w:type="dxa"/>
            <w:gridSpan w:val="2"/>
          </w:tcPr>
          <w:p>
            <w:pPr>
              <w:pStyle w:val="TableParagraph"/>
              <w:spacing w:before="9"/>
              <w:ind w:left="383"/>
              <w:jc w:val="left"/>
              <w:rPr>
                <w:sz w:val="22"/>
              </w:rPr>
            </w:pPr>
            <w:r>
              <w:rPr>
                <w:sz w:val="22"/>
              </w:rPr>
              <w:t>Nivel Medio Superior (8)</w:t>
            </w:r>
          </w:p>
        </w:tc>
        <w:tc>
          <w:tcPr>
            <w:tcW w:w="1087" w:type="dxa"/>
          </w:tcPr>
          <w:p>
            <w:pPr>
              <w:pStyle w:val="TableParagraph"/>
              <w:spacing w:before="9"/>
              <w:ind w:right="2"/>
              <w:rPr>
                <w:sz w:val="22"/>
              </w:rPr>
            </w:pPr>
            <w:r>
              <w:rPr>
                <w:w w:val="100"/>
                <w:sz w:val="22"/>
              </w:rPr>
              <w:t>0</w:t>
            </w:r>
          </w:p>
        </w:tc>
        <w:tc>
          <w:tcPr>
            <w:tcW w:w="1061" w:type="dxa"/>
          </w:tcPr>
          <w:p>
            <w:pPr>
              <w:pStyle w:val="TableParagraph"/>
              <w:spacing w:before="9"/>
              <w:ind w:right="1"/>
              <w:rPr>
                <w:sz w:val="22"/>
              </w:rPr>
            </w:pPr>
            <w:r>
              <w:rPr>
                <w:w w:val="100"/>
                <w:sz w:val="22"/>
              </w:rPr>
              <w:t>0</w:t>
            </w:r>
          </w:p>
        </w:tc>
        <w:tc>
          <w:tcPr>
            <w:tcW w:w="1282" w:type="dxa"/>
            <w:tcBorders>
              <w:right w:val="single" w:sz="42" w:space="0" w:color="2D74B5"/>
            </w:tcBorders>
          </w:tcPr>
          <w:p>
            <w:pPr>
              <w:pStyle w:val="TableParagraph"/>
              <w:spacing w:before="9"/>
              <w:ind w:left="49"/>
              <w:rPr>
                <w:sz w:val="22"/>
              </w:rPr>
            </w:pPr>
            <w:r>
              <w:rPr>
                <w:w w:val="100"/>
                <w:sz w:val="22"/>
              </w:rPr>
              <w:t>0</w:t>
            </w:r>
          </w:p>
        </w:tc>
        <w:tc>
          <w:tcPr>
            <w:tcW w:w="1409" w:type="dxa"/>
            <w:shd w:val="clear" w:color="auto" w:fill="2D74B5"/>
          </w:tcPr>
          <w:p>
            <w:pPr>
              <w:pStyle w:val="TableParagraph"/>
              <w:spacing w:line="265" w:lineRule="exact"/>
              <w:ind w:left="250" w:right="251"/>
              <w:rPr>
                <w:rFonts w:ascii="Calibri Light"/>
                <w:b w:val="0"/>
                <w:sz w:val="22"/>
              </w:rPr>
            </w:pPr>
            <w:r>
              <w:rPr>
                <w:sz w:val="22"/>
              </w:rPr>
              <w:t>5 </w:t>
            </w:r>
            <w:r>
              <w:rPr>
                <w:rFonts w:ascii="Calibri Light"/>
                <w:b w:val="0"/>
                <w:sz w:val="22"/>
              </w:rPr>
              <w:t>(12.5%)</w:t>
            </w:r>
          </w:p>
        </w:tc>
        <w:tc>
          <w:tcPr>
            <w:tcW w:w="1409" w:type="dxa"/>
            <w:tcBorders>
              <w:left w:val="single" w:sz="45" w:space="0" w:color="2D74B5"/>
            </w:tcBorders>
          </w:tcPr>
          <w:p>
            <w:pPr>
              <w:pStyle w:val="TableParagraph"/>
              <w:spacing w:line="265" w:lineRule="exact"/>
              <w:ind w:left="199" w:right="250"/>
              <w:rPr>
                <w:rFonts w:ascii="Calibri Light"/>
                <w:b w:val="0"/>
                <w:sz w:val="22"/>
              </w:rPr>
            </w:pPr>
            <w:r>
              <w:rPr>
                <w:sz w:val="22"/>
              </w:rPr>
              <w:t>3 </w:t>
            </w:r>
            <w:r>
              <w:rPr>
                <w:rFonts w:ascii="Calibri Light"/>
                <w:b w:val="0"/>
                <w:sz w:val="22"/>
              </w:rPr>
              <w:t>(37.5%)</w:t>
            </w:r>
          </w:p>
        </w:tc>
      </w:tr>
      <w:tr>
        <w:trPr>
          <w:trHeight w:val="413" w:hRule="exact"/>
        </w:trPr>
        <w:tc>
          <w:tcPr>
            <w:tcW w:w="3149" w:type="dxa"/>
            <w:gridSpan w:val="2"/>
          </w:tcPr>
          <w:p>
            <w:pPr>
              <w:pStyle w:val="TableParagraph"/>
              <w:spacing w:before="9"/>
              <w:ind w:left="712"/>
              <w:jc w:val="left"/>
              <w:rPr>
                <w:sz w:val="22"/>
              </w:rPr>
            </w:pPr>
            <w:r>
              <w:rPr>
                <w:sz w:val="22"/>
              </w:rPr>
              <w:t>Nivel Superior (8)</w:t>
            </w:r>
          </w:p>
        </w:tc>
        <w:tc>
          <w:tcPr>
            <w:tcW w:w="1087" w:type="dxa"/>
          </w:tcPr>
          <w:p>
            <w:pPr>
              <w:pStyle w:val="TableParagraph"/>
              <w:spacing w:before="9"/>
              <w:ind w:right="2"/>
              <w:rPr>
                <w:sz w:val="22"/>
              </w:rPr>
            </w:pPr>
            <w:r>
              <w:rPr>
                <w:w w:val="100"/>
                <w:sz w:val="22"/>
              </w:rPr>
              <w:t>0</w:t>
            </w:r>
          </w:p>
        </w:tc>
        <w:tc>
          <w:tcPr>
            <w:tcW w:w="1061" w:type="dxa"/>
          </w:tcPr>
          <w:p>
            <w:pPr>
              <w:pStyle w:val="TableParagraph"/>
              <w:spacing w:line="265" w:lineRule="exact"/>
              <w:ind w:left="106" w:right="106"/>
              <w:rPr>
                <w:rFonts w:ascii="Calibri Light"/>
                <w:b w:val="0"/>
                <w:sz w:val="22"/>
              </w:rPr>
            </w:pPr>
            <w:r>
              <w:rPr>
                <w:sz w:val="22"/>
              </w:rPr>
              <w:t>1</w:t>
            </w:r>
            <w:r>
              <w:rPr>
                <w:rFonts w:ascii="Calibri Light"/>
                <w:b w:val="0"/>
                <w:sz w:val="22"/>
              </w:rPr>
              <w:t>(12.5%)</w:t>
            </w:r>
          </w:p>
        </w:tc>
        <w:tc>
          <w:tcPr>
            <w:tcW w:w="1282" w:type="dxa"/>
          </w:tcPr>
          <w:p>
            <w:pPr>
              <w:pStyle w:val="TableParagraph"/>
              <w:spacing w:before="9"/>
              <w:ind w:left="2"/>
              <w:rPr>
                <w:sz w:val="22"/>
              </w:rPr>
            </w:pPr>
            <w:r>
              <w:rPr>
                <w:w w:val="100"/>
                <w:sz w:val="22"/>
              </w:rPr>
              <w:t>0</w:t>
            </w:r>
          </w:p>
        </w:tc>
        <w:tc>
          <w:tcPr>
            <w:tcW w:w="1409" w:type="dxa"/>
            <w:tcBorders>
              <w:right w:val="single" w:sz="45" w:space="0" w:color="2D74B5"/>
            </w:tcBorders>
          </w:tcPr>
          <w:p>
            <w:pPr>
              <w:pStyle w:val="TableParagraph"/>
              <w:spacing w:line="265" w:lineRule="exact"/>
              <w:ind w:left="249" w:right="199"/>
              <w:rPr>
                <w:rFonts w:ascii="Calibri Light"/>
                <w:b w:val="0"/>
                <w:sz w:val="22"/>
              </w:rPr>
            </w:pPr>
            <w:r>
              <w:rPr>
                <w:sz w:val="22"/>
              </w:rPr>
              <w:t>3 </w:t>
            </w:r>
            <w:r>
              <w:rPr>
                <w:rFonts w:ascii="Calibri Light"/>
                <w:b w:val="0"/>
                <w:sz w:val="22"/>
              </w:rPr>
              <w:t>(37.5%)</w:t>
            </w:r>
          </w:p>
        </w:tc>
        <w:tc>
          <w:tcPr>
            <w:tcW w:w="1409" w:type="dxa"/>
            <w:shd w:val="clear" w:color="auto" w:fill="2D74B5"/>
          </w:tcPr>
          <w:p>
            <w:pPr>
              <w:pStyle w:val="TableParagraph"/>
              <w:spacing w:line="265" w:lineRule="exact"/>
              <w:ind w:left="332" w:right="334"/>
              <w:rPr>
                <w:rFonts w:ascii="Calibri Light"/>
                <w:b w:val="0"/>
                <w:sz w:val="22"/>
              </w:rPr>
            </w:pPr>
            <w:r>
              <w:rPr>
                <w:sz w:val="22"/>
              </w:rPr>
              <w:t>4 </w:t>
            </w:r>
            <w:r>
              <w:rPr>
                <w:rFonts w:ascii="Calibri Light"/>
                <w:b w:val="0"/>
                <w:sz w:val="22"/>
              </w:rPr>
              <w:t>(50%)</w:t>
            </w:r>
          </w:p>
        </w:tc>
      </w:tr>
    </w:tbl>
    <w:p>
      <w:pPr>
        <w:spacing w:line="227" w:lineRule="exact" w:before="0"/>
        <w:ind w:left="186" w:right="26" w:firstLine="0"/>
        <w:jc w:val="left"/>
        <w:rPr>
          <w:b/>
          <w:sz w:val="20"/>
        </w:rPr>
      </w:pPr>
      <w:r>
        <w:rPr>
          <w:b/>
          <w:sz w:val="20"/>
        </w:rPr>
        <w:t>Tabla 4.15. Vocabulario empleado por tenderos y comerciantes; respuestas por nivel de estudios</w:t>
      </w:r>
    </w:p>
    <w:p>
      <w:pPr>
        <w:pStyle w:val="BodyText"/>
        <w:spacing w:before="7"/>
        <w:rPr>
          <w:b/>
          <w:sz w:val="27"/>
        </w:rPr>
      </w:pPr>
    </w:p>
    <w:p>
      <w:pPr>
        <w:pStyle w:val="BodyText"/>
        <w:spacing w:line="360" w:lineRule="auto"/>
        <w:ind w:left="102" w:right="108" w:firstLine="707"/>
        <w:jc w:val="both"/>
      </w:pPr>
      <w:r>
        <w:rPr/>
        <w:t>En cuanto a la aseveración 6, la cual establece lo siguiente: </w:t>
      </w:r>
      <w:r>
        <w:rPr>
          <w:b/>
        </w:rPr>
        <w:t>“Una persona que se</w:t>
      </w:r>
      <w:r>
        <w:rPr>
          <w:b/>
          <w:spacing w:val="-12"/>
        </w:rPr>
        <w:t> </w:t>
      </w:r>
      <w:r>
        <w:rPr>
          <w:b/>
        </w:rPr>
        <w:t>desarrolla</w:t>
      </w:r>
      <w:r>
        <w:rPr>
          <w:b/>
          <w:spacing w:val="-12"/>
        </w:rPr>
        <w:t> </w:t>
      </w:r>
      <w:r>
        <w:rPr>
          <w:b/>
        </w:rPr>
        <w:t>como</w:t>
      </w:r>
      <w:r>
        <w:rPr>
          <w:b/>
          <w:spacing w:val="-13"/>
        </w:rPr>
        <w:t> </w:t>
      </w:r>
      <w:r>
        <w:rPr>
          <w:b/>
        </w:rPr>
        <w:t>profesor</w:t>
      </w:r>
      <w:r>
        <w:rPr>
          <w:b/>
          <w:spacing w:val="-13"/>
        </w:rPr>
        <w:t> </w:t>
      </w:r>
      <w:r>
        <w:rPr>
          <w:b/>
        </w:rPr>
        <w:t>aumentaría</w:t>
      </w:r>
      <w:r>
        <w:rPr>
          <w:b/>
          <w:spacing w:val="-11"/>
        </w:rPr>
        <w:t> </w:t>
      </w:r>
      <w:r>
        <w:rPr>
          <w:b/>
        </w:rPr>
        <w:t>su</w:t>
      </w:r>
      <w:r>
        <w:rPr>
          <w:b/>
          <w:spacing w:val="-13"/>
        </w:rPr>
        <w:t> </w:t>
      </w:r>
      <w:r>
        <w:rPr>
          <w:b/>
        </w:rPr>
        <w:t>reputación</w:t>
      </w:r>
      <w:r>
        <w:rPr>
          <w:b/>
          <w:spacing w:val="-13"/>
        </w:rPr>
        <w:t> </w:t>
      </w:r>
      <w:r>
        <w:rPr>
          <w:b/>
        </w:rPr>
        <w:t>expresándose</w:t>
      </w:r>
      <w:r>
        <w:rPr>
          <w:b/>
          <w:spacing w:val="-12"/>
        </w:rPr>
        <w:t> </w:t>
      </w:r>
      <w:r>
        <w:rPr>
          <w:b/>
        </w:rPr>
        <w:t>como</w:t>
      </w:r>
      <w:r>
        <w:rPr>
          <w:b/>
          <w:spacing w:val="-13"/>
        </w:rPr>
        <w:t> </w:t>
      </w:r>
      <w:r>
        <w:rPr>
          <w:b/>
        </w:rPr>
        <w:t>en</w:t>
      </w:r>
      <w:r>
        <w:rPr>
          <w:b/>
          <w:spacing w:val="-14"/>
        </w:rPr>
        <w:t> </w:t>
      </w:r>
      <w:r>
        <w:rPr>
          <w:b/>
        </w:rPr>
        <w:t>esta grabación” </w:t>
      </w:r>
      <w:r>
        <w:rPr/>
        <w:t>muestra una inclinación favorable ante el uso de anglicismos. En los resultados presentados en la tabla 4.16., se pudo observar que en la totalidad de la población, once de 24 sujetos están “de acuerdo” con la aseveración y seis de 24 mostraron estar “muy de acuerdo”. En cuanto a género se refiere, el género masculino muestra siete de doce respuestas “de acuerdo” y dos “muy de acuerdo”, mientras que</w:t>
      </w:r>
      <w:r>
        <w:rPr>
          <w:spacing w:val="-20"/>
        </w:rPr>
        <w:t> </w:t>
      </w:r>
      <w:r>
        <w:rPr/>
        <w:t>el</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26"/>
      </w:pPr>
      <w:r>
        <w:rPr/>
        <w:t>género femenino muestra el mismo número de respuestas, cuatro, “de acuerdo” y “muy de acuerdo”.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14"/>
        <w:gridCol w:w="1140"/>
        <w:gridCol w:w="1138"/>
        <w:gridCol w:w="1244"/>
        <w:gridCol w:w="1368"/>
        <w:gridCol w:w="1366"/>
      </w:tblGrid>
      <w:tr>
        <w:trPr>
          <w:trHeight w:val="408" w:hRule="exact"/>
        </w:trPr>
        <w:tc>
          <w:tcPr>
            <w:tcW w:w="1428" w:type="dxa"/>
            <w:vMerge w:val="restart"/>
          </w:tcPr>
          <w:p>
            <w:pPr>
              <w:pStyle w:val="TableParagraph"/>
              <w:spacing w:before="3"/>
              <w:jc w:val="left"/>
              <w:rPr>
                <w:sz w:val="26"/>
              </w:rPr>
            </w:pPr>
          </w:p>
          <w:p>
            <w:pPr>
              <w:pStyle w:val="TableParagraph"/>
              <w:ind w:left="82" w:right="83"/>
              <w:rPr>
                <w:sz w:val="22"/>
              </w:rPr>
            </w:pPr>
            <w:r>
              <w:rPr>
                <w:sz w:val="22"/>
              </w:rPr>
              <w:t>Aseveración</w:t>
            </w:r>
          </w:p>
          <w:p>
            <w:pPr>
              <w:pStyle w:val="TableParagraph"/>
              <w:spacing w:before="124"/>
              <w:rPr>
                <w:b/>
                <w:sz w:val="22"/>
              </w:rPr>
            </w:pPr>
            <w:r>
              <w:rPr>
                <w:b/>
                <w:w w:val="100"/>
                <w:sz w:val="22"/>
              </w:rPr>
              <w:t>6</w:t>
            </w:r>
          </w:p>
        </w:tc>
        <w:tc>
          <w:tcPr>
            <w:tcW w:w="1714" w:type="dxa"/>
            <w:vMerge w:val="restart"/>
          </w:tcPr>
          <w:p>
            <w:pPr>
              <w:pStyle w:val="TableParagraph"/>
              <w:spacing w:line="357" w:lineRule="auto" w:before="113"/>
              <w:ind w:left="213" w:right="218" w:firstLine="5"/>
              <w:rPr>
                <w:b/>
                <w:sz w:val="22"/>
              </w:rPr>
            </w:pPr>
            <w:r>
              <w:rPr>
                <w:sz w:val="22"/>
              </w:rPr>
              <w:t>Tipo de Aseveración: </w:t>
            </w:r>
            <w:r>
              <w:rPr>
                <w:b/>
                <w:sz w:val="22"/>
              </w:rPr>
              <w:t>Favorable</w:t>
            </w:r>
          </w:p>
        </w:tc>
        <w:tc>
          <w:tcPr>
            <w:tcW w:w="6256" w:type="dxa"/>
            <w:gridSpan w:val="5"/>
          </w:tcPr>
          <w:p>
            <w:pPr>
              <w:pStyle w:val="TableParagraph"/>
              <w:spacing w:before="7"/>
              <w:ind w:left="2521" w:right="2522"/>
              <w:rPr>
                <w:sz w:val="22"/>
              </w:rPr>
            </w:pPr>
            <w:r>
              <w:rPr>
                <w:sz w:val="22"/>
              </w:rPr>
              <w:t>Respuestas</w:t>
            </w:r>
          </w:p>
        </w:tc>
      </w:tr>
      <w:tr>
        <w:trPr>
          <w:trHeight w:val="967" w:hRule="exact"/>
        </w:trPr>
        <w:tc>
          <w:tcPr>
            <w:tcW w:w="1428" w:type="dxa"/>
            <w:vMerge/>
          </w:tcPr>
          <w:p>
            <w:pPr/>
          </w:p>
        </w:tc>
        <w:tc>
          <w:tcPr>
            <w:tcW w:w="1714" w:type="dxa"/>
            <w:vMerge/>
          </w:tcPr>
          <w:p>
            <w:pPr/>
          </w:p>
        </w:tc>
        <w:tc>
          <w:tcPr>
            <w:tcW w:w="1140" w:type="dxa"/>
          </w:tcPr>
          <w:p>
            <w:pPr>
              <w:pStyle w:val="TableParagraph"/>
              <w:spacing w:line="360" w:lineRule="auto"/>
              <w:ind w:left="168" w:right="147" w:firstLine="36"/>
              <w:jc w:val="left"/>
              <w:rPr>
                <w:sz w:val="22"/>
              </w:rPr>
            </w:pPr>
            <w:r>
              <w:rPr>
                <w:sz w:val="22"/>
              </w:rPr>
              <w:t>Muy de acuerdo</w:t>
            </w:r>
          </w:p>
        </w:tc>
        <w:tc>
          <w:tcPr>
            <w:tcW w:w="1138" w:type="dxa"/>
          </w:tcPr>
          <w:p>
            <w:pPr>
              <w:pStyle w:val="TableParagraph"/>
              <w:spacing w:line="360" w:lineRule="auto"/>
              <w:ind w:left="165" w:right="147"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2" w:type="dxa"/>
            <w:gridSpan w:val="2"/>
          </w:tcPr>
          <w:p>
            <w:pPr>
              <w:pStyle w:val="TableParagraph"/>
              <w:spacing w:before="9"/>
              <w:ind w:left="323"/>
              <w:jc w:val="left"/>
              <w:rPr>
                <w:sz w:val="22"/>
              </w:rPr>
            </w:pPr>
            <w:r>
              <w:rPr>
                <w:sz w:val="22"/>
              </w:rPr>
              <w:t>Total de la población (24)</w:t>
            </w:r>
          </w:p>
        </w:tc>
        <w:tc>
          <w:tcPr>
            <w:tcW w:w="1140" w:type="dxa"/>
          </w:tcPr>
          <w:p>
            <w:pPr>
              <w:pStyle w:val="TableParagraph"/>
              <w:spacing w:line="268" w:lineRule="exact"/>
              <w:ind w:left="116" w:right="116"/>
              <w:rPr>
                <w:rFonts w:ascii="Calibri Light"/>
                <w:b w:val="0"/>
                <w:sz w:val="22"/>
              </w:rPr>
            </w:pPr>
            <w:r>
              <w:rPr>
                <w:sz w:val="22"/>
              </w:rPr>
              <w:t>6 </w:t>
            </w:r>
            <w:r>
              <w:rPr>
                <w:rFonts w:ascii="Calibri Light"/>
                <w:b w:val="0"/>
                <w:sz w:val="22"/>
              </w:rPr>
              <w:t>(25%)</w:t>
            </w:r>
          </w:p>
        </w:tc>
        <w:tc>
          <w:tcPr>
            <w:tcW w:w="1138" w:type="dxa"/>
            <w:shd w:val="clear" w:color="auto" w:fill="2D74B5"/>
          </w:tcPr>
          <w:p>
            <w:pPr>
              <w:pStyle w:val="TableParagraph"/>
              <w:spacing w:line="268" w:lineRule="exact"/>
              <w:ind w:left="103"/>
              <w:jc w:val="left"/>
              <w:rPr>
                <w:rFonts w:ascii="Calibri Light"/>
                <w:b w:val="0"/>
                <w:sz w:val="22"/>
              </w:rPr>
            </w:pPr>
            <w:r>
              <w:rPr>
                <w:sz w:val="22"/>
              </w:rPr>
              <w:t>11</w:t>
            </w:r>
            <w:r>
              <w:rPr>
                <w:rFonts w:ascii="Calibri Light"/>
                <w:b w:val="0"/>
                <w:sz w:val="22"/>
              </w:rPr>
              <w:t>(45.8%)</w:t>
            </w:r>
          </w:p>
        </w:tc>
        <w:tc>
          <w:tcPr>
            <w:tcW w:w="1244" w:type="dxa"/>
          </w:tcPr>
          <w:p>
            <w:pPr>
              <w:pStyle w:val="TableParagraph"/>
              <w:spacing w:line="268" w:lineRule="exact"/>
              <w:ind w:left="82" w:right="82"/>
              <w:rPr>
                <w:rFonts w:ascii="Calibri Light"/>
                <w:b w:val="0"/>
                <w:sz w:val="22"/>
              </w:rPr>
            </w:pPr>
            <w:r>
              <w:rPr>
                <w:sz w:val="22"/>
              </w:rPr>
              <w:t>1 </w:t>
            </w:r>
            <w:r>
              <w:rPr>
                <w:rFonts w:ascii="Calibri Light"/>
                <w:b w:val="0"/>
                <w:sz w:val="22"/>
              </w:rPr>
              <w:t>(4.1%)</w:t>
            </w:r>
          </w:p>
        </w:tc>
        <w:tc>
          <w:tcPr>
            <w:tcW w:w="1368" w:type="dxa"/>
          </w:tcPr>
          <w:p>
            <w:pPr>
              <w:pStyle w:val="TableParagraph"/>
              <w:spacing w:line="268" w:lineRule="exact"/>
              <w:ind w:left="222" w:right="224"/>
              <w:rPr>
                <w:rFonts w:ascii="Calibri Light"/>
                <w:b w:val="0"/>
                <w:sz w:val="22"/>
              </w:rPr>
            </w:pPr>
            <w:r>
              <w:rPr>
                <w:sz w:val="22"/>
              </w:rPr>
              <w:t>5 </w:t>
            </w:r>
            <w:r>
              <w:rPr>
                <w:rFonts w:ascii="Calibri Light"/>
                <w:b w:val="0"/>
                <w:sz w:val="22"/>
              </w:rPr>
              <w:t>(20.8%)</w:t>
            </w:r>
          </w:p>
        </w:tc>
        <w:tc>
          <w:tcPr>
            <w:tcW w:w="1366" w:type="dxa"/>
          </w:tcPr>
          <w:p>
            <w:pPr>
              <w:pStyle w:val="TableParagraph"/>
              <w:spacing w:line="268" w:lineRule="exact"/>
              <w:ind w:left="226" w:right="228"/>
              <w:rPr>
                <w:rFonts w:ascii="Calibri Light"/>
                <w:b w:val="0"/>
                <w:sz w:val="22"/>
              </w:rPr>
            </w:pPr>
            <w:r>
              <w:rPr>
                <w:sz w:val="22"/>
              </w:rPr>
              <w:t>1 </w:t>
            </w:r>
            <w:r>
              <w:rPr>
                <w:rFonts w:ascii="Calibri Light"/>
                <w:b w:val="0"/>
                <w:sz w:val="22"/>
              </w:rPr>
              <w:t>(4.1%)</w:t>
            </w:r>
          </w:p>
        </w:tc>
      </w:tr>
      <w:tr>
        <w:trPr>
          <w:trHeight w:val="413" w:hRule="exact"/>
        </w:trPr>
        <w:tc>
          <w:tcPr>
            <w:tcW w:w="3142" w:type="dxa"/>
            <w:gridSpan w:val="2"/>
            <w:tcBorders>
              <w:right w:val="single" w:sz="45" w:space="0" w:color="9CC2E4"/>
            </w:tcBorders>
          </w:tcPr>
          <w:p>
            <w:pPr>
              <w:pStyle w:val="TableParagraph"/>
              <w:spacing w:before="9"/>
              <w:ind w:left="947"/>
              <w:jc w:val="left"/>
              <w:rPr>
                <w:sz w:val="22"/>
              </w:rPr>
            </w:pPr>
            <w:r>
              <w:rPr>
                <w:sz w:val="22"/>
              </w:rPr>
              <w:t>Mujeres (12)</w:t>
            </w:r>
          </w:p>
        </w:tc>
        <w:tc>
          <w:tcPr>
            <w:tcW w:w="1140" w:type="dxa"/>
            <w:shd w:val="clear" w:color="auto" w:fill="9CC2E4"/>
          </w:tcPr>
          <w:p>
            <w:pPr>
              <w:pStyle w:val="TableParagraph"/>
              <w:spacing w:line="268" w:lineRule="exact"/>
              <w:ind w:left="116" w:right="116"/>
              <w:rPr>
                <w:rFonts w:ascii="Calibri Light"/>
                <w:b w:val="0"/>
                <w:sz w:val="22"/>
              </w:rPr>
            </w:pPr>
            <w:r>
              <w:rPr>
                <w:sz w:val="22"/>
              </w:rPr>
              <w:t>4 </w:t>
            </w:r>
            <w:r>
              <w:rPr>
                <w:rFonts w:ascii="Calibri Light"/>
                <w:b w:val="0"/>
                <w:sz w:val="22"/>
              </w:rPr>
              <w:t>(33.3%)</w:t>
            </w:r>
          </w:p>
        </w:tc>
        <w:tc>
          <w:tcPr>
            <w:tcW w:w="1138" w:type="dxa"/>
            <w:tcBorders>
              <w:left w:val="single" w:sz="41" w:space="0" w:color="9CC2E4"/>
            </w:tcBorders>
            <w:shd w:val="clear" w:color="auto" w:fill="2D74B5"/>
          </w:tcPr>
          <w:p>
            <w:pPr>
              <w:pStyle w:val="TableParagraph"/>
              <w:spacing w:line="268" w:lineRule="exact"/>
              <w:ind w:left="87"/>
              <w:jc w:val="left"/>
              <w:rPr>
                <w:rFonts w:ascii="Calibri Light"/>
                <w:b w:val="0"/>
                <w:sz w:val="22"/>
              </w:rPr>
            </w:pPr>
            <w:r>
              <w:rPr>
                <w:sz w:val="22"/>
              </w:rPr>
              <w:t>4 </w:t>
            </w:r>
            <w:r>
              <w:rPr>
                <w:rFonts w:ascii="Calibri Light"/>
                <w:b w:val="0"/>
                <w:sz w:val="22"/>
              </w:rPr>
              <w:t>(33.3%)</w:t>
            </w:r>
          </w:p>
        </w:tc>
        <w:tc>
          <w:tcPr>
            <w:tcW w:w="1244" w:type="dxa"/>
          </w:tcPr>
          <w:p>
            <w:pPr>
              <w:pStyle w:val="TableParagraph"/>
              <w:spacing w:before="9"/>
              <w:rPr>
                <w:sz w:val="22"/>
              </w:rPr>
            </w:pPr>
            <w:r>
              <w:rPr>
                <w:w w:val="100"/>
                <w:sz w:val="22"/>
              </w:rPr>
              <w:t>0</w:t>
            </w:r>
          </w:p>
        </w:tc>
        <w:tc>
          <w:tcPr>
            <w:tcW w:w="1368" w:type="dxa"/>
          </w:tcPr>
          <w:p>
            <w:pPr>
              <w:pStyle w:val="TableParagraph"/>
              <w:spacing w:line="268" w:lineRule="exact"/>
              <w:ind w:left="223" w:right="224"/>
              <w:rPr>
                <w:rFonts w:ascii="Calibri Light"/>
                <w:b w:val="0"/>
                <w:sz w:val="22"/>
              </w:rPr>
            </w:pPr>
            <w:r>
              <w:rPr>
                <w:sz w:val="22"/>
              </w:rPr>
              <w:t>3 </w:t>
            </w:r>
            <w:r>
              <w:rPr>
                <w:rFonts w:ascii="Calibri Light"/>
                <w:b w:val="0"/>
                <w:sz w:val="22"/>
              </w:rPr>
              <w:t>(25%)</w:t>
            </w:r>
          </w:p>
        </w:tc>
        <w:tc>
          <w:tcPr>
            <w:tcW w:w="1366" w:type="dxa"/>
          </w:tcPr>
          <w:p>
            <w:pPr>
              <w:pStyle w:val="TableParagraph"/>
              <w:spacing w:line="268" w:lineRule="exact"/>
              <w:ind w:left="226" w:right="228"/>
              <w:rPr>
                <w:rFonts w:ascii="Calibri Light"/>
                <w:b w:val="0"/>
                <w:sz w:val="22"/>
              </w:rPr>
            </w:pPr>
            <w:r>
              <w:rPr>
                <w:sz w:val="22"/>
              </w:rPr>
              <w:t>1 </w:t>
            </w:r>
            <w:r>
              <w:rPr>
                <w:rFonts w:ascii="Calibri Light"/>
                <w:b w:val="0"/>
                <w:sz w:val="22"/>
              </w:rPr>
              <w:t>(8%)</w:t>
            </w:r>
          </w:p>
        </w:tc>
      </w:tr>
      <w:tr>
        <w:trPr>
          <w:trHeight w:val="416" w:hRule="exact"/>
        </w:trPr>
        <w:tc>
          <w:tcPr>
            <w:tcW w:w="3142" w:type="dxa"/>
            <w:gridSpan w:val="2"/>
          </w:tcPr>
          <w:p>
            <w:pPr>
              <w:pStyle w:val="TableParagraph"/>
              <w:spacing w:before="9"/>
              <w:ind w:left="892"/>
              <w:jc w:val="left"/>
              <w:rPr>
                <w:sz w:val="22"/>
              </w:rPr>
            </w:pPr>
            <w:r>
              <w:rPr>
                <w:sz w:val="22"/>
              </w:rPr>
              <w:t>Hombres (12)</w:t>
            </w:r>
          </w:p>
        </w:tc>
        <w:tc>
          <w:tcPr>
            <w:tcW w:w="1140" w:type="dxa"/>
          </w:tcPr>
          <w:p>
            <w:pPr>
              <w:pStyle w:val="TableParagraph"/>
              <w:spacing w:line="268" w:lineRule="exact"/>
              <w:ind w:left="116" w:right="116"/>
              <w:rPr>
                <w:rFonts w:ascii="Calibri Light"/>
                <w:b w:val="0"/>
                <w:sz w:val="22"/>
              </w:rPr>
            </w:pPr>
            <w:r>
              <w:rPr>
                <w:sz w:val="22"/>
              </w:rPr>
              <w:t>2 </w:t>
            </w:r>
            <w:r>
              <w:rPr>
                <w:rFonts w:ascii="Calibri Light"/>
                <w:b w:val="0"/>
                <w:sz w:val="22"/>
              </w:rPr>
              <w:t>(16.6%)</w:t>
            </w:r>
          </w:p>
        </w:tc>
        <w:tc>
          <w:tcPr>
            <w:tcW w:w="1138" w:type="dxa"/>
            <w:shd w:val="clear" w:color="auto" w:fill="2D74B5"/>
          </w:tcPr>
          <w:p>
            <w:pPr>
              <w:pStyle w:val="TableParagraph"/>
              <w:spacing w:line="268" w:lineRule="exact"/>
              <w:ind w:left="134"/>
              <w:jc w:val="left"/>
              <w:rPr>
                <w:rFonts w:ascii="Calibri Light"/>
                <w:b w:val="0"/>
                <w:sz w:val="22"/>
              </w:rPr>
            </w:pPr>
            <w:r>
              <w:rPr>
                <w:sz w:val="22"/>
              </w:rPr>
              <w:t>7 </w:t>
            </w:r>
            <w:r>
              <w:rPr>
                <w:rFonts w:ascii="Calibri Light"/>
                <w:b w:val="0"/>
                <w:sz w:val="22"/>
              </w:rPr>
              <w:t>(58.3%)</w:t>
            </w:r>
          </w:p>
        </w:tc>
        <w:tc>
          <w:tcPr>
            <w:tcW w:w="1244" w:type="dxa"/>
          </w:tcPr>
          <w:p>
            <w:pPr>
              <w:pStyle w:val="TableParagraph"/>
              <w:spacing w:line="268" w:lineRule="exact"/>
              <w:ind w:left="82" w:right="82"/>
              <w:rPr>
                <w:rFonts w:ascii="Calibri Light"/>
                <w:b w:val="0"/>
                <w:sz w:val="22"/>
              </w:rPr>
            </w:pPr>
            <w:r>
              <w:rPr>
                <w:sz w:val="22"/>
              </w:rPr>
              <w:t>1 </w:t>
            </w:r>
            <w:r>
              <w:rPr>
                <w:rFonts w:ascii="Calibri Light"/>
                <w:b w:val="0"/>
                <w:sz w:val="22"/>
              </w:rPr>
              <w:t>(8%)</w:t>
            </w:r>
          </w:p>
        </w:tc>
        <w:tc>
          <w:tcPr>
            <w:tcW w:w="1368" w:type="dxa"/>
          </w:tcPr>
          <w:p>
            <w:pPr>
              <w:pStyle w:val="TableParagraph"/>
              <w:spacing w:line="268" w:lineRule="exact"/>
              <w:ind w:left="223" w:right="224"/>
              <w:rPr>
                <w:rFonts w:ascii="Calibri Light"/>
                <w:b w:val="0"/>
                <w:sz w:val="22"/>
              </w:rPr>
            </w:pPr>
            <w:r>
              <w:rPr>
                <w:sz w:val="22"/>
              </w:rPr>
              <w:t>2 </w:t>
            </w:r>
            <w:r>
              <w:rPr>
                <w:rFonts w:ascii="Calibri Light"/>
                <w:b w:val="0"/>
                <w:sz w:val="22"/>
              </w:rPr>
              <w:t>(16.6%)</w:t>
            </w:r>
          </w:p>
        </w:tc>
        <w:tc>
          <w:tcPr>
            <w:tcW w:w="1366" w:type="dxa"/>
          </w:tcPr>
          <w:p>
            <w:pPr>
              <w:pStyle w:val="TableParagraph"/>
              <w:spacing w:before="9"/>
              <w:ind w:right="2"/>
              <w:rPr>
                <w:sz w:val="22"/>
              </w:rPr>
            </w:pPr>
            <w:r>
              <w:rPr>
                <w:w w:val="100"/>
                <w:sz w:val="22"/>
              </w:rPr>
              <w:t>0</w:t>
            </w:r>
          </w:p>
        </w:tc>
      </w:tr>
    </w:tbl>
    <w:p>
      <w:pPr>
        <w:spacing w:line="227" w:lineRule="exact" w:before="0"/>
        <w:ind w:left="231" w:right="26" w:firstLine="0"/>
        <w:jc w:val="left"/>
        <w:rPr>
          <w:b/>
          <w:sz w:val="20"/>
        </w:rPr>
      </w:pPr>
      <w:r>
        <w:rPr>
          <w:b/>
          <w:sz w:val="20"/>
        </w:rPr>
        <w:t>Tabla 4.16. Profesor con alta reputación; respuestas en la totalidad de la población y por género</w:t>
      </w:r>
    </w:p>
    <w:p>
      <w:pPr>
        <w:pStyle w:val="BodyText"/>
        <w:spacing w:before="5"/>
        <w:rPr>
          <w:b/>
          <w:sz w:val="27"/>
        </w:rPr>
      </w:pPr>
    </w:p>
    <w:p>
      <w:pPr>
        <w:pStyle w:val="BodyText"/>
        <w:spacing w:line="360" w:lineRule="auto"/>
        <w:ind w:left="102" w:right="108" w:firstLine="707"/>
        <w:jc w:val="both"/>
      </w:pPr>
      <w:r>
        <w:rPr/>
        <w:t>En el análisis por grupo de edad el grupo con mayor número de respuestas favorables, de acuerdo con la tabla 4.17., es el grupo 3 con cinco de seis sujetos “de acuerdo” con la aseveración favorable ante el uso de anglicismos; seguidos del grupo 2, con tres de seis sujetos “muy de acuerdo” con el uso de anglicismos y uno “de</w:t>
      </w:r>
      <w:r>
        <w:rPr>
          <w:spacing w:val="-44"/>
        </w:rPr>
        <w:t> </w:t>
      </w:r>
      <w:r>
        <w:rPr/>
        <w:t>acuerdo”; el grupo 1 ocupa el tercer lugar con tres de seis sujetos “de acuerdo” y uno “muy de acuerdo”; finalmente, el grupo 4 muestra el mismo número de sujetos en las respuestas “muy de acuerdo”, “de acuerdo” y “en desacuerdo” como se puede observar en la tabla 3.23.), no obstante se puede apreciar una inclinación a favorecer la</w:t>
      </w:r>
      <w:r>
        <w:rPr>
          <w:spacing w:val="-23"/>
        </w:rPr>
        <w:t> </w:t>
      </w:r>
      <w:r>
        <w:rPr/>
        <w:t>aseveración.</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1"/>
        <w:gridCol w:w="1150"/>
        <w:gridCol w:w="1121"/>
        <w:gridCol w:w="1244"/>
        <w:gridCol w:w="1368"/>
        <w:gridCol w:w="1366"/>
      </w:tblGrid>
      <w:tr>
        <w:trPr>
          <w:trHeight w:val="406"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6</w:t>
            </w:r>
          </w:p>
        </w:tc>
        <w:tc>
          <w:tcPr>
            <w:tcW w:w="1721" w:type="dxa"/>
            <w:vMerge w:val="restart"/>
          </w:tcPr>
          <w:p>
            <w:pPr>
              <w:pStyle w:val="TableParagraph"/>
              <w:spacing w:line="357" w:lineRule="auto" w:before="12"/>
              <w:ind w:left="218" w:right="220" w:firstLine="5"/>
              <w:rPr>
                <w:b/>
                <w:sz w:val="22"/>
              </w:rPr>
            </w:pPr>
            <w:r>
              <w:rPr>
                <w:sz w:val="22"/>
              </w:rPr>
              <w:t>Tipo de Aseveración: </w:t>
            </w:r>
            <w:r>
              <w:rPr>
                <w:b/>
                <w:sz w:val="22"/>
              </w:rPr>
              <w:t>Favorable</w:t>
            </w:r>
          </w:p>
        </w:tc>
        <w:tc>
          <w:tcPr>
            <w:tcW w:w="6249" w:type="dxa"/>
            <w:gridSpan w:val="5"/>
          </w:tcPr>
          <w:p>
            <w:pPr>
              <w:pStyle w:val="TableParagraph"/>
              <w:spacing w:before="7"/>
              <w:ind w:left="2517" w:right="2517"/>
              <w:rPr>
                <w:sz w:val="22"/>
              </w:rPr>
            </w:pPr>
            <w:r>
              <w:rPr>
                <w:sz w:val="22"/>
              </w:rPr>
              <w:t>Respuestas</w:t>
            </w:r>
          </w:p>
        </w:tc>
      </w:tr>
      <w:tr>
        <w:trPr>
          <w:trHeight w:val="770" w:hRule="exact"/>
        </w:trPr>
        <w:tc>
          <w:tcPr>
            <w:tcW w:w="1428" w:type="dxa"/>
            <w:gridSpan w:val="2"/>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9"/>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1 (6)</w:t>
            </w:r>
          </w:p>
        </w:tc>
        <w:tc>
          <w:tcPr>
            <w:tcW w:w="1150" w:type="dxa"/>
            <w:tcBorders>
              <w:right w:val="single" w:sz="41" w:space="0" w:color="2D74B5"/>
            </w:tcBorders>
          </w:tcPr>
          <w:p>
            <w:pPr>
              <w:pStyle w:val="TableParagraph"/>
              <w:spacing w:line="265" w:lineRule="exact"/>
              <w:ind w:left="117" w:right="75"/>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5" w:lineRule="exact"/>
              <w:ind w:left="85" w:right="87"/>
              <w:rPr>
                <w:rFonts w:ascii="Calibri Light"/>
                <w:b w:val="0"/>
                <w:sz w:val="22"/>
              </w:rPr>
            </w:pPr>
            <w:r>
              <w:rPr>
                <w:sz w:val="22"/>
              </w:rPr>
              <w:t>3 </w:t>
            </w:r>
            <w:r>
              <w:rPr>
                <w:rFonts w:ascii="Calibri Light"/>
                <w:b w:val="0"/>
                <w:sz w:val="22"/>
              </w:rPr>
              <w:t>(50%)</w:t>
            </w:r>
          </w:p>
        </w:tc>
        <w:tc>
          <w:tcPr>
            <w:tcW w:w="1244" w:type="dxa"/>
            <w:tcBorders>
              <w:left w:val="single" w:sz="45" w:space="0" w:color="2D74B5"/>
            </w:tcBorders>
          </w:tcPr>
          <w:p>
            <w:pPr>
              <w:pStyle w:val="TableParagraph"/>
              <w:spacing w:line="265" w:lineRule="exact"/>
              <w:ind w:left="110" w:right="161"/>
              <w:rPr>
                <w:rFonts w:ascii="Calibri Light"/>
                <w:b w:val="0"/>
                <w:sz w:val="22"/>
              </w:rPr>
            </w:pPr>
            <w:r>
              <w:rPr>
                <w:sz w:val="22"/>
              </w:rPr>
              <w:t>1 </w:t>
            </w:r>
            <w:r>
              <w:rPr>
                <w:rFonts w:ascii="Calibri Light"/>
                <w:b w:val="0"/>
                <w:sz w:val="22"/>
              </w:rPr>
              <w:t>(16%)</w:t>
            </w:r>
          </w:p>
        </w:tc>
        <w:tc>
          <w:tcPr>
            <w:tcW w:w="1368" w:type="dxa"/>
          </w:tcPr>
          <w:p>
            <w:pPr>
              <w:pStyle w:val="TableParagraph"/>
              <w:spacing w:before="9"/>
              <w:rPr>
                <w:sz w:val="22"/>
              </w:rPr>
            </w:pPr>
            <w:r>
              <w:rPr>
                <w:w w:val="100"/>
                <w:sz w:val="22"/>
              </w:rPr>
              <w:t>0</w:t>
            </w:r>
          </w:p>
        </w:tc>
        <w:tc>
          <w:tcPr>
            <w:tcW w:w="1366" w:type="dxa"/>
          </w:tcPr>
          <w:p>
            <w:pPr>
              <w:pStyle w:val="TableParagraph"/>
              <w:spacing w:line="265" w:lineRule="exact"/>
              <w:ind w:left="226" w:right="228"/>
              <w:rPr>
                <w:rFonts w:ascii="Calibri Light"/>
                <w:b w:val="0"/>
                <w:sz w:val="22"/>
              </w:rPr>
            </w:pPr>
            <w:r>
              <w:rPr>
                <w:sz w:val="22"/>
              </w:rPr>
              <w:t>1 </w:t>
            </w:r>
            <w:r>
              <w:rPr>
                <w:rFonts w:ascii="Calibri Light"/>
                <w:b w:val="0"/>
                <w:sz w:val="22"/>
              </w:rPr>
              <w:t>(16%)</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right w:val="single" w:sz="45" w:space="0" w:color="2D74B5"/>
            </w:tcBorders>
          </w:tcPr>
          <w:p>
            <w:pPr>
              <w:pStyle w:val="TableParagraph"/>
              <w:spacing w:before="9"/>
              <w:ind w:left="60"/>
              <w:jc w:val="left"/>
              <w:rPr>
                <w:sz w:val="22"/>
              </w:rPr>
            </w:pPr>
            <w:r>
              <w:rPr>
                <w:sz w:val="22"/>
              </w:rPr>
              <w:t>de edad 2 (6)</w:t>
            </w:r>
          </w:p>
        </w:tc>
        <w:tc>
          <w:tcPr>
            <w:tcW w:w="1150" w:type="dxa"/>
            <w:shd w:val="clear" w:color="auto" w:fill="2D74B5"/>
          </w:tcPr>
          <w:p>
            <w:pPr>
              <w:pStyle w:val="TableParagraph"/>
              <w:spacing w:line="265" w:lineRule="exact"/>
              <w:ind w:left="118" w:right="120"/>
              <w:rPr>
                <w:rFonts w:ascii="Calibri Light"/>
                <w:b w:val="0"/>
                <w:sz w:val="22"/>
              </w:rPr>
            </w:pPr>
            <w:r>
              <w:rPr>
                <w:sz w:val="22"/>
              </w:rPr>
              <w:t>3 </w:t>
            </w:r>
            <w:r>
              <w:rPr>
                <w:rFonts w:ascii="Calibri Light"/>
                <w:b w:val="0"/>
                <w:sz w:val="22"/>
              </w:rPr>
              <w:t>(50%)</w:t>
            </w:r>
          </w:p>
        </w:tc>
        <w:tc>
          <w:tcPr>
            <w:tcW w:w="1121" w:type="dxa"/>
            <w:tcBorders>
              <w:left w:val="thickThinMediumGap" w:sz="23" w:space="0" w:color="2D74B5"/>
            </w:tcBorders>
          </w:tcPr>
          <w:p>
            <w:pPr>
              <w:pStyle w:val="TableParagraph"/>
              <w:spacing w:line="265" w:lineRule="exact"/>
              <w:ind w:left="134" w:right="189"/>
              <w:rPr>
                <w:rFonts w:ascii="Calibri Light"/>
                <w:b w:val="0"/>
                <w:sz w:val="22"/>
              </w:rPr>
            </w:pPr>
            <w:r>
              <w:rPr>
                <w:sz w:val="22"/>
              </w:rPr>
              <w:t>1 </w:t>
            </w:r>
            <w:r>
              <w:rPr>
                <w:rFonts w:ascii="Calibri Light"/>
                <w:b w:val="0"/>
                <w:sz w:val="22"/>
              </w:rPr>
              <w:t>(16%)</w:t>
            </w:r>
          </w:p>
        </w:tc>
        <w:tc>
          <w:tcPr>
            <w:tcW w:w="1244" w:type="dxa"/>
          </w:tcPr>
          <w:p>
            <w:pPr>
              <w:pStyle w:val="TableParagraph"/>
              <w:spacing w:before="9"/>
              <w:rPr>
                <w:sz w:val="22"/>
              </w:rPr>
            </w:pPr>
            <w:r>
              <w:rPr>
                <w:w w:val="100"/>
                <w:sz w:val="22"/>
              </w:rPr>
              <w:t>0</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3 (6)</w:t>
            </w:r>
          </w:p>
        </w:tc>
        <w:tc>
          <w:tcPr>
            <w:tcW w:w="1150" w:type="dxa"/>
          </w:tcPr>
          <w:p>
            <w:pPr>
              <w:pStyle w:val="TableParagraph"/>
              <w:spacing w:before="9"/>
              <w:ind w:right="2"/>
              <w:rPr>
                <w:sz w:val="22"/>
              </w:rPr>
            </w:pPr>
            <w:r>
              <w:rPr>
                <w:w w:val="100"/>
                <w:sz w:val="22"/>
              </w:rPr>
              <w:t>0</w:t>
            </w:r>
          </w:p>
        </w:tc>
        <w:tc>
          <w:tcPr>
            <w:tcW w:w="1121" w:type="dxa"/>
            <w:shd w:val="clear" w:color="auto" w:fill="2D74B5"/>
          </w:tcPr>
          <w:p>
            <w:pPr>
              <w:pStyle w:val="TableParagraph"/>
              <w:spacing w:before="9"/>
              <w:ind w:right="2"/>
              <w:rPr>
                <w:sz w:val="22"/>
              </w:rPr>
            </w:pPr>
            <w:r>
              <w:rPr>
                <w:w w:val="100"/>
                <w:sz w:val="22"/>
              </w:rPr>
              <w:t>5</w:t>
            </w:r>
          </w:p>
        </w:tc>
        <w:tc>
          <w:tcPr>
            <w:tcW w:w="1244" w:type="dxa"/>
          </w:tcPr>
          <w:p>
            <w:pPr>
              <w:pStyle w:val="TableParagraph"/>
              <w:spacing w:before="9"/>
              <w:rPr>
                <w:sz w:val="22"/>
              </w:rPr>
            </w:pPr>
            <w:r>
              <w:rPr>
                <w:w w:val="100"/>
                <w:sz w:val="22"/>
              </w:rPr>
              <w:t>0</w:t>
            </w:r>
          </w:p>
        </w:tc>
        <w:tc>
          <w:tcPr>
            <w:tcW w:w="1368" w:type="dxa"/>
          </w:tcPr>
          <w:p>
            <w:pPr>
              <w:pStyle w:val="TableParagraph"/>
              <w:spacing w:line="265" w:lineRule="exact"/>
              <w:ind w:left="223" w:right="224"/>
              <w:rPr>
                <w:rFonts w:ascii="Calibri Light"/>
                <w:b w:val="0"/>
                <w:sz w:val="22"/>
              </w:rPr>
            </w:pPr>
            <w:r>
              <w:rPr>
                <w:sz w:val="22"/>
              </w:rPr>
              <w:t>1 </w:t>
            </w:r>
            <w:r>
              <w:rPr>
                <w:rFonts w:ascii="Calibri Light"/>
                <w:b w:val="0"/>
                <w:sz w:val="22"/>
              </w:rPr>
              <w:t>(16%)</w:t>
            </w:r>
          </w:p>
        </w:tc>
        <w:tc>
          <w:tcPr>
            <w:tcW w:w="1366"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right w:val="single" w:sz="45" w:space="0" w:color="9CC2E4"/>
            </w:tcBorders>
          </w:tcPr>
          <w:p>
            <w:pPr>
              <w:pStyle w:val="TableParagraph"/>
              <w:spacing w:before="9"/>
              <w:ind w:left="60"/>
              <w:jc w:val="left"/>
              <w:rPr>
                <w:sz w:val="22"/>
              </w:rPr>
            </w:pPr>
            <w:r>
              <w:rPr>
                <w:sz w:val="22"/>
              </w:rPr>
              <w:t>de edad 4 (6)</w:t>
            </w:r>
          </w:p>
        </w:tc>
        <w:tc>
          <w:tcPr>
            <w:tcW w:w="1150" w:type="dxa"/>
            <w:shd w:val="clear" w:color="auto" w:fill="9CC2E4"/>
          </w:tcPr>
          <w:p>
            <w:pPr>
              <w:pStyle w:val="TableParagraph"/>
              <w:spacing w:line="265" w:lineRule="exact"/>
              <w:ind w:left="120" w:right="120"/>
              <w:rPr>
                <w:rFonts w:ascii="Calibri Light"/>
                <w:b w:val="0"/>
                <w:sz w:val="22"/>
              </w:rPr>
            </w:pPr>
            <w:r>
              <w:rPr>
                <w:sz w:val="22"/>
              </w:rPr>
              <w:t>2 </w:t>
            </w:r>
            <w:r>
              <w:rPr>
                <w:rFonts w:ascii="Calibri Light"/>
                <w:b w:val="0"/>
                <w:sz w:val="22"/>
              </w:rPr>
              <w:t>(33.3%)</w:t>
            </w:r>
          </w:p>
        </w:tc>
        <w:tc>
          <w:tcPr>
            <w:tcW w:w="1121" w:type="dxa"/>
            <w:shd w:val="clear" w:color="auto" w:fill="9CC2E4"/>
          </w:tcPr>
          <w:p>
            <w:pPr>
              <w:pStyle w:val="TableParagraph"/>
              <w:spacing w:line="265" w:lineRule="exact"/>
              <w:ind w:left="85" w:right="86"/>
              <w:rPr>
                <w:rFonts w:ascii="Calibri Light"/>
                <w:b w:val="0"/>
                <w:sz w:val="22"/>
              </w:rPr>
            </w:pPr>
            <w:r>
              <w:rPr>
                <w:sz w:val="22"/>
              </w:rPr>
              <w:t>2 </w:t>
            </w:r>
            <w:r>
              <w:rPr>
                <w:rFonts w:ascii="Calibri Light"/>
                <w:b w:val="0"/>
                <w:sz w:val="22"/>
              </w:rPr>
              <w:t>(33.3%)</w:t>
            </w:r>
          </w:p>
        </w:tc>
        <w:tc>
          <w:tcPr>
            <w:tcW w:w="1244" w:type="dxa"/>
            <w:tcBorders>
              <w:left w:val="single" w:sz="45" w:space="0" w:color="9CC2E4"/>
              <w:right w:val="single" w:sz="41" w:space="0" w:color="9CC2E4"/>
            </w:tcBorders>
          </w:tcPr>
          <w:p>
            <w:pPr>
              <w:pStyle w:val="TableParagraph"/>
              <w:spacing w:before="9"/>
              <w:ind w:right="5"/>
              <w:rPr>
                <w:sz w:val="22"/>
              </w:rPr>
            </w:pPr>
            <w:r>
              <w:rPr>
                <w:w w:val="100"/>
                <w:sz w:val="22"/>
              </w:rPr>
              <w:t>0</w:t>
            </w:r>
          </w:p>
        </w:tc>
        <w:tc>
          <w:tcPr>
            <w:tcW w:w="1368" w:type="dxa"/>
            <w:shd w:val="clear" w:color="auto" w:fill="9CC2E4"/>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Borders>
              <w:left w:val="thickThinMediumGap" w:sz="23" w:space="0" w:color="9CC2E4"/>
            </w:tcBorders>
          </w:tcPr>
          <w:p>
            <w:pPr>
              <w:pStyle w:val="TableParagraph"/>
              <w:spacing w:before="9"/>
              <w:ind w:right="55"/>
              <w:rPr>
                <w:sz w:val="22"/>
              </w:rPr>
            </w:pPr>
            <w:r>
              <w:rPr>
                <w:w w:val="100"/>
                <w:sz w:val="22"/>
              </w:rPr>
              <w:t>0</w:t>
            </w:r>
          </w:p>
        </w:tc>
      </w:tr>
    </w:tbl>
    <w:p>
      <w:pPr>
        <w:spacing w:line="227" w:lineRule="exact" w:before="0"/>
        <w:ind w:left="1414" w:right="339" w:firstLine="0"/>
        <w:jc w:val="left"/>
        <w:rPr>
          <w:b/>
          <w:sz w:val="20"/>
        </w:rPr>
      </w:pPr>
      <w:r>
        <w:rPr>
          <w:b/>
          <w:sz w:val="20"/>
        </w:rPr>
        <w:t>Tabla 4.17. Profesor con alta reputación; respuestas por grupo de edad</w:t>
      </w:r>
    </w:p>
    <w:p>
      <w:pPr>
        <w:pStyle w:val="BodyText"/>
        <w:spacing w:before="5"/>
        <w:rPr>
          <w:b/>
          <w:sz w:val="27"/>
        </w:rPr>
      </w:pPr>
    </w:p>
    <w:p>
      <w:pPr>
        <w:pStyle w:val="BodyText"/>
        <w:spacing w:line="360" w:lineRule="auto"/>
        <w:ind w:left="102" w:right="116" w:firstLine="707"/>
        <w:jc w:val="both"/>
      </w:pPr>
      <w:r>
        <w:rPr/>
        <w:t>Para concluir el análisis de la aseveración 6, el nivel de estudios que muestra mayor aceptación de la aseveración es el nivel superior que muestra un 50% de respuestas “de acuerdo” y un 25% “muy de acuerdo”; le sucede el nivel medio </w:t>
      </w:r>
      <w:r>
        <w:rPr>
          <w:spacing w:val="51"/>
        </w:rPr>
        <w:t> </w:t>
      </w:r>
      <w:r>
        <w:rPr/>
        <w:t>superior</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13"/>
        <w:jc w:val="both"/>
      </w:pPr>
      <w:r>
        <w:rPr/>
        <w:t>con</w:t>
      </w:r>
      <w:r>
        <w:rPr>
          <w:spacing w:val="-4"/>
        </w:rPr>
        <w:t> </w:t>
      </w:r>
      <w:r>
        <w:rPr/>
        <w:t>tres</w:t>
      </w:r>
      <w:r>
        <w:rPr>
          <w:spacing w:val="-7"/>
        </w:rPr>
        <w:t> </w:t>
      </w:r>
      <w:r>
        <w:rPr/>
        <w:t>de</w:t>
      </w:r>
      <w:r>
        <w:rPr>
          <w:spacing w:val="-6"/>
        </w:rPr>
        <w:t> </w:t>
      </w:r>
      <w:r>
        <w:rPr/>
        <w:t>ocho</w:t>
      </w:r>
      <w:r>
        <w:rPr>
          <w:spacing w:val="-4"/>
        </w:rPr>
        <w:t> </w:t>
      </w:r>
      <w:r>
        <w:rPr/>
        <w:t>respuestas</w:t>
      </w:r>
      <w:r>
        <w:rPr>
          <w:spacing w:val="-4"/>
        </w:rPr>
        <w:t> </w:t>
      </w:r>
      <w:r>
        <w:rPr/>
        <w:t>“muy</w:t>
      </w:r>
      <w:r>
        <w:rPr>
          <w:spacing w:val="-7"/>
        </w:rPr>
        <w:t> </w:t>
      </w:r>
      <w:r>
        <w:rPr/>
        <w:t>de</w:t>
      </w:r>
      <w:r>
        <w:rPr>
          <w:spacing w:val="-6"/>
        </w:rPr>
        <w:t> </w:t>
      </w:r>
      <w:r>
        <w:rPr/>
        <w:t>acuerdo”</w:t>
      </w:r>
      <w:r>
        <w:rPr>
          <w:spacing w:val="-5"/>
        </w:rPr>
        <w:t> </w:t>
      </w:r>
      <w:r>
        <w:rPr/>
        <w:t>y</w:t>
      </w:r>
      <w:r>
        <w:rPr>
          <w:spacing w:val="-7"/>
        </w:rPr>
        <w:t> </w:t>
      </w:r>
      <w:r>
        <w:rPr/>
        <w:t>otras</w:t>
      </w:r>
      <w:r>
        <w:rPr>
          <w:spacing w:val="-4"/>
        </w:rPr>
        <w:t> </w:t>
      </w:r>
      <w:r>
        <w:rPr/>
        <w:t>tres</w:t>
      </w:r>
      <w:r>
        <w:rPr>
          <w:spacing w:val="-4"/>
        </w:rPr>
        <w:t> </w:t>
      </w:r>
      <w:r>
        <w:rPr/>
        <w:t>de</w:t>
      </w:r>
      <w:r>
        <w:rPr>
          <w:spacing w:val="-6"/>
        </w:rPr>
        <w:t> </w:t>
      </w:r>
      <w:r>
        <w:rPr/>
        <w:t>ocho</w:t>
      </w:r>
      <w:r>
        <w:rPr>
          <w:spacing w:val="-4"/>
        </w:rPr>
        <w:t> </w:t>
      </w:r>
      <w:r>
        <w:rPr/>
        <w:t>“de</w:t>
      </w:r>
      <w:r>
        <w:rPr>
          <w:spacing w:val="-4"/>
        </w:rPr>
        <w:t> </w:t>
      </w:r>
      <w:r>
        <w:rPr/>
        <w:t>acuerdo”,</w:t>
      </w:r>
      <w:r>
        <w:rPr>
          <w:spacing w:val="-5"/>
        </w:rPr>
        <w:t> </w:t>
      </w:r>
      <w:r>
        <w:rPr/>
        <w:t>el</w:t>
      </w:r>
      <w:r>
        <w:rPr>
          <w:spacing w:val="-7"/>
        </w:rPr>
        <w:t> </w:t>
      </w:r>
      <w:r>
        <w:rPr/>
        <w:t>nivel básico presenta una ligera inclinación a favorecer la aseveración con un 50% de respuestas “de acuerdo” y un 12.5% “muy de acuerdo” (Ver tabla</w:t>
      </w:r>
      <w:r>
        <w:rPr>
          <w:spacing w:val="-22"/>
        </w:rPr>
        <w:t> </w:t>
      </w:r>
      <w:r>
        <w:rPr/>
        <w:t>4.18).</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6" w:hRule="exact"/>
        </w:trPr>
        <w:tc>
          <w:tcPr>
            <w:tcW w:w="1428" w:type="dxa"/>
            <w:vMerge w:val="restart"/>
          </w:tcPr>
          <w:p>
            <w:pPr>
              <w:pStyle w:val="TableParagraph"/>
              <w:spacing w:before="3"/>
              <w:jc w:val="left"/>
              <w:rPr>
                <w:sz w:val="17"/>
              </w:rPr>
            </w:pPr>
          </w:p>
          <w:p>
            <w:pPr>
              <w:pStyle w:val="TableParagraph"/>
              <w:ind w:left="82" w:right="83"/>
              <w:rPr>
                <w:sz w:val="22"/>
              </w:rPr>
            </w:pPr>
            <w:r>
              <w:rPr>
                <w:sz w:val="22"/>
              </w:rPr>
              <w:t>Aseveración</w:t>
            </w:r>
          </w:p>
          <w:p>
            <w:pPr>
              <w:pStyle w:val="TableParagraph"/>
              <w:spacing w:before="126"/>
              <w:rPr>
                <w:b/>
                <w:sz w:val="22"/>
              </w:rPr>
            </w:pPr>
            <w:r>
              <w:rPr>
                <w:b/>
                <w:w w:val="100"/>
                <w:sz w:val="22"/>
              </w:rPr>
              <w:t>6</w:t>
            </w:r>
          </w:p>
        </w:tc>
        <w:tc>
          <w:tcPr>
            <w:tcW w:w="1724" w:type="dxa"/>
            <w:vMerge w:val="restart"/>
          </w:tcPr>
          <w:p>
            <w:pPr>
              <w:pStyle w:val="TableParagraph"/>
              <w:spacing w:line="360" w:lineRule="auto" w:before="9"/>
              <w:ind w:left="218" w:right="222" w:firstLine="5"/>
              <w:rPr>
                <w:b/>
                <w:sz w:val="22"/>
              </w:rPr>
            </w:pPr>
            <w:r>
              <w:rPr>
                <w:sz w:val="22"/>
              </w:rPr>
              <w:t>Tipo de Aseveración: </w:t>
            </w:r>
            <w:r>
              <w:rPr>
                <w:b/>
                <w:sz w:val="22"/>
              </w:rPr>
              <w:t>Favorable</w:t>
            </w:r>
          </w:p>
        </w:tc>
        <w:tc>
          <w:tcPr>
            <w:tcW w:w="6246" w:type="dxa"/>
            <w:gridSpan w:val="5"/>
          </w:tcPr>
          <w:p>
            <w:pPr>
              <w:pStyle w:val="TableParagraph"/>
              <w:spacing w:before="5"/>
              <w:ind w:left="2516" w:right="2516"/>
              <w:rPr>
                <w:sz w:val="22"/>
              </w:rPr>
            </w:pPr>
            <w:r>
              <w:rPr>
                <w:sz w:val="22"/>
              </w:rPr>
              <w:t>Respuestas</w:t>
            </w:r>
          </w:p>
        </w:tc>
      </w:tr>
      <w:tr>
        <w:trPr>
          <w:trHeight w:val="770"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Pr>
          <w:p>
            <w:pPr>
              <w:pStyle w:val="TableParagraph"/>
              <w:spacing w:before="9"/>
              <w:ind w:left="799"/>
              <w:jc w:val="left"/>
              <w:rPr>
                <w:sz w:val="22"/>
              </w:rPr>
            </w:pPr>
            <w:r>
              <w:rPr>
                <w:sz w:val="22"/>
              </w:rPr>
              <w:t>Nivel Básico (8)</w:t>
            </w:r>
          </w:p>
        </w:tc>
        <w:tc>
          <w:tcPr>
            <w:tcW w:w="1148" w:type="dxa"/>
            <w:tcBorders>
              <w:right w:val="single" w:sz="41" w:space="0" w:color="2D74B5"/>
            </w:tcBorders>
          </w:tcPr>
          <w:p>
            <w:pPr>
              <w:pStyle w:val="TableParagraph"/>
              <w:spacing w:line="265" w:lineRule="exact"/>
              <w:ind w:left="117" w:right="75"/>
              <w:rPr>
                <w:rFonts w:ascii="Calibri Light"/>
                <w:b w:val="0"/>
                <w:sz w:val="22"/>
              </w:rPr>
            </w:pPr>
            <w:r>
              <w:rPr>
                <w:sz w:val="22"/>
              </w:rPr>
              <w:t>1 </w:t>
            </w:r>
            <w:r>
              <w:rPr>
                <w:rFonts w:ascii="Calibri Light"/>
                <w:b w:val="0"/>
                <w:sz w:val="22"/>
              </w:rPr>
              <w:t>(12.5%)</w:t>
            </w:r>
          </w:p>
        </w:tc>
        <w:tc>
          <w:tcPr>
            <w:tcW w:w="1121" w:type="dxa"/>
            <w:shd w:val="clear" w:color="auto" w:fill="2D74B5"/>
          </w:tcPr>
          <w:p>
            <w:pPr>
              <w:pStyle w:val="TableParagraph"/>
              <w:spacing w:line="265" w:lineRule="exact"/>
              <w:ind w:left="85" w:right="85"/>
              <w:rPr>
                <w:rFonts w:ascii="Calibri Light"/>
                <w:b w:val="0"/>
                <w:sz w:val="22"/>
              </w:rPr>
            </w:pPr>
            <w:r>
              <w:rPr>
                <w:sz w:val="22"/>
              </w:rPr>
              <w:t>4 </w:t>
            </w:r>
            <w:r>
              <w:rPr>
                <w:rFonts w:ascii="Calibri Light"/>
                <w:b w:val="0"/>
                <w:sz w:val="22"/>
              </w:rPr>
              <w:t>(50%)</w:t>
            </w:r>
          </w:p>
        </w:tc>
        <w:tc>
          <w:tcPr>
            <w:tcW w:w="1244" w:type="dxa"/>
            <w:tcBorders>
              <w:left w:val="single" w:sz="45" w:space="0" w:color="2D74B5"/>
            </w:tcBorders>
          </w:tcPr>
          <w:p>
            <w:pPr>
              <w:pStyle w:val="TableParagraph"/>
              <w:spacing w:before="9"/>
              <w:ind w:right="52"/>
              <w:rPr>
                <w:sz w:val="22"/>
              </w:rPr>
            </w:pPr>
            <w:r>
              <w:rPr>
                <w:w w:val="100"/>
                <w:sz w:val="22"/>
              </w:rPr>
              <w:t>0</w:t>
            </w:r>
          </w:p>
        </w:tc>
        <w:tc>
          <w:tcPr>
            <w:tcW w:w="1368" w:type="dxa"/>
          </w:tcPr>
          <w:p>
            <w:pPr>
              <w:pStyle w:val="TableParagraph"/>
              <w:spacing w:line="265" w:lineRule="exact"/>
              <w:ind w:left="223" w:right="224"/>
              <w:rPr>
                <w:rFonts w:ascii="Calibri Light"/>
                <w:b w:val="0"/>
                <w:sz w:val="22"/>
              </w:rPr>
            </w:pPr>
            <w:r>
              <w:rPr>
                <w:sz w:val="22"/>
              </w:rPr>
              <w:t>2 </w:t>
            </w:r>
            <w:r>
              <w:rPr>
                <w:rFonts w:ascii="Calibri Light"/>
                <w:b w:val="0"/>
                <w:sz w:val="22"/>
              </w:rPr>
              <w:t>(25%)</w:t>
            </w:r>
          </w:p>
        </w:tc>
        <w:tc>
          <w:tcPr>
            <w:tcW w:w="1366" w:type="dxa"/>
          </w:tcPr>
          <w:p>
            <w:pPr>
              <w:pStyle w:val="TableParagraph"/>
              <w:spacing w:line="265" w:lineRule="exact"/>
              <w:ind w:left="226" w:right="230"/>
              <w:rPr>
                <w:rFonts w:ascii="Calibri Light"/>
                <w:b w:val="0"/>
                <w:sz w:val="22"/>
              </w:rPr>
            </w:pPr>
            <w:r>
              <w:rPr>
                <w:sz w:val="22"/>
              </w:rPr>
              <w:t>1 </w:t>
            </w:r>
            <w:r>
              <w:rPr>
                <w:rFonts w:ascii="Calibri Light"/>
                <w:b w:val="0"/>
                <w:sz w:val="22"/>
              </w:rPr>
              <w:t>(12.5%)</w:t>
            </w:r>
          </w:p>
        </w:tc>
      </w:tr>
      <w:tr>
        <w:trPr>
          <w:trHeight w:val="413" w:hRule="exact"/>
        </w:trPr>
        <w:tc>
          <w:tcPr>
            <w:tcW w:w="3152" w:type="dxa"/>
            <w:gridSpan w:val="2"/>
            <w:tcBorders>
              <w:right w:val="single" w:sz="41" w:space="0" w:color="9CC2E4"/>
            </w:tcBorders>
          </w:tcPr>
          <w:p>
            <w:pPr>
              <w:pStyle w:val="TableParagraph"/>
              <w:spacing w:before="9"/>
              <w:ind w:left="383"/>
              <w:jc w:val="left"/>
              <w:rPr>
                <w:sz w:val="22"/>
              </w:rPr>
            </w:pPr>
            <w:r>
              <w:rPr>
                <w:sz w:val="22"/>
              </w:rPr>
              <w:t>Nivel Medio Superior (8)</w:t>
            </w:r>
          </w:p>
        </w:tc>
        <w:tc>
          <w:tcPr>
            <w:tcW w:w="1148" w:type="dxa"/>
            <w:shd w:val="clear" w:color="auto" w:fill="9CC2E4"/>
          </w:tcPr>
          <w:p>
            <w:pPr>
              <w:pStyle w:val="TableParagraph"/>
              <w:spacing w:line="265" w:lineRule="exact"/>
              <w:ind w:left="117" w:right="119"/>
              <w:rPr>
                <w:rFonts w:ascii="Calibri Light"/>
                <w:b w:val="0"/>
                <w:sz w:val="22"/>
              </w:rPr>
            </w:pPr>
            <w:r>
              <w:rPr>
                <w:sz w:val="22"/>
              </w:rPr>
              <w:t>3 </w:t>
            </w:r>
            <w:r>
              <w:rPr>
                <w:rFonts w:ascii="Calibri Light"/>
                <w:b w:val="0"/>
                <w:sz w:val="22"/>
              </w:rPr>
              <w:t>(37.5%)</w:t>
            </w:r>
          </w:p>
        </w:tc>
        <w:tc>
          <w:tcPr>
            <w:tcW w:w="1121" w:type="dxa"/>
            <w:shd w:val="clear" w:color="auto" w:fill="9CC2E4"/>
          </w:tcPr>
          <w:p>
            <w:pPr>
              <w:pStyle w:val="TableParagraph"/>
              <w:spacing w:line="265" w:lineRule="exact"/>
              <w:ind w:left="85" w:right="86"/>
              <w:rPr>
                <w:rFonts w:ascii="Calibri Light"/>
                <w:b w:val="0"/>
                <w:sz w:val="22"/>
              </w:rPr>
            </w:pPr>
            <w:r>
              <w:rPr>
                <w:sz w:val="22"/>
              </w:rPr>
              <w:t>3 </w:t>
            </w:r>
            <w:r>
              <w:rPr>
                <w:rFonts w:ascii="Calibri Light"/>
                <w:b w:val="0"/>
                <w:sz w:val="22"/>
              </w:rPr>
              <w:t>(37.5%)</w:t>
            </w:r>
          </w:p>
        </w:tc>
        <w:tc>
          <w:tcPr>
            <w:tcW w:w="1244" w:type="dxa"/>
            <w:tcBorders>
              <w:left w:val="single" w:sz="45" w:space="0" w:color="9CC2E4"/>
            </w:tcBorders>
          </w:tcPr>
          <w:p>
            <w:pPr>
              <w:pStyle w:val="TableParagraph"/>
              <w:spacing w:before="9"/>
              <w:ind w:right="52"/>
              <w:rPr>
                <w:sz w:val="22"/>
              </w:rPr>
            </w:pPr>
            <w:r>
              <w:rPr>
                <w:w w:val="100"/>
                <w:sz w:val="22"/>
              </w:rPr>
              <w:t>0</w:t>
            </w:r>
          </w:p>
        </w:tc>
        <w:tc>
          <w:tcPr>
            <w:tcW w:w="1368" w:type="dxa"/>
          </w:tcPr>
          <w:p>
            <w:pPr>
              <w:pStyle w:val="TableParagraph"/>
              <w:spacing w:line="265" w:lineRule="exact"/>
              <w:ind w:left="223" w:right="224"/>
              <w:rPr>
                <w:rFonts w:ascii="Calibri Light"/>
                <w:b w:val="0"/>
                <w:sz w:val="22"/>
              </w:rPr>
            </w:pPr>
            <w:r>
              <w:rPr>
                <w:sz w:val="22"/>
              </w:rPr>
              <w:t>2 </w:t>
            </w:r>
            <w:r>
              <w:rPr>
                <w:rFonts w:ascii="Calibri Light"/>
                <w:b w:val="0"/>
                <w:sz w:val="22"/>
              </w:rPr>
              <w:t>(25%)</w:t>
            </w:r>
          </w:p>
        </w:tc>
        <w:tc>
          <w:tcPr>
            <w:tcW w:w="1366" w:type="dxa"/>
          </w:tcPr>
          <w:p>
            <w:pPr>
              <w:pStyle w:val="TableParagraph"/>
              <w:spacing w:before="9"/>
              <w:ind w:right="2"/>
              <w:rPr>
                <w:sz w:val="22"/>
              </w:rPr>
            </w:pPr>
            <w:r>
              <w:rPr>
                <w:w w:val="100"/>
                <w:sz w:val="22"/>
              </w:rPr>
              <w:t>0</w:t>
            </w:r>
          </w:p>
        </w:tc>
      </w:tr>
      <w:tr>
        <w:trPr>
          <w:trHeight w:val="413" w:hRule="exact"/>
        </w:trPr>
        <w:tc>
          <w:tcPr>
            <w:tcW w:w="3152" w:type="dxa"/>
            <w:gridSpan w:val="2"/>
          </w:tcPr>
          <w:p>
            <w:pPr>
              <w:pStyle w:val="TableParagraph"/>
              <w:spacing w:before="10"/>
              <w:ind w:left="712"/>
              <w:jc w:val="left"/>
              <w:rPr>
                <w:sz w:val="22"/>
              </w:rPr>
            </w:pPr>
            <w:r>
              <w:rPr>
                <w:sz w:val="22"/>
              </w:rPr>
              <w:t>Nivel Superior (8)</w:t>
            </w:r>
          </w:p>
        </w:tc>
        <w:tc>
          <w:tcPr>
            <w:tcW w:w="1148" w:type="dxa"/>
            <w:tcBorders>
              <w:right w:val="single" w:sz="41" w:space="0" w:color="2D74B5"/>
            </w:tcBorders>
          </w:tcPr>
          <w:p>
            <w:pPr>
              <w:pStyle w:val="TableParagraph"/>
              <w:spacing w:line="266" w:lineRule="exact"/>
              <w:ind w:left="114" w:right="75"/>
              <w:rPr>
                <w:rFonts w:ascii="Calibri Light"/>
                <w:b w:val="0"/>
                <w:sz w:val="22"/>
              </w:rPr>
            </w:pPr>
            <w:r>
              <w:rPr>
                <w:sz w:val="22"/>
              </w:rPr>
              <w:t>2 </w:t>
            </w:r>
            <w:r>
              <w:rPr>
                <w:rFonts w:ascii="Calibri Light"/>
                <w:b w:val="0"/>
                <w:sz w:val="22"/>
              </w:rPr>
              <w:t>(25%)</w:t>
            </w:r>
          </w:p>
        </w:tc>
        <w:tc>
          <w:tcPr>
            <w:tcW w:w="1121" w:type="dxa"/>
            <w:shd w:val="clear" w:color="auto" w:fill="2D74B5"/>
          </w:tcPr>
          <w:p>
            <w:pPr>
              <w:pStyle w:val="TableParagraph"/>
              <w:spacing w:line="266" w:lineRule="exact"/>
              <w:ind w:left="85" w:right="85"/>
              <w:rPr>
                <w:rFonts w:ascii="Calibri Light"/>
                <w:b w:val="0"/>
                <w:sz w:val="22"/>
              </w:rPr>
            </w:pPr>
            <w:r>
              <w:rPr>
                <w:sz w:val="22"/>
              </w:rPr>
              <w:t>4 </w:t>
            </w:r>
            <w:r>
              <w:rPr>
                <w:rFonts w:ascii="Calibri Light"/>
                <w:b w:val="0"/>
                <w:sz w:val="22"/>
              </w:rPr>
              <w:t>(50%)</w:t>
            </w:r>
          </w:p>
        </w:tc>
        <w:tc>
          <w:tcPr>
            <w:tcW w:w="1244" w:type="dxa"/>
            <w:tcBorders>
              <w:left w:val="single" w:sz="45" w:space="0" w:color="2D74B5"/>
            </w:tcBorders>
          </w:tcPr>
          <w:p>
            <w:pPr>
              <w:pStyle w:val="TableParagraph"/>
              <w:spacing w:line="266" w:lineRule="exact"/>
              <w:ind w:left="110" w:right="159"/>
              <w:rPr>
                <w:rFonts w:ascii="Calibri Light"/>
                <w:b w:val="0"/>
                <w:sz w:val="22"/>
              </w:rPr>
            </w:pPr>
            <w:r>
              <w:rPr>
                <w:sz w:val="22"/>
              </w:rPr>
              <w:t>1 </w:t>
            </w:r>
            <w:r>
              <w:rPr>
                <w:rFonts w:ascii="Calibri Light"/>
                <w:b w:val="0"/>
                <w:sz w:val="22"/>
              </w:rPr>
              <w:t>(12.5%)</w:t>
            </w:r>
          </w:p>
        </w:tc>
        <w:tc>
          <w:tcPr>
            <w:tcW w:w="1368" w:type="dxa"/>
          </w:tcPr>
          <w:p>
            <w:pPr>
              <w:pStyle w:val="TableParagraph"/>
              <w:spacing w:line="266" w:lineRule="exact"/>
              <w:ind w:left="222" w:right="224"/>
              <w:rPr>
                <w:rFonts w:ascii="Calibri Light"/>
                <w:b w:val="0"/>
                <w:sz w:val="22"/>
              </w:rPr>
            </w:pPr>
            <w:r>
              <w:rPr>
                <w:sz w:val="22"/>
              </w:rPr>
              <w:t>1 </w:t>
            </w:r>
            <w:r>
              <w:rPr>
                <w:rFonts w:ascii="Calibri Light"/>
                <w:b w:val="0"/>
                <w:sz w:val="22"/>
              </w:rPr>
              <w:t>(12.5%)</w:t>
            </w:r>
          </w:p>
        </w:tc>
        <w:tc>
          <w:tcPr>
            <w:tcW w:w="1366" w:type="dxa"/>
          </w:tcPr>
          <w:p>
            <w:pPr>
              <w:pStyle w:val="TableParagraph"/>
              <w:spacing w:before="10"/>
              <w:ind w:right="2"/>
              <w:rPr>
                <w:sz w:val="22"/>
              </w:rPr>
            </w:pPr>
            <w:r>
              <w:rPr>
                <w:w w:val="100"/>
                <w:sz w:val="22"/>
              </w:rPr>
              <w:t>0</w:t>
            </w:r>
          </w:p>
        </w:tc>
      </w:tr>
    </w:tbl>
    <w:p>
      <w:pPr>
        <w:spacing w:line="227" w:lineRule="exact" w:before="0"/>
        <w:ind w:left="1292" w:right="339" w:firstLine="0"/>
        <w:jc w:val="left"/>
        <w:rPr>
          <w:b/>
          <w:sz w:val="20"/>
        </w:rPr>
      </w:pPr>
      <w:r>
        <w:rPr>
          <w:b/>
          <w:sz w:val="20"/>
        </w:rPr>
        <w:t>Tabla 4.18. Profesor con alta reputación; respuestas por nivel de estudios</w:t>
      </w:r>
    </w:p>
    <w:p>
      <w:pPr>
        <w:pStyle w:val="BodyText"/>
        <w:spacing w:before="5"/>
        <w:rPr>
          <w:b/>
          <w:sz w:val="27"/>
        </w:rPr>
      </w:pPr>
    </w:p>
    <w:p>
      <w:pPr>
        <w:pStyle w:val="BodyText"/>
        <w:spacing w:line="360" w:lineRule="auto"/>
        <w:ind w:left="102" w:right="108" w:firstLine="707"/>
        <w:jc w:val="both"/>
      </w:pPr>
      <w:r>
        <w:rPr/>
        <w:t>La aseveración 7; muestra una posición favorable para el uso de anglicismos. En cuanto al análisis en la totalidad de la población muestra, se puede observar que un 37.5% responde “de acuerdo” con la aseveración, ésta inclinación a favor de la aseveración se ve respaldada por el 20.8% de respuestas “muy de acuerdo” frente a un 29.1% “en desacuerdo”, como así lo indica la tabla 4.19. Tomando en cuenta que la aseveración dicta “</w:t>
      </w:r>
      <w:r>
        <w:rPr>
          <w:b/>
        </w:rPr>
        <w:t>Un empresario impresionaría a un grupo de personas utilizando el lenguaje de la grabación</w:t>
      </w:r>
      <w:r>
        <w:rPr/>
        <w:t>”, en cuanto a género, el femenino presenta mayor inclinación a favorecer los anglicismos presentando un 41.6% “de acuerdo” y un 16.6% “muy de acuerdo”; mientras que en el género masculino el mismo porcentaje (33.3%) se encuentra en las respuestas “de acuerdo” y “en desacuerdo”, no obstante se puede apreciar</w:t>
      </w:r>
      <w:r>
        <w:rPr>
          <w:spacing w:val="-7"/>
        </w:rPr>
        <w:t> </w:t>
      </w:r>
      <w:r>
        <w:rPr/>
        <w:t>una</w:t>
      </w:r>
      <w:r>
        <w:rPr>
          <w:spacing w:val="-6"/>
        </w:rPr>
        <w:t> </w:t>
      </w:r>
      <w:r>
        <w:rPr/>
        <w:t>leve</w:t>
      </w:r>
      <w:r>
        <w:rPr>
          <w:spacing w:val="-4"/>
        </w:rPr>
        <w:t> </w:t>
      </w:r>
      <w:r>
        <w:rPr/>
        <w:t>inclinación</w:t>
      </w:r>
      <w:r>
        <w:rPr>
          <w:spacing w:val="-5"/>
        </w:rPr>
        <w:t> </w:t>
      </w:r>
      <w:r>
        <w:rPr/>
        <w:t>a</w:t>
      </w:r>
      <w:r>
        <w:rPr>
          <w:spacing w:val="-8"/>
        </w:rPr>
        <w:t> </w:t>
      </w:r>
      <w:r>
        <w:rPr/>
        <w:t>favorecer</w:t>
      </w:r>
      <w:r>
        <w:rPr>
          <w:spacing w:val="-5"/>
        </w:rPr>
        <w:t> </w:t>
      </w:r>
      <w:r>
        <w:rPr/>
        <w:t>los</w:t>
      </w:r>
      <w:r>
        <w:rPr>
          <w:spacing w:val="-6"/>
        </w:rPr>
        <w:t> </w:t>
      </w:r>
      <w:r>
        <w:rPr/>
        <w:t>anglicismos</w:t>
      </w:r>
      <w:r>
        <w:rPr>
          <w:spacing w:val="-4"/>
        </w:rPr>
        <w:t> </w:t>
      </w:r>
      <w:r>
        <w:rPr/>
        <w:t>al</w:t>
      </w:r>
      <w:r>
        <w:rPr>
          <w:spacing w:val="-7"/>
        </w:rPr>
        <w:t> </w:t>
      </w:r>
      <w:r>
        <w:rPr/>
        <w:t>presentar</w:t>
      </w:r>
      <w:r>
        <w:rPr>
          <w:spacing w:val="-7"/>
        </w:rPr>
        <w:t> </w:t>
      </w:r>
      <w:r>
        <w:rPr/>
        <w:t>25%</w:t>
      </w:r>
      <w:r>
        <w:rPr>
          <w:spacing w:val="-7"/>
        </w:rPr>
        <w:t> </w:t>
      </w:r>
      <w:r>
        <w:rPr/>
        <w:t>de</w:t>
      </w:r>
      <w:r>
        <w:rPr>
          <w:spacing w:val="-4"/>
        </w:rPr>
        <w:t> </w:t>
      </w:r>
      <w:r>
        <w:rPr/>
        <w:t>respuestas “muy de</w:t>
      </w:r>
      <w:r>
        <w:rPr>
          <w:spacing w:val="-8"/>
        </w:rPr>
        <w:t> </w:t>
      </w:r>
      <w:r>
        <w:rPr/>
        <w:t>acuerdo”.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8"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7</w:t>
            </w:r>
          </w:p>
        </w:tc>
        <w:tc>
          <w:tcPr>
            <w:tcW w:w="1724" w:type="dxa"/>
            <w:vMerge w:val="restart"/>
          </w:tcPr>
          <w:p>
            <w:pPr>
              <w:pStyle w:val="TableParagraph"/>
              <w:spacing w:line="360" w:lineRule="auto" w:before="12"/>
              <w:ind w:left="218" w:right="222" w:firstLine="5"/>
              <w:rPr>
                <w:b/>
                <w:sz w:val="22"/>
              </w:rPr>
            </w:pPr>
            <w:r>
              <w:rPr>
                <w:sz w:val="22"/>
              </w:rPr>
              <w:t>Tipo de Aseveración: </w:t>
            </w:r>
            <w:r>
              <w:rPr>
                <w:b/>
                <w:sz w:val="22"/>
              </w:rPr>
              <w:t>Favorable</w:t>
            </w:r>
          </w:p>
        </w:tc>
        <w:tc>
          <w:tcPr>
            <w:tcW w:w="6246" w:type="dxa"/>
            <w:gridSpan w:val="5"/>
          </w:tcPr>
          <w:p>
            <w:pPr>
              <w:pStyle w:val="TableParagraph"/>
              <w:spacing w:before="7"/>
              <w:ind w:left="2516" w:right="2516"/>
              <w:rPr>
                <w:sz w:val="22"/>
              </w:rPr>
            </w:pPr>
            <w:r>
              <w:rPr>
                <w:sz w:val="22"/>
              </w:rPr>
              <w:t>Respuestas</w:t>
            </w:r>
          </w:p>
        </w:tc>
      </w:tr>
      <w:tr>
        <w:trPr>
          <w:trHeight w:val="769"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8"/>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Pr>
          <w:p>
            <w:pPr>
              <w:pStyle w:val="TableParagraph"/>
              <w:spacing w:before="9"/>
              <w:ind w:left="326"/>
              <w:jc w:val="left"/>
              <w:rPr>
                <w:sz w:val="22"/>
              </w:rPr>
            </w:pPr>
            <w:r>
              <w:rPr>
                <w:sz w:val="22"/>
              </w:rPr>
              <w:t>Total de la población (24)</w:t>
            </w:r>
          </w:p>
        </w:tc>
        <w:tc>
          <w:tcPr>
            <w:tcW w:w="1148" w:type="dxa"/>
          </w:tcPr>
          <w:p>
            <w:pPr>
              <w:pStyle w:val="TableParagraph"/>
              <w:spacing w:line="265" w:lineRule="exact"/>
              <w:ind w:left="117" w:right="119"/>
              <w:rPr>
                <w:rFonts w:ascii="Calibri Light"/>
                <w:b w:val="0"/>
                <w:sz w:val="22"/>
              </w:rPr>
            </w:pPr>
            <w:r>
              <w:rPr>
                <w:sz w:val="22"/>
              </w:rPr>
              <w:t>5 </w:t>
            </w:r>
            <w:r>
              <w:rPr>
                <w:rFonts w:ascii="Calibri Light"/>
                <w:b w:val="0"/>
                <w:sz w:val="22"/>
              </w:rPr>
              <w:t>(20.8%)</w:t>
            </w:r>
          </w:p>
        </w:tc>
        <w:tc>
          <w:tcPr>
            <w:tcW w:w="1121" w:type="dxa"/>
            <w:shd w:val="clear" w:color="auto" w:fill="2D74B5"/>
          </w:tcPr>
          <w:p>
            <w:pPr>
              <w:pStyle w:val="TableParagraph"/>
              <w:spacing w:line="265" w:lineRule="exact"/>
              <w:ind w:left="85" w:right="86"/>
              <w:rPr>
                <w:rFonts w:ascii="Calibri Light"/>
                <w:b w:val="0"/>
                <w:sz w:val="22"/>
              </w:rPr>
            </w:pPr>
            <w:r>
              <w:rPr>
                <w:sz w:val="22"/>
              </w:rPr>
              <w:t>9 </w:t>
            </w:r>
            <w:r>
              <w:rPr>
                <w:rFonts w:ascii="Calibri Light"/>
                <w:b w:val="0"/>
                <w:sz w:val="22"/>
              </w:rPr>
              <w:t>(37.5%)</w:t>
            </w:r>
          </w:p>
        </w:tc>
        <w:tc>
          <w:tcPr>
            <w:tcW w:w="1244" w:type="dxa"/>
          </w:tcPr>
          <w:p>
            <w:pPr>
              <w:pStyle w:val="TableParagraph"/>
              <w:spacing w:line="265" w:lineRule="exact"/>
              <w:ind w:left="82" w:right="82"/>
              <w:rPr>
                <w:rFonts w:ascii="Calibri Light"/>
                <w:b w:val="0"/>
                <w:sz w:val="22"/>
              </w:rPr>
            </w:pPr>
            <w:r>
              <w:rPr>
                <w:sz w:val="22"/>
              </w:rPr>
              <w:t>3 </w:t>
            </w:r>
            <w:r>
              <w:rPr>
                <w:rFonts w:ascii="Calibri Light"/>
                <w:b w:val="0"/>
                <w:sz w:val="22"/>
              </w:rPr>
              <w:t>(12.5%)</w:t>
            </w:r>
          </w:p>
        </w:tc>
        <w:tc>
          <w:tcPr>
            <w:tcW w:w="1368" w:type="dxa"/>
          </w:tcPr>
          <w:p>
            <w:pPr>
              <w:pStyle w:val="TableParagraph"/>
              <w:spacing w:line="265" w:lineRule="exact"/>
              <w:ind w:left="222" w:right="224"/>
              <w:rPr>
                <w:rFonts w:ascii="Calibri Light"/>
                <w:b w:val="0"/>
                <w:sz w:val="22"/>
              </w:rPr>
            </w:pPr>
            <w:r>
              <w:rPr>
                <w:sz w:val="22"/>
              </w:rPr>
              <w:t>7 </w:t>
            </w:r>
            <w:r>
              <w:rPr>
                <w:rFonts w:ascii="Calibri Light"/>
                <w:b w:val="0"/>
                <w:sz w:val="22"/>
              </w:rPr>
              <w:t>(29.1%)</w:t>
            </w:r>
          </w:p>
        </w:tc>
        <w:tc>
          <w:tcPr>
            <w:tcW w:w="1366" w:type="dxa"/>
          </w:tcPr>
          <w:p>
            <w:pPr>
              <w:pStyle w:val="TableParagraph"/>
              <w:spacing w:before="9"/>
              <w:ind w:left="614"/>
              <w:jc w:val="left"/>
              <w:rPr>
                <w:sz w:val="22"/>
              </w:rPr>
            </w:pPr>
            <w:r>
              <w:rPr>
                <w:w w:val="100"/>
                <w:sz w:val="22"/>
              </w:rPr>
              <w:t>0</w:t>
            </w:r>
          </w:p>
        </w:tc>
      </w:tr>
      <w:tr>
        <w:trPr>
          <w:trHeight w:val="413" w:hRule="exact"/>
        </w:trPr>
        <w:tc>
          <w:tcPr>
            <w:tcW w:w="3152" w:type="dxa"/>
            <w:gridSpan w:val="2"/>
          </w:tcPr>
          <w:p>
            <w:pPr>
              <w:pStyle w:val="TableParagraph"/>
              <w:spacing w:before="9"/>
              <w:ind w:left="950"/>
              <w:jc w:val="left"/>
              <w:rPr>
                <w:sz w:val="22"/>
              </w:rPr>
            </w:pPr>
            <w:r>
              <w:rPr>
                <w:sz w:val="22"/>
              </w:rPr>
              <w:t>Mujeres (12)</w:t>
            </w:r>
          </w:p>
        </w:tc>
        <w:tc>
          <w:tcPr>
            <w:tcW w:w="1148" w:type="dxa"/>
          </w:tcPr>
          <w:p>
            <w:pPr>
              <w:pStyle w:val="TableParagraph"/>
              <w:spacing w:line="265" w:lineRule="exact"/>
              <w:ind w:left="117" w:right="119"/>
              <w:rPr>
                <w:rFonts w:ascii="Calibri Light"/>
                <w:b w:val="0"/>
                <w:sz w:val="22"/>
              </w:rPr>
            </w:pPr>
            <w:r>
              <w:rPr>
                <w:sz w:val="22"/>
              </w:rPr>
              <w:t>2 </w:t>
            </w:r>
            <w:r>
              <w:rPr>
                <w:rFonts w:ascii="Calibri Light"/>
                <w:b w:val="0"/>
                <w:sz w:val="22"/>
              </w:rPr>
              <w:t>(16.6%)</w:t>
            </w:r>
          </w:p>
        </w:tc>
        <w:tc>
          <w:tcPr>
            <w:tcW w:w="1121" w:type="dxa"/>
            <w:shd w:val="clear" w:color="auto" w:fill="2D74B5"/>
          </w:tcPr>
          <w:p>
            <w:pPr>
              <w:pStyle w:val="TableParagraph"/>
              <w:spacing w:line="265" w:lineRule="exact"/>
              <w:ind w:left="85" w:right="86"/>
              <w:rPr>
                <w:rFonts w:ascii="Calibri Light"/>
                <w:b w:val="0"/>
                <w:sz w:val="22"/>
              </w:rPr>
            </w:pPr>
            <w:r>
              <w:rPr>
                <w:sz w:val="22"/>
              </w:rPr>
              <w:t>5 </w:t>
            </w:r>
            <w:r>
              <w:rPr>
                <w:rFonts w:ascii="Calibri Light"/>
                <w:b w:val="0"/>
                <w:sz w:val="22"/>
              </w:rPr>
              <w:t>(41.6%)</w:t>
            </w:r>
          </w:p>
        </w:tc>
        <w:tc>
          <w:tcPr>
            <w:tcW w:w="1244" w:type="dxa"/>
          </w:tcPr>
          <w:p>
            <w:pPr>
              <w:pStyle w:val="TableParagraph"/>
              <w:spacing w:line="265" w:lineRule="exact"/>
              <w:ind w:left="82" w:right="82"/>
              <w:rPr>
                <w:rFonts w:ascii="Calibri Light"/>
                <w:b w:val="0"/>
                <w:sz w:val="22"/>
              </w:rPr>
            </w:pPr>
            <w:r>
              <w:rPr>
                <w:sz w:val="22"/>
              </w:rPr>
              <w:t>2 </w:t>
            </w:r>
            <w:r>
              <w:rPr>
                <w:rFonts w:ascii="Calibri Light"/>
                <w:b w:val="0"/>
                <w:sz w:val="22"/>
              </w:rPr>
              <w:t>(16.6%)</w:t>
            </w:r>
          </w:p>
        </w:tc>
        <w:tc>
          <w:tcPr>
            <w:tcW w:w="1368" w:type="dxa"/>
          </w:tcPr>
          <w:p>
            <w:pPr>
              <w:pStyle w:val="TableParagraph"/>
              <w:spacing w:line="265" w:lineRule="exact"/>
              <w:ind w:left="223" w:right="224"/>
              <w:rPr>
                <w:rFonts w:ascii="Calibri Light"/>
                <w:b w:val="0"/>
                <w:sz w:val="22"/>
              </w:rPr>
            </w:pPr>
            <w:r>
              <w:rPr>
                <w:sz w:val="22"/>
              </w:rPr>
              <w:t>3 </w:t>
            </w:r>
            <w:r>
              <w:rPr>
                <w:rFonts w:ascii="Calibri Light"/>
                <w:b w:val="0"/>
                <w:sz w:val="22"/>
              </w:rPr>
              <w:t>(25%)</w:t>
            </w:r>
          </w:p>
        </w:tc>
        <w:tc>
          <w:tcPr>
            <w:tcW w:w="1366" w:type="dxa"/>
          </w:tcPr>
          <w:p>
            <w:pPr>
              <w:pStyle w:val="TableParagraph"/>
              <w:spacing w:before="9"/>
              <w:ind w:left="614"/>
              <w:jc w:val="left"/>
              <w:rPr>
                <w:sz w:val="22"/>
              </w:rPr>
            </w:pPr>
            <w:r>
              <w:rPr>
                <w:w w:val="100"/>
                <w:sz w:val="22"/>
              </w:rPr>
              <w:t>0</w:t>
            </w:r>
          </w:p>
        </w:tc>
      </w:tr>
      <w:tr>
        <w:trPr>
          <w:trHeight w:val="413" w:hRule="exact"/>
        </w:trPr>
        <w:tc>
          <w:tcPr>
            <w:tcW w:w="3152" w:type="dxa"/>
            <w:gridSpan w:val="2"/>
          </w:tcPr>
          <w:p>
            <w:pPr>
              <w:pStyle w:val="TableParagraph"/>
              <w:spacing w:before="9"/>
              <w:ind w:left="897"/>
              <w:jc w:val="left"/>
              <w:rPr>
                <w:sz w:val="22"/>
              </w:rPr>
            </w:pPr>
            <w:r>
              <w:rPr>
                <w:sz w:val="22"/>
              </w:rPr>
              <w:t>Hombres (12)</w:t>
            </w:r>
          </w:p>
        </w:tc>
        <w:tc>
          <w:tcPr>
            <w:tcW w:w="1148" w:type="dxa"/>
            <w:tcBorders>
              <w:right w:val="single" w:sz="41" w:space="0" w:color="9CC2E4"/>
            </w:tcBorders>
          </w:tcPr>
          <w:p>
            <w:pPr>
              <w:pStyle w:val="TableParagraph"/>
              <w:spacing w:line="265" w:lineRule="exact"/>
              <w:ind w:left="114" w:right="75"/>
              <w:rPr>
                <w:rFonts w:ascii="Calibri Light"/>
                <w:b w:val="0"/>
                <w:sz w:val="22"/>
              </w:rPr>
            </w:pPr>
            <w:r>
              <w:rPr>
                <w:sz w:val="22"/>
              </w:rPr>
              <w:t>3 </w:t>
            </w:r>
            <w:r>
              <w:rPr>
                <w:rFonts w:ascii="Calibri Light"/>
                <w:b w:val="0"/>
                <w:sz w:val="22"/>
              </w:rPr>
              <w:t>(25%)</w:t>
            </w:r>
          </w:p>
        </w:tc>
        <w:tc>
          <w:tcPr>
            <w:tcW w:w="1121" w:type="dxa"/>
            <w:shd w:val="clear" w:color="auto" w:fill="9CC2E4"/>
          </w:tcPr>
          <w:p>
            <w:pPr>
              <w:pStyle w:val="TableParagraph"/>
              <w:spacing w:line="265" w:lineRule="exact"/>
              <w:ind w:left="85" w:right="86"/>
              <w:rPr>
                <w:rFonts w:ascii="Calibri Light"/>
                <w:b w:val="0"/>
                <w:sz w:val="22"/>
              </w:rPr>
            </w:pPr>
            <w:r>
              <w:rPr>
                <w:sz w:val="22"/>
              </w:rPr>
              <w:t>4 </w:t>
            </w:r>
            <w:r>
              <w:rPr>
                <w:rFonts w:ascii="Calibri Light"/>
                <w:b w:val="0"/>
                <w:sz w:val="22"/>
              </w:rPr>
              <w:t>(33.3%)</w:t>
            </w:r>
          </w:p>
        </w:tc>
        <w:tc>
          <w:tcPr>
            <w:tcW w:w="1244" w:type="dxa"/>
            <w:tcBorders>
              <w:left w:val="single" w:sz="45" w:space="0" w:color="9CC2E4"/>
              <w:right w:val="single" w:sz="41" w:space="0" w:color="9CC2E4"/>
            </w:tcBorders>
          </w:tcPr>
          <w:p>
            <w:pPr>
              <w:pStyle w:val="TableParagraph"/>
              <w:spacing w:line="265" w:lineRule="exact"/>
              <w:ind w:left="115" w:right="119"/>
              <w:rPr>
                <w:rFonts w:ascii="Calibri Light"/>
                <w:b w:val="0"/>
                <w:sz w:val="22"/>
              </w:rPr>
            </w:pPr>
            <w:r>
              <w:rPr>
                <w:sz w:val="22"/>
              </w:rPr>
              <w:t>1 </w:t>
            </w:r>
            <w:r>
              <w:rPr>
                <w:rFonts w:ascii="Calibri Light"/>
                <w:b w:val="0"/>
                <w:sz w:val="22"/>
              </w:rPr>
              <w:t>(8%)</w:t>
            </w:r>
          </w:p>
        </w:tc>
        <w:tc>
          <w:tcPr>
            <w:tcW w:w="1368" w:type="dxa"/>
            <w:shd w:val="clear" w:color="auto" w:fill="9CC2E4"/>
          </w:tcPr>
          <w:p>
            <w:pPr>
              <w:pStyle w:val="TableParagraph"/>
              <w:spacing w:line="265" w:lineRule="exact"/>
              <w:ind w:left="222" w:right="224"/>
              <w:rPr>
                <w:rFonts w:ascii="Calibri Light"/>
                <w:b w:val="0"/>
                <w:sz w:val="22"/>
              </w:rPr>
            </w:pPr>
            <w:r>
              <w:rPr>
                <w:sz w:val="22"/>
              </w:rPr>
              <w:t>4 </w:t>
            </w:r>
            <w:r>
              <w:rPr>
                <w:rFonts w:ascii="Calibri Light"/>
                <w:b w:val="0"/>
                <w:sz w:val="22"/>
              </w:rPr>
              <w:t>(33.3%)</w:t>
            </w:r>
          </w:p>
        </w:tc>
        <w:tc>
          <w:tcPr>
            <w:tcW w:w="1366" w:type="dxa"/>
            <w:tcBorders>
              <w:left w:val="thickThinMediumGap" w:sz="23" w:space="0" w:color="9CC2E4"/>
            </w:tcBorders>
          </w:tcPr>
          <w:p>
            <w:pPr>
              <w:pStyle w:val="TableParagraph"/>
              <w:spacing w:before="9"/>
              <w:ind w:left="561"/>
              <w:jc w:val="left"/>
              <w:rPr>
                <w:sz w:val="22"/>
              </w:rPr>
            </w:pPr>
            <w:r>
              <w:rPr>
                <w:w w:val="100"/>
                <w:sz w:val="22"/>
              </w:rPr>
              <w:t>0</w:t>
            </w:r>
          </w:p>
        </w:tc>
      </w:tr>
    </w:tbl>
    <w:p>
      <w:pPr>
        <w:spacing w:line="227" w:lineRule="exact" w:before="0"/>
        <w:ind w:left="267" w:right="26" w:firstLine="0"/>
        <w:jc w:val="left"/>
        <w:rPr>
          <w:b/>
          <w:sz w:val="20"/>
        </w:rPr>
      </w:pPr>
      <w:r>
        <w:rPr>
          <w:b/>
          <w:sz w:val="20"/>
        </w:rPr>
        <w:t>Tabla 4.19. Empresario que impresiona; respuestas en la totalidad de la población y por género</w:t>
      </w:r>
    </w:p>
    <w:p>
      <w:pPr>
        <w:spacing w:after="0" w:line="227" w:lineRule="exact"/>
        <w:jc w:val="left"/>
        <w:rPr>
          <w:sz w:val="20"/>
        </w:rPr>
        <w:sectPr>
          <w:pgSz w:w="12240" w:h="15840"/>
          <w:pgMar w:header="749" w:footer="1003" w:top="960" w:bottom="1200" w:left="1600" w:right="1020"/>
        </w:sect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70"/>
        <w:ind w:left="102" w:right="114" w:firstLine="707"/>
        <w:jc w:val="both"/>
      </w:pPr>
      <w:r>
        <w:rPr/>
        <w:t>El análisis realizado por grupo de edad parece difícil de interpretar en esta aseveración 7. Primeramente, el grupo 3 presentó mayoría de respuestas “de acuerdo” en</w:t>
      </w:r>
      <w:r>
        <w:rPr>
          <w:spacing w:val="-6"/>
        </w:rPr>
        <w:t> </w:t>
      </w:r>
      <w:r>
        <w:rPr/>
        <w:t>un</w:t>
      </w:r>
      <w:r>
        <w:rPr>
          <w:spacing w:val="-6"/>
        </w:rPr>
        <w:t> </w:t>
      </w:r>
      <w:r>
        <w:rPr/>
        <w:t>cinco</w:t>
      </w:r>
      <w:r>
        <w:rPr>
          <w:spacing w:val="-8"/>
        </w:rPr>
        <w:t> </w:t>
      </w:r>
      <w:r>
        <w:rPr/>
        <w:t>de</w:t>
      </w:r>
      <w:r>
        <w:rPr>
          <w:spacing w:val="-6"/>
        </w:rPr>
        <w:t> </w:t>
      </w:r>
      <w:r>
        <w:rPr/>
        <w:t>seis</w:t>
      </w:r>
      <w:r>
        <w:rPr>
          <w:spacing w:val="-5"/>
        </w:rPr>
        <w:t> </w:t>
      </w:r>
      <w:r>
        <w:rPr/>
        <w:t>sujetos</w:t>
      </w:r>
      <w:r>
        <w:rPr>
          <w:spacing w:val="-7"/>
        </w:rPr>
        <w:t> </w:t>
      </w:r>
      <w:r>
        <w:rPr/>
        <w:t>(Ver</w:t>
      </w:r>
      <w:r>
        <w:rPr>
          <w:spacing w:val="-7"/>
        </w:rPr>
        <w:t> </w:t>
      </w:r>
      <w:r>
        <w:rPr/>
        <w:t>tabla</w:t>
      </w:r>
      <w:r>
        <w:rPr>
          <w:spacing w:val="-9"/>
        </w:rPr>
        <w:t> </w:t>
      </w:r>
      <w:r>
        <w:rPr/>
        <w:t>4.20.).</w:t>
      </w:r>
      <w:r>
        <w:rPr>
          <w:spacing w:val="-9"/>
        </w:rPr>
        <w:t> </w:t>
      </w:r>
      <w:r>
        <w:rPr/>
        <w:t>Posteriormente</w:t>
      </w:r>
      <w:r>
        <w:rPr>
          <w:spacing w:val="-6"/>
        </w:rPr>
        <w:t> </w:t>
      </w:r>
      <w:r>
        <w:rPr/>
        <w:t>se</w:t>
      </w:r>
      <w:r>
        <w:rPr>
          <w:spacing w:val="-8"/>
        </w:rPr>
        <w:t> </w:t>
      </w:r>
      <w:r>
        <w:rPr/>
        <w:t>puede</w:t>
      </w:r>
      <w:r>
        <w:rPr>
          <w:spacing w:val="-6"/>
        </w:rPr>
        <w:t> </w:t>
      </w:r>
      <w:r>
        <w:rPr/>
        <w:t>decir</w:t>
      </w:r>
      <w:r>
        <w:rPr>
          <w:spacing w:val="-8"/>
        </w:rPr>
        <w:t> </w:t>
      </w:r>
      <w:r>
        <w:rPr/>
        <w:t>que</w:t>
      </w:r>
      <w:r>
        <w:rPr>
          <w:spacing w:val="-6"/>
        </w:rPr>
        <w:t> </w:t>
      </w:r>
      <w:r>
        <w:rPr/>
        <w:t>el</w:t>
      </w:r>
      <w:r>
        <w:rPr>
          <w:spacing w:val="-7"/>
        </w:rPr>
        <w:t> </w:t>
      </w:r>
      <w:r>
        <w:rPr/>
        <w:t>grupo 1 sería el que le sucede al mostrar un 33.3% de respuestas “de acuerdo”; no obstante, este porcentaje se repite en las respuestas “indiferentes” por lo tanto permite determinar que se encuentran a favor de la aseveración con un 16.6% “muy de acuerdo”. El grupo que seguiría es el grupo 4, quienes presentaron un 33.3% de respuestas “de acuerdo”, sin</w:t>
      </w:r>
      <w:r>
        <w:rPr>
          <w:spacing w:val="-11"/>
        </w:rPr>
        <w:t> </w:t>
      </w:r>
      <w:r>
        <w:rPr/>
        <w:t>embargo,</w:t>
      </w:r>
      <w:r>
        <w:rPr>
          <w:spacing w:val="-13"/>
        </w:rPr>
        <w:t> </w:t>
      </w:r>
      <w:r>
        <w:rPr/>
        <w:t>al</w:t>
      </w:r>
      <w:r>
        <w:rPr>
          <w:spacing w:val="-12"/>
        </w:rPr>
        <w:t> </w:t>
      </w:r>
      <w:r>
        <w:rPr/>
        <w:t>igual</w:t>
      </w:r>
      <w:r>
        <w:rPr>
          <w:spacing w:val="-12"/>
        </w:rPr>
        <w:t> </w:t>
      </w:r>
      <w:r>
        <w:rPr/>
        <w:t>que</w:t>
      </w:r>
      <w:r>
        <w:rPr>
          <w:spacing w:val="-11"/>
        </w:rPr>
        <w:t> </w:t>
      </w:r>
      <w:r>
        <w:rPr/>
        <w:t>el</w:t>
      </w:r>
      <w:r>
        <w:rPr>
          <w:spacing w:val="-14"/>
        </w:rPr>
        <w:t> </w:t>
      </w:r>
      <w:r>
        <w:rPr/>
        <w:t>grupo</w:t>
      </w:r>
      <w:r>
        <w:rPr>
          <w:spacing w:val="-11"/>
        </w:rPr>
        <w:t> </w:t>
      </w:r>
      <w:r>
        <w:rPr/>
        <w:t>1,</w:t>
      </w:r>
      <w:r>
        <w:rPr>
          <w:spacing w:val="-11"/>
        </w:rPr>
        <w:t> </w:t>
      </w:r>
      <w:r>
        <w:rPr/>
        <w:t>el</w:t>
      </w:r>
      <w:r>
        <w:rPr>
          <w:spacing w:val="-14"/>
        </w:rPr>
        <w:t> </w:t>
      </w:r>
      <w:r>
        <w:rPr/>
        <w:t>mismo</w:t>
      </w:r>
      <w:r>
        <w:rPr>
          <w:spacing w:val="-13"/>
        </w:rPr>
        <w:t> </w:t>
      </w:r>
      <w:r>
        <w:rPr/>
        <w:t>porcentaje</w:t>
      </w:r>
      <w:r>
        <w:rPr>
          <w:spacing w:val="-13"/>
        </w:rPr>
        <w:t> </w:t>
      </w:r>
      <w:r>
        <w:rPr/>
        <w:t>se</w:t>
      </w:r>
      <w:r>
        <w:rPr>
          <w:spacing w:val="-13"/>
        </w:rPr>
        <w:t> </w:t>
      </w:r>
      <w:r>
        <w:rPr/>
        <w:t>encuentra</w:t>
      </w:r>
      <w:r>
        <w:rPr>
          <w:spacing w:val="-11"/>
        </w:rPr>
        <w:t> </w:t>
      </w:r>
      <w:r>
        <w:rPr/>
        <w:t>en</w:t>
      </w:r>
      <w:r>
        <w:rPr>
          <w:spacing w:val="-13"/>
        </w:rPr>
        <w:t> </w:t>
      </w:r>
      <w:r>
        <w:rPr/>
        <w:t>otra</w:t>
      </w:r>
      <w:r>
        <w:rPr>
          <w:spacing w:val="-11"/>
        </w:rPr>
        <w:t> </w:t>
      </w:r>
      <w:r>
        <w:rPr/>
        <w:t>respuesta, “en desacuerdo”; lo que permite determinar que se encuentran con una leve inclinación a favorecer la aseveración del 16.6% “muy de acuerdo”. Finalmente el grupo 2 quedaría indefinido al presentar el 50% de respuestas “muy de acuerdo” y 50% “en</w:t>
      </w:r>
      <w:r>
        <w:rPr>
          <w:spacing w:val="-31"/>
        </w:rPr>
        <w:t> </w:t>
      </w:r>
      <w:r>
        <w:rPr/>
        <w:t>desacuerdo”.</w:t>
      </w:r>
    </w:p>
    <w:p>
      <w:pPr>
        <w:pStyle w:val="BodyText"/>
        <w:spacing w:before="8"/>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44"/>
        <w:gridCol w:w="1678"/>
        <w:gridCol w:w="1087"/>
        <w:gridCol w:w="1148"/>
        <w:gridCol w:w="1195"/>
        <w:gridCol w:w="1409"/>
        <w:gridCol w:w="1409"/>
      </w:tblGrid>
      <w:tr>
        <w:trPr>
          <w:trHeight w:val="408" w:hRule="exact"/>
        </w:trPr>
        <w:tc>
          <w:tcPr>
            <w:tcW w:w="1471" w:type="dxa"/>
            <w:gridSpan w:val="2"/>
            <w:vMerge w:val="restart"/>
          </w:tcPr>
          <w:p>
            <w:pPr>
              <w:pStyle w:val="TableParagraph"/>
              <w:spacing w:before="6"/>
              <w:jc w:val="left"/>
              <w:rPr>
                <w:sz w:val="17"/>
              </w:rPr>
            </w:pPr>
          </w:p>
          <w:p>
            <w:pPr>
              <w:pStyle w:val="TableParagraph"/>
              <w:ind w:left="104" w:right="105"/>
              <w:rPr>
                <w:sz w:val="22"/>
              </w:rPr>
            </w:pPr>
            <w:r>
              <w:rPr>
                <w:sz w:val="22"/>
              </w:rPr>
              <w:t>Aseveración</w:t>
            </w:r>
          </w:p>
          <w:p>
            <w:pPr>
              <w:pStyle w:val="TableParagraph"/>
              <w:spacing w:before="124"/>
              <w:rPr>
                <w:b/>
                <w:sz w:val="22"/>
              </w:rPr>
            </w:pPr>
            <w:r>
              <w:rPr>
                <w:b/>
                <w:w w:val="100"/>
                <w:sz w:val="22"/>
              </w:rPr>
              <w:t>7</w:t>
            </w:r>
          </w:p>
        </w:tc>
        <w:tc>
          <w:tcPr>
            <w:tcW w:w="1678" w:type="dxa"/>
            <w:vMerge w:val="restart"/>
          </w:tcPr>
          <w:p>
            <w:pPr>
              <w:pStyle w:val="TableParagraph"/>
              <w:spacing w:line="360" w:lineRule="auto" w:before="12"/>
              <w:ind w:left="196" w:right="198" w:firstLine="5"/>
              <w:rPr>
                <w:b/>
                <w:sz w:val="22"/>
              </w:rPr>
            </w:pPr>
            <w:r>
              <w:rPr>
                <w:sz w:val="22"/>
              </w:rPr>
              <w:t>Tipo de Aseveración: </w:t>
            </w:r>
            <w:r>
              <w:rPr>
                <w:b/>
                <w:sz w:val="22"/>
              </w:rPr>
              <w:t>Favorable</w:t>
            </w:r>
          </w:p>
        </w:tc>
        <w:tc>
          <w:tcPr>
            <w:tcW w:w="6249" w:type="dxa"/>
            <w:gridSpan w:val="5"/>
          </w:tcPr>
          <w:p>
            <w:pPr>
              <w:pStyle w:val="TableParagraph"/>
              <w:spacing w:before="7"/>
              <w:ind w:left="2515" w:right="2518"/>
              <w:rPr>
                <w:sz w:val="22"/>
              </w:rPr>
            </w:pPr>
            <w:r>
              <w:rPr>
                <w:sz w:val="22"/>
              </w:rPr>
              <w:t>Respuestas</w:t>
            </w:r>
          </w:p>
        </w:tc>
      </w:tr>
      <w:tr>
        <w:trPr>
          <w:trHeight w:val="768" w:hRule="exact"/>
        </w:trPr>
        <w:tc>
          <w:tcPr>
            <w:tcW w:w="1471" w:type="dxa"/>
            <w:gridSpan w:val="2"/>
            <w:vMerge/>
          </w:tcPr>
          <w:p>
            <w:pPr/>
          </w:p>
        </w:tc>
        <w:tc>
          <w:tcPr>
            <w:tcW w:w="1678" w:type="dxa"/>
            <w:vMerge/>
          </w:tcPr>
          <w:p>
            <w:pPr/>
          </w:p>
        </w:tc>
        <w:tc>
          <w:tcPr>
            <w:tcW w:w="1087" w:type="dxa"/>
          </w:tcPr>
          <w:p>
            <w:pPr>
              <w:pStyle w:val="TableParagraph"/>
              <w:spacing w:line="360" w:lineRule="auto"/>
              <w:ind w:left="139" w:right="123" w:firstLine="36"/>
              <w:jc w:val="left"/>
              <w:rPr>
                <w:sz w:val="22"/>
              </w:rPr>
            </w:pPr>
            <w:r>
              <w:rPr>
                <w:sz w:val="22"/>
              </w:rPr>
              <w:t>Muy de acuerdo</w:t>
            </w:r>
          </w:p>
        </w:tc>
        <w:tc>
          <w:tcPr>
            <w:tcW w:w="1148" w:type="dxa"/>
          </w:tcPr>
          <w:p>
            <w:pPr>
              <w:pStyle w:val="TableParagraph"/>
              <w:spacing w:line="360" w:lineRule="auto"/>
              <w:ind w:left="170" w:right="152" w:firstLine="256"/>
              <w:jc w:val="left"/>
              <w:rPr>
                <w:sz w:val="22"/>
              </w:rPr>
            </w:pPr>
            <w:r>
              <w:rPr>
                <w:sz w:val="22"/>
              </w:rPr>
              <w:t>De acuerdo</w:t>
            </w:r>
          </w:p>
        </w:tc>
        <w:tc>
          <w:tcPr>
            <w:tcW w:w="1195" w:type="dxa"/>
          </w:tcPr>
          <w:p>
            <w:pPr>
              <w:pStyle w:val="TableParagraph"/>
              <w:spacing w:line="360" w:lineRule="auto"/>
              <w:ind w:left="530" w:right="122" w:hanging="392"/>
              <w:jc w:val="left"/>
              <w:rPr>
                <w:sz w:val="22"/>
              </w:rPr>
            </w:pPr>
            <w:r>
              <w:rPr>
                <w:sz w:val="22"/>
              </w:rPr>
              <w:t>indiferent e</w:t>
            </w:r>
          </w:p>
        </w:tc>
        <w:tc>
          <w:tcPr>
            <w:tcW w:w="1409" w:type="dxa"/>
          </w:tcPr>
          <w:p>
            <w:pPr>
              <w:pStyle w:val="TableParagraph"/>
              <w:spacing w:line="360" w:lineRule="auto"/>
              <w:ind w:left="125" w:right="105" w:firstLine="439"/>
              <w:jc w:val="left"/>
              <w:rPr>
                <w:sz w:val="22"/>
              </w:rPr>
            </w:pPr>
            <w:r>
              <w:rPr>
                <w:sz w:val="22"/>
              </w:rPr>
              <w:t>En desacuerdo</w:t>
            </w:r>
          </w:p>
        </w:tc>
        <w:tc>
          <w:tcPr>
            <w:tcW w:w="1409" w:type="dxa"/>
          </w:tcPr>
          <w:p>
            <w:pPr>
              <w:pStyle w:val="TableParagraph"/>
              <w:spacing w:line="360" w:lineRule="auto"/>
              <w:ind w:left="122" w:right="107" w:firstLine="216"/>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1 (6)</w:t>
            </w:r>
          </w:p>
        </w:tc>
        <w:tc>
          <w:tcPr>
            <w:tcW w:w="1087" w:type="dxa"/>
            <w:tcBorders>
              <w:right w:val="single" w:sz="45" w:space="0" w:color="9CC2E4"/>
            </w:tcBorders>
          </w:tcPr>
          <w:p>
            <w:pPr>
              <w:pStyle w:val="TableParagraph"/>
              <w:spacing w:line="268" w:lineRule="exact"/>
              <w:ind w:left="169" w:right="122"/>
              <w:rPr>
                <w:rFonts w:ascii="Calibri Light"/>
                <w:b w:val="0"/>
                <w:sz w:val="22"/>
              </w:rPr>
            </w:pPr>
            <w:r>
              <w:rPr>
                <w:sz w:val="22"/>
              </w:rPr>
              <w:t>1 </w:t>
            </w:r>
            <w:r>
              <w:rPr>
                <w:rFonts w:ascii="Calibri Light"/>
                <w:b w:val="0"/>
                <w:sz w:val="22"/>
              </w:rPr>
              <w:t>(16%)</w:t>
            </w:r>
          </w:p>
        </w:tc>
        <w:tc>
          <w:tcPr>
            <w:tcW w:w="1148" w:type="dxa"/>
            <w:shd w:val="clear" w:color="auto" w:fill="9CC2E4"/>
          </w:tcPr>
          <w:p>
            <w:pPr>
              <w:pStyle w:val="TableParagraph"/>
              <w:spacing w:line="268" w:lineRule="exact"/>
              <w:ind w:left="118" w:right="117"/>
              <w:rPr>
                <w:rFonts w:ascii="Calibri Light"/>
                <w:b w:val="0"/>
                <w:sz w:val="22"/>
              </w:rPr>
            </w:pPr>
            <w:r>
              <w:rPr>
                <w:sz w:val="22"/>
              </w:rPr>
              <w:t>2 </w:t>
            </w:r>
            <w:r>
              <w:rPr>
                <w:rFonts w:ascii="Calibri Light"/>
                <w:b w:val="0"/>
                <w:sz w:val="22"/>
              </w:rPr>
              <w:t>(33.3%)</w:t>
            </w:r>
          </w:p>
        </w:tc>
        <w:tc>
          <w:tcPr>
            <w:tcW w:w="1195" w:type="dxa"/>
            <w:shd w:val="clear" w:color="auto" w:fill="9CC2E4"/>
          </w:tcPr>
          <w:p>
            <w:pPr>
              <w:pStyle w:val="TableParagraph"/>
              <w:spacing w:line="268" w:lineRule="exact"/>
              <w:ind w:left="142" w:right="144"/>
              <w:rPr>
                <w:rFonts w:ascii="Calibri Light"/>
                <w:b w:val="0"/>
                <w:sz w:val="22"/>
              </w:rPr>
            </w:pPr>
            <w:r>
              <w:rPr>
                <w:sz w:val="22"/>
              </w:rPr>
              <w:t>2 </w:t>
            </w:r>
            <w:r>
              <w:rPr>
                <w:rFonts w:ascii="Calibri Light"/>
                <w:b w:val="0"/>
                <w:sz w:val="22"/>
              </w:rPr>
              <w:t>(33.3%)</w:t>
            </w:r>
          </w:p>
        </w:tc>
        <w:tc>
          <w:tcPr>
            <w:tcW w:w="1409" w:type="dxa"/>
            <w:tcBorders>
              <w:left w:val="single" w:sz="45" w:space="0" w:color="9CC2E4"/>
            </w:tcBorders>
          </w:tcPr>
          <w:p>
            <w:pPr>
              <w:pStyle w:val="TableParagraph"/>
              <w:spacing w:line="268" w:lineRule="exact"/>
              <w:ind w:left="151" w:right="199"/>
              <w:rPr>
                <w:rFonts w:ascii="Calibri Light"/>
                <w:b w:val="0"/>
                <w:sz w:val="22"/>
              </w:rPr>
            </w:pPr>
            <w:r>
              <w:rPr>
                <w:sz w:val="22"/>
              </w:rPr>
              <w:t>1 </w:t>
            </w:r>
            <w:r>
              <w:rPr>
                <w:rFonts w:ascii="Calibri Light"/>
                <w:b w:val="0"/>
                <w:sz w:val="22"/>
              </w:rPr>
              <w:t>(16%)</w:t>
            </w:r>
          </w:p>
        </w:tc>
        <w:tc>
          <w:tcPr>
            <w:tcW w:w="1409"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right w:val="single" w:sz="44" w:space="0" w:color="9CC2E4"/>
            </w:tcBorders>
          </w:tcPr>
          <w:p>
            <w:pPr>
              <w:pStyle w:val="TableParagraph"/>
              <w:spacing w:before="9"/>
              <w:ind w:left="60"/>
              <w:jc w:val="left"/>
              <w:rPr>
                <w:sz w:val="22"/>
              </w:rPr>
            </w:pPr>
            <w:r>
              <w:rPr>
                <w:sz w:val="22"/>
              </w:rPr>
              <w:t>de edad 2 (6)</w:t>
            </w:r>
          </w:p>
        </w:tc>
        <w:tc>
          <w:tcPr>
            <w:tcW w:w="1087" w:type="dxa"/>
            <w:shd w:val="clear" w:color="auto" w:fill="9CC2E4"/>
          </w:tcPr>
          <w:p>
            <w:pPr>
              <w:pStyle w:val="TableParagraph"/>
              <w:spacing w:line="268" w:lineRule="exact"/>
              <w:ind w:left="87" w:right="89"/>
              <w:rPr>
                <w:rFonts w:ascii="Calibri Light"/>
                <w:b w:val="0"/>
                <w:sz w:val="22"/>
              </w:rPr>
            </w:pPr>
            <w:r>
              <w:rPr>
                <w:sz w:val="22"/>
              </w:rPr>
              <w:t>3 </w:t>
            </w:r>
            <w:r>
              <w:rPr>
                <w:rFonts w:ascii="Calibri Light"/>
                <w:b w:val="0"/>
                <w:sz w:val="22"/>
              </w:rPr>
              <w:t>(50%)</w:t>
            </w:r>
          </w:p>
        </w:tc>
        <w:tc>
          <w:tcPr>
            <w:tcW w:w="1148" w:type="dxa"/>
            <w:tcBorders>
              <w:left w:val="single" w:sz="41" w:space="0" w:color="9CC2E4"/>
            </w:tcBorders>
          </w:tcPr>
          <w:p>
            <w:pPr>
              <w:pStyle w:val="TableParagraph"/>
              <w:spacing w:before="9"/>
              <w:ind w:right="46"/>
              <w:rPr>
                <w:sz w:val="22"/>
              </w:rPr>
            </w:pPr>
            <w:r>
              <w:rPr>
                <w:w w:val="100"/>
                <w:sz w:val="22"/>
              </w:rPr>
              <w:t>0</w:t>
            </w:r>
          </w:p>
        </w:tc>
        <w:tc>
          <w:tcPr>
            <w:tcW w:w="1195" w:type="dxa"/>
            <w:tcBorders>
              <w:right w:val="single" w:sz="42" w:space="0" w:color="9CC2E4"/>
            </w:tcBorders>
          </w:tcPr>
          <w:p>
            <w:pPr>
              <w:pStyle w:val="TableParagraph"/>
              <w:spacing w:before="9"/>
              <w:ind w:left="45"/>
              <w:rPr>
                <w:sz w:val="22"/>
              </w:rPr>
            </w:pPr>
            <w:r>
              <w:rPr>
                <w:w w:val="100"/>
                <w:sz w:val="22"/>
              </w:rPr>
              <w:t>0</w:t>
            </w:r>
          </w:p>
        </w:tc>
        <w:tc>
          <w:tcPr>
            <w:tcW w:w="1409" w:type="dxa"/>
            <w:shd w:val="clear" w:color="auto" w:fill="9CC2E4"/>
          </w:tcPr>
          <w:p>
            <w:pPr>
              <w:pStyle w:val="TableParagraph"/>
              <w:spacing w:line="268" w:lineRule="exact"/>
              <w:ind w:left="250" w:right="249"/>
              <w:rPr>
                <w:rFonts w:ascii="Calibri Light"/>
                <w:b w:val="0"/>
                <w:sz w:val="22"/>
              </w:rPr>
            </w:pPr>
            <w:r>
              <w:rPr>
                <w:sz w:val="22"/>
              </w:rPr>
              <w:t>3 </w:t>
            </w:r>
            <w:r>
              <w:rPr>
                <w:rFonts w:ascii="Calibri Light"/>
                <w:b w:val="0"/>
                <w:sz w:val="22"/>
              </w:rPr>
              <w:t>(50%)</w:t>
            </w:r>
          </w:p>
        </w:tc>
        <w:tc>
          <w:tcPr>
            <w:tcW w:w="1409" w:type="dxa"/>
            <w:tcBorders>
              <w:left w:val="single" w:sz="45" w:space="0" w:color="9CC2E4"/>
            </w:tcBorders>
          </w:tcPr>
          <w:p>
            <w:pPr>
              <w:pStyle w:val="TableParagraph"/>
              <w:spacing w:before="9"/>
              <w:ind w:right="54"/>
              <w:rPr>
                <w:sz w:val="22"/>
              </w:rPr>
            </w:pPr>
            <w:r>
              <w:rPr>
                <w:w w:val="100"/>
                <w:sz w:val="22"/>
              </w:rPr>
              <w:t>0</w:t>
            </w:r>
          </w:p>
        </w:tc>
      </w:tr>
      <w:tr>
        <w:trPr>
          <w:trHeight w:val="413" w:hRule="exact"/>
        </w:trPr>
        <w:tc>
          <w:tcPr>
            <w:tcW w:w="1227" w:type="dxa"/>
            <w:tcBorders>
              <w:right w:val="nil"/>
            </w:tcBorders>
          </w:tcPr>
          <w:p>
            <w:pPr>
              <w:pStyle w:val="TableParagraph"/>
              <w:spacing w:before="10"/>
              <w:ind w:right="58"/>
              <w:jc w:val="right"/>
              <w:rPr>
                <w:sz w:val="22"/>
              </w:rPr>
            </w:pPr>
            <w:r>
              <w:rPr>
                <w:sz w:val="22"/>
              </w:rPr>
              <w:t>Grupo</w:t>
            </w:r>
          </w:p>
        </w:tc>
        <w:tc>
          <w:tcPr>
            <w:tcW w:w="1922" w:type="dxa"/>
            <w:gridSpan w:val="2"/>
            <w:tcBorders>
              <w:left w:val="nil"/>
            </w:tcBorders>
          </w:tcPr>
          <w:p>
            <w:pPr>
              <w:pStyle w:val="TableParagraph"/>
              <w:spacing w:before="10"/>
              <w:ind w:left="60"/>
              <w:jc w:val="left"/>
              <w:rPr>
                <w:sz w:val="22"/>
              </w:rPr>
            </w:pPr>
            <w:r>
              <w:rPr>
                <w:sz w:val="22"/>
              </w:rPr>
              <w:t>de edad 3 (6)</w:t>
            </w:r>
          </w:p>
        </w:tc>
        <w:tc>
          <w:tcPr>
            <w:tcW w:w="1087" w:type="dxa"/>
            <w:tcBorders>
              <w:right w:val="single" w:sz="45" w:space="0" w:color="2D74B5"/>
            </w:tcBorders>
          </w:tcPr>
          <w:p>
            <w:pPr>
              <w:pStyle w:val="TableParagraph"/>
              <w:spacing w:before="10"/>
              <w:ind w:left="47"/>
              <w:rPr>
                <w:sz w:val="22"/>
              </w:rPr>
            </w:pPr>
            <w:r>
              <w:rPr>
                <w:w w:val="100"/>
                <w:sz w:val="22"/>
              </w:rPr>
              <w:t>0</w:t>
            </w:r>
          </w:p>
        </w:tc>
        <w:tc>
          <w:tcPr>
            <w:tcW w:w="1148" w:type="dxa"/>
            <w:shd w:val="clear" w:color="auto" w:fill="2D74B5"/>
          </w:tcPr>
          <w:p>
            <w:pPr>
              <w:pStyle w:val="TableParagraph"/>
              <w:spacing w:line="268" w:lineRule="exact"/>
              <w:ind w:left="118" w:right="117"/>
              <w:rPr>
                <w:rFonts w:ascii="Calibri Light"/>
                <w:b w:val="0"/>
                <w:sz w:val="22"/>
              </w:rPr>
            </w:pPr>
            <w:r>
              <w:rPr>
                <w:sz w:val="22"/>
              </w:rPr>
              <w:t>5 </w:t>
            </w:r>
            <w:r>
              <w:rPr>
                <w:rFonts w:ascii="Calibri Light"/>
                <w:b w:val="0"/>
                <w:sz w:val="22"/>
              </w:rPr>
              <w:t>(83.3%)</w:t>
            </w:r>
          </w:p>
        </w:tc>
        <w:tc>
          <w:tcPr>
            <w:tcW w:w="1195" w:type="dxa"/>
            <w:tcBorders>
              <w:left w:val="thickThinMediumGap" w:sz="23" w:space="0" w:color="2D74B5"/>
            </w:tcBorders>
          </w:tcPr>
          <w:p>
            <w:pPr>
              <w:pStyle w:val="TableParagraph"/>
              <w:spacing w:before="10"/>
              <w:ind w:right="52"/>
              <w:rPr>
                <w:sz w:val="22"/>
              </w:rPr>
            </w:pPr>
            <w:r>
              <w:rPr>
                <w:w w:val="100"/>
                <w:sz w:val="22"/>
              </w:rPr>
              <w:t>0</w:t>
            </w:r>
          </w:p>
        </w:tc>
        <w:tc>
          <w:tcPr>
            <w:tcW w:w="1409" w:type="dxa"/>
          </w:tcPr>
          <w:p>
            <w:pPr>
              <w:pStyle w:val="TableParagraph"/>
              <w:spacing w:line="268" w:lineRule="exact"/>
              <w:ind w:left="250" w:right="249"/>
              <w:rPr>
                <w:rFonts w:ascii="Calibri Light"/>
                <w:b w:val="0"/>
                <w:sz w:val="22"/>
              </w:rPr>
            </w:pPr>
            <w:r>
              <w:rPr>
                <w:sz w:val="22"/>
              </w:rPr>
              <w:t>1 </w:t>
            </w:r>
            <w:r>
              <w:rPr>
                <w:rFonts w:ascii="Calibri Light"/>
                <w:b w:val="0"/>
                <w:sz w:val="22"/>
              </w:rPr>
              <w:t>(16%)</w:t>
            </w:r>
          </w:p>
        </w:tc>
        <w:tc>
          <w:tcPr>
            <w:tcW w:w="1409" w:type="dxa"/>
          </w:tcPr>
          <w:p>
            <w:pPr>
              <w:pStyle w:val="TableParagraph"/>
              <w:spacing w:before="10"/>
              <w:ind w:right="2"/>
              <w:rPr>
                <w:sz w:val="22"/>
              </w:rPr>
            </w:pPr>
            <w:r>
              <w:rPr>
                <w:w w:val="100"/>
                <w:sz w:val="22"/>
              </w:rPr>
              <w:t>0</w:t>
            </w:r>
          </w:p>
        </w:tc>
      </w:tr>
      <w:tr>
        <w:trPr>
          <w:trHeight w:val="415"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4 (6)</w:t>
            </w:r>
          </w:p>
        </w:tc>
        <w:tc>
          <w:tcPr>
            <w:tcW w:w="1087" w:type="dxa"/>
            <w:tcBorders>
              <w:right w:val="single" w:sz="45" w:space="0" w:color="9CC2E4"/>
            </w:tcBorders>
          </w:tcPr>
          <w:p>
            <w:pPr>
              <w:pStyle w:val="TableParagraph"/>
              <w:spacing w:line="268" w:lineRule="exact"/>
              <w:ind w:left="169" w:right="122"/>
              <w:rPr>
                <w:rFonts w:ascii="Calibri Light"/>
                <w:b w:val="0"/>
                <w:sz w:val="22"/>
              </w:rPr>
            </w:pPr>
            <w:r>
              <w:rPr>
                <w:sz w:val="22"/>
              </w:rPr>
              <w:t>1 </w:t>
            </w:r>
            <w:r>
              <w:rPr>
                <w:rFonts w:ascii="Calibri Light"/>
                <w:b w:val="0"/>
                <w:sz w:val="22"/>
              </w:rPr>
              <w:t>(16%)</w:t>
            </w:r>
          </w:p>
        </w:tc>
        <w:tc>
          <w:tcPr>
            <w:tcW w:w="1148" w:type="dxa"/>
            <w:shd w:val="clear" w:color="auto" w:fill="9CC2E4"/>
          </w:tcPr>
          <w:p>
            <w:pPr>
              <w:pStyle w:val="TableParagraph"/>
              <w:spacing w:line="268" w:lineRule="exact"/>
              <w:ind w:left="118" w:right="117"/>
              <w:rPr>
                <w:rFonts w:ascii="Calibri Light"/>
                <w:b w:val="0"/>
                <w:sz w:val="22"/>
              </w:rPr>
            </w:pPr>
            <w:r>
              <w:rPr>
                <w:sz w:val="22"/>
              </w:rPr>
              <w:t>2 </w:t>
            </w:r>
            <w:r>
              <w:rPr>
                <w:rFonts w:ascii="Calibri Light"/>
                <w:b w:val="0"/>
                <w:sz w:val="22"/>
              </w:rPr>
              <w:t>(33.3%)</w:t>
            </w:r>
          </w:p>
        </w:tc>
        <w:tc>
          <w:tcPr>
            <w:tcW w:w="1195" w:type="dxa"/>
            <w:tcBorders>
              <w:left w:val="thickThinMediumGap" w:sz="23" w:space="0" w:color="9CC2E4"/>
              <w:right w:val="single" w:sz="42" w:space="0" w:color="9CC2E4"/>
            </w:tcBorders>
          </w:tcPr>
          <w:p>
            <w:pPr>
              <w:pStyle w:val="TableParagraph"/>
              <w:spacing w:line="268" w:lineRule="exact"/>
              <w:ind w:left="173" w:right="178"/>
              <w:rPr>
                <w:rFonts w:ascii="Calibri Light"/>
                <w:b w:val="0"/>
                <w:sz w:val="22"/>
              </w:rPr>
            </w:pPr>
            <w:r>
              <w:rPr>
                <w:sz w:val="22"/>
              </w:rPr>
              <w:t>1 </w:t>
            </w:r>
            <w:r>
              <w:rPr>
                <w:rFonts w:ascii="Calibri Light"/>
                <w:b w:val="0"/>
                <w:sz w:val="22"/>
              </w:rPr>
              <w:t>(16%)</w:t>
            </w:r>
          </w:p>
        </w:tc>
        <w:tc>
          <w:tcPr>
            <w:tcW w:w="1409" w:type="dxa"/>
            <w:shd w:val="clear" w:color="auto" w:fill="9CC2E4"/>
          </w:tcPr>
          <w:p>
            <w:pPr>
              <w:pStyle w:val="TableParagraph"/>
              <w:spacing w:line="268" w:lineRule="exact"/>
              <w:ind w:left="250" w:right="251"/>
              <w:rPr>
                <w:rFonts w:ascii="Calibri Light"/>
                <w:b w:val="0"/>
                <w:sz w:val="22"/>
              </w:rPr>
            </w:pPr>
            <w:r>
              <w:rPr>
                <w:sz w:val="22"/>
              </w:rPr>
              <w:t>2 </w:t>
            </w:r>
            <w:r>
              <w:rPr>
                <w:rFonts w:ascii="Calibri Light"/>
                <w:b w:val="0"/>
                <w:sz w:val="22"/>
              </w:rPr>
              <w:t>(33.3%)</w:t>
            </w:r>
          </w:p>
        </w:tc>
        <w:tc>
          <w:tcPr>
            <w:tcW w:w="1409" w:type="dxa"/>
            <w:tcBorders>
              <w:left w:val="single" w:sz="45" w:space="0" w:color="9CC2E4"/>
            </w:tcBorders>
          </w:tcPr>
          <w:p>
            <w:pPr>
              <w:pStyle w:val="TableParagraph"/>
              <w:spacing w:before="9"/>
              <w:ind w:right="54"/>
              <w:rPr>
                <w:sz w:val="22"/>
              </w:rPr>
            </w:pPr>
            <w:r>
              <w:rPr>
                <w:w w:val="100"/>
                <w:sz w:val="22"/>
              </w:rPr>
              <w:t>0</w:t>
            </w:r>
          </w:p>
        </w:tc>
      </w:tr>
    </w:tbl>
    <w:p>
      <w:pPr>
        <w:spacing w:line="227" w:lineRule="exact" w:before="0"/>
        <w:ind w:left="1453" w:right="339" w:firstLine="0"/>
        <w:jc w:val="left"/>
        <w:rPr>
          <w:b/>
          <w:sz w:val="20"/>
        </w:rPr>
      </w:pPr>
      <w:r>
        <w:rPr>
          <w:b/>
          <w:sz w:val="20"/>
        </w:rPr>
        <w:t>Tabla 4.20. Empresario que impresiona; respuestas por grupo de edad</w:t>
      </w:r>
    </w:p>
    <w:p>
      <w:pPr>
        <w:pStyle w:val="BodyText"/>
        <w:spacing w:before="5"/>
        <w:rPr>
          <w:b/>
          <w:sz w:val="27"/>
        </w:rPr>
      </w:pPr>
    </w:p>
    <w:p>
      <w:pPr>
        <w:pStyle w:val="BodyText"/>
        <w:spacing w:line="360" w:lineRule="auto"/>
        <w:ind w:left="102" w:right="107" w:firstLine="707"/>
        <w:jc w:val="both"/>
      </w:pPr>
      <w:r>
        <w:rPr/>
        <w:t>Para el análisis por nivel de estudios, el nivel superior mostró mayor aceptación a los anglicismos con un 50% de respuestas “de acuerdo” y 25% “muy de acuerdo”. Seguidos del nivel básico con el 37.5% de respuestas “de acuerdo” y un 25% “muy de acuerdo”.</w:t>
      </w:r>
      <w:r>
        <w:rPr>
          <w:spacing w:val="-7"/>
        </w:rPr>
        <w:t> </w:t>
      </w:r>
      <w:r>
        <w:rPr/>
        <w:t>Ahora</w:t>
      </w:r>
      <w:r>
        <w:rPr>
          <w:spacing w:val="-9"/>
        </w:rPr>
        <w:t> </w:t>
      </w:r>
      <w:r>
        <w:rPr/>
        <w:t>bien,</w:t>
      </w:r>
      <w:r>
        <w:rPr>
          <w:spacing w:val="-9"/>
        </w:rPr>
        <w:t> </w:t>
      </w:r>
      <w:r>
        <w:rPr/>
        <w:t>en</w:t>
      </w:r>
      <w:r>
        <w:rPr>
          <w:spacing w:val="-6"/>
        </w:rPr>
        <w:t> </w:t>
      </w:r>
      <w:r>
        <w:rPr/>
        <w:t>el</w:t>
      </w:r>
      <w:r>
        <w:rPr>
          <w:spacing w:val="-7"/>
        </w:rPr>
        <w:t> </w:t>
      </w:r>
      <w:r>
        <w:rPr/>
        <w:t>análisis</w:t>
      </w:r>
      <w:r>
        <w:rPr>
          <w:spacing w:val="-7"/>
        </w:rPr>
        <w:t> </w:t>
      </w:r>
      <w:r>
        <w:rPr/>
        <w:t>del</w:t>
      </w:r>
      <w:r>
        <w:rPr>
          <w:spacing w:val="-7"/>
        </w:rPr>
        <w:t> </w:t>
      </w:r>
      <w:r>
        <w:rPr/>
        <w:t>nivel</w:t>
      </w:r>
      <w:r>
        <w:rPr>
          <w:spacing w:val="-5"/>
        </w:rPr>
        <w:t> </w:t>
      </w:r>
      <w:r>
        <w:rPr/>
        <w:t>medio</w:t>
      </w:r>
      <w:r>
        <w:rPr>
          <w:spacing w:val="-6"/>
        </w:rPr>
        <w:t> </w:t>
      </w:r>
      <w:r>
        <w:rPr/>
        <w:t>superior</w:t>
      </w:r>
      <w:r>
        <w:rPr>
          <w:spacing w:val="-7"/>
        </w:rPr>
        <w:t> </w:t>
      </w:r>
      <w:r>
        <w:rPr/>
        <w:t>el</w:t>
      </w:r>
      <w:r>
        <w:rPr>
          <w:spacing w:val="-7"/>
        </w:rPr>
        <w:t> </w:t>
      </w:r>
      <w:r>
        <w:rPr/>
        <w:t>porcentaje</w:t>
      </w:r>
      <w:r>
        <w:rPr>
          <w:spacing w:val="-6"/>
        </w:rPr>
        <w:t> </w:t>
      </w:r>
      <w:r>
        <w:rPr/>
        <w:t>más</w:t>
      </w:r>
      <w:r>
        <w:rPr>
          <w:spacing w:val="-7"/>
        </w:rPr>
        <w:t> </w:t>
      </w:r>
      <w:r>
        <w:rPr/>
        <w:t>grande</w:t>
      </w:r>
      <w:r>
        <w:rPr>
          <w:spacing w:val="-6"/>
        </w:rPr>
        <w:t> </w:t>
      </w:r>
      <w:r>
        <w:rPr/>
        <w:t>se encuentra</w:t>
      </w:r>
      <w:r>
        <w:rPr>
          <w:spacing w:val="-17"/>
        </w:rPr>
        <w:t> </w:t>
      </w:r>
      <w:r>
        <w:rPr/>
        <w:t>en</w:t>
      </w:r>
      <w:r>
        <w:rPr>
          <w:spacing w:val="-16"/>
        </w:rPr>
        <w:t> </w:t>
      </w:r>
      <w:r>
        <w:rPr/>
        <w:t>la</w:t>
      </w:r>
      <w:r>
        <w:rPr>
          <w:spacing w:val="-14"/>
        </w:rPr>
        <w:t> </w:t>
      </w:r>
      <w:r>
        <w:rPr/>
        <w:t>respuesta</w:t>
      </w:r>
      <w:r>
        <w:rPr>
          <w:spacing w:val="-14"/>
        </w:rPr>
        <w:t> </w:t>
      </w:r>
      <w:r>
        <w:rPr/>
        <w:t>“en</w:t>
      </w:r>
      <w:r>
        <w:rPr>
          <w:spacing w:val="-16"/>
        </w:rPr>
        <w:t> </w:t>
      </w:r>
      <w:r>
        <w:rPr/>
        <w:t>desacuerdo”</w:t>
      </w:r>
      <w:r>
        <w:rPr>
          <w:spacing w:val="-16"/>
        </w:rPr>
        <w:t> </w:t>
      </w:r>
      <w:r>
        <w:rPr/>
        <w:t>con</w:t>
      </w:r>
      <w:r>
        <w:rPr>
          <w:spacing w:val="-14"/>
        </w:rPr>
        <w:t> </w:t>
      </w:r>
      <w:r>
        <w:rPr/>
        <w:t>un</w:t>
      </w:r>
      <w:r>
        <w:rPr>
          <w:spacing w:val="-14"/>
        </w:rPr>
        <w:t> </w:t>
      </w:r>
      <w:r>
        <w:rPr/>
        <w:t>37.5%,</w:t>
      </w:r>
      <w:r>
        <w:rPr>
          <w:spacing w:val="-14"/>
        </w:rPr>
        <w:t> </w:t>
      </w:r>
      <w:r>
        <w:rPr/>
        <w:t>no</w:t>
      </w:r>
      <w:r>
        <w:rPr>
          <w:spacing w:val="-14"/>
        </w:rPr>
        <w:t> </w:t>
      </w:r>
      <w:r>
        <w:rPr/>
        <w:t>obstante,</w:t>
      </w:r>
      <w:r>
        <w:rPr>
          <w:spacing w:val="-14"/>
        </w:rPr>
        <w:t> </w:t>
      </w:r>
      <w:r>
        <w:rPr/>
        <w:t>se</w:t>
      </w:r>
      <w:r>
        <w:rPr>
          <w:spacing w:val="-16"/>
        </w:rPr>
        <w:t> </w:t>
      </w:r>
      <w:r>
        <w:rPr/>
        <w:t>puede</w:t>
      </w:r>
      <w:r>
        <w:rPr>
          <w:spacing w:val="-14"/>
        </w:rPr>
        <w:t> </w:t>
      </w:r>
      <w:r>
        <w:rPr/>
        <w:t>apreciar un 25% en la respuesta “de acuerdo” y un 12.5% “muy de acuerdo” empatando el porcentaje de las respuestas “en desacuerdo” (Ver tabla</w:t>
      </w:r>
      <w:r>
        <w:rPr>
          <w:spacing w:val="-21"/>
        </w:rPr>
        <w:t> </w:t>
      </w:r>
      <w:r>
        <w:rPr/>
        <w:t>4.21.).</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6"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7</w:t>
            </w:r>
          </w:p>
        </w:tc>
        <w:tc>
          <w:tcPr>
            <w:tcW w:w="1724" w:type="dxa"/>
            <w:vMerge w:val="restart"/>
          </w:tcPr>
          <w:p>
            <w:pPr>
              <w:pStyle w:val="TableParagraph"/>
              <w:spacing w:line="357" w:lineRule="auto" w:before="12"/>
              <w:ind w:left="218" w:right="222" w:firstLine="5"/>
              <w:rPr>
                <w:b/>
                <w:sz w:val="22"/>
              </w:rPr>
            </w:pPr>
            <w:r>
              <w:rPr>
                <w:sz w:val="22"/>
              </w:rPr>
              <w:t>Tipo de Aseveración: </w:t>
            </w:r>
            <w:r>
              <w:rPr>
                <w:b/>
                <w:sz w:val="22"/>
              </w:rPr>
              <w:t>Favorable</w:t>
            </w:r>
          </w:p>
        </w:tc>
        <w:tc>
          <w:tcPr>
            <w:tcW w:w="6246" w:type="dxa"/>
            <w:gridSpan w:val="5"/>
          </w:tcPr>
          <w:p>
            <w:pPr>
              <w:pStyle w:val="TableParagraph"/>
              <w:spacing w:before="7"/>
              <w:ind w:left="2516" w:right="2516"/>
              <w:rPr>
                <w:sz w:val="22"/>
              </w:rPr>
            </w:pPr>
            <w:r>
              <w:rPr>
                <w:sz w:val="22"/>
              </w:rPr>
              <w:t>Respuestas</w:t>
            </w:r>
          </w:p>
        </w:tc>
      </w:tr>
      <w:tr>
        <w:trPr>
          <w:trHeight w:val="770"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9"/>
              <w:ind w:left="83" w:right="81"/>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Pr>
          <w:p>
            <w:pPr>
              <w:pStyle w:val="TableParagraph"/>
              <w:spacing w:before="9"/>
              <w:ind w:left="799"/>
              <w:jc w:val="left"/>
              <w:rPr>
                <w:sz w:val="22"/>
              </w:rPr>
            </w:pPr>
            <w:r>
              <w:rPr>
                <w:sz w:val="22"/>
              </w:rPr>
              <w:t>Nivel Básico (8)</w:t>
            </w:r>
          </w:p>
        </w:tc>
        <w:tc>
          <w:tcPr>
            <w:tcW w:w="1148" w:type="dxa"/>
            <w:tcBorders>
              <w:right w:val="single" w:sz="41" w:space="0" w:color="2D74B5"/>
            </w:tcBorders>
          </w:tcPr>
          <w:p>
            <w:pPr>
              <w:pStyle w:val="TableParagraph"/>
              <w:spacing w:line="265" w:lineRule="exact"/>
              <w:ind w:left="114" w:right="75"/>
              <w:rPr>
                <w:rFonts w:ascii="Calibri Light"/>
                <w:b w:val="0"/>
                <w:sz w:val="22"/>
              </w:rPr>
            </w:pPr>
            <w:r>
              <w:rPr>
                <w:sz w:val="22"/>
              </w:rPr>
              <w:t>2 </w:t>
            </w:r>
            <w:r>
              <w:rPr>
                <w:rFonts w:ascii="Calibri Light"/>
                <w:b w:val="0"/>
                <w:sz w:val="22"/>
              </w:rPr>
              <w:t>(25%)</w:t>
            </w:r>
          </w:p>
        </w:tc>
        <w:tc>
          <w:tcPr>
            <w:tcW w:w="1121" w:type="dxa"/>
            <w:shd w:val="clear" w:color="auto" w:fill="2D74B5"/>
          </w:tcPr>
          <w:p>
            <w:pPr>
              <w:pStyle w:val="TableParagraph"/>
              <w:spacing w:line="265" w:lineRule="exact"/>
              <w:ind w:left="57" w:right="99"/>
              <w:rPr>
                <w:rFonts w:ascii="Calibri Light"/>
                <w:b w:val="0"/>
                <w:sz w:val="22"/>
              </w:rPr>
            </w:pPr>
            <w:r>
              <w:rPr>
                <w:sz w:val="22"/>
              </w:rPr>
              <w:t>3 </w:t>
            </w:r>
            <w:r>
              <w:rPr>
                <w:rFonts w:ascii="Calibri Light"/>
                <w:b w:val="0"/>
                <w:sz w:val="22"/>
              </w:rPr>
              <w:t>(37.5%)</w:t>
            </w:r>
          </w:p>
        </w:tc>
        <w:tc>
          <w:tcPr>
            <w:tcW w:w="1244" w:type="dxa"/>
            <w:tcBorders>
              <w:left w:val="single" w:sz="45" w:space="0" w:color="2D74B5"/>
            </w:tcBorders>
          </w:tcPr>
          <w:p>
            <w:pPr>
              <w:pStyle w:val="TableParagraph"/>
              <w:spacing w:line="265" w:lineRule="exact"/>
              <w:ind w:left="110" w:right="159"/>
              <w:rPr>
                <w:rFonts w:ascii="Calibri Light"/>
                <w:b w:val="0"/>
                <w:sz w:val="22"/>
              </w:rPr>
            </w:pPr>
            <w:r>
              <w:rPr>
                <w:sz w:val="22"/>
              </w:rPr>
              <w:t>1 </w:t>
            </w:r>
            <w:r>
              <w:rPr>
                <w:rFonts w:ascii="Calibri Light"/>
                <w:b w:val="0"/>
                <w:sz w:val="22"/>
              </w:rPr>
              <w:t>(12.5%)</w:t>
            </w:r>
          </w:p>
        </w:tc>
        <w:tc>
          <w:tcPr>
            <w:tcW w:w="1368" w:type="dxa"/>
          </w:tcPr>
          <w:p>
            <w:pPr>
              <w:pStyle w:val="TableParagraph"/>
              <w:spacing w:line="265" w:lineRule="exact"/>
              <w:ind w:left="223" w:right="224"/>
              <w:rPr>
                <w:rFonts w:ascii="Calibri Light"/>
                <w:b w:val="0"/>
                <w:sz w:val="22"/>
              </w:rPr>
            </w:pPr>
            <w:r>
              <w:rPr>
                <w:sz w:val="22"/>
              </w:rPr>
              <w:t>2 </w:t>
            </w:r>
            <w:r>
              <w:rPr>
                <w:rFonts w:ascii="Calibri Light"/>
                <w:b w:val="0"/>
                <w:sz w:val="22"/>
              </w:rPr>
              <w:t>(25%)</w:t>
            </w:r>
          </w:p>
        </w:tc>
        <w:tc>
          <w:tcPr>
            <w:tcW w:w="1366" w:type="dxa"/>
          </w:tcPr>
          <w:p>
            <w:pPr>
              <w:pStyle w:val="TableParagraph"/>
              <w:spacing w:before="9"/>
              <w:ind w:left="614"/>
              <w:jc w:val="left"/>
              <w:rPr>
                <w:sz w:val="22"/>
              </w:rPr>
            </w:pPr>
            <w:r>
              <w:rPr>
                <w:w w:val="100"/>
                <w:sz w:val="22"/>
              </w:rPr>
              <w:t>0</w:t>
            </w:r>
          </w:p>
        </w:tc>
      </w:tr>
      <w:tr>
        <w:trPr>
          <w:trHeight w:val="413" w:hRule="exact"/>
        </w:trPr>
        <w:tc>
          <w:tcPr>
            <w:tcW w:w="3152" w:type="dxa"/>
            <w:gridSpan w:val="2"/>
          </w:tcPr>
          <w:p>
            <w:pPr>
              <w:pStyle w:val="TableParagraph"/>
              <w:spacing w:before="9"/>
              <w:ind w:left="383"/>
              <w:jc w:val="left"/>
              <w:rPr>
                <w:sz w:val="22"/>
              </w:rPr>
            </w:pPr>
            <w:r>
              <w:rPr>
                <w:sz w:val="22"/>
              </w:rPr>
              <w:t>Nivel Medio Superior (8)</w:t>
            </w:r>
          </w:p>
        </w:tc>
        <w:tc>
          <w:tcPr>
            <w:tcW w:w="1148" w:type="dxa"/>
          </w:tcPr>
          <w:p>
            <w:pPr>
              <w:pStyle w:val="TableParagraph"/>
              <w:spacing w:line="265" w:lineRule="exact"/>
              <w:ind w:left="117" w:right="119"/>
              <w:rPr>
                <w:rFonts w:ascii="Calibri Light"/>
                <w:b w:val="0"/>
                <w:sz w:val="22"/>
              </w:rPr>
            </w:pPr>
            <w:r>
              <w:rPr>
                <w:sz w:val="22"/>
              </w:rPr>
              <w:t>1 </w:t>
            </w:r>
            <w:r>
              <w:rPr>
                <w:rFonts w:ascii="Calibri Light"/>
                <w:b w:val="0"/>
                <w:sz w:val="22"/>
              </w:rPr>
              <w:t>(12.5%)</w:t>
            </w:r>
          </w:p>
        </w:tc>
        <w:tc>
          <w:tcPr>
            <w:tcW w:w="1121" w:type="dxa"/>
          </w:tcPr>
          <w:p>
            <w:pPr>
              <w:pStyle w:val="TableParagraph"/>
              <w:spacing w:line="265" w:lineRule="exact"/>
              <w:ind w:left="85" w:right="85"/>
              <w:rPr>
                <w:rFonts w:ascii="Calibri Light"/>
                <w:b w:val="0"/>
                <w:sz w:val="22"/>
              </w:rPr>
            </w:pPr>
            <w:r>
              <w:rPr>
                <w:sz w:val="22"/>
              </w:rPr>
              <w:t>2 </w:t>
            </w:r>
            <w:r>
              <w:rPr>
                <w:rFonts w:ascii="Calibri Light"/>
                <w:b w:val="0"/>
                <w:sz w:val="22"/>
              </w:rPr>
              <w:t>(25%)</w:t>
            </w:r>
          </w:p>
        </w:tc>
        <w:tc>
          <w:tcPr>
            <w:tcW w:w="1244" w:type="dxa"/>
            <w:tcBorders>
              <w:right w:val="single" w:sz="41" w:space="0" w:color="2D74B5"/>
            </w:tcBorders>
          </w:tcPr>
          <w:p>
            <w:pPr>
              <w:pStyle w:val="TableParagraph"/>
              <w:spacing w:line="265" w:lineRule="exact"/>
              <w:ind w:left="165" w:right="121"/>
              <w:rPr>
                <w:rFonts w:ascii="Calibri Light"/>
                <w:b w:val="0"/>
                <w:sz w:val="22"/>
              </w:rPr>
            </w:pPr>
            <w:r>
              <w:rPr>
                <w:sz w:val="22"/>
              </w:rPr>
              <w:t>2 </w:t>
            </w:r>
            <w:r>
              <w:rPr>
                <w:rFonts w:ascii="Calibri Light"/>
                <w:b w:val="0"/>
                <w:sz w:val="22"/>
              </w:rPr>
              <w:t>(25%)</w:t>
            </w:r>
          </w:p>
        </w:tc>
        <w:tc>
          <w:tcPr>
            <w:tcW w:w="1368" w:type="dxa"/>
            <w:shd w:val="clear" w:color="auto" w:fill="2D74B5"/>
          </w:tcPr>
          <w:p>
            <w:pPr>
              <w:pStyle w:val="TableParagraph"/>
              <w:spacing w:line="265" w:lineRule="exact"/>
              <w:ind w:left="222" w:right="224"/>
              <w:rPr>
                <w:rFonts w:ascii="Calibri Light"/>
                <w:b w:val="0"/>
                <w:sz w:val="22"/>
              </w:rPr>
            </w:pPr>
            <w:r>
              <w:rPr>
                <w:sz w:val="22"/>
              </w:rPr>
              <w:t>3 </w:t>
            </w:r>
            <w:r>
              <w:rPr>
                <w:rFonts w:ascii="Calibri Light"/>
                <w:b w:val="0"/>
                <w:sz w:val="22"/>
              </w:rPr>
              <w:t>(37.5%)</w:t>
            </w:r>
          </w:p>
        </w:tc>
        <w:tc>
          <w:tcPr>
            <w:tcW w:w="1366" w:type="dxa"/>
            <w:tcBorders>
              <w:left w:val="thickThinMediumGap" w:sz="23" w:space="0" w:color="2D74B5"/>
            </w:tcBorders>
          </w:tcPr>
          <w:p>
            <w:pPr>
              <w:pStyle w:val="TableParagraph"/>
              <w:spacing w:before="9"/>
              <w:ind w:left="561"/>
              <w:jc w:val="left"/>
              <w:rPr>
                <w:sz w:val="22"/>
              </w:rPr>
            </w:pPr>
            <w:r>
              <w:rPr>
                <w:w w:val="100"/>
                <w:sz w:val="22"/>
              </w:rPr>
              <w:t>0</w:t>
            </w:r>
          </w:p>
        </w:tc>
      </w:tr>
      <w:tr>
        <w:trPr>
          <w:trHeight w:val="413" w:hRule="exact"/>
        </w:trPr>
        <w:tc>
          <w:tcPr>
            <w:tcW w:w="3152" w:type="dxa"/>
            <w:gridSpan w:val="2"/>
          </w:tcPr>
          <w:p>
            <w:pPr>
              <w:pStyle w:val="TableParagraph"/>
              <w:spacing w:before="9"/>
              <w:ind w:left="712"/>
              <w:jc w:val="left"/>
              <w:rPr>
                <w:sz w:val="22"/>
              </w:rPr>
            </w:pPr>
            <w:r>
              <w:rPr>
                <w:sz w:val="22"/>
              </w:rPr>
              <w:t>Nivel Superior (8)</w:t>
            </w:r>
          </w:p>
        </w:tc>
        <w:tc>
          <w:tcPr>
            <w:tcW w:w="1148" w:type="dxa"/>
            <w:tcBorders>
              <w:right w:val="single" w:sz="41" w:space="0" w:color="2D74B5"/>
            </w:tcBorders>
          </w:tcPr>
          <w:p>
            <w:pPr>
              <w:pStyle w:val="TableParagraph"/>
              <w:spacing w:line="265" w:lineRule="exact"/>
              <w:ind w:left="114" w:right="75"/>
              <w:rPr>
                <w:rFonts w:ascii="Calibri Light"/>
                <w:b w:val="0"/>
                <w:sz w:val="22"/>
              </w:rPr>
            </w:pPr>
            <w:r>
              <w:rPr>
                <w:sz w:val="22"/>
              </w:rPr>
              <w:t>2 </w:t>
            </w:r>
            <w:r>
              <w:rPr>
                <w:rFonts w:ascii="Calibri Light"/>
                <w:b w:val="0"/>
                <w:sz w:val="22"/>
              </w:rPr>
              <w:t>(25%)</w:t>
            </w:r>
          </w:p>
        </w:tc>
        <w:tc>
          <w:tcPr>
            <w:tcW w:w="1121" w:type="dxa"/>
            <w:shd w:val="clear" w:color="auto" w:fill="2D74B5"/>
          </w:tcPr>
          <w:p>
            <w:pPr>
              <w:pStyle w:val="TableParagraph"/>
              <w:spacing w:line="265" w:lineRule="exact"/>
              <w:ind w:left="85" w:right="85"/>
              <w:rPr>
                <w:rFonts w:ascii="Calibri Light"/>
                <w:b w:val="0"/>
                <w:sz w:val="22"/>
              </w:rPr>
            </w:pPr>
            <w:r>
              <w:rPr>
                <w:sz w:val="22"/>
              </w:rPr>
              <w:t>4 </w:t>
            </w:r>
            <w:r>
              <w:rPr>
                <w:rFonts w:ascii="Calibri Light"/>
                <w:b w:val="0"/>
                <w:sz w:val="22"/>
              </w:rPr>
              <w:t>(50%)</w:t>
            </w:r>
          </w:p>
        </w:tc>
        <w:tc>
          <w:tcPr>
            <w:tcW w:w="1244" w:type="dxa"/>
            <w:tcBorders>
              <w:left w:val="single" w:sz="45" w:space="0" w:color="2D74B5"/>
            </w:tcBorders>
          </w:tcPr>
          <w:p>
            <w:pPr>
              <w:pStyle w:val="TableParagraph"/>
              <w:spacing w:before="9"/>
              <w:ind w:right="52"/>
              <w:rPr>
                <w:sz w:val="22"/>
              </w:rPr>
            </w:pPr>
            <w:r>
              <w:rPr>
                <w:w w:val="100"/>
                <w:sz w:val="22"/>
              </w:rPr>
              <w:t>0</w:t>
            </w:r>
          </w:p>
        </w:tc>
        <w:tc>
          <w:tcPr>
            <w:tcW w:w="1368" w:type="dxa"/>
          </w:tcPr>
          <w:p>
            <w:pPr>
              <w:pStyle w:val="TableParagraph"/>
              <w:spacing w:line="265" w:lineRule="exact"/>
              <w:ind w:left="223" w:right="224"/>
              <w:rPr>
                <w:rFonts w:ascii="Calibri Light"/>
                <w:b w:val="0"/>
                <w:sz w:val="22"/>
              </w:rPr>
            </w:pPr>
            <w:r>
              <w:rPr>
                <w:sz w:val="22"/>
              </w:rPr>
              <w:t>2 </w:t>
            </w:r>
            <w:r>
              <w:rPr>
                <w:rFonts w:ascii="Calibri Light"/>
                <w:b w:val="0"/>
                <w:sz w:val="22"/>
              </w:rPr>
              <w:t>(25%)</w:t>
            </w:r>
          </w:p>
        </w:tc>
        <w:tc>
          <w:tcPr>
            <w:tcW w:w="1366" w:type="dxa"/>
          </w:tcPr>
          <w:p>
            <w:pPr>
              <w:pStyle w:val="TableParagraph"/>
              <w:spacing w:before="9"/>
              <w:ind w:left="614"/>
              <w:jc w:val="left"/>
              <w:rPr>
                <w:sz w:val="22"/>
              </w:rPr>
            </w:pPr>
            <w:r>
              <w:rPr>
                <w:w w:val="100"/>
                <w:sz w:val="22"/>
              </w:rPr>
              <w:t>0</w:t>
            </w:r>
          </w:p>
        </w:tc>
      </w:tr>
    </w:tbl>
    <w:p>
      <w:pPr>
        <w:spacing w:line="227" w:lineRule="exact" w:before="0"/>
        <w:ind w:left="1330" w:right="339" w:firstLine="0"/>
        <w:jc w:val="left"/>
        <w:rPr>
          <w:b/>
          <w:sz w:val="20"/>
        </w:rPr>
      </w:pPr>
      <w:r>
        <w:rPr>
          <w:b/>
          <w:sz w:val="20"/>
        </w:rPr>
        <w:t>Tabla 4.21. Empresario que impresiona; respuestas por nivel de estudios</w:t>
      </w:r>
    </w:p>
    <w:p>
      <w:pPr>
        <w:pStyle w:val="BodyText"/>
        <w:spacing w:before="5"/>
        <w:rPr>
          <w:b/>
          <w:sz w:val="27"/>
        </w:rPr>
      </w:pPr>
    </w:p>
    <w:p>
      <w:pPr>
        <w:pStyle w:val="BodyText"/>
        <w:spacing w:line="360" w:lineRule="auto"/>
        <w:ind w:left="102" w:right="108" w:firstLine="707"/>
        <w:jc w:val="both"/>
      </w:pPr>
      <w:r>
        <w:rPr/>
        <w:t>En cuanto a la aseveración 8, </w:t>
      </w:r>
      <w:r>
        <w:rPr>
          <w:b/>
        </w:rPr>
        <w:t>“Las estadísticas en la grabación son narradas sin</w:t>
      </w:r>
      <w:r>
        <w:rPr>
          <w:b/>
          <w:spacing w:val="-8"/>
        </w:rPr>
        <w:t> </w:t>
      </w:r>
      <w:r>
        <w:rPr>
          <w:b/>
        </w:rPr>
        <w:t>autoridad,</w:t>
      </w:r>
      <w:r>
        <w:rPr>
          <w:b/>
          <w:spacing w:val="-8"/>
        </w:rPr>
        <w:t> </w:t>
      </w:r>
      <w:r>
        <w:rPr>
          <w:b/>
        </w:rPr>
        <w:t>tanto,</w:t>
      </w:r>
      <w:r>
        <w:rPr>
          <w:b/>
          <w:spacing w:val="-10"/>
        </w:rPr>
        <w:t> </w:t>
      </w:r>
      <w:r>
        <w:rPr>
          <w:b/>
        </w:rPr>
        <w:t>que</w:t>
      </w:r>
      <w:r>
        <w:rPr>
          <w:b/>
          <w:spacing w:val="-8"/>
        </w:rPr>
        <w:t> </w:t>
      </w:r>
      <w:r>
        <w:rPr>
          <w:b/>
        </w:rPr>
        <w:t>es</w:t>
      </w:r>
      <w:r>
        <w:rPr>
          <w:b/>
          <w:spacing w:val="-7"/>
        </w:rPr>
        <w:t> </w:t>
      </w:r>
      <w:r>
        <w:rPr>
          <w:b/>
        </w:rPr>
        <w:t>improbable</w:t>
      </w:r>
      <w:r>
        <w:rPr>
          <w:b/>
          <w:spacing w:val="-7"/>
        </w:rPr>
        <w:t> </w:t>
      </w:r>
      <w:r>
        <w:rPr>
          <w:b/>
        </w:rPr>
        <w:t>que</w:t>
      </w:r>
      <w:r>
        <w:rPr>
          <w:b/>
          <w:spacing w:val="-8"/>
        </w:rPr>
        <w:t> </w:t>
      </w:r>
      <w:r>
        <w:rPr>
          <w:b/>
        </w:rPr>
        <w:t>sean</w:t>
      </w:r>
      <w:r>
        <w:rPr>
          <w:b/>
          <w:spacing w:val="-8"/>
        </w:rPr>
        <w:t> </w:t>
      </w:r>
      <w:r>
        <w:rPr>
          <w:b/>
        </w:rPr>
        <w:t>parte</w:t>
      </w:r>
      <w:r>
        <w:rPr>
          <w:b/>
          <w:spacing w:val="-7"/>
        </w:rPr>
        <w:t> </w:t>
      </w:r>
      <w:r>
        <w:rPr>
          <w:b/>
        </w:rPr>
        <w:t>de</w:t>
      </w:r>
      <w:r>
        <w:rPr>
          <w:b/>
          <w:spacing w:val="-8"/>
        </w:rPr>
        <w:t> </w:t>
      </w:r>
      <w:r>
        <w:rPr>
          <w:b/>
        </w:rPr>
        <w:t>una</w:t>
      </w:r>
      <w:r>
        <w:rPr>
          <w:b/>
          <w:spacing w:val="-10"/>
        </w:rPr>
        <w:t> </w:t>
      </w:r>
      <w:r>
        <w:rPr>
          <w:b/>
        </w:rPr>
        <w:t>institución</w:t>
      </w:r>
      <w:r>
        <w:rPr>
          <w:b/>
          <w:spacing w:val="-8"/>
        </w:rPr>
        <w:t> </w:t>
      </w:r>
      <w:r>
        <w:rPr>
          <w:b/>
        </w:rPr>
        <w:t>bancaria, por</w:t>
      </w:r>
      <w:r>
        <w:rPr>
          <w:b/>
          <w:spacing w:val="-17"/>
        </w:rPr>
        <w:t> </w:t>
      </w:r>
      <w:r>
        <w:rPr>
          <w:b/>
        </w:rPr>
        <w:t>ejemplo”</w:t>
      </w:r>
      <w:r>
        <w:rPr/>
        <w:t>,</w:t>
      </w:r>
      <w:r>
        <w:rPr>
          <w:spacing w:val="-16"/>
        </w:rPr>
        <w:t> </w:t>
      </w:r>
      <w:r>
        <w:rPr/>
        <w:t>que</w:t>
      </w:r>
      <w:r>
        <w:rPr>
          <w:spacing w:val="-16"/>
        </w:rPr>
        <w:t> </w:t>
      </w:r>
      <w:r>
        <w:rPr/>
        <w:t>tiene</w:t>
      </w:r>
      <w:r>
        <w:rPr>
          <w:spacing w:val="-16"/>
        </w:rPr>
        <w:t> </w:t>
      </w:r>
      <w:r>
        <w:rPr/>
        <w:t>un</w:t>
      </w:r>
      <w:r>
        <w:rPr>
          <w:spacing w:val="-16"/>
        </w:rPr>
        <w:t> </w:t>
      </w:r>
      <w:r>
        <w:rPr/>
        <w:t>sentido</w:t>
      </w:r>
      <w:r>
        <w:rPr>
          <w:spacing w:val="-16"/>
        </w:rPr>
        <w:t> </w:t>
      </w:r>
      <w:r>
        <w:rPr/>
        <w:t>negativo</w:t>
      </w:r>
      <w:r>
        <w:rPr>
          <w:spacing w:val="-16"/>
        </w:rPr>
        <w:t> </w:t>
      </w:r>
      <w:r>
        <w:rPr/>
        <w:t>para</w:t>
      </w:r>
      <w:r>
        <w:rPr>
          <w:spacing w:val="-16"/>
        </w:rPr>
        <w:t> </w:t>
      </w:r>
      <w:r>
        <w:rPr/>
        <w:t>la</w:t>
      </w:r>
      <w:r>
        <w:rPr>
          <w:spacing w:val="-16"/>
        </w:rPr>
        <w:t> </w:t>
      </w:r>
      <w:r>
        <w:rPr/>
        <w:t>grabación</w:t>
      </w:r>
      <w:r>
        <w:rPr>
          <w:spacing w:val="-15"/>
        </w:rPr>
        <w:t> </w:t>
      </w:r>
      <w:r>
        <w:rPr/>
        <w:t>1</w:t>
      </w:r>
      <w:r>
        <w:rPr>
          <w:spacing w:val="-16"/>
        </w:rPr>
        <w:t> </w:t>
      </w:r>
      <w:r>
        <w:rPr/>
        <w:t>con</w:t>
      </w:r>
      <w:r>
        <w:rPr>
          <w:spacing w:val="-16"/>
        </w:rPr>
        <w:t> </w:t>
      </w:r>
      <w:r>
        <w:rPr/>
        <w:t>anglicismos</w:t>
      </w:r>
      <w:r>
        <w:rPr>
          <w:spacing w:val="-16"/>
        </w:rPr>
        <w:t> </w:t>
      </w:r>
      <w:r>
        <w:rPr/>
        <w:t>muestra que en la totalidad de la población no se puede determinar una inclinación especifica mostrando</w:t>
      </w:r>
      <w:r>
        <w:rPr>
          <w:spacing w:val="-13"/>
        </w:rPr>
        <w:t> </w:t>
      </w:r>
      <w:r>
        <w:rPr/>
        <w:t>un</w:t>
      </w:r>
      <w:r>
        <w:rPr>
          <w:spacing w:val="-16"/>
        </w:rPr>
        <w:t> </w:t>
      </w:r>
      <w:r>
        <w:rPr/>
        <w:t>33.3%</w:t>
      </w:r>
      <w:r>
        <w:rPr>
          <w:spacing w:val="-14"/>
        </w:rPr>
        <w:t> </w:t>
      </w:r>
      <w:r>
        <w:rPr/>
        <w:t>“de</w:t>
      </w:r>
      <w:r>
        <w:rPr>
          <w:spacing w:val="-13"/>
        </w:rPr>
        <w:t> </w:t>
      </w:r>
      <w:r>
        <w:rPr/>
        <w:t>acuerdo”</w:t>
      </w:r>
      <w:r>
        <w:rPr>
          <w:spacing w:val="-15"/>
        </w:rPr>
        <w:t> </w:t>
      </w:r>
      <w:r>
        <w:rPr/>
        <w:t>y</w:t>
      </w:r>
      <w:r>
        <w:rPr>
          <w:spacing w:val="-16"/>
        </w:rPr>
        <w:t> </w:t>
      </w:r>
      <w:r>
        <w:rPr/>
        <w:t>un</w:t>
      </w:r>
      <w:r>
        <w:rPr>
          <w:spacing w:val="-13"/>
        </w:rPr>
        <w:t> </w:t>
      </w:r>
      <w:r>
        <w:rPr/>
        <w:t>33.3%</w:t>
      </w:r>
      <w:r>
        <w:rPr>
          <w:spacing w:val="-14"/>
        </w:rPr>
        <w:t> </w:t>
      </w:r>
      <w:r>
        <w:rPr/>
        <w:t>“en</w:t>
      </w:r>
      <w:r>
        <w:rPr>
          <w:spacing w:val="-13"/>
        </w:rPr>
        <w:t> </w:t>
      </w:r>
      <w:r>
        <w:rPr/>
        <w:t>desacuerdo”.</w:t>
      </w:r>
      <w:r>
        <w:rPr>
          <w:spacing w:val="-14"/>
        </w:rPr>
        <w:t> </w:t>
      </w:r>
      <w:r>
        <w:rPr/>
        <w:t>En</w:t>
      </w:r>
      <w:r>
        <w:rPr>
          <w:spacing w:val="-15"/>
        </w:rPr>
        <w:t> </w:t>
      </w:r>
      <w:r>
        <w:rPr/>
        <w:t>el</w:t>
      </w:r>
      <w:r>
        <w:rPr>
          <w:spacing w:val="-14"/>
        </w:rPr>
        <w:t> </w:t>
      </w:r>
      <w:r>
        <w:rPr/>
        <w:t>análisis</w:t>
      </w:r>
      <w:r>
        <w:rPr>
          <w:spacing w:val="-14"/>
        </w:rPr>
        <w:t> </w:t>
      </w:r>
      <w:r>
        <w:rPr/>
        <w:t>por</w:t>
      </w:r>
      <w:r>
        <w:rPr>
          <w:spacing w:val="-15"/>
        </w:rPr>
        <w:t> </w:t>
      </w:r>
      <w:r>
        <w:rPr/>
        <w:t>género, en la tabla 4.22. se muestra que la mayoría de las mujeres es indiferente ante la aseveración. A pesar de ello, cabe resaltar que apenas un sujeto menos de la respuesta “indiferente” se encuentra “en desacuerdo”. Por último los hombres mostraron mayoría de respuestas “de acuerdo” con un 50%, lo que implica desfavorecer </w:t>
      </w:r>
      <w:r>
        <w:rPr>
          <w:spacing w:val="5"/>
        </w:rPr>
        <w:t>el </w:t>
      </w:r>
      <w:r>
        <w:rPr/>
        <w:t>uso de anglicismos.</w:t>
      </w:r>
    </w:p>
    <w:p>
      <w:pPr>
        <w:pStyle w:val="BodyText"/>
        <w:spacing w:before="11"/>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7"/>
        <w:gridCol w:w="1367"/>
      </w:tblGrid>
      <w:tr>
        <w:trPr>
          <w:trHeight w:val="408"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8</w:t>
            </w:r>
          </w:p>
        </w:tc>
        <w:tc>
          <w:tcPr>
            <w:tcW w:w="1724" w:type="dxa"/>
            <w:vMerge w:val="restart"/>
          </w:tcPr>
          <w:p>
            <w:pPr>
              <w:pStyle w:val="TableParagraph"/>
              <w:spacing w:line="357" w:lineRule="auto" w:before="12"/>
              <w:ind w:left="163" w:right="166" w:firstLine="4"/>
              <w:rPr>
                <w:b/>
                <w:sz w:val="22"/>
              </w:rPr>
            </w:pPr>
            <w:r>
              <w:rPr>
                <w:sz w:val="22"/>
              </w:rPr>
              <w:t>Tipo de Aseveración: </w:t>
            </w:r>
            <w:r>
              <w:rPr>
                <w:b/>
                <w:sz w:val="22"/>
              </w:rPr>
              <w:t>Desfavorable</w:t>
            </w:r>
          </w:p>
        </w:tc>
        <w:tc>
          <w:tcPr>
            <w:tcW w:w="6246" w:type="dxa"/>
            <w:gridSpan w:val="5"/>
          </w:tcPr>
          <w:p>
            <w:pPr>
              <w:pStyle w:val="TableParagraph"/>
              <w:spacing w:before="7"/>
              <w:ind w:left="2516" w:right="2516"/>
              <w:rPr>
                <w:sz w:val="22"/>
              </w:rPr>
            </w:pPr>
            <w:r>
              <w:rPr>
                <w:sz w:val="22"/>
              </w:rPr>
              <w:t>Respuestas</w:t>
            </w:r>
          </w:p>
        </w:tc>
      </w:tr>
      <w:tr>
        <w:trPr>
          <w:trHeight w:val="768"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7" w:type="dxa"/>
          </w:tcPr>
          <w:p>
            <w:pPr>
              <w:pStyle w:val="TableParagraph"/>
              <w:spacing w:line="360" w:lineRule="auto"/>
              <w:ind w:left="103" w:right="84" w:firstLine="439"/>
              <w:jc w:val="left"/>
              <w:rPr>
                <w:sz w:val="22"/>
              </w:rPr>
            </w:pPr>
            <w:r>
              <w:rPr>
                <w:sz w:val="22"/>
              </w:rPr>
              <w:t>En desacuerdo</w:t>
            </w:r>
          </w:p>
        </w:tc>
        <w:tc>
          <w:tcPr>
            <w:tcW w:w="1367" w:type="dxa"/>
          </w:tcPr>
          <w:p>
            <w:pPr>
              <w:pStyle w:val="TableParagraph"/>
              <w:spacing w:line="360" w:lineRule="auto"/>
              <w:ind w:left="102" w:right="85" w:firstLine="213"/>
              <w:jc w:val="left"/>
              <w:rPr>
                <w:sz w:val="22"/>
              </w:rPr>
            </w:pPr>
            <w:r>
              <w:rPr>
                <w:sz w:val="22"/>
              </w:rPr>
              <w:t>Muy en desacuerdo</w:t>
            </w:r>
          </w:p>
        </w:tc>
      </w:tr>
      <w:tr>
        <w:trPr>
          <w:trHeight w:val="413" w:hRule="exact"/>
        </w:trPr>
        <w:tc>
          <w:tcPr>
            <w:tcW w:w="3152" w:type="dxa"/>
            <w:gridSpan w:val="2"/>
          </w:tcPr>
          <w:p>
            <w:pPr>
              <w:pStyle w:val="TableParagraph"/>
              <w:spacing w:before="9"/>
              <w:ind w:left="326"/>
              <w:jc w:val="left"/>
              <w:rPr>
                <w:sz w:val="22"/>
              </w:rPr>
            </w:pPr>
            <w:r>
              <w:rPr>
                <w:sz w:val="22"/>
              </w:rPr>
              <w:t>Total de la población (24)</w:t>
            </w:r>
          </w:p>
        </w:tc>
        <w:tc>
          <w:tcPr>
            <w:tcW w:w="1148" w:type="dxa"/>
            <w:tcBorders>
              <w:right w:val="single" w:sz="41" w:space="0" w:color="9CC2E4"/>
            </w:tcBorders>
          </w:tcPr>
          <w:p>
            <w:pPr>
              <w:pStyle w:val="TableParagraph"/>
              <w:spacing w:line="265" w:lineRule="exact"/>
              <w:ind w:left="114" w:right="75"/>
              <w:rPr>
                <w:rFonts w:ascii="Calibri Light"/>
                <w:b w:val="0"/>
                <w:sz w:val="22"/>
              </w:rPr>
            </w:pPr>
            <w:r>
              <w:rPr>
                <w:sz w:val="22"/>
              </w:rPr>
              <w:t>1 </w:t>
            </w:r>
            <w:r>
              <w:rPr>
                <w:rFonts w:ascii="Calibri Light"/>
                <w:b w:val="0"/>
                <w:sz w:val="22"/>
              </w:rPr>
              <w:t>(4.1%)</w:t>
            </w:r>
          </w:p>
        </w:tc>
        <w:tc>
          <w:tcPr>
            <w:tcW w:w="1121" w:type="dxa"/>
            <w:shd w:val="clear" w:color="auto" w:fill="9CC2E4"/>
          </w:tcPr>
          <w:p>
            <w:pPr>
              <w:pStyle w:val="TableParagraph"/>
              <w:spacing w:line="265" w:lineRule="exact"/>
              <w:ind w:left="85" w:right="86"/>
              <w:rPr>
                <w:rFonts w:ascii="Calibri Light"/>
                <w:b w:val="0"/>
                <w:sz w:val="22"/>
              </w:rPr>
            </w:pPr>
            <w:r>
              <w:rPr>
                <w:sz w:val="22"/>
              </w:rPr>
              <w:t>8 </w:t>
            </w:r>
            <w:r>
              <w:rPr>
                <w:rFonts w:ascii="Calibri Light"/>
                <w:b w:val="0"/>
                <w:sz w:val="22"/>
              </w:rPr>
              <w:t>(33.3%)</w:t>
            </w:r>
          </w:p>
        </w:tc>
        <w:tc>
          <w:tcPr>
            <w:tcW w:w="1244" w:type="dxa"/>
            <w:tcBorders>
              <w:left w:val="single" w:sz="45" w:space="0" w:color="9CC2E4"/>
            </w:tcBorders>
          </w:tcPr>
          <w:p>
            <w:pPr>
              <w:pStyle w:val="TableParagraph"/>
              <w:spacing w:line="265" w:lineRule="exact"/>
              <w:ind w:left="110" w:right="159"/>
              <w:rPr>
                <w:rFonts w:ascii="Calibri Light"/>
                <w:b w:val="0"/>
                <w:sz w:val="22"/>
              </w:rPr>
            </w:pPr>
            <w:r>
              <w:rPr>
                <w:sz w:val="22"/>
              </w:rPr>
              <w:t>6 </w:t>
            </w:r>
            <w:r>
              <w:rPr>
                <w:rFonts w:ascii="Calibri Light"/>
                <w:b w:val="0"/>
                <w:sz w:val="22"/>
              </w:rPr>
              <w:t>(25%)</w:t>
            </w:r>
          </w:p>
        </w:tc>
        <w:tc>
          <w:tcPr>
            <w:tcW w:w="1367" w:type="dxa"/>
            <w:shd w:val="clear" w:color="auto" w:fill="9CC2E4"/>
          </w:tcPr>
          <w:p>
            <w:pPr>
              <w:pStyle w:val="TableParagraph"/>
              <w:spacing w:line="265" w:lineRule="exact"/>
              <w:ind w:left="168" w:right="168"/>
              <w:rPr>
                <w:rFonts w:ascii="Calibri Light"/>
                <w:b w:val="0"/>
                <w:sz w:val="22"/>
              </w:rPr>
            </w:pPr>
            <w:r>
              <w:rPr>
                <w:sz w:val="22"/>
              </w:rPr>
              <w:t>8 </w:t>
            </w:r>
            <w:r>
              <w:rPr>
                <w:rFonts w:ascii="Calibri Light"/>
                <w:b w:val="0"/>
                <w:sz w:val="22"/>
              </w:rPr>
              <w:t>(33.3%)</w:t>
            </w:r>
          </w:p>
        </w:tc>
        <w:tc>
          <w:tcPr>
            <w:tcW w:w="1367" w:type="dxa"/>
          </w:tcPr>
          <w:p>
            <w:pPr>
              <w:pStyle w:val="TableParagraph"/>
              <w:spacing w:line="265" w:lineRule="exact"/>
              <w:ind w:left="227" w:right="228"/>
              <w:rPr>
                <w:rFonts w:ascii="Calibri Light"/>
                <w:b w:val="0"/>
                <w:sz w:val="22"/>
              </w:rPr>
            </w:pPr>
            <w:r>
              <w:rPr>
                <w:sz w:val="22"/>
              </w:rPr>
              <w:t>1 </w:t>
            </w:r>
            <w:r>
              <w:rPr>
                <w:rFonts w:ascii="Calibri Light"/>
                <w:b w:val="0"/>
                <w:sz w:val="22"/>
              </w:rPr>
              <w:t>(4.1%)</w:t>
            </w:r>
          </w:p>
        </w:tc>
      </w:tr>
      <w:tr>
        <w:trPr>
          <w:trHeight w:val="413" w:hRule="exact"/>
        </w:trPr>
        <w:tc>
          <w:tcPr>
            <w:tcW w:w="3152" w:type="dxa"/>
            <w:gridSpan w:val="2"/>
          </w:tcPr>
          <w:p>
            <w:pPr>
              <w:pStyle w:val="TableParagraph"/>
              <w:spacing w:before="9"/>
              <w:ind w:left="950"/>
              <w:jc w:val="left"/>
              <w:rPr>
                <w:sz w:val="22"/>
              </w:rPr>
            </w:pPr>
            <w:r>
              <w:rPr>
                <w:sz w:val="22"/>
              </w:rPr>
              <w:t>Mujeres (12)</w:t>
            </w:r>
          </w:p>
        </w:tc>
        <w:tc>
          <w:tcPr>
            <w:tcW w:w="1148" w:type="dxa"/>
          </w:tcPr>
          <w:p>
            <w:pPr>
              <w:pStyle w:val="TableParagraph"/>
              <w:spacing w:before="9"/>
              <w:ind w:right="5"/>
              <w:rPr>
                <w:sz w:val="22"/>
              </w:rPr>
            </w:pPr>
            <w:r>
              <w:rPr>
                <w:w w:val="100"/>
                <w:sz w:val="22"/>
              </w:rPr>
              <w:t>0</w:t>
            </w:r>
          </w:p>
        </w:tc>
        <w:tc>
          <w:tcPr>
            <w:tcW w:w="1121" w:type="dxa"/>
            <w:tcBorders>
              <w:right w:val="single" w:sz="41" w:space="0" w:color="2D74B5"/>
            </w:tcBorders>
          </w:tcPr>
          <w:p>
            <w:pPr>
              <w:pStyle w:val="TableParagraph"/>
              <w:spacing w:line="265" w:lineRule="exact"/>
              <w:ind w:left="105" w:right="60"/>
              <w:rPr>
                <w:rFonts w:ascii="Calibri Light"/>
                <w:b w:val="0"/>
                <w:sz w:val="22"/>
              </w:rPr>
            </w:pPr>
            <w:r>
              <w:rPr>
                <w:sz w:val="22"/>
              </w:rPr>
              <w:t>2 </w:t>
            </w:r>
            <w:r>
              <w:rPr>
                <w:rFonts w:ascii="Calibri Light"/>
                <w:b w:val="0"/>
                <w:sz w:val="22"/>
              </w:rPr>
              <w:t>(16.6%)</w:t>
            </w:r>
          </w:p>
        </w:tc>
        <w:tc>
          <w:tcPr>
            <w:tcW w:w="1244" w:type="dxa"/>
            <w:shd w:val="clear" w:color="auto" w:fill="2D74B5"/>
          </w:tcPr>
          <w:p>
            <w:pPr>
              <w:pStyle w:val="TableParagraph"/>
              <w:spacing w:line="265" w:lineRule="exact"/>
              <w:ind w:left="82" w:right="82"/>
              <w:rPr>
                <w:rFonts w:ascii="Calibri Light"/>
                <w:b w:val="0"/>
                <w:sz w:val="22"/>
              </w:rPr>
            </w:pPr>
            <w:r>
              <w:rPr>
                <w:sz w:val="22"/>
              </w:rPr>
              <w:t>5 </w:t>
            </w:r>
            <w:r>
              <w:rPr>
                <w:rFonts w:ascii="Calibri Light"/>
                <w:b w:val="0"/>
                <w:sz w:val="22"/>
              </w:rPr>
              <w:t>(41.6%)</w:t>
            </w:r>
          </w:p>
        </w:tc>
        <w:tc>
          <w:tcPr>
            <w:tcW w:w="1367" w:type="dxa"/>
            <w:tcBorders>
              <w:left w:val="single" w:sz="45" w:space="0" w:color="2D74B5"/>
            </w:tcBorders>
            <w:shd w:val="clear" w:color="auto" w:fill="9CC2E4"/>
          </w:tcPr>
          <w:p>
            <w:pPr>
              <w:pStyle w:val="TableParagraph"/>
              <w:spacing w:line="265" w:lineRule="exact"/>
              <w:ind w:left="177" w:right="229"/>
              <w:rPr>
                <w:rFonts w:ascii="Calibri Light"/>
                <w:b w:val="0"/>
                <w:sz w:val="22"/>
              </w:rPr>
            </w:pPr>
            <w:r>
              <w:rPr>
                <w:sz w:val="22"/>
              </w:rPr>
              <w:t>4 </w:t>
            </w:r>
            <w:r>
              <w:rPr>
                <w:rFonts w:ascii="Calibri Light"/>
                <w:b w:val="0"/>
                <w:sz w:val="22"/>
              </w:rPr>
              <w:t>(33.3%)</w:t>
            </w:r>
          </w:p>
        </w:tc>
        <w:tc>
          <w:tcPr>
            <w:tcW w:w="1367" w:type="dxa"/>
          </w:tcPr>
          <w:p>
            <w:pPr>
              <w:pStyle w:val="TableParagraph"/>
              <w:spacing w:line="265" w:lineRule="exact"/>
              <w:ind w:left="227" w:right="228"/>
              <w:rPr>
                <w:rFonts w:ascii="Calibri Light"/>
                <w:b w:val="0"/>
                <w:sz w:val="22"/>
              </w:rPr>
            </w:pPr>
            <w:r>
              <w:rPr>
                <w:sz w:val="22"/>
              </w:rPr>
              <w:t>1 </w:t>
            </w:r>
            <w:r>
              <w:rPr>
                <w:rFonts w:ascii="Calibri Light"/>
                <w:b w:val="0"/>
                <w:sz w:val="22"/>
              </w:rPr>
              <w:t>(8%)</w:t>
            </w:r>
          </w:p>
        </w:tc>
      </w:tr>
      <w:tr>
        <w:trPr>
          <w:trHeight w:val="413" w:hRule="exact"/>
        </w:trPr>
        <w:tc>
          <w:tcPr>
            <w:tcW w:w="3152" w:type="dxa"/>
            <w:gridSpan w:val="2"/>
          </w:tcPr>
          <w:p>
            <w:pPr>
              <w:pStyle w:val="TableParagraph"/>
              <w:spacing w:before="9"/>
              <w:ind w:left="897"/>
              <w:jc w:val="left"/>
              <w:rPr>
                <w:sz w:val="22"/>
              </w:rPr>
            </w:pPr>
            <w:r>
              <w:rPr>
                <w:sz w:val="22"/>
              </w:rPr>
              <w:t>Hombres (12)</w:t>
            </w:r>
          </w:p>
        </w:tc>
        <w:tc>
          <w:tcPr>
            <w:tcW w:w="1148" w:type="dxa"/>
            <w:tcBorders>
              <w:right w:val="single" w:sz="41" w:space="0" w:color="2D74B5"/>
            </w:tcBorders>
          </w:tcPr>
          <w:p>
            <w:pPr>
              <w:pStyle w:val="TableParagraph"/>
              <w:spacing w:line="265" w:lineRule="exact"/>
              <w:ind w:left="115" w:right="75"/>
              <w:rPr>
                <w:rFonts w:ascii="Calibri Light"/>
                <w:b w:val="0"/>
                <w:sz w:val="22"/>
              </w:rPr>
            </w:pPr>
            <w:r>
              <w:rPr>
                <w:sz w:val="22"/>
              </w:rPr>
              <w:t>1 </w:t>
            </w:r>
            <w:r>
              <w:rPr>
                <w:rFonts w:ascii="Calibri Light"/>
                <w:b w:val="0"/>
                <w:sz w:val="22"/>
              </w:rPr>
              <w:t>(8%)</w:t>
            </w:r>
          </w:p>
        </w:tc>
        <w:tc>
          <w:tcPr>
            <w:tcW w:w="1121" w:type="dxa"/>
            <w:shd w:val="clear" w:color="auto" w:fill="2D74B5"/>
          </w:tcPr>
          <w:p>
            <w:pPr>
              <w:pStyle w:val="TableParagraph"/>
              <w:spacing w:line="265" w:lineRule="exact"/>
              <w:ind w:left="85" w:right="85"/>
              <w:rPr>
                <w:rFonts w:ascii="Calibri Light"/>
                <w:b w:val="0"/>
                <w:sz w:val="22"/>
              </w:rPr>
            </w:pPr>
            <w:r>
              <w:rPr>
                <w:sz w:val="22"/>
              </w:rPr>
              <w:t>6 </w:t>
            </w:r>
            <w:r>
              <w:rPr>
                <w:rFonts w:ascii="Calibri Light"/>
                <w:b w:val="0"/>
                <w:sz w:val="22"/>
              </w:rPr>
              <w:t>(50%)</w:t>
            </w:r>
          </w:p>
        </w:tc>
        <w:tc>
          <w:tcPr>
            <w:tcW w:w="1244" w:type="dxa"/>
            <w:tcBorders>
              <w:left w:val="single" w:sz="45" w:space="0" w:color="2D74B5"/>
            </w:tcBorders>
          </w:tcPr>
          <w:p>
            <w:pPr>
              <w:pStyle w:val="TableParagraph"/>
              <w:spacing w:line="265" w:lineRule="exact"/>
              <w:ind w:left="110" w:right="161"/>
              <w:rPr>
                <w:rFonts w:ascii="Calibri Light"/>
                <w:b w:val="0"/>
                <w:sz w:val="22"/>
              </w:rPr>
            </w:pPr>
            <w:r>
              <w:rPr>
                <w:sz w:val="22"/>
              </w:rPr>
              <w:t>1</w:t>
            </w:r>
            <w:r>
              <w:rPr>
                <w:rFonts w:ascii="Calibri Light"/>
                <w:b w:val="0"/>
                <w:sz w:val="22"/>
              </w:rPr>
              <w:t>(8%)</w:t>
            </w:r>
          </w:p>
        </w:tc>
        <w:tc>
          <w:tcPr>
            <w:tcW w:w="1367" w:type="dxa"/>
            <w:shd w:val="clear" w:color="auto" w:fill="9CC2E4"/>
          </w:tcPr>
          <w:p>
            <w:pPr>
              <w:pStyle w:val="TableParagraph"/>
              <w:spacing w:line="265" w:lineRule="exact"/>
              <w:ind w:left="168" w:right="168"/>
              <w:rPr>
                <w:rFonts w:ascii="Calibri Light"/>
                <w:b w:val="0"/>
                <w:sz w:val="22"/>
              </w:rPr>
            </w:pPr>
            <w:r>
              <w:rPr>
                <w:sz w:val="22"/>
              </w:rPr>
              <w:t>4 </w:t>
            </w:r>
            <w:r>
              <w:rPr>
                <w:rFonts w:ascii="Calibri Light"/>
                <w:b w:val="0"/>
                <w:sz w:val="22"/>
              </w:rPr>
              <w:t>(33.3%)</w:t>
            </w:r>
          </w:p>
        </w:tc>
        <w:tc>
          <w:tcPr>
            <w:tcW w:w="1367" w:type="dxa"/>
          </w:tcPr>
          <w:p>
            <w:pPr>
              <w:pStyle w:val="TableParagraph"/>
              <w:spacing w:before="9"/>
              <w:ind w:right="1"/>
              <w:rPr>
                <w:sz w:val="22"/>
              </w:rPr>
            </w:pPr>
            <w:r>
              <w:rPr>
                <w:w w:val="100"/>
                <w:sz w:val="22"/>
              </w:rPr>
              <w:t>0</w:t>
            </w:r>
          </w:p>
        </w:tc>
      </w:tr>
    </w:tbl>
    <w:p>
      <w:pPr>
        <w:spacing w:line="227" w:lineRule="exact" w:before="0"/>
        <w:ind w:left="349" w:right="26" w:firstLine="0"/>
        <w:jc w:val="left"/>
        <w:rPr>
          <w:b/>
          <w:sz w:val="20"/>
        </w:rPr>
      </w:pPr>
      <w:r>
        <w:rPr>
          <w:b/>
          <w:sz w:val="20"/>
        </w:rPr>
        <w:t>Tabla 4.22. Estadísticas sin autoridad; respuestas en la totalidad de la población y por género</w:t>
      </w:r>
    </w:p>
    <w:p>
      <w:pPr>
        <w:pStyle w:val="BodyText"/>
        <w:spacing w:before="5"/>
        <w:rPr>
          <w:b/>
          <w:sz w:val="27"/>
        </w:rPr>
      </w:pPr>
    </w:p>
    <w:p>
      <w:pPr>
        <w:pStyle w:val="BodyText"/>
        <w:spacing w:line="360" w:lineRule="auto" w:before="1"/>
        <w:ind w:left="102" w:right="118" w:firstLine="707"/>
        <w:jc w:val="both"/>
      </w:pPr>
      <w:r>
        <w:rPr/>
        <w:t>En cuanto a grupo de edad, en esta aseveración número 8, el único grupo que favoreció los anglicismos al mostrar cuatro de seis respuestas “en desacuerdo”, fue el grupo 2. El grupo 1 se mostró “indiferente”. El grupo 3 desfavoreció los anglicismos con cuatro de seis respuestas “de acuerdo”. Y el grupo 4 parece indeterminado al contrastar</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339"/>
      </w:pPr>
      <w:r>
        <w:rPr/>
        <w:t>3 de seis sujetos “de acuerdo” contra dos de sujetos “en desacuerdo” y uno de seis sujetos “muy en desacuerdo” (Ver tabla 4.23.).</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4"/>
        <w:gridCol w:w="1148"/>
        <w:gridCol w:w="1121"/>
        <w:gridCol w:w="1244"/>
        <w:gridCol w:w="1368"/>
        <w:gridCol w:w="1366"/>
      </w:tblGrid>
      <w:tr>
        <w:trPr>
          <w:trHeight w:val="408"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8</w:t>
            </w:r>
          </w:p>
        </w:tc>
        <w:tc>
          <w:tcPr>
            <w:tcW w:w="1724" w:type="dxa"/>
            <w:vMerge w:val="restart"/>
          </w:tcPr>
          <w:p>
            <w:pPr>
              <w:pStyle w:val="TableParagraph"/>
              <w:spacing w:line="357" w:lineRule="auto" w:before="12"/>
              <w:ind w:left="163" w:right="166" w:firstLine="4"/>
              <w:rPr>
                <w:b/>
                <w:sz w:val="22"/>
              </w:rPr>
            </w:pPr>
            <w:r>
              <w:rPr>
                <w:sz w:val="22"/>
              </w:rPr>
              <w:t>Tipo de Aseveración: </w:t>
            </w:r>
            <w:r>
              <w:rPr>
                <w:b/>
                <w:sz w:val="22"/>
              </w:rPr>
              <w:t>Desfavorable</w:t>
            </w:r>
          </w:p>
        </w:tc>
        <w:tc>
          <w:tcPr>
            <w:tcW w:w="6246" w:type="dxa"/>
            <w:gridSpan w:val="5"/>
          </w:tcPr>
          <w:p>
            <w:pPr>
              <w:pStyle w:val="TableParagraph"/>
              <w:spacing w:before="7"/>
              <w:ind w:left="2516" w:right="2516"/>
              <w:rPr>
                <w:sz w:val="22"/>
              </w:rPr>
            </w:pPr>
            <w:r>
              <w:rPr>
                <w:sz w:val="22"/>
              </w:rPr>
              <w:t>Respuestas</w:t>
            </w:r>
          </w:p>
        </w:tc>
      </w:tr>
      <w:tr>
        <w:trPr>
          <w:trHeight w:val="768" w:hRule="exact"/>
        </w:trPr>
        <w:tc>
          <w:tcPr>
            <w:tcW w:w="1428" w:type="dxa"/>
            <w:gridSpan w:val="2"/>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1 (6)</w:t>
            </w:r>
          </w:p>
        </w:tc>
        <w:tc>
          <w:tcPr>
            <w:tcW w:w="1148" w:type="dxa"/>
          </w:tcPr>
          <w:p>
            <w:pPr>
              <w:pStyle w:val="TableParagraph"/>
              <w:spacing w:line="265" w:lineRule="exact"/>
              <w:ind w:left="115" w:right="119"/>
              <w:rPr>
                <w:rFonts w:ascii="Calibri Light"/>
                <w:b w:val="0"/>
                <w:sz w:val="22"/>
              </w:rPr>
            </w:pPr>
            <w:r>
              <w:rPr>
                <w:sz w:val="22"/>
              </w:rPr>
              <w:t>1 </w:t>
            </w:r>
            <w:r>
              <w:rPr>
                <w:rFonts w:ascii="Calibri Light"/>
                <w:b w:val="0"/>
                <w:sz w:val="22"/>
              </w:rPr>
              <w:t>(16%)</w:t>
            </w:r>
          </w:p>
        </w:tc>
        <w:tc>
          <w:tcPr>
            <w:tcW w:w="1121" w:type="dxa"/>
            <w:tcBorders>
              <w:right w:val="single" w:sz="41" w:space="0" w:color="2D74B5"/>
            </w:tcBorders>
          </w:tcPr>
          <w:p>
            <w:pPr>
              <w:pStyle w:val="TableParagraph"/>
              <w:spacing w:before="9"/>
              <w:ind w:left="47"/>
              <w:rPr>
                <w:sz w:val="22"/>
              </w:rPr>
            </w:pPr>
            <w:r>
              <w:rPr>
                <w:w w:val="100"/>
                <w:sz w:val="22"/>
              </w:rPr>
              <w:t>0</w:t>
            </w:r>
          </w:p>
        </w:tc>
        <w:tc>
          <w:tcPr>
            <w:tcW w:w="1244" w:type="dxa"/>
            <w:shd w:val="clear" w:color="auto" w:fill="2D74B5"/>
          </w:tcPr>
          <w:p>
            <w:pPr>
              <w:pStyle w:val="TableParagraph"/>
              <w:spacing w:line="265" w:lineRule="exact"/>
              <w:ind w:left="82" w:right="82"/>
              <w:rPr>
                <w:rFonts w:ascii="Calibri Light"/>
                <w:b w:val="0"/>
                <w:sz w:val="22"/>
              </w:rPr>
            </w:pPr>
            <w:r>
              <w:rPr>
                <w:sz w:val="22"/>
              </w:rPr>
              <w:t>4 </w:t>
            </w:r>
            <w:r>
              <w:rPr>
                <w:rFonts w:ascii="Calibri Light"/>
                <w:b w:val="0"/>
                <w:sz w:val="22"/>
              </w:rPr>
              <w:t>(66.6%)</w:t>
            </w:r>
          </w:p>
        </w:tc>
        <w:tc>
          <w:tcPr>
            <w:tcW w:w="1368" w:type="dxa"/>
            <w:tcBorders>
              <w:left w:val="single" w:sz="45" w:space="0" w:color="2D74B5"/>
            </w:tcBorders>
          </w:tcPr>
          <w:p>
            <w:pPr>
              <w:pStyle w:val="TableParagraph"/>
              <w:spacing w:line="265" w:lineRule="exact"/>
              <w:ind w:left="177" w:right="228"/>
              <w:rPr>
                <w:rFonts w:ascii="Calibri Light"/>
                <w:b w:val="0"/>
                <w:sz w:val="22"/>
              </w:rPr>
            </w:pPr>
            <w:r>
              <w:rPr>
                <w:sz w:val="22"/>
              </w:rPr>
              <w:t>1 </w:t>
            </w:r>
            <w:r>
              <w:rPr>
                <w:rFonts w:ascii="Calibri Light"/>
                <w:b w:val="0"/>
                <w:sz w:val="22"/>
              </w:rPr>
              <w:t>(16%)</w:t>
            </w:r>
          </w:p>
        </w:tc>
        <w:tc>
          <w:tcPr>
            <w:tcW w:w="1366"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2 (6)</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5"/>
              <w:rPr>
                <w:rFonts w:ascii="Calibri Light"/>
                <w:b w:val="0"/>
                <w:sz w:val="22"/>
              </w:rPr>
            </w:pPr>
            <w:r>
              <w:rPr>
                <w:sz w:val="22"/>
              </w:rPr>
              <w:t>1 </w:t>
            </w:r>
            <w:r>
              <w:rPr>
                <w:rFonts w:ascii="Calibri Light"/>
                <w:b w:val="0"/>
                <w:sz w:val="22"/>
              </w:rPr>
              <w:t>(16%)</w:t>
            </w:r>
          </w:p>
        </w:tc>
        <w:tc>
          <w:tcPr>
            <w:tcW w:w="1244" w:type="dxa"/>
            <w:tcBorders>
              <w:right w:val="single" w:sz="41" w:space="0" w:color="2D74B5"/>
            </w:tcBorders>
          </w:tcPr>
          <w:p>
            <w:pPr>
              <w:pStyle w:val="TableParagraph"/>
              <w:spacing w:line="265" w:lineRule="exact"/>
              <w:ind w:left="165" w:right="121"/>
              <w:rPr>
                <w:rFonts w:ascii="Calibri Light"/>
                <w:b w:val="0"/>
                <w:sz w:val="22"/>
              </w:rPr>
            </w:pPr>
            <w:r>
              <w:rPr>
                <w:sz w:val="22"/>
              </w:rPr>
              <w:t>1 </w:t>
            </w:r>
            <w:r>
              <w:rPr>
                <w:rFonts w:ascii="Calibri Light"/>
                <w:b w:val="0"/>
                <w:sz w:val="22"/>
              </w:rPr>
              <w:t>(16%)</w:t>
            </w:r>
          </w:p>
        </w:tc>
        <w:tc>
          <w:tcPr>
            <w:tcW w:w="1368" w:type="dxa"/>
            <w:shd w:val="clear" w:color="auto" w:fill="2D74B5"/>
          </w:tcPr>
          <w:p>
            <w:pPr>
              <w:pStyle w:val="TableParagraph"/>
              <w:spacing w:line="265" w:lineRule="exact"/>
              <w:ind w:left="222" w:right="224"/>
              <w:rPr>
                <w:rFonts w:ascii="Calibri Light"/>
                <w:b w:val="0"/>
                <w:sz w:val="22"/>
              </w:rPr>
            </w:pPr>
            <w:r>
              <w:rPr>
                <w:sz w:val="22"/>
              </w:rPr>
              <w:t>4 </w:t>
            </w:r>
            <w:r>
              <w:rPr>
                <w:rFonts w:ascii="Calibri Light"/>
                <w:b w:val="0"/>
                <w:sz w:val="22"/>
              </w:rPr>
              <w:t>(66.6%)</w:t>
            </w:r>
          </w:p>
        </w:tc>
        <w:tc>
          <w:tcPr>
            <w:tcW w:w="1366" w:type="dxa"/>
            <w:tcBorders>
              <w:left w:val="thickThinMediumGap" w:sz="23" w:space="0" w:color="2D74B5"/>
            </w:tcBorders>
          </w:tcPr>
          <w:p>
            <w:pPr>
              <w:pStyle w:val="TableParagraph"/>
              <w:spacing w:before="9"/>
              <w:ind w:right="55"/>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3 (6)</w:t>
            </w:r>
          </w:p>
        </w:tc>
        <w:tc>
          <w:tcPr>
            <w:tcW w:w="1148" w:type="dxa"/>
            <w:tcBorders>
              <w:right w:val="single" w:sz="41" w:space="0" w:color="2D74B5"/>
            </w:tcBorders>
          </w:tcPr>
          <w:p>
            <w:pPr>
              <w:pStyle w:val="TableParagraph"/>
              <w:spacing w:before="9"/>
              <w:ind w:left="39"/>
              <w:rPr>
                <w:sz w:val="22"/>
              </w:rPr>
            </w:pPr>
            <w:r>
              <w:rPr>
                <w:w w:val="100"/>
                <w:sz w:val="22"/>
              </w:rPr>
              <w:t>0</w:t>
            </w:r>
          </w:p>
        </w:tc>
        <w:tc>
          <w:tcPr>
            <w:tcW w:w="1121" w:type="dxa"/>
            <w:shd w:val="clear" w:color="auto" w:fill="2D74B5"/>
          </w:tcPr>
          <w:p>
            <w:pPr>
              <w:pStyle w:val="TableParagraph"/>
              <w:spacing w:line="265" w:lineRule="exact"/>
              <w:ind w:left="85" w:right="86"/>
              <w:rPr>
                <w:rFonts w:ascii="Calibri Light"/>
                <w:b w:val="0"/>
                <w:sz w:val="22"/>
              </w:rPr>
            </w:pPr>
            <w:r>
              <w:rPr>
                <w:sz w:val="22"/>
              </w:rPr>
              <w:t>4 </w:t>
            </w:r>
            <w:r>
              <w:rPr>
                <w:rFonts w:ascii="Calibri Light"/>
                <w:b w:val="0"/>
                <w:sz w:val="22"/>
              </w:rPr>
              <w:t>(66.6%)</w:t>
            </w:r>
          </w:p>
        </w:tc>
        <w:tc>
          <w:tcPr>
            <w:tcW w:w="1244" w:type="dxa"/>
            <w:tcBorders>
              <w:left w:val="single" w:sz="45" w:space="0" w:color="2D74B5"/>
            </w:tcBorders>
          </w:tcPr>
          <w:p>
            <w:pPr>
              <w:pStyle w:val="TableParagraph"/>
              <w:spacing w:line="265" w:lineRule="exact"/>
              <w:ind w:left="110" w:right="161"/>
              <w:rPr>
                <w:rFonts w:ascii="Calibri Light"/>
                <w:b w:val="0"/>
                <w:sz w:val="22"/>
              </w:rPr>
            </w:pPr>
            <w:r>
              <w:rPr>
                <w:sz w:val="22"/>
              </w:rPr>
              <w:t>1 </w:t>
            </w:r>
            <w:r>
              <w:rPr>
                <w:rFonts w:ascii="Calibri Light"/>
                <w:b w:val="0"/>
                <w:sz w:val="22"/>
              </w:rPr>
              <w:t>(16%)</w:t>
            </w:r>
          </w:p>
        </w:tc>
        <w:tc>
          <w:tcPr>
            <w:tcW w:w="1368" w:type="dxa"/>
          </w:tcPr>
          <w:p>
            <w:pPr>
              <w:pStyle w:val="TableParagraph"/>
              <w:spacing w:line="265" w:lineRule="exact"/>
              <w:ind w:left="223" w:right="224"/>
              <w:rPr>
                <w:rFonts w:ascii="Calibri Light"/>
                <w:b w:val="0"/>
                <w:sz w:val="22"/>
              </w:rPr>
            </w:pPr>
            <w:r>
              <w:rPr>
                <w:sz w:val="22"/>
              </w:rPr>
              <w:t>1 </w:t>
            </w:r>
            <w:r>
              <w:rPr>
                <w:rFonts w:ascii="Calibri Light"/>
                <w:b w:val="0"/>
                <w:sz w:val="22"/>
              </w:rPr>
              <w:t>(16%)</w:t>
            </w:r>
          </w:p>
        </w:tc>
        <w:tc>
          <w:tcPr>
            <w:tcW w:w="1366"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10"/>
              <w:ind w:right="58"/>
              <w:jc w:val="right"/>
              <w:rPr>
                <w:sz w:val="22"/>
              </w:rPr>
            </w:pPr>
            <w:r>
              <w:rPr>
                <w:sz w:val="22"/>
              </w:rPr>
              <w:t>Grupo</w:t>
            </w:r>
          </w:p>
        </w:tc>
        <w:tc>
          <w:tcPr>
            <w:tcW w:w="1924" w:type="dxa"/>
            <w:gridSpan w:val="2"/>
            <w:tcBorders>
              <w:left w:val="nil"/>
            </w:tcBorders>
          </w:tcPr>
          <w:p>
            <w:pPr>
              <w:pStyle w:val="TableParagraph"/>
              <w:spacing w:before="10"/>
              <w:ind w:left="60"/>
              <w:jc w:val="left"/>
              <w:rPr>
                <w:sz w:val="22"/>
              </w:rPr>
            </w:pPr>
            <w:r>
              <w:rPr>
                <w:sz w:val="22"/>
              </w:rPr>
              <w:t>de edad 4 (6)</w:t>
            </w:r>
          </w:p>
        </w:tc>
        <w:tc>
          <w:tcPr>
            <w:tcW w:w="1148" w:type="dxa"/>
            <w:tcBorders>
              <w:right w:val="single" w:sz="41" w:space="0" w:color="2D74B5"/>
            </w:tcBorders>
          </w:tcPr>
          <w:p>
            <w:pPr>
              <w:pStyle w:val="TableParagraph"/>
              <w:spacing w:before="10"/>
              <w:ind w:left="39"/>
              <w:rPr>
                <w:sz w:val="22"/>
              </w:rPr>
            </w:pPr>
            <w:r>
              <w:rPr>
                <w:w w:val="100"/>
                <w:sz w:val="22"/>
              </w:rPr>
              <w:t>0</w:t>
            </w:r>
          </w:p>
        </w:tc>
        <w:tc>
          <w:tcPr>
            <w:tcW w:w="1121" w:type="dxa"/>
            <w:shd w:val="clear" w:color="auto" w:fill="2D74B5"/>
          </w:tcPr>
          <w:p>
            <w:pPr>
              <w:pStyle w:val="TableParagraph"/>
              <w:spacing w:line="266" w:lineRule="exact"/>
              <w:ind w:left="85" w:right="85"/>
              <w:rPr>
                <w:rFonts w:ascii="Calibri Light"/>
                <w:b w:val="0"/>
                <w:sz w:val="22"/>
              </w:rPr>
            </w:pPr>
            <w:r>
              <w:rPr>
                <w:sz w:val="22"/>
              </w:rPr>
              <w:t>3 </w:t>
            </w:r>
            <w:r>
              <w:rPr>
                <w:rFonts w:ascii="Calibri Light"/>
                <w:b w:val="0"/>
                <w:sz w:val="22"/>
              </w:rPr>
              <w:t>(50%)</w:t>
            </w:r>
          </w:p>
        </w:tc>
        <w:tc>
          <w:tcPr>
            <w:tcW w:w="1244" w:type="dxa"/>
            <w:tcBorders>
              <w:left w:val="single" w:sz="45" w:space="0" w:color="2D74B5"/>
            </w:tcBorders>
          </w:tcPr>
          <w:p>
            <w:pPr>
              <w:pStyle w:val="TableParagraph"/>
              <w:spacing w:before="10"/>
              <w:ind w:right="52"/>
              <w:rPr>
                <w:sz w:val="22"/>
              </w:rPr>
            </w:pPr>
            <w:r>
              <w:rPr>
                <w:w w:val="100"/>
                <w:sz w:val="22"/>
              </w:rPr>
              <w:t>0</w:t>
            </w:r>
          </w:p>
        </w:tc>
        <w:tc>
          <w:tcPr>
            <w:tcW w:w="1368" w:type="dxa"/>
          </w:tcPr>
          <w:p>
            <w:pPr>
              <w:pStyle w:val="TableParagraph"/>
              <w:spacing w:line="266"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line="266" w:lineRule="exact"/>
              <w:ind w:left="226" w:right="228"/>
              <w:rPr>
                <w:rFonts w:ascii="Calibri Light"/>
                <w:b w:val="0"/>
                <w:sz w:val="22"/>
              </w:rPr>
            </w:pPr>
            <w:r>
              <w:rPr>
                <w:sz w:val="22"/>
              </w:rPr>
              <w:t>1 </w:t>
            </w:r>
            <w:r>
              <w:rPr>
                <w:rFonts w:ascii="Calibri Light"/>
                <w:b w:val="0"/>
                <w:sz w:val="22"/>
              </w:rPr>
              <w:t>(16%)</w:t>
            </w:r>
          </w:p>
        </w:tc>
      </w:tr>
    </w:tbl>
    <w:p>
      <w:pPr>
        <w:spacing w:line="227" w:lineRule="exact" w:before="0"/>
        <w:ind w:left="1530" w:right="339" w:firstLine="0"/>
        <w:jc w:val="left"/>
        <w:rPr>
          <w:b/>
          <w:sz w:val="20"/>
        </w:rPr>
      </w:pPr>
      <w:r>
        <w:rPr>
          <w:b/>
          <w:sz w:val="20"/>
        </w:rPr>
        <w:t>Tabla 4.23. Estadísticas sin autoridad; respuestas por grupo de edad</w:t>
      </w:r>
    </w:p>
    <w:p>
      <w:pPr>
        <w:pStyle w:val="BodyText"/>
        <w:spacing w:before="5"/>
        <w:rPr>
          <w:b/>
          <w:sz w:val="27"/>
        </w:rPr>
      </w:pPr>
    </w:p>
    <w:p>
      <w:pPr>
        <w:pStyle w:val="BodyText"/>
        <w:spacing w:line="360" w:lineRule="auto"/>
        <w:ind w:left="102" w:right="108" w:firstLine="707"/>
        <w:jc w:val="both"/>
      </w:pPr>
      <w:r>
        <w:rPr/>
        <w:t>En cuanto a nivel de estudios, el nivel superior indicó tener preferencia por la grabación con anglicismos al mostrar tres de ocho sujetos “en desacuerdo”, del nivel medio</w:t>
      </w:r>
      <w:r>
        <w:rPr>
          <w:spacing w:val="-5"/>
        </w:rPr>
        <w:t> </w:t>
      </w:r>
      <w:r>
        <w:rPr/>
        <w:t>superior,</w:t>
      </w:r>
      <w:r>
        <w:rPr>
          <w:spacing w:val="-6"/>
        </w:rPr>
        <w:t> </w:t>
      </w:r>
      <w:r>
        <w:rPr/>
        <w:t>tres</w:t>
      </w:r>
      <w:r>
        <w:rPr>
          <w:spacing w:val="-7"/>
        </w:rPr>
        <w:t> </w:t>
      </w:r>
      <w:r>
        <w:rPr/>
        <w:t>de</w:t>
      </w:r>
      <w:r>
        <w:rPr>
          <w:spacing w:val="-6"/>
        </w:rPr>
        <w:t> </w:t>
      </w:r>
      <w:r>
        <w:rPr/>
        <w:t>ocho</w:t>
      </w:r>
      <w:r>
        <w:rPr>
          <w:spacing w:val="-5"/>
        </w:rPr>
        <w:t> </w:t>
      </w:r>
      <w:r>
        <w:rPr/>
        <w:t>sujetos</w:t>
      </w:r>
      <w:r>
        <w:rPr>
          <w:spacing w:val="-7"/>
        </w:rPr>
        <w:t> </w:t>
      </w:r>
      <w:r>
        <w:rPr/>
        <w:t>“en</w:t>
      </w:r>
      <w:r>
        <w:rPr>
          <w:spacing w:val="-6"/>
        </w:rPr>
        <w:t> </w:t>
      </w:r>
      <w:r>
        <w:rPr/>
        <w:t>desacuerdo”</w:t>
      </w:r>
      <w:r>
        <w:rPr>
          <w:spacing w:val="-7"/>
        </w:rPr>
        <w:t> </w:t>
      </w:r>
      <w:r>
        <w:rPr/>
        <w:t>y</w:t>
      </w:r>
      <w:r>
        <w:rPr>
          <w:spacing w:val="-7"/>
        </w:rPr>
        <w:t> </w:t>
      </w:r>
      <w:r>
        <w:rPr/>
        <w:t>tres</w:t>
      </w:r>
      <w:r>
        <w:rPr>
          <w:spacing w:val="-5"/>
        </w:rPr>
        <w:t> </w:t>
      </w:r>
      <w:r>
        <w:rPr/>
        <w:t>“indiferentes”.</w:t>
      </w:r>
      <w:r>
        <w:rPr>
          <w:spacing w:val="-6"/>
        </w:rPr>
        <w:t> </w:t>
      </w:r>
      <w:r>
        <w:rPr/>
        <w:t>Finalmente,</w:t>
      </w:r>
      <w:r>
        <w:rPr>
          <w:spacing w:val="-6"/>
        </w:rPr>
        <w:t> </w:t>
      </w:r>
      <w:r>
        <w:rPr/>
        <w:t>el nivel</w:t>
      </w:r>
      <w:r>
        <w:rPr>
          <w:spacing w:val="-5"/>
        </w:rPr>
        <w:t> </w:t>
      </w:r>
      <w:r>
        <w:rPr/>
        <w:t>básico</w:t>
      </w:r>
      <w:r>
        <w:rPr>
          <w:spacing w:val="-4"/>
        </w:rPr>
        <w:t> </w:t>
      </w:r>
      <w:r>
        <w:rPr/>
        <w:t>dijo</w:t>
      </w:r>
      <w:r>
        <w:rPr>
          <w:spacing w:val="-4"/>
        </w:rPr>
        <w:t> </w:t>
      </w:r>
      <w:r>
        <w:rPr/>
        <w:t>estar</w:t>
      </w:r>
      <w:r>
        <w:rPr>
          <w:spacing w:val="-7"/>
        </w:rPr>
        <w:t> </w:t>
      </w:r>
      <w:r>
        <w:rPr/>
        <w:t>en</w:t>
      </w:r>
      <w:r>
        <w:rPr>
          <w:spacing w:val="-4"/>
        </w:rPr>
        <w:t> </w:t>
      </w:r>
      <w:r>
        <w:rPr/>
        <w:t>un</w:t>
      </w:r>
      <w:r>
        <w:rPr>
          <w:spacing w:val="-4"/>
        </w:rPr>
        <w:t> </w:t>
      </w:r>
      <w:r>
        <w:rPr/>
        <w:t>50%</w:t>
      </w:r>
      <w:r>
        <w:rPr>
          <w:spacing w:val="-4"/>
        </w:rPr>
        <w:t> </w:t>
      </w:r>
      <w:r>
        <w:rPr/>
        <w:t>“de</w:t>
      </w:r>
      <w:r>
        <w:rPr>
          <w:spacing w:val="-4"/>
        </w:rPr>
        <w:t> </w:t>
      </w:r>
      <w:r>
        <w:rPr/>
        <w:t>acuerdo”</w:t>
      </w:r>
      <w:r>
        <w:rPr>
          <w:spacing w:val="-5"/>
        </w:rPr>
        <w:t> </w:t>
      </w:r>
      <w:r>
        <w:rPr/>
        <w:t>con</w:t>
      </w:r>
      <w:r>
        <w:rPr>
          <w:spacing w:val="-4"/>
        </w:rPr>
        <w:t> </w:t>
      </w:r>
      <w:r>
        <w:rPr/>
        <w:t>la</w:t>
      </w:r>
      <w:r>
        <w:rPr>
          <w:spacing w:val="-4"/>
        </w:rPr>
        <w:t> </w:t>
      </w:r>
      <w:r>
        <w:rPr/>
        <w:t>aseveración</w:t>
      </w:r>
      <w:r>
        <w:rPr>
          <w:spacing w:val="-6"/>
        </w:rPr>
        <w:t> </w:t>
      </w:r>
      <w:r>
        <w:rPr/>
        <w:t>8</w:t>
      </w:r>
      <w:r>
        <w:rPr>
          <w:spacing w:val="-4"/>
        </w:rPr>
        <w:t> </w:t>
      </w:r>
      <w:r>
        <w:rPr/>
        <w:t>que</w:t>
      </w:r>
      <w:r>
        <w:rPr>
          <w:spacing w:val="-4"/>
        </w:rPr>
        <w:t> </w:t>
      </w:r>
      <w:r>
        <w:rPr/>
        <w:t>es</w:t>
      </w:r>
      <w:r>
        <w:rPr>
          <w:spacing w:val="-4"/>
        </w:rPr>
        <w:t> </w:t>
      </w:r>
      <w:r>
        <w:rPr/>
        <w:t>desfavorable para los anglicismos (véase tabla</w:t>
      </w:r>
      <w:r>
        <w:rPr>
          <w:spacing w:val="-11"/>
        </w:rPr>
        <w:t> </w:t>
      </w:r>
      <w:r>
        <w:rPr/>
        <w:t>4.24.).</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8"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8</w:t>
            </w:r>
          </w:p>
        </w:tc>
        <w:tc>
          <w:tcPr>
            <w:tcW w:w="1724" w:type="dxa"/>
            <w:vMerge w:val="restart"/>
          </w:tcPr>
          <w:p>
            <w:pPr>
              <w:pStyle w:val="TableParagraph"/>
              <w:spacing w:line="357" w:lineRule="auto" w:before="12"/>
              <w:ind w:left="163" w:right="166" w:firstLine="4"/>
              <w:rPr>
                <w:b/>
                <w:sz w:val="22"/>
              </w:rPr>
            </w:pPr>
            <w:r>
              <w:rPr>
                <w:sz w:val="22"/>
              </w:rPr>
              <w:t>Tipo de Aseveración: </w:t>
            </w:r>
            <w:r>
              <w:rPr>
                <w:b/>
                <w:sz w:val="22"/>
              </w:rPr>
              <w:t>Desfavorable</w:t>
            </w:r>
          </w:p>
        </w:tc>
        <w:tc>
          <w:tcPr>
            <w:tcW w:w="6246" w:type="dxa"/>
            <w:gridSpan w:val="5"/>
          </w:tcPr>
          <w:p>
            <w:pPr>
              <w:pStyle w:val="TableParagraph"/>
              <w:spacing w:before="7"/>
              <w:ind w:left="2516" w:right="2516"/>
              <w:rPr>
                <w:sz w:val="22"/>
              </w:rPr>
            </w:pPr>
            <w:r>
              <w:rPr>
                <w:sz w:val="22"/>
              </w:rPr>
              <w:t>Respuestas</w:t>
            </w:r>
          </w:p>
        </w:tc>
      </w:tr>
      <w:tr>
        <w:trPr>
          <w:trHeight w:val="768"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Pr>
          <w:p>
            <w:pPr>
              <w:pStyle w:val="TableParagraph"/>
              <w:spacing w:before="9"/>
              <w:ind w:left="799"/>
              <w:jc w:val="left"/>
              <w:rPr>
                <w:sz w:val="22"/>
              </w:rPr>
            </w:pPr>
            <w:r>
              <w:rPr>
                <w:sz w:val="22"/>
              </w:rPr>
              <w:t>Nivel Básico (8)</w:t>
            </w:r>
          </w:p>
        </w:tc>
        <w:tc>
          <w:tcPr>
            <w:tcW w:w="1148" w:type="dxa"/>
            <w:tcBorders>
              <w:right w:val="single" w:sz="41" w:space="0" w:color="2D74B5"/>
            </w:tcBorders>
          </w:tcPr>
          <w:p>
            <w:pPr>
              <w:pStyle w:val="TableParagraph"/>
              <w:spacing w:line="265" w:lineRule="exact"/>
              <w:ind w:left="117" w:right="75"/>
              <w:rPr>
                <w:rFonts w:ascii="Calibri Light"/>
                <w:b w:val="0"/>
                <w:sz w:val="22"/>
              </w:rPr>
            </w:pPr>
            <w:r>
              <w:rPr>
                <w:sz w:val="22"/>
              </w:rPr>
              <w:t>1 </w:t>
            </w:r>
            <w:r>
              <w:rPr>
                <w:rFonts w:ascii="Calibri Light"/>
                <w:b w:val="0"/>
                <w:sz w:val="22"/>
              </w:rPr>
              <w:t>(12.5%)</w:t>
            </w:r>
          </w:p>
        </w:tc>
        <w:tc>
          <w:tcPr>
            <w:tcW w:w="1121" w:type="dxa"/>
            <w:shd w:val="clear" w:color="auto" w:fill="2D74B5"/>
          </w:tcPr>
          <w:p>
            <w:pPr>
              <w:pStyle w:val="TableParagraph"/>
              <w:spacing w:line="265" w:lineRule="exact"/>
              <w:ind w:left="85" w:right="85"/>
              <w:rPr>
                <w:rFonts w:ascii="Calibri Light"/>
                <w:b w:val="0"/>
                <w:sz w:val="22"/>
              </w:rPr>
            </w:pPr>
            <w:r>
              <w:rPr>
                <w:sz w:val="22"/>
              </w:rPr>
              <w:t>4 </w:t>
            </w:r>
            <w:r>
              <w:rPr>
                <w:rFonts w:ascii="Calibri Light"/>
                <w:b w:val="0"/>
                <w:sz w:val="22"/>
              </w:rPr>
              <w:t>(50%)</w:t>
            </w:r>
          </w:p>
        </w:tc>
        <w:tc>
          <w:tcPr>
            <w:tcW w:w="1244" w:type="dxa"/>
            <w:tcBorders>
              <w:left w:val="single" w:sz="45" w:space="0" w:color="2D74B5"/>
            </w:tcBorders>
          </w:tcPr>
          <w:p>
            <w:pPr>
              <w:pStyle w:val="TableParagraph"/>
              <w:spacing w:line="265" w:lineRule="exact"/>
              <w:ind w:left="110" w:right="159"/>
              <w:rPr>
                <w:rFonts w:ascii="Calibri Light"/>
                <w:b w:val="0"/>
                <w:sz w:val="22"/>
              </w:rPr>
            </w:pPr>
            <w:r>
              <w:rPr>
                <w:sz w:val="22"/>
              </w:rPr>
              <w:t>1 </w:t>
            </w:r>
            <w:r>
              <w:rPr>
                <w:rFonts w:ascii="Calibri Light"/>
                <w:b w:val="0"/>
                <w:sz w:val="22"/>
              </w:rPr>
              <w:t>(12.5%)</w:t>
            </w:r>
          </w:p>
        </w:tc>
        <w:tc>
          <w:tcPr>
            <w:tcW w:w="1368" w:type="dxa"/>
          </w:tcPr>
          <w:p>
            <w:pPr>
              <w:pStyle w:val="TableParagraph"/>
              <w:spacing w:line="265" w:lineRule="exact"/>
              <w:ind w:left="223" w:right="224"/>
              <w:rPr>
                <w:rFonts w:ascii="Calibri Light"/>
                <w:b w:val="0"/>
                <w:sz w:val="22"/>
              </w:rPr>
            </w:pPr>
            <w:r>
              <w:rPr>
                <w:sz w:val="22"/>
              </w:rPr>
              <w:t>2 </w:t>
            </w:r>
            <w:r>
              <w:rPr>
                <w:rFonts w:ascii="Calibri Light"/>
                <w:b w:val="0"/>
                <w:sz w:val="22"/>
              </w:rPr>
              <w:t>(25%)</w:t>
            </w:r>
          </w:p>
        </w:tc>
        <w:tc>
          <w:tcPr>
            <w:tcW w:w="1366" w:type="dxa"/>
          </w:tcPr>
          <w:p>
            <w:pPr>
              <w:pStyle w:val="TableParagraph"/>
              <w:spacing w:before="9"/>
              <w:ind w:right="2"/>
              <w:rPr>
                <w:sz w:val="22"/>
              </w:rPr>
            </w:pPr>
            <w:r>
              <w:rPr>
                <w:w w:val="100"/>
                <w:sz w:val="22"/>
              </w:rPr>
              <w:t>0</w:t>
            </w:r>
          </w:p>
        </w:tc>
      </w:tr>
      <w:tr>
        <w:trPr>
          <w:trHeight w:val="413" w:hRule="exact"/>
        </w:trPr>
        <w:tc>
          <w:tcPr>
            <w:tcW w:w="3152" w:type="dxa"/>
            <w:gridSpan w:val="2"/>
          </w:tcPr>
          <w:p>
            <w:pPr>
              <w:pStyle w:val="TableParagraph"/>
              <w:spacing w:before="9"/>
              <w:ind w:left="383"/>
              <w:jc w:val="left"/>
              <w:rPr>
                <w:sz w:val="22"/>
              </w:rPr>
            </w:pPr>
            <w:r>
              <w:rPr>
                <w:sz w:val="22"/>
              </w:rPr>
              <w:t>Nivel Medio Superior (8)</w:t>
            </w:r>
          </w:p>
        </w:tc>
        <w:tc>
          <w:tcPr>
            <w:tcW w:w="1148" w:type="dxa"/>
          </w:tcPr>
          <w:p>
            <w:pPr>
              <w:pStyle w:val="TableParagraph"/>
              <w:spacing w:before="9"/>
              <w:ind w:right="5"/>
              <w:rPr>
                <w:sz w:val="22"/>
              </w:rPr>
            </w:pPr>
            <w:r>
              <w:rPr>
                <w:w w:val="100"/>
                <w:sz w:val="22"/>
              </w:rPr>
              <w:t>0</w:t>
            </w:r>
          </w:p>
        </w:tc>
        <w:tc>
          <w:tcPr>
            <w:tcW w:w="1121" w:type="dxa"/>
            <w:tcBorders>
              <w:right w:val="single" w:sz="41" w:space="0" w:color="9CC2E4"/>
            </w:tcBorders>
          </w:tcPr>
          <w:p>
            <w:pPr>
              <w:pStyle w:val="TableParagraph"/>
              <w:spacing w:line="265" w:lineRule="exact"/>
              <w:ind w:left="105" w:right="58"/>
              <w:rPr>
                <w:rFonts w:ascii="Calibri Light"/>
                <w:b w:val="0"/>
                <w:sz w:val="22"/>
              </w:rPr>
            </w:pPr>
            <w:r>
              <w:rPr>
                <w:sz w:val="22"/>
              </w:rPr>
              <w:t>2 </w:t>
            </w:r>
            <w:r>
              <w:rPr>
                <w:rFonts w:ascii="Calibri Light"/>
                <w:b w:val="0"/>
                <w:sz w:val="22"/>
              </w:rPr>
              <w:t>(25%)</w:t>
            </w:r>
          </w:p>
        </w:tc>
        <w:tc>
          <w:tcPr>
            <w:tcW w:w="1244" w:type="dxa"/>
            <w:shd w:val="clear" w:color="auto" w:fill="9CC2E4"/>
          </w:tcPr>
          <w:p>
            <w:pPr>
              <w:pStyle w:val="TableParagraph"/>
              <w:spacing w:line="265" w:lineRule="exact"/>
              <w:ind w:left="82" w:right="82"/>
              <w:rPr>
                <w:rFonts w:ascii="Calibri Light"/>
                <w:b w:val="0"/>
                <w:sz w:val="22"/>
              </w:rPr>
            </w:pPr>
            <w:r>
              <w:rPr>
                <w:sz w:val="22"/>
              </w:rPr>
              <w:t>3 </w:t>
            </w:r>
            <w:r>
              <w:rPr>
                <w:rFonts w:ascii="Calibri Light"/>
                <w:b w:val="0"/>
                <w:sz w:val="22"/>
              </w:rPr>
              <w:t>(37.5%)</w:t>
            </w:r>
          </w:p>
        </w:tc>
        <w:tc>
          <w:tcPr>
            <w:tcW w:w="1368" w:type="dxa"/>
            <w:shd w:val="clear" w:color="auto" w:fill="9CC2E4"/>
          </w:tcPr>
          <w:p>
            <w:pPr>
              <w:pStyle w:val="TableParagraph"/>
              <w:spacing w:line="265" w:lineRule="exact"/>
              <w:ind w:left="222" w:right="224"/>
              <w:rPr>
                <w:rFonts w:ascii="Calibri Light"/>
                <w:b w:val="0"/>
                <w:sz w:val="22"/>
              </w:rPr>
            </w:pPr>
            <w:r>
              <w:rPr>
                <w:sz w:val="22"/>
              </w:rPr>
              <w:t>3 </w:t>
            </w:r>
            <w:r>
              <w:rPr>
                <w:rFonts w:ascii="Calibri Light"/>
                <w:b w:val="0"/>
                <w:sz w:val="22"/>
              </w:rPr>
              <w:t>(37.5%)</w:t>
            </w:r>
          </w:p>
        </w:tc>
        <w:tc>
          <w:tcPr>
            <w:tcW w:w="1366" w:type="dxa"/>
            <w:tcBorders>
              <w:left w:val="thickThinMediumGap" w:sz="23" w:space="0" w:color="9CC2E4"/>
            </w:tcBorders>
          </w:tcPr>
          <w:p>
            <w:pPr>
              <w:pStyle w:val="TableParagraph"/>
              <w:spacing w:before="9"/>
              <w:ind w:right="55"/>
              <w:rPr>
                <w:sz w:val="22"/>
              </w:rPr>
            </w:pPr>
            <w:r>
              <w:rPr>
                <w:w w:val="100"/>
                <w:sz w:val="22"/>
              </w:rPr>
              <w:t>0</w:t>
            </w:r>
          </w:p>
        </w:tc>
      </w:tr>
      <w:tr>
        <w:trPr>
          <w:trHeight w:val="413" w:hRule="exact"/>
        </w:trPr>
        <w:tc>
          <w:tcPr>
            <w:tcW w:w="3152" w:type="dxa"/>
            <w:gridSpan w:val="2"/>
          </w:tcPr>
          <w:p>
            <w:pPr>
              <w:pStyle w:val="TableParagraph"/>
              <w:spacing w:before="9"/>
              <w:ind w:left="712"/>
              <w:jc w:val="left"/>
              <w:rPr>
                <w:sz w:val="22"/>
              </w:rPr>
            </w:pPr>
            <w:r>
              <w:rPr>
                <w:sz w:val="22"/>
              </w:rPr>
              <w:t>Nivel Superior (8)</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5"/>
              <w:rPr>
                <w:rFonts w:ascii="Calibri Light"/>
                <w:b w:val="0"/>
                <w:sz w:val="22"/>
              </w:rPr>
            </w:pPr>
            <w:r>
              <w:rPr>
                <w:sz w:val="22"/>
              </w:rPr>
              <w:t>2 </w:t>
            </w:r>
            <w:r>
              <w:rPr>
                <w:rFonts w:ascii="Calibri Light"/>
                <w:b w:val="0"/>
                <w:sz w:val="22"/>
              </w:rPr>
              <w:t>(25%)</w:t>
            </w:r>
          </w:p>
        </w:tc>
        <w:tc>
          <w:tcPr>
            <w:tcW w:w="1244" w:type="dxa"/>
            <w:tcBorders>
              <w:right w:val="single" w:sz="41" w:space="0" w:color="2D74B5"/>
            </w:tcBorders>
          </w:tcPr>
          <w:p>
            <w:pPr>
              <w:pStyle w:val="TableParagraph"/>
              <w:spacing w:line="265" w:lineRule="exact"/>
              <w:ind w:left="165" w:right="121"/>
              <w:rPr>
                <w:rFonts w:ascii="Calibri Light"/>
                <w:b w:val="0"/>
                <w:sz w:val="22"/>
              </w:rPr>
            </w:pPr>
            <w:r>
              <w:rPr>
                <w:sz w:val="22"/>
              </w:rPr>
              <w:t>2 </w:t>
            </w:r>
            <w:r>
              <w:rPr>
                <w:rFonts w:ascii="Calibri Light"/>
                <w:b w:val="0"/>
                <w:sz w:val="22"/>
              </w:rPr>
              <w:t>(25%)</w:t>
            </w:r>
          </w:p>
        </w:tc>
        <w:tc>
          <w:tcPr>
            <w:tcW w:w="1368" w:type="dxa"/>
            <w:shd w:val="clear" w:color="auto" w:fill="2D74B5"/>
          </w:tcPr>
          <w:p>
            <w:pPr>
              <w:pStyle w:val="TableParagraph"/>
              <w:spacing w:line="265" w:lineRule="exact"/>
              <w:ind w:left="222" w:right="224"/>
              <w:rPr>
                <w:rFonts w:ascii="Calibri Light"/>
                <w:b w:val="0"/>
                <w:sz w:val="22"/>
              </w:rPr>
            </w:pPr>
            <w:r>
              <w:rPr>
                <w:sz w:val="22"/>
              </w:rPr>
              <w:t>3 </w:t>
            </w:r>
            <w:r>
              <w:rPr>
                <w:rFonts w:ascii="Calibri Light"/>
                <w:b w:val="0"/>
                <w:sz w:val="22"/>
              </w:rPr>
              <w:t>(37.5%)</w:t>
            </w:r>
          </w:p>
        </w:tc>
        <w:tc>
          <w:tcPr>
            <w:tcW w:w="1366" w:type="dxa"/>
            <w:tcBorders>
              <w:left w:val="thickThinMediumGap" w:sz="23" w:space="0" w:color="2D74B5"/>
            </w:tcBorders>
          </w:tcPr>
          <w:p>
            <w:pPr>
              <w:pStyle w:val="TableParagraph"/>
              <w:spacing w:line="265" w:lineRule="exact"/>
              <w:ind w:left="173" w:right="230"/>
              <w:rPr>
                <w:rFonts w:ascii="Calibri Light"/>
                <w:b w:val="0"/>
                <w:sz w:val="22"/>
              </w:rPr>
            </w:pPr>
            <w:r>
              <w:rPr>
                <w:sz w:val="22"/>
              </w:rPr>
              <w:t>1 </w:t>
            </w:r>
            <w:r>
              <w:rPr>
                <w:rFonts w:ascii="Calibri Light"/>
                <w:b w:val="0"/>
                <w:sz w:val="22"/>
              </w:rPr>
              <w:t>(12.5%)</w:t>
            </w:r>
          </w:p>
        </w:tc>
      </w:tr>
    </w:tbl>
    <w:p>
      <w:pPr>
        <w:spacing w:line="227" w:lineRule="exact" w:before="0"/>
        <w:ind w:left="1407" w:right="339" w:firstLine="0"/>
        <w:jc w:val="left"/>
        <w:rPr>
          <w:b/>
          <w:sz w:val="20"/>
        </w:rPr>
      </w:pPr>
      <w:r>
        <w:rPr>
          <w:b/>
          <w:sz w:val="20"/>
        </w:rPr>
        <w:t>Tabla 4.24. Estadísticas sin autoridad; respuestas por nivel de estudios</w:t>
      </w:r>
    </w:p>
    <w:p>
      <w:pPr>
        <w:pStyle w:val="BodyText"/>
        <w:spacing w:before="5"/>
        <w:rPr>
          <w:b/>
          <w:sz w:val="27"/>
        </w:rPr>
      </w:pPr>
    </w:p>
    <w:p>
      <w:pPr>
        <w:pStyle w:val="BodyText"/>
        <w:spacing w:line="360" w:lineRule="auto"/>
        <w:ind w:left="102" w:right="106" w:firstLine="707"/>
        <w:jc w:val="both"/>
      </w:pPr>
      <w:r>
        <w:rPr/>
        <w:t>En</w:t>
      </w:r>
      <w:r>
        <w:rPr>
          <w:spacing w:val="-12"/>
        </w:rPr>
        <w:t> </w:t>
      </w:r>
      <w:r>
        <w:rPr/>
        <w:t>la</w:t>
      </w:r>
      <w:r>
        <w:rPr>
          <w:spacing w:val="-15"/>
        </w:rPr>
        <w:t> </w:t>
      </w:r>
      <w:r>
        <w:rPr/>
        <w:t>aseveración</w:t>
      </w:r>
      <w:r>
        <w:rPr>
          <w:spacing w:val="-14"/>
        </w:rPr>
        <w:t> </w:t>
      </w:r>
      <w:r>
        <w:rPr/>
        <w:t>9:</w:t>
      </w:r>
      <w:r>
        <w:rPr>
          <w:spacing w:val="-10"/>
        </w:rPr>
        <w:t> </w:t>
      </w:r>
      <w:r>
        <w:rPr>
          <w:b/>
        </w:rPr>
        <w:t>“Un</w:t>
      </w:r>
      <w:r>
        <w:rPr>
          <w:b/>
          <w:spacing w:val="-14"/>
        </w:rPr>
        <w:t> </w:t>
      </w:r>
      <w:r>
        <w:rPr>
          <w:b/>
        </w:rPr>
        <w:t>aspirante</w:t>
      </w:r>
      <w:r>
        <w:rPr>
          <w:b/>
          <w:spacing w:val="-14"/>
        </w:rPr>
        <w:t> </w:t>
      </w:r>
      <w:r>
        <w:rPr>
          <w:b/>
        </w:rPr>
        <w:t>a</w:t>
      </w:r>
      <w:r>
        <w:rPr>
          <w:b/>
          <w:spacing w:val="-12"/>
        </w:rPr>
        <w:t> </w:t>
      </w:r>
      <w:r>
        <w:rPr>
          <w:b/>
        </w:rPr>
        <w:t>un</w:t>
      </w:r>
      <w:r>
        <w:rPr>
          <w:b/>
          <w:spacing w:val="-16"/>
        </w:rPr>
        <w:t> </w:t>
      </w:r>
      <w:r>
        <w:rPr>
          <w:b/>
        </w:rPr>
        <w:t>puesto</w:t>
      </w:r>
      <w:r>
        <w:rPr>
          <w:b/>
          <w:spacing w:val="-14"/>
        </w:rPr>
        <w:t> </w:t>
      </w:r>
      <w:r>
        <w:rPr>
          <w:b/>
        </w:rPr>
        <w:t>importante</w:t>
      </w:r>
      <w:r>
        <w:rPr>
          <w:b/>
          <w:spacing w:val="-15"/>
        </w:rPr>
        <w:t> </w:t>
      </w:r>
      <w:r>
        <w:rPr>
          <w:b/>
        </w:rPr>
        <w:t>se</w:t>
      </w:r>
      <w:r>
        <w:rPr>
          <w:b/>
          <w:spacing w:val="-15"/>
        </w:rPr>
        <w:t> </w:t>
      </w:r>
      <w:r>
        <w:rPr>
          <w:b/>
        </w:rPr>
        <w:t>expresaría</w:t>
      </w:r>
      <w:r>
        <w:rPr>
          <w:b/>
          <w:spacing w:val="-15"/>
        </w:rPr>
        <w:t> </w:t>
      </w:r>
      <w:r>
        <w:rPr>
          <w:b/>
        </w:rPr>
        <w:t>como lo</w:t>
      </w:r>
      <w:r>
        <w:rPr>
          <w:b/>
          <w:spacing w:val="-10"/>
        </w:rPr>
        <w:t> </w:t>
      </w:r>
      <w:r>
        <w:rPr>
          <w:b/>
        </w:rPr>
        <w:t>hacen</w:t>
      </w:r>
      <w:r>
        <w:rPr>
          <w:b/>
          <w:spacing w:val="-13"/>
        </w:rPr>
        <w:t> </w:t>
      </w:r>
      <w:r>
        <w:rPr>
          <w:b/>
        </w:rPr>
        <w:t>en</w:t>
      </w:r>
      <w:r>
        <w:rPr>
          <w:b/>
          <w:spacing w:val="-10"/>
        </w:rPr>
        <w:t> </w:t>
      </w:r>
      <w:r>
        <w:rPr>
          <w:b/>
        </w:rPr>
        <w:t>la</w:t>
      </w:r>
      <w:r>
        <w:rPr>
          <w:b/>
          <w:spacing w:val="-9"/>
        </w:rPr>
        <w:t> </w:t>
      </w:r>
      <w:r>
        <w:rPr>
          <w:b/>
        </w:rPr>
        <w:t>grabación”</w:t>
      </w:r>
      <w:r>
        <w:rPr/>
        <w:t>,</w:t>
      </w:r>
      <w:r>
        <w:rPr>
          <w:spacing w:val="-10"/>
        </w:rPr>
        <w:t> </w:t>
      </w:r>
      <w:r>
        <w:rPr/>
        <w:t>para</w:t>
      </w:r>
      <w:r>
        <w:rPr>
          <w:spacing w:val="-10"/>
        </w:rPr>
        <w:t> </w:t>
      </w:r>
      <w:r>
        <w:rPr/>
        <w:t>la</w:t>
      </w:r>
      <w:r>
        <w:rPr>
          <w:spacing w:val="-12"/>
        </w:rPr>
        <w:t> </w:t>
      </w:r>
      <w:r>
        <w:rPr/>
        <w:t>totalidad</w:t>
      </w:r>
      <w:r>
        <w:rPr>
          <w:spacing w:val="-12"/>
        </w:rPr>
        <w:t> </w:t>
      </w:r>
      <w:r>
        <w:rPr/>
        <w:t>de</w:t>
      </w:r>
      <w:r>
        <w:rPr>
          <w:spacing w:val="-9"/>
        </w:rPr>
        <w:t> </w:t>
      </w:r>
      <w:r>
        <w:rPr/>
        <w:t>la</w:t>
      </w:r>
      <w:r>
        <w:rPr>
          <w:spacing w:val="-12"/>
        </w:rPr>
        <w:t> </w:t>
      </w:r>
      <w:r>
        <w:rPr/>
        <w:t>población</w:t>
      </w:r>
      <w:r>
        <w:rPr>
          <w:spacing w:val="-9"/>
        </w:rPr>
        <w:t> </w:t>
      </w:r>
      <w:r>
        <w:rPr/>
        <w:t>se</w:t>
      </w:r>
      <w:r>
        <w:rPr>
          <w:spacing w:val="-12"/>
        </w:rPr>
        <w:t> </w:t>
      </w:r>
      <w:r>
        <w:rPr/>
        <w:t>determinó</w:t>
      </w:r>
      <w:r>
        <w:rPr>
          <w:spacing w:val="-9"/>
        </w:rPr>
        <w:t> </w:t>
      </w:r>
      <w:r>
        <w:rPr/>
        <w:t>que</w:t>
      </w:r>
      <w:r>
        <w:rPr>
          <w:spacing w:val="-12"/>
        </w:rPr>
        <w:t> </w:t>
      </w:r>
      <w:r>
        <w:rPr/>
        <w:t>existe</w:t>
      </w:r>
      <w:r>
        <w:rPr>
          <w:spacing w:val="-9"/>
        </w:rPr>
        <w:t> </w:t>
      </w:r>
      <w:r>
        <w:rPr/>
        <w:t>una inclinación</w:t>
      </w:r>
      <w:r>
        <w:rPr>
          <w:spacing w:val="-5"/>
        </w:rPr>
        <w:t> </w:t>
      </w:r>
      <w:r>
        <w:rPr/>
        <w:t>a</w:t>
      </w:r>
      <w:r>
        <w:rPr>
          <w:spacing w:val="-5"/>
        </w:rPr>
        <w:t> </w:t>
      </w:r>
      <w:r>
        <w:rPr/>
        <w:t>favorecer</w:t>
      </w:r>
      <w:r>
        <w:rPr>
          <w:spacing w:val="-6"/>
        </w:rPr>
        <w:t> </w:t>
      </w:r>
      <w:r>
        <w:rPr/>
        <w:t>los</w:t>
      </w:r>
      <w:r>
        <w:rPr>
          <w:spacing w:val="-3"/>
        </w:rPr>
        <w:t> </w:t>
      </w:r>
      <w:r>
        <w:rPr/>
        <w:t>anglicismos</w:t>
      </w:r>
      <w:r>
        <w:rPr>
          <w:spacing w:val="-6"/>
        </w:rPr>
        <w:t> </w:t>
      </w:r>
      <w:r>
        <w:rPr/>
        <w:t>mostrando</w:t>
      </w:r>
      <w:r>
        <w:rPr>
          <w:spacing w:val="-5"/>
        </w:rPr>
        <w:t> </w:t>
      </w:r>
      <w:r>
        <w:rPr/>
        <w:t>un</w:t>
      </w:r>
      <w:r>
        <w:rPr>
          <w:spacing w:val="-5"/>
        </w:rPr>
        <w:t> </w:t>
      </w:r>
      <w:r>
        <w:rPr/>
        <w:t>54.1%</w:t>
      </w:r>
      <w:r>
        <w:rPr>
          <w:spacing w:val="-3"/>
        </w:rPr>
        <w:t> </w:t>
      </w:r>
      <w:r>
        <w:rPr/>
        <w:t>de</w:t>
      </w:r>
      <w:r>
        <w:rPr>
          <w:spacing w:val="-3"/>
        </w:rPr>
        <w:t> </w:t>
      </w:r>
      <w:r>
        <w:rPr/>
        <w:t>respuestas</w:t>
      </w:r>
      <w:r>
        <w:rPr>
          <w:spacing w:val="-6"/>
        </w:rPr>
        <w:t> </w:t>
      </w:r>
      <w:r>
        <w:rPr/>
        <w:t>“de</w:t>
      </w:r>
      <w:r>
        <w:rPr>
          <w:spacing w:val="-5"/>
        </w:rPr>
        <w:t> </w:t>
      </w:r>
      <w:r>
        <w:rPr/>
        <w:t>acuerdo”, como se puede ver en la tabla 4.25. El género masculino mostró mayor porcentaje (66.6%) de respuestas “de acuerdo” y un 16.6% “muy de acuerdo”. Para las mujeres el porcentaje fue menor pero siguen teniendo una inclinación a favorecer la grabación con anglicismos, el 41.6% se encuentra “de acuerdo” y el 25% “muy de</w:t>
      </w:r>
      <w:r>
        <w:rPr>
          <w:spacing w:val="-31"/>
        </w:rPr>
        <w:t> </w:t>
      </w:r>
      <w:r>
        <w:rPr/>
        <w:t>acuerdo”.</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2"/>
        <w:gridCol w:w="1669"/>
        <w:gridCol w:w="1080"/>
        <w:gridCol w:w="1144"/>
        <w:gridCol w:w="1244"/>
        <w:gridCol w:w="1402"/>
        <w:gridCol w:w="1397"/>
      </w:tblGrid>
      <w:tr>
        <w:trPr>
          <w:trHeight w:val="406" w:hRule="exact"/>
        </w:trPr>
        <w:tc>
          <w:tcPr>
            <w:tcW w:w="1462" w:type="dxa"/>
            <w:vMerge w:val="restart"/>
          </w:tcPr>
          <w:p>
            <w:pPr>
              <w:pStyle w:val="TableParagraph"/>
              <w:spacing w:before="6"/>
              <w:jc w:val="left"/>
              <w:rPr>
                <w:sz w:val="17"/>
              </w:rPr>
            </w:pPr>
          </w:p>
          <w:p>
            <w:pPr>
              <w:pStyle w:val="TableParagraph"/>
              <w:ind w:left="100" w:right="101"/>
              <w:rPr>
                <w:sz w:val="22"/>
              </w:rPr>
            </w:pPr>
            <w:r>
              <w:rPr>
                <w:sz w:val="22"/>
              </w:rPr>
              <w:t>Aseveración</w:t>
            </w:r>
          </w:p>
          <w:p>
            <w:pPr>
              <w:pStyle w:val="TableParagraph"/>
              <w:spacing w:before="124"/>
              <w:rPr>
                <w:b/>
                <w:sz w:val="22"/>
              </w:rPr>
            </w:pPr>
            <w:r>
              <w:rPr>
                <w:b/>
                <w:w w:val="100"/>
                <w:sz w:val="22"/>
              </w:rPr>
              <w:t>9</w:t>
            </w:r>
          </w:p>
        </w:tc>
        <w:tc>
          <w:tcPr>
            <w:tcW w:w="1669" w:type="dxa"/>
            <w:vMerge w:val="restart"/>
          </w:tcPr>
          <w:p>
            <w:pPr>
              <w:pStyle w:val="TableParagraph"/>
              <w:spacing w:line="357" w:lineRule="auto" w:before="12"/>
              <w:ind w:left="191" w:right="194" w:firstLine="5"/>
              <w:rPr>
                <w:b/>
                <w:sz w:val="22"/>
              </w:rPr>
            </w:pPr>
            <w:r>
              <w:rPr>
                <w:sz w:val="22"/>
              </w:rPr>
              <w:t>Tipo de Aseveración: </w:t>
            </w:r>
            <w:r>
              <w:rPr>
                <w:b/>
                <w:sz w:val="22"/>
              </w:rPr>
              <w:t>Favorable</w:t>
            </w:r>
          </w:p>
        </w:tc>
        <w:tc>
          <w:tcPr>
            <w:tcW w:w="6268" w:type="dxa"/>
            <w:gridSpan w:val="5"/>
          </w:tcPr>
          <w:p>
            <w:pPr>
              <w:pStyle w:val="TableParagraph"/>
              <w:spacing w:before="7"/>
              <w:ind w:left="2528" w:right="2528"/>
              <w:rPr>
                <w:sz w:val="22"/>
              </w:rPr>
            </w:pPr>
            <w:r>
              <w:rPr>
                <w:sz w:val="22"/>
              </w:rPr>
              <w:t>Respuestas</w:t>
            </w:r>
          </w:p>
        </w:tc>
      </w:tr>
      <w:tr>
        <w:trPr>
          <w:trHeight w:val="770" w:hRule="exact"/>
        </w:trPr>
        <w:tc>
          <w:tcPr>
            <w:tcW w:w="1462" w:type="dxa"/>
            <w:vMerge/>
          </w:tcPr>
          <w:p>
            <w:pPr/>
          </w:p>
        </w:tc>
        <w:tc>
          <w:tcPr>
            <w:tcW w:w="1669" w:type="dxa"/>
            <w:vMerge/>
          </w:tcPr>
          <w:p>
            <w:pPr/>
          </w:p>
        </w:tc>
        <w:tc>
          <w:tcPr>
            <w:tcW w:w="1080" w:type="dxa"/>
          </w:tcPr>
          <w:p>
            <w:pPr>
              <w:pStyle w:val="TableParagraph"/>
              <w:spacing w:line="360" w:lineRule="auto"/>
              <w:ind w:left="136" w:right="119" w:firstLine="38"/>
              <w:jc w:val="left"/>
              <w:rPr>
                <w:sz w:val="22"/>
              </w:rPr>
            </w:pPr>
            <w:r>
              <w:rPr>
                <w:sz w:val="22"/>
              </w:rPr>
              <w:t>Muy de acuerdo</w:t>
            </w:r>
          </w:p>
        </w:tc>
        <w:tc>
          <w:tcPr>
            <w:tcW w:w="1144" w:type="dxa"/>
          </w:tcPr>
          <w:p>
            <w:pPr>
              <w:pStyle w:val="TableParagraph"/>
              <w:spacing w:line="360" w:lineRule="auto"/>
              <w:ind w:left="170" w:right="149" w:firstLine="256"/>
              <w:jc w:val="left"/>
              <w:rPr>
                <w:sz w:val="22"/>
              </w:rPr>
            </w:pPr>
            <w:r>
              <w:rPr>
                <w:sz w:val="22"/>
              </w:rPr>
              <w:t>De acuerdo</w:t>
            </w:r>
          </w:p>
        </w:tc>
        <w:tc>
          <w:tcPr>
            <w:tcW w:w="1244" w:type="dxa"/>
          </w:tcPr>
          <w:p>
            <w:pPr>
              <w:pStyle w:val="TableParagraph"/>
              <w:spacing w:before="189"/>
              <w:ind w:left="83" w:right="84"/>
              <w:rPr>
                <w:sz w:val="22"/>
              </w:rPr>
            </w:pPr>
            <w:r>
              <w:rPr>
                <w:sz w:val="22"/>
              </w:rPr>
              <w:t>indiferente</w:t>
            </w:r>
          </w:p>
        </w:tc>
        <w:tc>
          <w:tcPr>
            <w:tcW w:w="1402" w:type="dxa"/>
          </w:tcPr>
          <w:p>
            <w:pPr>
              <w:pStyle w:val="TableParagraph"/>
              <w:spacing w:line="360" w:lineRule="auto"/>
              <w:ind w:left="120" w:right="102" w:firstLine="441"/>
              <w:jc w:val="left"/>
              <w:rPr>
                <w:sz w:val="22"/>
              </w:rPr>
            </w:pPr>
            <w:r>
              <w:rPr>
                <w:sz w:val="22"/>
              </w:rPr>
              <w:t>En desacuerdo</w:t>
            </w:r>
          </w:p>
        </w:tc>
        <w:tc>
          <w:tcPr>
            <w:tcW w:w="1397" w:type="dxa"/>
          </w:tcPr>
          <w:p>
            <w:pPr>
              <w:pStyle w:val="TableParagraph"/>
              <w:spacing w:line="360" w:lineRule="auto"/>
              <w:ind w:left="115" w:right="102" w:firstLine="216"/>
              <w:jc w:val="left"/>
              <w:rPr>
                <w:sz w:val="22"/>
              </w:rPr>
            </w:pPr>
            <w:r>
              <w:rPr>
                <w:sz w:val="22"/>
              </w:rPr>
              <w:t>Muy en desacuerdo</w:t>
            </w:r>
          </w:p>
        </w:tc>
      </w:tr>
      <w:tr>
        <w:trPr>
          <w:trHeight w:val="413" w:hRule="exact"/>
        </w:trPr>
        <w:tc>
          <w:tcPr>
            <w:tcW w:w="3130" w:type="dxa"/>
            <w:gridSpan w:val="2"/>
          </w:tcPr>
          <w:p>
            <w:pPr>
              <w:pStyle w:val="TableParagraph"/>
              <w:spacing w:before="9"/>
              <w:ind w:left="316"/>
              <w:jc w:val="left"/>
              <w:rPr>
                <w:sz w:val="22"/>
              </w:rPr>
            </w:pPr>
            <w:r>
              <w:rPr>
                <w:sz w:val="22"/>
              </w:rPr>
              <w:t>Total de la población (24)</w:t>
            </w:r>
          </w:p>
        </w:tc>
        <w:tc>
          <w:tcPr>
            <w:tcW w:w="1080" w:type="dxa"/>
          </w:tcPr>
          <w:p>
            <w:pPr>
              <w:pStyle w:val="TableParagraph"/>
              <w:spacing w:line="265" w:lineRule="exact"/>
              <w:ind w:left="85" w:right="85"/>
              <w:rPr>
                <w:rFonts w:ascii="Calibri Light"/>
                <w:b w:val="0"/>
                <w:sz w:val="22"/>
              </w:rPr>
            </w:pPr>
            <w:r>
              <w:rPr>
                <w:sz w:val="22"/>
              </w:rPr>
              <w:t>5 </w:t>
            </w:r>
            <w:r>
              <w:rPr>
                <w:rFonts w:ascii="Calibri Light"/>
                <w:b w:val="0"/>
                <w:sz w:val="22"/>
              </w:rPr>
              <w:t>(20.8%)</w:t>
            </w:r>
          </w:p>
        </w:tc>
        <w:tc>
          <w:tcPr>
            <w:tcW w:w="1144" w:type="dxa"/>
            <w:shd w:val="clear" w:color="auto" w:fill="2D74B5"/>
          </w:tcPr>
          <w:p>
            <w:pPr>
              <w:pStyle w:val="TableParagraph"/>
              <w:spacing w:line="265" w:lineRule="exact"/>
              <w:ind w:left="103"/>
              <w:jc w:val="left"/>
              <w:rPr>
                <w:rFonts w:ascii="Calibri Light"/>
                <w:b w:val="0"/>
                <w:sz w:val="22"/>
              </w:rPr>
            </w:pPr>
            <w:r>
              <w:rPr>
                <w:sz w:val="22"/>
              </w:rPr>
              <w:t>13(</w:t>
            </w:r>
            <w:r>
              <w:rPr>
                <w:rFonts w:ascii="Calibri Light"/>
                <w:b w:val="0"/>
                <w:sz w:val="22"/>
              </w:rPr>
              <w:t>54.1%)</w:t>
            </w:r>
          </w:p>
        </w:tc>
        <w:tc>
          <w:tcPr>
            <w:tcW w:w="1244" w:type="dxa"/>
          </w:tcPr>
          <w:p>
            <w:pPr>
              <w:pStyle w:val="TableParagraph"/>
              <w:spacing w:line="265" w:lineRule="exact"/>
              <w:ind w:left="81" w:right="84"/>
              <w:rPr>
                <w:rFonts w:ascii="Calibri Light"/>
                <w:b w:val="0"/>
                <w:sz w:val="22"/>
              </w:rPr>
            </w:pPr>
            <w:r>
              <w:rPr>
                <w:sz w:val="22"/>
              </w:rPr>
              <w:t>2 </w:t>
            </w:r>
            <w:r>
              <w:rPr>
                <w:rFonts w:ascii="Calibri Light"/>
                <w:b w:val="0"/>
                <w:sz w:val="22"/>
              </w:rPr>
              <w:t>(8.3%)</w:t>
            </w:r>
          </w:p>
        </w:tc>
        <w:tc>
          <w:tcPr>
            <w:tcW w:w="1402" w:type="dxa"/>
          </w:tcPr>
          <w:p>
            <w:pPr>
              <w:pStyle w:val="TableParagraph"/>
              <w:spacing w:line="265" w:lineRule="exact"/>
              <w:ind w:left="247" w:right="246"/>
              <w:rPr>
                <w:rFonts w:ascii="Calibri Light"/>
                <w:b w:val="0"/>
                <w:sz w:val="22"/>
              </w:rPr>
            </w:pPr>
            <w:r>
              <w:rPr>
                <w:sz w:val="22"/>
              </w:rPr>
              <w:t>4 </w:t>
            </w:r>
            <w:r>
              <w:rPr>
                <w:rFonts w:ascii="Calibri Light"/>
                <w:b w:val="0"/>
                <w:sz w:val="22"/>
              </w:rPr>
              <w:t>(16.6%)</w:t>
            </w:r>
          </w:p>
        </w:tc>
        <w:tc>
          <w:tcPr>
            <w:tcW w:w="1397" w:type="dxa"/>
          </w:tcPr>
          <w:p>
            <w:pPr>
              <w:pStyle w:val="TableParagraph"/>
              <w:spacing w:before="9"/>
              <w:ind w:right="5"/>
              <w:rPr>
                <w:sz w:val="22"/>
              </w:rPr>
            </w:pPr>
            <w:r>
              <w:rPr>
                <w:w w:val="100"/>
                <w:sz w:val="22"/>
              </w:rPr>
              <w:t>0</w:t>
            </w:r>
          </w:p>
        </w:tc>
      </w:tr>
      <w:tr>
        <w:trPr>
          <w:trHeight w:val="413" w:hRule="exact"/>
        </w:trPr>
        <w:tc>
          <w:tcPr>
            <w:tcW w:w="3130" w:type="dxa"/>
            <w:gridSpan w:val="2"/>
          </w:tcPr>
          <w:p>
            <w:pPr>
              <w:pStyle w:val="TableParagraph"/>
              <w:spacing w:before="9"/>
              <w:ind w:left="940"/>
              <w:jc w:val="left"/>
              <w:rPr>
                <w:sz w:val="22"/>
              </w:rPr>
            </w:pPr>
            <w:r>
              <w:rPr>
                <w:sz w:val="22"/>
              </w:rPr>
              <w:t>Mujeres (12)</w:t>
            </w:r>
          </w:p>
        </w:tc>
        <w:tc>
          <w:tcPr>
            <w:tcW w:w="1080" w:type="dxa"/>
          </w:tcPr>
          <w:p>
            <w:pPr>
              <w:pStyle w:val="TableParagraph"/>
              <w:spacing w:line="265" w:lineRule="exact"/>
              <w:ind w:left="84" w:right="85"/>
              <w:rPr>
                <w:rFonts w:ascii="Calibri Light"/>
                <w:b w:val="0"/>
                <w:sz w:val="22"/>
              </w:rPr>
            </w:pPr>
            <w:r>
              <w:rPr>
                <w:sz w:val="22"/>
              </w:rPr>
              <w:t>3 </w:t>
            </w:r>
            <w:r>
              <w:rPr>
                <w:rFonts w:ascii="Calibri Light"/>
                <w:b w:val="0"/>
                <w:sz w:val="22"/>
              </w:rPr>
              <w:t>(25%)</w:t>
            </w:r>
          </w:p>
        </w:tc>
        <w:tc>
          <w:tcPr>
            <w:tcW w:w="1144" w:type="dxa"/>
            <w:shd w:val="clear" w:color="auto" w:fill="2D74B5"/>
          </w:tcPr>
          <w:p>
            <w:pPr>
              <w:pStyle w:val="TableParagraph"/>
              <w:spacing w:line="265" w:lineRule="exact"/>
              <w:ind w:left="137"/>
              <w:jc w:val="left"/>
              <w:rPr>
                <w:rFonts w:ascii="Calibri Light"/>
                <w:b w:val="0"/>
                <w:sz w:val="22"/>
              </w:rPr>
            </w:pPr>
            <w:r>
              <w:rPr>
                <w:sz w:val="22"/>
              </w:rPr>
              <w:t>5 </w:t>
            </w:r>
            <w:r>
              <w:rPr>
                <w:rFonts w:ascii="Calibri Light"/>
                <w:b w:val="0"/>
                <w:sz w:val="22"/>
              </w:rPr>
              <w:t>(41.6%)</w:t>
            </w:r>
          </w:p>
        </w:tc>
        <w:tc>
          <w:tcPr>
            <w:tcW w:w="1244" w:type="dxa"/>
          </w:tcPr>
          <w:p>
            <w:pPr>
              <w:pStyle w:val="TableParagraph"/>
              <w:spacing w:line="265" w:lineRule="exact"/>
              <w:ind w:left="83" w:right="83"/>
              <w:rPr>
                <w:rFonts w:ascii="Calibri Light"/>
                <w:b w:val="0"/>
                <w:sz w:val="22"/>
              </w:rPr>
            </w:pPr>
            <w:r>
              <w:rPr>
                <w:sz w:val="22"/>
              </w:rPr>
              <w:t>2 </w:t>
            </w:r>
            <w:r>
              <w:rPr>
                <w:rFonts w:ascii="Calibri Light"/>
                <w:b w:val="0"/>
                <w:sz w:val="22"/>
              </w:rPr>
              <w:t>(16.6%)</w:t>
            </w:r>
          </w:p>
        </w:tc>
        <w:tc>
          <w:tcPr>
            <w:tcW w:w="1402" w:type="dxa"/>
          </w:tcPr>
          <w:p>
            <w:pPr>
              <w:pStyle w:val="TableParagraph"/>
              <w:spacing w:line="265" w:lineRule="exact"/>
              <w:ind w:left="247" w:right="246"/>
              <w:rPr>
                <w:rFonts w:ascii="Calibri Light"/>
                <w:b w:val="0"/>
                <w:sz w:val="22"/>
              </w:rPr>
            </w:pPr>
            <w:r>
              <w:rPr>
                <w:sz w:val="22"/>
              </w:rPr>
              <w:t>2 </w:t>
            </w:r>
            <w:r>
              <w:rPr>
                <w:rFonts w:ascii="Calibri Light"/>
                <w:b w:val="0"/>
                <w:sz w:val="22"/>
              </w:rPr>
              <w:t>(16.6%)</w:t>
            </w:r>
          </w:p>
        </w:tc>
        <w:tc>
          <w:tcPr>
            <w:tcW w:w="1397" w:type="dxa"/>
          </w:tcPr>
          <w:p>
            <w:pPr>
              <w:pStyle w:val="TableParagraph"/>
              <w:spacing w:before="9"/>
              <w:ind w:right="5"/>
              <w:rPr>
                <w:sz w:val="22"/>
              </w:rPr>
            </w:pPr>
            <w:r>
              <w:rPr>
                <w:w w:val="100"/>
                <w:sz w:val="22"/>
              </w:rPr>
              <w:t>0</w:t>
            </w:r>
          </w:p>
        </w:tc>
      </w:tr>
      <w:tr>
        <w:trPr>
          <w:trHeight w:val="413" w:hRule="exact"/>
        </w:trPr>
        <w:tc>
          <w:tcPr>
            <w:tcW w:w="3130" w:type="dxa"/>
            <w:gridSpan w:val="2"/>
          </w:tcPr>
          <w:p>
            <w:pPr>
              <w:pStyle w:val="TableParagraph"/>
              <w:spacing w:before="9"/>
              <w:ind w:left="887"/>
              <w:jc w:val="left"/>
              <w:rPr>
                <w:sz w:val="22"/>
              </w:rPr>
            </w:pPr>
            <w:r>
              <w:rPr>
                <w:sz w:val="22"/>
              </w:rPr>
              <w:t>Hombres (12)</w:t>
            </w:r>
          </w:p>
        </w:tc>
        <w:tc>
          <w:tcPr>
            <w:tcW w:w="1080" w:type="dxa"/>
          </w:tcPr>
          <w:p>
            <w:pPr>
              <w:pStyle w:val="TableParagraph"/>
              <w:spacing w:line="265" w:lineRule="exact"/>
              <w:ind w:left="85" w:right="85"/>
              <w:rPr>
                <w:rFonts w:ascii="Calibri Light"/>
                <w:b w:val="0"/>
                <w:sz w:val="22"/>
              </w:rPr>
            </w:pPr>
            <w:r>
              <w:rPr>
                <w:sz w:val="22"/>
              </w:rPr>
              <w:t>2 </w:t>
            </w:r>
            <w:r>
              <w:rPr>
                <w:rFonts w:ascii="Calibri Light"/>
                <w:b w:val="0"/>
                <w:sz w:val="22"/>
              </w:rPr>
              <w:t>(16.6%)</w:t>
            </w:r>
          </w:p>
        </w:tc>
        <w:tc>
          <w:tcPr>
            <w:tcW w:w="1144" w:type="dxa"/>
            <w:shd w:val="clear" w:color="auto" w:fill="2D74B5"/>
          </w:tcPr>
          <w:p>
            <w:pPr>
              <w:pStyle w:val="TableParagraph"/>
              <w:spacing w:line="265" w:lineRule="exact"/>
              <w:ind w:left="137"/>
              <w:jc w:val="left"/>
              <w:rPr>
                <w:rFonts w:ascii="Calibri Light"/>
                <w:b w:val="0"/>
                <w:sz w:val="22"/>
              </w:rPr>
            </w:pPr>
            <w:r>
              <w:rPr>
                <w:sz w:val="22"/>
              </w:rPr>
              <w:t>8 </w:t>
            </w:r>
            <w:r>
              <w:rPr>
                <w:rFonts w:ascii="Calibri Light"/>
                <w:b w:val="0"/>
                <w:sz w:val="22"/>
              </w:rPr>
              <w:t>(66.6%)</w:t>
            </w:r>
          </w:p>
        </w:tc>
        <w:tc>
          <w:tcPr>
            <w:tcW w:w="1244" w:type="dxa"/>
          </w:tcPr>
          <w:p>
            <w:pPr>
              <w:pStyle w:val="TableParagraph"/>
              <w:spacing w:before="9"/>
              <w:ind w:right="3"/>
              <w:rPr>
                <w:sz w:val="22"/>
              </w:rPr>
            </w:pPr>
            <w:r>
              <w:rPr>
                <w:w w:val="100"/>
                <w:sz w:val="22"/>
              </w:rPr>
              <w:t>0</w:t>
            </w:r>
          </w:p>
        </w:tc>
        <w:tc>
          <w:tcPr>
            <w:tcW w:w="1402" w:type="dxa"/>
          </w:tcPr>
          <w:p>
            <w:pPr>
              <w:pStyle w:val="TableParagraph"/>
              <w:spacing w:line="265" w:lineRule="exact"/>
              <w:ind w:left="247" w:right="246"/>
              <w:rPr>
                <w:rFonts w:ascii="Calibri Light"/>
                <w:b w:val="0"/>
                <w:sz w:val="22"/>
              </w:rPr>
            </w:pPr>
            <w:r>
              <w:rPr>
                <w:sz w:val="22"/>
              </w:rPr>
              <w:t>2 </w:t>
            </w:r>
            <w:r>
              <w:rPr>
                <w:rFonts w:ascii="Calibri Light"/>
                <w:b w:val="0"/>
                <w:sz w:val="22"/>
              </w:rPr>
              <w:t>(16.6%)</w:t>
            </w:r>
          </w:p>
        </w:tc>
        <w:tc>
          <w:tcPr>
            <w:tcW w:w="1397" w:type="dxa"/>
          </w:tcPr>
          <w:p>
            <w:pPr>
              <w:pStyle w:val="TableParagraph"/>
              <w:spacing w:before="9"/>
              <w:ind w:right="5"/>
              <w:rPr>
                <w:sz w:val="22"/>
              </w:rPr>
            </w:pPr>
            <w:r>
              <w:rPr>
                <w:w w:val="100"/>
                <w:sz w:val="22"/>
              </w:rPr>
              <w:t>0</w:t>
            </w:r>
          </w:p>
        </w:tc>
      </w:tr>
    </w:tbl>
    <w:p>
      <w:pPr>
        <w:spacing w:line="227" w:lineRule="exact" w:before="0"/>
        <w:ind w:left="810" w:right="26" w:hanging="668"/>
        <w:jc w:val="left"/>
        <w:rPr>
          <w:b/>
          <w:sz w:val="20"/>
        </w:rPr>
      </w:pPr>
      <w:r>
        <w:rPr>
          <w:b/>
          <w:sz w:val="20"/>
        </w:rPr>
        <w:t>Tabla 4.25. Aspirante a puesto importante; respuestas en la totalidad de la población y por género</w:t>
      </w:r>
    </w:p>
    <w:p>
      <w:pPr>
        <w:pStyle w:val="BodyText"/>
        <w:spacing w:before="5"/>
        <w:rPr>
          <w:b/>
          <w:sz w:val="27"/>
        </w:rPr>
      </w:pPr>
    </w:p>
    <w:p>
      <w:pPr>
        <w:pStyle w:val="BodyText"/>
        <w:spacing w:line="360" w:lineRule="auto"/>
        <w:ind w:left="102" w:right="112" w:firstLine="707"/>
        <w:jc w:val="both"/>
      </w:pPr>
      <w:r>
        <w:rPr/>
        <w:t>Por grupo de edad (tabla 4.26.), los jóvenes de 15 a 24 años que conforman el grupo 1 es el que presentó mayor porcentaje de respuestas a favor con cuatro de seis respuestas “de acuerdo” y una “muy de acuerdo”. El grupo 2 mostró tres de seis respuestas “de acuerdo” y dos “muy de acuerdo”. Finalmente, en tercer lugar se encuentran los grupos 3 y 4 con tres de seis respuestas “de acuerdo” y una “muy de acuerdo”.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1"/>
        <w:gridCol w:w="1150"/>
        <w:gridCol w:w="1121"/>
        <w:gridCol w:w="1244"/>
        <w:gridCol w:w="1368"/>
        <w:gridCol w:w="1366"/>
      </w:tblGrid>
      <w:tr>
        <w:trPr>
          <w:trHeight w:val="408"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9</w:t>
            </w:r>
          </w:p>
        </w:tc>
        <w:tc>
          <w:tcPr>
            <w:tcW w:w="1721" w:type="dxa"/>
            <w:vMerge w:val="restart"/>
          </w:tcPr>
          <w:p>
            <w:pPr>
              <w:pStyle w:val="TableParagraph"/>
              <w:spacing w:line="357" w:lineRule="auto" w:before="12"/>
              <w:ind w:left="218" w:right="220" w:firstLine="5"/>
              <w:rPr>
                <w:b/>
                <w:sz w:val="22"/>
              </w:rPr>
            </w:pPr>
            <w:r>
              <w:rPr>
                <w:sz w:val="22"/>
              </w:rPr>
              <w:t>Tipo de Aseveración: </w:t>
            </w:r>
            <w:r>
              <w:rPr>
                <w:b/>
                <w:sz w:val="22"/>
              </w:rPr>
              <w:t>Favorable</w:t>
            </w:r>
          </w:p>
        </w:tc>
        <w:tc>
          <w:tcPr>
            <w:tcW w:w="6249" w:type="dxa"/>
            <w:gridSpan w:val="5"/>
          </w:tcPr>
          <w:p>
            <w:pPr>
              <w:pStyle w:val="TableParagraph"/>
              <w:spacing w:before="7"/>
              <w:ind w:left="2517" w:right="2517"/>
              <w:rPr>
                <w:sz w:val="22"/>
              </w:rPr>
            </w:pPr>
            <w:r>
              <w:rPr>
                <w:sz w:val="22"/>
              </w:rPr>
              <w:t>Respuestas</w:t>
            </w:r>
          </w:p>
        </w:tc>
      </w:tr>
      <w:tr>
        <w:trPr>
          <w:trHeight w:val="768" w:hRule="exact"/>
        </w:trPr>
        <w:tc>
          <w:tcPr>
            <w:tcW w:w="1428" w:type="dxa"/>
            <w:gridSpan w:val="2"/>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10"/>
              <w:ind w:right="58"/>
              <w:jc w:val="right"/>
              <w:rPr>
                <w:sz w:val="22"/>
              </w:rPr>
            </w:pPr>
            <w:r>
              <w:rPr>
                <w:sz w:val="22"/>
              </w:rPr>
              <w:t>Grupo</w:t>
            </w:r>
          </w:p>
        </w:tc>
        <w:tc>
          <w:tcPr>
            <w:tcW w:w="1922" w:type="dxa"/>
            <w:gridSpan w:val="2"/>
            <w:tcBorders>
              <w:left w:val="nil"/>
            </w:tcBorders>
          </w:tcPr>
          <w:p>
            <w:pPr>
              <w:pStyle w:val="TableParagraph"/>
              <w:spacing w:before="10"/>
              <w:ind w:left="60"/>
              <w:jc w:val="left"/>
              <w:rPr>
                <w:sz w:val="22"/>
              </w:rPr>
            </w:pPr>
            <w:r>
              <w:rPr>
                <w:sz w:val="22"/>
              </w:rPr>
              <w:t>de edad 1 (6)</w:t>
            </w:r>
          </w:p>
        </w:tc>
        <w:tc>
          <w:tcPr>
            <w:tcW w:w="1150" w:type="dxa"/>
          </w:tcPr>
          <w:p>
            <w:pPr>
              <w:pStyle w:val="TableParagraph"/>
              <w:spacing w:line="266" w:lineRule="exact"/>
              <w:ind w:left="118" w:right="120"/>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6" w:lineRule="exact"/>
              <w:ind w:left="85" w:right="86"/>
              <w:rPr>
                <w:rFonts w:ascii="Calibri Light"/>
                <w:b w:val="0"/>
                <w:sz w:val="22"/>
              </w:rPr>
            </w:pPr>
            <w:r>
              <w:rPr>
                <w:sz w:val="22"/>
              </w:rPr>
              <w:t>4 </w:t>
            </w:r>
            <w:r>
              <w:rPr>
                <w:rFonts w:ascii="Calibri Light"/>
                <w:b w:val="0"/>
                <w:sz w:val="22"/>
              </w:rPr>
              <w:t>(66.6%)</w:t>
            </w:r>
          </w:p>
        </w:tc>
        <w:tc>
          <w:tcPr>
            <w:tcW w:w="1244" w:type="dxa"/>
          </w:tcPr>
          <w:p>
            <w:pPr>
              <w:pStyle w:val="TableParagraph"/>
              <w:spacing w:before="10"/>
              <w:rPr>
                <w:sz w:val="22"/>
              </w:rPr>
            </w:pPr>
            <w:r>
              <w:rPr>
                <w:w w:val="100"/>
                <w:sz w:val="22"/>
              </w:rPr>
              <w:t>0</w:t>
            </w:r>
          </w:p>
        </w:tc>
        <w:tc>
          <w:tcPr>
            <w:tcW w:w="1368" w:type="dxa"/>
          </w:tcPr>
          <w:p>
            <w:pPr>
              <w:pStyle w:val="TableParagraph"/>
              <w:spacing w:line="266" w:lineRule="exact"/>
              <w:ind w:left="223" w:right="224"/>
              <w:rPr>
                <w:rFonts w:ascii="Calibri Light"/>
                <w:b w:val="0"/>
                <w:sz w:val="22"/>
              </w:rPr>
            </w:pPr>
            <w:r>
              <w:rPr>
                <w:sz w:val="22"/>
              </w:rPr>
              <w:t>1 </w:t>
            </w:r>
            <w:r>
              <w:rPr>
                <w:rFonts w:ascii="Calibri Light"/>
                <w:b w:val="0"/>
                <w:sz w:val="22"/>
              </w:rPr>
              <w:t>(16%)</w:t>
            </w:r>
          </w:p>
        </w:tc>
        <w:tc>
          <w:tcPr>
            <w:tcW w:w="1366" w:type="dxa"/>
          </w:tcPr>
          <w:p>
            <w:pPr>
              <w:pStyle w:val="TableParagraph"/>
              <w:spacing w:before="10"/>
              <w:ind w:left="614"/>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2 (6)</w:t>
            </w:r>
          </w:p>
        </w:tc>
        <w:tc>
          <w:tcPr>
            <w:tcW w:w="1150" w:type="dxa"/>
          </w:tcPr>
          <w:p>
            <w:pPr>
              <w:pStyle w:val="TableParagraph"/>
              <w:spacing w:line="265" w:lineRule="exact"/>
              <w:ind w:left="120" w:right="120"/>
              <w:rPr>
                <w:rFonts w:ascii="Calibri Light"/>
                <w:b w:val="0"/>
                <w:sz w:val="22"/>
              </w:rPr>
            </w:pPr>
            <w:r>
              <w:rPr>
                <w:sz w:val="22"/>
              </w:rPr>
              <w:t>2 </w:t>
            </w:r>
            <w:r>
              <w:rPr>
                <w:rFonts w:ascii="Calibri Light"/>
                <w:b w:val="0"/>
                <w:sz w:val="22"/>
              </w:rPr>
              <w:t>(33,3%)</w:t>
            </w:r>
          </w:p>
        </w:tc>
        <w:tc>
          <w:tcPr>
            <w:tcW w:w="1121" w:type="dxa"/>
            <w:shd w:val="clear" w:color="auto" w:fill="2D74B5"/>
          </w:tcPr>
          <w:p>
            <w:pPr>
              <w:pStyle w:val="TableParagraph"/>
              <w:spacing w:line="265" w:lineRule="exact"/>
              <w:ind w:left="85" w:right="87"/>
              <w:rPr>
                <w:rFonts w:ascii="Calibri Light"/>
                <w:b w:val="0"/>
                <w:sz w:val="22"/>
              </w:rPr>
            </w:pPr>
            <w:r>
              <w:rPr>
                <w:sz w:val="22"/>
              </w:rPr>
              <w:t>3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(16%)</w:t>
            </w:r>
          </w:p>
        </w:tc>
        <w:tc>
          <w:tcPr>
            <w:tcW w:w="1368" w:type="dxa"/>
          </w:tcPr>
          <w:p>
            <w:pPr>
              <w:pStyle w:val="TableParagraph"/>
              <w:spacing w:before="9"/>
              <w:rPr>
                <w:sz w:val="22"/>
              </w:rPr>
            </w:pPr>
            <w:r>
              <w:rPr>
                <w:w w:val="100"/>
                <w:sz w:val="22"/>
              </w:rPr>
              <w:t>0</w:t>
            </w:r>
          </w:p>
        </w:tc>
        <w:tc>
          <w:tcPr>
            <w:tcW w:w="1366" w:type="dxa"/>
          </w:tcPr>
          <w:p>
            <w:pPr>
              <w:pStyle w:val="TableParagraph"/>
              <w:spacing w:before="9"/>
              <w:ind w:left="614"/>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3 (6)</w:t>
            </w:r>
          </w:p>
        </w:tc>
        <w:tc>
          <w:tcPr>
            <w:tcW w:w="1150" w:type="dxa"/>
          </w:tcPr>
          <w:p>
            <w:pPr>
              <w:pStyle w:val="TableParagraph"/>
              <w:spacing w:line="265" w:lineRule="exact"/>
              <w:ind w:left="118" w:right="120"/>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5" w:lineRule="exact"/>
              <w:ind w:left="85" w:right="87"/>
              <w:rPr>
                <w:rFonts w:ascii="Calibri Light"/>
                <w:b w:val="0"/>
                <w:sz w:val="22"/>
              </w:rPr>
            </w:pPr>
            <w:r>
              <w:rPr>
                <w:sz w:val="22"/>
              </w:rPr>
              <w:t>3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(16%)</w:t>
            </w:r>
          </w:p>
        </w:tc>
        <w:tc>
          <w:tcPr>
            <w:tcW w:w="1368" w:type="dxa"/>
          </w:tcPr>
          <w:p>
            <w:pPr>
              <w:pStyle w:val="TableParagraph"/>
              <w:spacing w:line="265" w:lineRule="exact"/>
              <w:ind w:left="223" w:right="224"/>
              <w:rPr>
                <w:rFonts w:ascii="Calibri Light"/>
                <w:b w:val="0"/>
                <w:sz w:val="22"/>
              </w:rPr>
            </w:pPr>
            <w:r>
              <w:rPr>
                <w:sz w:val="22"/>
              </w:rPr>
              <w:t>1 </w:t>
            </w:r>
            <w:r>
              <w:rPr>
                <w:rFonts w:ascii="Calibri Light"/>
                <w:b w:val="0"/>
                <w:sz w:val="22"/>
              </w:rPr>
              <w:t>(16%)</w:t>
            </w:r>
          </w:p>
        </w:tc>
        <w:tc>
          <w:tcPr>
            <w:tcW w:w="1366" w:type="dxa"/>
          </w:tcPr>
          <w:p>
            <w:pPr>
              <w:pStyle w:val="TableParagraph"/>
              <w:spacing w:before="9"/>
              <w:ind w:left="614"/>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4 (6)</w:t>
            </w:r>
          </w:p>
        </w:tc>
        <w:tc>
          <w:tcPr>
            <w:tcW w:w="1150" w:type="dxa"/>
          </w:tcPr>
          <w:p>
            <w:pPr>
              <w:pStyle w:val="TableParagraph"/>
              <w:spacing w:line="265" w:lineRule="exact"/>
              <w:ind w:left="118" w:right="120"/>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5" w:lineRule="exact"/>
              <w:ind w:left="85" w:right="87"/>
              <w:rPr>
                <w:rFonts w:ascii="Calibri Light"/>
                <w:b w:val="0"/>
                <w:sz w:val="22"/>
              </w:rPr>
            </w:pPr>
            <w:r>
              <w:rPr>
                <w:sz w:val="22"/>
              </w:rPr>
              <w:t>3 </w:t>
            </w:r>
            <w:r>
              <w:rPr>
                <w:rFonts w:ascii="Calibri Light"/>
                <w:b w:val="0"/>
                <w:sz w:val="22"/>
              </w:rPr>
              <w:t>(50%)</w:t>
            </w:r>
          </w:p>
        </w:tc>
        <w:tc>
          <w:tcPr>
            <w:tcW w:w="1244" w:type="dxa"/>
          </w:tcPr>
          <w:p>
            <w:pPr>
              <w:pStyle w:val="TableParagraph"/>
              <w:spacing w:before="9"/>
              <w:rPr>
                <w:sz w:val="22"/>
              </w:rPr>
            </w:pPr>
            <w:r>
              <w:rPr>
                <w:w w:val="100"/>
                <w:sz w:val="22"/>
              </w:rPr>
              <w:t>0</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9"/>
              <w:ind w:left="614"/>
              <w:jc w:val="left"/>
              <w:rPr>
                <w:sz w:val="22"/>
              </w:rPr>
            </w:pPr>
            <w:r>
              <w:rPr>
                <w:w w:val="100"/>
                <w:sz w:val="22"/>
              </w:rPr>
              <w:t>0</w:t>
            </w:r>
          </w:p>
        </w:tc>
      </w:tr>
    </w:tbl>
    <w:p>
      <w:pPr>
        <w:spacing w:line="227" w:lineRule="exact" w:before="0"/>
        <w:ind w:left="1326" w:right="339" w:firstLine="0"/>
        <w:jc w:val="left"/>
        <w:rPr>
          <w:b/>
          <w:sz w:val="20"/>
        </w:rPr>
      </w:pPr>
      <w:r>
        <w:rPr>
          <w:b/>
          <w:sz w:val="20"/>
        </w:rPr>
        <w:t>Tabla 4.26. Aspirante a puesto importante; respuestas por grupo de edad</w:t>
      </w:r>
    </w:p>
    <w:p>
      <w:pPr>
        <w:pStyle w:val="BodyText"/>
        <w:spacing w:before="7"/>
        <w:rPr>
          <w:b/>
          <w:sz w:val="27"/>
        </w:rPr>
      </w:pPr>
    </w:p>
    <w:p>
      <w:pPr>
        <w:pStyle w:val="BodyText"/>
        <w:spacing w:line="360" w:lineRule="auto"/>
        <w:ind w:left="102" w:right="112" w:firstLine="707"/>
        <w:jc w:val="both"/>
      </w:pPr>
      <w:r>
        <w:rPr/>
        <w:t>Por nivel de educación, en la tabla 4.27., el nivel superior presentó cinco de ocho respuestas</w:t>
      </w:r>
      <w:r>
        <w:rPr>
          <w:spacing w:val="-7"/>
        </w:rPr>
        <w:t> </w:t>
      </w:r>
      <w:r>
        <w:rPr/>
        <w:t>“de</w:t>
      </w:r>
      <w:r>
        <w:rPr>
          <w:spacing w:val="-6"/>
        </w:rPr>
        <w:t> </w:t>
      </w:r>
      <w:r>
        <w:rPr/>
        <w:t>acuerdo”</w:t>
      </w:r>
      <w:r>
        <w:rPr>
          <w:spacing w:val="-7"/>
        </w:rPr>
        <w:t> </w:t>
      </w:r>
      <w:r>
        <w:rPr/>
        <w:t>y</w:t>
      </w:r>
      <w:r>
        <w:rPr>
          <w:spacing w:val="-9"/>
        </w:rPr>
        <w:t> </w:t>
      </w:r>
      <w:r>
        <w:rPr/>
        <w:t>dos</w:t>
      </w:r>
      <w:r>
        <w:rPr>
          <w:spacing w:val="-7"/>
        </w:rPr>
        <w:t> </w:t>
      </w:r>
      <w:r>
        <w:rPr/>
        <w:t>“muy</w:t>
      </w:r>
      <w:r>
        <w:rPr>
          <w:spacing w:val="-9"/>
        </w:rPr>
        <w:t> </w:t>
      </w:r>
      <w:r>
        <w:rPr/>
        <w:t>de</w:t>
      </w:r>
      <w:r>
        <w:rPr>
          <w:spacing w:val="-6"/>
        </w:rPr>
        <w:t> </w:t>
      </w:r>
      <w:r>
        <w:rPr/>
        <w:t>acuerdo”,</w:t>
      </w:r>
      <w:r>
        <w:rPr>
          <w:spacing w:val="-7"/>
        </w:rPr>
        <w:t> </w:t>
      </w:r>
      <w:r>
        <w:rPr/>
        <w:t>seguidos</w:t>
      </w:r>
      <w:r>
        <w:rPr>
          <w:spacing w:val="-7"/>
        </w:rPr>
        <w:t> </w:t>
      </w:r>
      <w:r>
        <w:rPr/>
        <w:t>por</w:t>
      </w:r>
      <w:r>
        <w:rPr>
          <w:spacing w:val="-7"/>
        </w:rPr>
        <w:t> </w:t>
      </w:r>
      <w:r>
        <w:rPr/>
        <w:t>el</w:t>
      </w:r>
      <w:r>
        <w:rPr>
          <w:spacing w:val="-7"/>
        </w:rPr>
        <w:t> </w:t>
      </w:r>
      <w:r>
        <w:rPr/>
        <w:t>nivel</w:t>
      </w:r>
      <w:r>
        <w:rPr>
          <w:spacing w:val="-7"/>
        </w:rPr>
        <w:t> </w:t>
      </w:r>
      <w:r>
        <w:rPr/>
        <w:t>básico</w:t>
      </w:r>
      <w:r>
        <w:rPr>
          <w:spacing w:val="-6"/>
        </w:rPr>
        <w:t> </w:t>
      </w:r>
      <w:r>
        <w:rPr/>
        <w:t>con</w:t>
      </w:r>
      <w:r>
        <w:rPr>
          <w:spacing w:val="-6"/>
        </w:rPr>
        <w:t> </w:t>
      </w:r>
      <w:r>
        <w:rPr/>
        <w:t>cuatro de ocho respuestas “de acuerdo” y dos “muy de acuerdo”. Y finalmente el nivel medio superior cuatro de ocho sujetos “de acuerdo” y una “muy de</w:t>
      </w:r>
      <w:r>
        <w:rPr>
          <w:spacing w:val="-27"/>
        </w:rPr>
        <w:t> </w:t>
      </w:r>
      <w:r>
        <w:rPr/>
        <w:t>acuerdo”.</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8"/>
        <w:gridCol w:w="1366"/>
      </w:tblGrid>
      <w:tr>
        <w:trPr>
          <w:trHeight w:val="406"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rPr>
                <w:b/>
                <w:sz w:val="22"/>
              </w:rPr>
            </w:pPr>
            <w:r>
              <w:rPr>
                <w:b/>
                <w:w w:val="100"/>
                <w:sz w:val="22"/>
              </w:rPr>
              <w:t>9</w:t>
            </w:r>
          </w:p>
        </w:tc>
        <w:tc>
          <w:tcPr>
            <w:tcW w:w="1721" w:type="dxa"/>
            <w:vMerge w:val="restart"/>
          </w:tcPr>
          <w:p>
            <w:pPr>
              <w:pStyle w:val="TableParagraph"/>
              <w:spacing w:line="357" w:lineRule="auto" w:before="12"/>
              <w:ind w:left="218" w:right="220" w:firstLine="5"/>
              <w:rPr>
                <w:b/>
                <w:sz w:val="22"/>
              </w:rPr>
            </w:pPr>
            <w:r>
              <w:rPr>
                <w:sz w:val="22"/>
              </w:rPr>
              <w:t>Tipo de Aseveración: </w:t>
            </w:r>
            <w:r>
              <w:rPr>
                <w:b/>
                <w:sz w:val="22"/>
              </w:rPr>
              <w:t>Favorable</w:t>
            </w:r>
          </w:p>
        </w:tc>
        <w:tc>
          <w:tcPr>
            <w:tcW w:w="6249" w:type="dxa"/>
            <w:gridSpan w:val="5"/>
          </w:tcPr>
          <w:p>
            <w:pPr>
              <w:pStyle w:val="TableParagraph"/>
              <w:spacing w:before="7"/>
              <w:ind w:left="2517" w:right="2517"/>
              <w:rPr>
                <w:sz w:val="22"/>
              </w:rPr>
            </w:pPr>
            <w:r>
              <w:rPr>
                <w:sz w:val="22"/>
              </w:rPr>
              <w:t>Respuestas</w:t>
            </w:r>
          </w:p>
        </w:tc>
      </w:tr>
      <w:tr>
        <w:trPr>
          <w:trHeight w:val="770" w:hRule="exact"/>
        </w:trPr>
        <w:tc>
          <w:tcPr>
            <w:tcW w:w="1428" w:type="dxa"/>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9"/>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9" w:type="dxa"/>
            <w:gridSpan w:val="2"/>
          </w:tcPr>
          <w:p>
            <w:pPr>
              <w:pStyle w:val="TableParagraph"/>
              <w:spacing w:before="9"/>
              <w:ind w:left="799"/>
              <w:jc w:val="left"/>
              <w:rPr>
                <w:sz w:val="22"/>
              </w:rPr>
            </w:pPr>
            <w:r>
              <w:rPr>
                <w:sz w:val="22"/>
              </w:rPr>
              <w:t>Nivel Básico (8)</w:t>
            </w:r>
          </w:p>
        </w:tc>
        <w:tc>
          <w:tcPr>
            <w:tcW w:w="1150" w:type="dxa"/>
          </w:tcPr>
          <w:p>
            <w:pPr>
              <w:pStyle w:val="TableParagraph"/>
              <w:spacing w:line="265" w:lineRule="exact"/>
              <w:ind w:left="118" w:right="120"/>
              <w:rPr>
                <w:rFonts w:ascii="Calibri Light"/>
                <w:b w:val="0"/>
                <w:sz w:val="22"/>
              </w:rPr>
            </w:pPr>
            <w:r>
              <w:rPr>
                <w:sz w:val="22"/>
              </w:rPr>
              <w:t>2 </w:t>
            </w:r>
            <w:r>
              <w:rPr>
                <w:rFonts w:ascii="Calibri Light"/>
                <w:b w:val="0"/>
                <w:sz w:val="22"/>
              </w:rPr>
              <w:t>(25%)</w:t>
            </w:r>
          </w:p>
        </w:tc>
        <w:tc>
          <w:tcPr>
            <w:tcW w:w="1121" w:type="dxa"/>
            <w:shd w:val="clear" w:color="auto" w:fill="2D74B5"/>
          </w:tcPr>
          <w:p>
            <w:pPr>
              <w:pStyle w:val="TableParagraph"/>
              <w:spacing w:line="265" w:lineRule="exact"/>
              <w:ind w:left="85" w:right="87"/>
              <w:rPr>
                <w:rFonts w:ascii="Calibri Light"/>
                <w:b w:val="0"/>
                <w:sz w:val="22"/>
              </w:rPr>
            </w:pPr>
            <w:r>
              <w:rPr>
                <w:sz w:val="22"/>
              </w:rPr>
              <w:t>4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(12.5%)</w:t>
            </w:r>
          </w:p>
        </w:tc>
        <w:tc>
          <w:tcPr>
            <w:tcW w:w="1368" w:type="dxa"/>
          </w:tcPr>
          <w:p>
            <w:pPr>
              <w:pStyle w:val="TableParagraph"/>
              <w:spacing w:line="265" w:lineRule="exact"/>
              <w:ind w:left="222" w:right="224"/>
              <w:rPr>
                <w:rFonts w:ascii="Calibri Light"/>
                <w:b w:val="0"/>
                <w:sz w:val="22"/>
              </w:rPr>
            </w:pPr>
            <w:r>
              <w:rPr>
                <w:sz w:val="22"/>
              </w:rPr>
              <w:t>1 </w:t>
            </w:r>
            <w:r>
              <w:rPr>
                <w:rFonts w:ascii="Calibri Light"/>
                <w:b w:val="0"/>
                <w:sz w:val="22"/>
              </w:rPr>
              <w:t>(12.5%)</w:t>
            </w:r>
          </w:p>
        </w:tc>
        <w:tc>
          <w:tcPr>
            <w:tcW w:w="1366" w:type="dxa"/>
          </w:tcPr>
          <w:p>
            <w:pPr>
              <w:pStyle w:val="TableParagraph"/>
              <w:spacing w:before="9"/>
              <w:ind w:left="614"/>
              <w:jc w:val="left"/>
              <w:rPr>
                <w:sz w:val="22"/>
              </w:rPr>
            </w:pPr>
            <w:r>
              <w:rPr>
                <w:w w:val="100"/>
                <w:sz w:val="22"/>
              </w:rPr>
              <w:t>0</w:t>
            </w:r>
          </w:p>
        </w:tc>
      </w:tr>
      <w:tr>
        <w:trPr>
          <w:trHeight w:val="413" w:hRule="exact"/>
        </w:trPr>
        <w:tc>
          <w:tcPr>
            <w:tcW w:w="3149" w:type="dxa"/>
            <w:gridSpan w:val="2"/>
          </w:tcPr>
          <w:p>
            <w:pPr>
              <w:pStyle w:val="TableParagraph"/>
              <w:spacing w:before="9"/>
              <w:ind w:left="383"/>
              <w:jc w:val="left"/>
              <w:rPr>
                <w:sz w:val="22"/>
              </w:rPr>
            </w:pPr>
            <w:r>
              <w:rPr>
                <w:sz w:val="22"/>
              </w:rPr>
              <w:t>Nivel Medio Superior (8)</w:t>
            </w:r>
          </w:p>
        </w:tc>
        <w:tc>
          <w:tcPr>
            <w:tcW w:w="1150" w:type="dxa"/>
          </w:tcPr>
          <w:p>
            <w:pPr>
              <w:pStyle w:val="TableParagraph"/>
              <w:spacing w:line="265" w:lineRule="exact"/>
              <w:ind w:left="120" w:right="120"/>
              <w:rPr>
                <w:rFonts w:ascii="Calibri Light"/>
                <w:b w:val="0"/>
                <w:sz w:val="22"/>
              </w:rPr>
            </w:pPr>
            <w:r>
              <w:rPr>
                <w:sz w:val="22"/>
              </w:rPr>
              <w:t>1 </w:t>
            </w:r>
            <w:r>
              <w:rPr>
                <w:rFonts w:ascii="Calibri Light"/>
                <w:b w:val="0"/>
                <w:sz w:val="22"/>
              </w:rPr>
              <w:t>(12.5%)</w:t>
            </w:r>
          </w:p>
        </w:tc>
        <w:tc>
          <w:tcPr>
            <w:tcW w:w="1121" w:type="dxa"/>
            <w:shd w:val="clear" w:color="auto" w:fill="2D74B5"/>
          </w:tcPr>
          <w:p>
            <w:pPr>
              <w:pStyle w:val="TableParagraph"/>
              <w:spacing w:line="265" w:lineRule="exact"/>
              <w:ind w:left="85" w:right="87"/>
              <w:rPr>
                <w:rFonts w:ascii="Calibri Light"/>
                <w:b w:val="0"/>
                <w:sz w:val="22"/>
              </w:rPr>
            </w:pPr>
            <w:r>
              <w:rPr>
                <w:sz w:val="22"/>
              </w:rPr>
              <w:t>4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(12.5%)</w:t>
            </w:r>
          </w:p>
        </w:tc>
        <w:tc>
          <w:tcPr>
            <w:tcW w:w="1368" w:type="dxa"/>
          </w:tcPr>
          <w:p>
            <w:pPr>
              <w:pStyle w:val="TableParagraph"/>
              <w:spacing w:line="265" w:lineRule="exact"/>
              <w:ind w:left="223" w:right="224"/>
              <w:rPr>
                <w:rFonts w:ascii="Calibri Light"/>
                <w:b w:val="0"/>
                <w:sz w:val="22"/>
              </w:rPr>
            </w:pPr>
            <w:r>
              <w:rPr>
                <w:sz w:val="22"/>
              </w:rPr>
              <w:t>2 </w:t>
            </w:r>
            <w:r>
              <w:rPr>
                <w:rFonts w:ascii="Calibri Light"/>
                <w:b w:val="0"/>
                <w:sz w:val="22"/>
              </w:rPr>
              <w:t>(25%)</w:t>
            </w:r>
          </w:p>
        </w:tc>
        <w:tc>
          <w:tcPr>
            <w:tcW w:w="1366" w:type="dxa"/>
          </w:tcPr>
          <w:p>
            <w:pPr>
              <w:pStyle w:val="TableParagraph"/>
              <w:spacing w:before="9"/>
              <w:ind w:left="614"/>
              <w:jc w:val="left"/>
              <w:rPr>
                <w:sz w:val="22"/>
              </w:rPr>
            </w:pPr>
            <w:r>
              <w:rPr>
                <w:w w:val="100"/>
                <w:sz w:val="22"/>
              </w:rPr>
              <w:t>0</w:t>
            </w:r>
          </w:p>
        </w:tc>
      </w:tr>
      <w:tr>
        <w:trPr>
          <w:trHeight w:val="413" w:hRule="exact"/>
        </w:trPr>
        <w:tc>
          <w:tcPr>
            <w:tcW w:w="3149" w:type="dxa"/>
            <w:gridSpan w:val="2"/>
          </w:tcPr>
          <w:p>
            <w:pPr>
              <w:pStyle w:val="TableParagraph"/>
              <w:spacing w:before="9"/>
              <w:ind w:left="712"/>
              <w:jc w:val="left"/>
              <w:rPr>
                <w:sz w:val="22"/>
              </w:rPr>
            </w:pPr>
            <w:r>
              <w:rPr>
                <w:sz w:val="22"/>
              </w:rPr>
              <w:t>Nivel Superior (8)</w:t>
            </w:r>
          </w:p>
        </w:tc>
        <w:tc>
          <w:tcPr>
            <w:tcW w:w="1150" w:type="dxa"/>
          </w:tcPr>
          <w:p>
            <w:pPr>
              <w:pStyle w:val="TableParagraph"/>
              <w:spacing w:line="265" w:lineRule="exact"/>
              <w:ind w:left="118" w:right="120"/>
              <w:rPr>
                <w:rFonts w:ascii="Calibri Light"/>
                <w:b w:val="0"/>
                <w:sz w:val="22"/>
              </w:rPr>
            </w:pPr>
            <w:r>
              <w:rPr>
                <w:sz w:val="22"/>
              </w:rPr>
              <w:t>2 </w:t>
            </w:r>
            <w:r>
              <w:rPr>
                <w:rFonts w:ascii="Calibri Light"/>
                <w:b w:val="0"/>
                <w:sz w:val="22"/>
              </w:rPr>
              <w:t>(25%)</w:t>
            </w:r>
          </w:p>
        </w:tc>
        <w:tc>
          <w:tcPr>
            <w:tcW w:w="1121" w:type="dxa"/>
            <w:shd w:val="clear" w:color="auto" w:fill="2D74B5"/>
          </w:tcPr>
          <w:p>
            <w:pPr>
              <w:pStyle w:val="TableParagraph"/>
              <w:spacing w:line="265" w:lineRule="exact"/>
              <w:ind w:left="85" w:right="86"/>
              <w:rPr>
                <w:rFonts w:ascii="Calibri Light"/>
                <w:b w:val="0"/>
                <w:sz w:val="22"/>
              </w:rPr>
            </w:pPr>
            <w:r>
              <w:rPr>
                <w:sz w:val="22"/>
              </w:rPr>
              <w:t>5 </w:t>
            </w:r>
            <w:r>
              <w:rPr>
                <w:rFonts w:ascii="Calibri Light"/>
                <w:b w:val="0"/>
                <w:sz w:val="22"/>
              </w:rPr>
              <w:t>(62.5%)</w:t>
            </w:r>
          </w:p>
        </w:tc>
        <w:tc>
          <w:tcPr>
            <w:tcW w:w="1244" w:type="dxa"/>
          </w:tcPr>
          <w:p>
            <w:pPr>
              <w:pStyle w:val="TableParagraph"/>
              <w:spacing w:before="9"/>
              <w:rPr>
                <w:sz w:val="22"/>
              </w:rPr>
            </w:pPr>
            <w:r>
              <w:rPr>
                <w:w w:val="100"/>
                <w:sz w:val="22"/>
              </w:rPr>
              <w:t>0</w:t>
            </w:r>
          </w:p>
        </w:tc>
        <w:tc>
          <w:tcPr>
            <w:tcW w:w="1368" w:type="dxa"/>
          </w:tcPr>
          <w:p>
            <w:pPr>
              <w:pStyle w:val="TableParagraph"/>
              <w:spacing w:line="265" w:lineRule="exact"/>
              <w:ind w:left="222" w:right="224"/>
              <w:rPr>
                <w:rFonts w:ascii="Calibri Light"/>
                <w:b w:val="0"/>
                <w:sz w:val="22"/>
              </w:rPr>
            </w:pPr>
            <w:r>
              <w:rPr>
                <w:sz w:val="22"/>
              </w:rPr>
              <w:t>1 </w:t>
            </w:r>
            <w:r>
              <w:rPr>
                <w:rFonts w:ascii="Calibri Light"/>
                <w:b w:val="0"/>
                <w:sz w:val="22"/>
              </w:rPr>
              <w:t>(12.5%)</w:t>
            </w:r>
          </w:p>
        </w:tc>
        <w:tc>
          <w:tcPr>
            <w:tcW w:w="1366" w:type="dxa"/>
          </w:tcPr>
          <w:p>
            <w:pPr>
              <w:pStyle w:val="TableParagraph"/>
              <w:spacing w:before="9"/>
              <w:ind w:left="614"/>
              <w:jc w:val="left"/>
              <w:rPr>
                <w:sz w:val="22"/>
              </w:rPr>
            </w:pPr>
            <w:r>
              <w:rPr>
                <w:w w:val="100"/>
                <w:sz w:val="22"/>
              </w:rPr>
              <w:t>0</w:t>
            </w:r>
          </w:p>
        </w:tc>
      </w:tr>
    </w:tbl>
    <w:p>
      <w:pPr>
        <w:spacing w:line="227" w:lineRule="exact" w:before="0"/>
        <w:ind w:left="1203" w:right="339" w:firstLine="0"/>
        <w:jc w:val="left"/>
        <w:rPr>
          <w:b/>
          <w:sz w:val="20"/>
        </w:rPr>
      </w:pPr>
      <w:r>
        <w:rPr>
          <w:b/>
          <w:sz w:val="20"/>
        </w:rPr>
        <w:t>Tabla 4.27. Aspirante a puesto importante; respuestas por nivel de estudios</w:t>
      </w:r>
    </w:p>
    <w:p>
      <w:pPr>
        <w:pStyle w:val="BodyText"/>
        <w:spacing w:before="5"/>
        <w:rPr>
          <w:b/>
          <w:sz w:val="27"/>
        </w:rPr>
      </w:pPr>
    </w:p>
    <w:p>
      <w:pPr>
        <w:spacing w:line="360" w:lineRule="auto" w:before="0"/>
        <w:ind w:left="102" w:right="112" w:firstLine="707"/>
        <w:jc w:val="both"/>
        <w:rPr>
          <w:sz w:val="24"/>
        </w:rPr>
      </w:pPr>
      <w:r>
        <w:rPr>
          <w:sz w:val="24"/>
        </w:rPr>
        <w:t>La aseveración 10: </w:t>
      </w:r>
      <w:r>
        <w:rPr>
          <w:b/>
          <w:sz w:val="24"/>
        </w:rPr>
        <w:t>“Si la persona de la grabación pretendiera trabajar en radiocomunicaciones, es improbable que la contrataran, </w:t>
      </w:r>
      <w:r>
        <w:rPr>
          <w:b/>
          <w:spacing w:val="-4"/>
          <w:sz w:val="24"/>
        </w:rPr>
        <w:t>ya </w:t>
      </w:r>
      <w:r>
        <w:rPr>
          <w:b/>
          <w:sz w:val="24"/>
        </w:rPr>
        <w:t>que su discurso es común”</w:t>
      </w:r>
      <w:r>
        <w:rPr>
          <w:sz w:val="24"/>
        </w:rPr>
        <w:t>,</w:t>
      </w:r>
      <w:r>
        <w:rPr>
          <w:spacing w:val="-7"/>
          <w:sz w:val="24"/>
        </w:rPr>
        <w:t> </w:t>
      </w:r>
      <w:r>
        <w:rPr>
          <w:sz w:val="24"/>
        </w:rPr>
        <w:t>que</w:t>
      </w:r>
      <w:r>
        <w:rPr>
          <w:spacing w:val="-7"/>
          <w:sz w:val="24"/>
        </w:rPr>
        <w:t> </w:t>
      </w:r>
      <w:r>
        <w:rPr>
          <w:sz w:val="24"/>
        </w:rPr>
        <w:t>corresponde</w:t>
      </w:r>
      <w:r>
        <w:rPr>
          <w:spacing w:val="-9"/>
          <w:sz w:val="24"/>
        </w:rPr>
        <w:t> </w:t>
      </w:r>
      <w:r>
        <w:rPr>
          <w:sz w:val="24"/>
        </w:rPr>
        <w:t>a</w:t>
      </w:r>
      <w:r>
        <w:rPr>
          <w:spacing w:val="-7"/>
          <w:sz w:val="24"/>
        </w:rPr>
        <w:t> </w:t>
      </w:r>
      <w:r>
        <w:rPr>
          <w:sz w:val="24"/>
        </w:rPr>
        <w:t>la</w:t>
      </w:r>
      <w:r>
        <w:rPr>
          <w:spacing w:val="-10"/>
          <w:sz w:val="24"/>
        </w:rPr>
        <w:t> </w:t>
      </w:r>
      <w:r>
        <w:rPr>
          <w:sz w:val="24"/>
        </w:rPr>
        <w:t>grabación</w:t>
      </w:r>
      <w:r>
        <w:rPr>
          <w:spacing w:val="-7"/>
          <w:sz w:val="24"/>
        </w:rPr>
        <w:t> </w:t>
      </w:r>
      <w:r>
        <w:rPr>
          <w:sz w:val="24"/>
        </w:rPr>
        <w:t>con</w:t>
      </w:r>
      <w:r>
        <w:rPr>
          <w:spacing w:val="-9"/>
          <w:sz w:val="24"/>
        </w:rPr>
        <w:t> </w:t>
      </w:r>
      <w:r>
        <w:rPr>
          <w:sz w:val="24"/>
        </w:rPr>
        <w:t>anglicismos</w:t>
      </w:r>
      <w:r>
        <w:rPr>
          <w:spacing w:val="-8"/>
          <w:sz w:val="24"/>
        </w:rPr>
        <w:t> </w:t>
      </w:r>
      <w:r>
        <w:rPr>
          <w:sz w:val="24"/>
        </w:rPr>
        <w:t>se</w:t>
      </w:r>
      <w:r>
        <w:rPr>
          <w:spacing w:val="-9"/>
          <w:sz w:val="24"/>
        </w:rPr>
        <w:t> </w:t>
      </w:r>
      <w:r>
        <w:rPr>
          <w:sz w:val="24"/>
        </w:rPr>
        <w:t>muestra</w:t>
      </w:r>
      <w:r>
        <w:rPr>
          <w:spacing w:val="-7"/>
          <w:sz w:val="24"/>
        </w:rPr>
        <w:t> </w:t>
      </w:r>
      <w:r>
        <w:rPr>
          <w:sz w:val="24"/>
        </w:rPr>
        <w:t>que</w:t>
      </w:r>
      <w:r>
        <w:rPr>
          <w:spacing w:val="-9"/>
          <w:sz w:val="24"/>
        </w:rPr>
        <w:t> </w:t>
      </w:r>
      <w:r>
        <w:rPr>
          <w:sz w:val="24"/>
        </w:rPr>
        <w:t>en</w:t>
      </w:r>
      <w:r>
        <w:rPr>
          <w:spacing w:val="-7"/>
          <w:sz w:val="24"/>
        </w:rPr>
        <w:t> </w:t>
      </w:r>
      <w:r>
        <w:rPr>
          <w:sz w:val="24"/>
        </w:rPr>
        <w:t>la</w:t>
      </w:r>
      <w:r>
        <w:rPr>
          <w:spacing w:val="-7"/>
          <w:sz w:val="24"/>
        </w:rPr>
        <w:t> </w:t>
      </w:r>
      <w:r>
        <w:rPr>
          <w:sz w:val="24"/>
        </w:rPr>
        <w:t>totalidad de la población la mayoría de los sujetos dijeron estar en desacuerdo en un 50% (Ver tabla 4.28.). En el caso de las mujeres siete de doce mujeres se mostraron “en desacuerdo” y dos “muy en desacuerdo”, en cuanto a los hombres 5 de ellos están “en desacuerdo”, cuatro “indiferentes” y uno “muy en</w:t>
      </w:r>
      <w:r>
        <w:rPr>
          <w:spacing w:val="-20"/>
          <w:sz w:val="24"/>
        </w:rPr>
        <w:t> </w:t>
      </w:r>
      <w:r>
        <w:rPr>
          <w:sz w:val="24"/>
        </w:rPr>
        <w:t>desacuerdo”.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7"/>
        <w:gridCol w:w="1367"/>
      </w:tblGrid>
      <w:tr>
        <w:trPr>
          <w:trHeight w:val="406"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10</w:t>
            </w:r>
          </w:p>
        </w:tc>
        <w:tc>
          <w:tcPr>
            <w:tcW w:w="1721" w:type="dxa"/>
            <w:vMerge w:val="restart"/>
          </w:tcPr>
          <w:p>
            <w:pPr>
              <w:pStyle w:val="TableParagraph"/>
              <w:spacing w:line="357" w:lineRule="auto" w:before="12"/>
              <w:ind w:left="163" w:right="164" w:firstLine="4"/>
              <w:rPr>
                <w:b/>
                <w:sz w:val="22"/>
              </w:rPr>
            </w:pPr>
            <w:r>
              <w:rPr>
                <w:sz w:val="22"/>
              </w:rPr>
              <w:t>Tipo de Aseveración: </w:t>
            </w:r>
            <w:r>
              <w:rPr>
                <w:b/>
                <w:sz w:val="22"/>
              </w:rPr>
              <w:t>Desfavorable</w:t>
            </w:r>
          </w:p>
        </w:tc>
        <w:tc>
          <w:tcPr>
            <w:tcW w:w="6249" w:type="dxa"/>
            <w:gridSpan w:val="5"/>
          </w:tcPr>
          <w:p>
            <w:pPr>
              <w:pStyle w:val="TableParagraph"/>
              <w:spacing w:before="7"/>
              <w:ind w:left="2517" w:right="2517"/>
              <w:rPr>
                <w:sz w:val="22"/>
              </w:rPr>
            </w:pPr>
            <w:r>
              <w:rPr>
                <w:sz w:val="22"/>
              </w:rPr>
              <w:t>Respuestas</w:t>
            </w:r>
          </w:p>
        </w:tc>
      </w:tr>
      <w:tr>
        <w:trPr>
          <w:trHeight w:val="771" w:hRule="exact"/>
        </w:trPr>
        <w:tc>
          <w:tcPr>
            <w:tcW w:w="1428" w:type="dxa"/>
            <w:vMerge/>
          </w:tcPr>
          <w:p>
            <w:pPr/>
          </w:p>
        </w:tc>
        <w:tc>
          <w:tcPr>
            <w:tcW w:w="1721" w:type="dxa"/>
            <w:vMerge/>
          </w:tcPr>
          <w:p>
            <w:pPr/>
          </w:p>
        </w:tc>
        <w:tc>
          <w:tcPr>
            <w:tcW w:w="1150" w:type="dxa"/>
          </w:tcPr>
          <w:p>
            <w:pPr>
              <w:pStyle w:val="TableParagraph"/>
              <w:spacing w:line="362" w:lineRule="auto"/>
              <w:ind w:left="170" w:right="155" w:firstLine="38"/>
              <w:jc w:val="left"/>
              <w:rPr>
                <w:sz w:val="22"/>
              </w:rPr>
            </w:pPr>
            <w:r>
              <w:rPr>
                <w:sz w:val="22"/>
              </w:rPr>
              <w:t>Muy de acuerdo</w:t>
            </w:r>
          </w:p>
        </w:tc>
        <w:tc>
          <w:tcPr>
            <w:tcW w:w="1121" w:type="dxa"/>
          </w:tcPr>
          <w:p>
            <w:pPr>
              <w:pStyle w:val="TableParagraph"/>
              <w:spacing w:line="362" w:lineRule="auto"/>
              <w:ind w:left="155" w:right="141" w:firstLine="256"/>
              <w:jc w:val="left"/>
              <w:rPr>
                <w:sz w:val="22"/>
              </w:rPr>
            </w:pPr>
            <w:r>
              <w:rPr>
                <w:sz w:val="22"/>
              </w:rPr>
              <w:t>De acuerdo</w:t>
            </w:r>
          </w:p>
        </w:tc>
        <w:tc>
          <w:tcPr>
            <w:tcW w:w="1244" w:type="dxa"/>
          </w:tcPr>
          <w:p>
            <w:pPr>
              <w:pStyle w:val="TableParagraph"/>
              <w:spacing w:before="189"/>
              <w:ind w:left="83" w:right="82"/>
              <w:rPr>
                <w:sz w:val="22"/>
              </w:rPr>
            </w:pPr>
            <w:r>
              <w:rPr>
                <w:sz w:val="22"/>
              </w:rPr>
              <w:t>indiferente</w:t>
            </w:r>
          </w:p>
        </w:tc>
        <w:tc>
          <w:tcPr>
            <w:tcW w:w="1367" w:type="dxa"/>
          </w:tcPr>
          <w:p>
            <w:pPr>
              <w:pStyle w:val="TableParagraph"/>
              <w:spacing w:line="362" w:lineRule="auto"/>
              <w:ind w:left="103" w:right="84" w:firstLine="439"/>
              <w:jc w:val="left"/>
              <w:rPr>
                <w:sz w:val="22"/>
              </w:rPr>
            </w:pPr>
            <w:r>
              <w:rPr>
                <w:sz w:val="22"/>
              </w:rPr>
              <w:t>En desacuerdo</w:t>
            </w:r>
          </w:p>
        </w:tc>
        <w:tc>
          <w:tcPr>
            <w:tcW w:w="1367" w:type="dxa"/>
          </w:tcPr>
          <w:p>
            <w:pPr>
              <w:pStyle w:val="TableParagraph"/>
              <w:spacing w:line="362" w:lineRule="auto"/>
              <w:ind w:left="102" w:right="85" w:firstLine="213"/>
              <w:jc w:val="left"/>
              <w:rPr>
                <w:sz w:val="22"/>
              </w:rPr>
            </w:pPr>
            <w:r>
              <w:rPr>
                <w:sz w:val="22"/>
              </w:rPr>
              <w:t>Muy en desacuerdo</w:t>
            </w:r>
          </w:p>
        </w:tc>
      </w:tr>
      <w:tr>
        <w:trPr>
          <w:trHeight w:val="413" w:hRule="exact"/>
        </w:trPr>
        <w:tc>
          <w:tcPr>
            <w:tcW w:w="3149" w:type="dxa"/>
            <w:gridSpan w:val="2"/>
          </w:tcPr>
          <w:p>
            <w:pPr>
              <w:pStyle w:val="TableParagraph"/>
              <w:spacing w:before="9"/>
              <w:ind w:left="326"/>
              <w:jc w:val="left"/>
              <w:rPr>
                <w:sz w:val="22"/>
              </w:rPr>
            </w:pPr>
            <w:r>
              <w:rPr>
                <w:sz w:val="22"/>
              </w:rPr>
              <w:t>Total de la población (24)</w:t>
            </w:r>
          </w:p>
        </w:tc>
        <w:tc>
          <w:tcPr>
            <w:tcW w:w="1150" w:type="dxa"/>
          </w:tcPr>
          <w:p>
            <w:pPr>
              <w:pStyle w:val="TableParagraph"/>
              <w:spacing w:line="265" w:lineRule="exact"/>
              <w:ind w:left="118" w:right="120"/>
              <w:rPr>
                <w:rFonts w:ascii="Calibri Light"/>
                <w:b w:val="0"/>
                <w:sz w:val="22"/>
              </w:rPr>
            </w:pPr>
            <w:r>
              <w:rPr>
                <w:sz w:val="22"/>
              </w:rPr>
              <w:t>2 </w:t>
            </w:r>
            <w:r>
              <w:rPr>
                <w:rFonts w:ascii="Calibri Light"/>
                <w:b w:val="0"/>
                <w:sz w:val="22"/>
              </w:rPr>
              <w:t>(8.3%)</w:t>
            </w:r>
          </w:p>
        </w:tc>
        <w:tc>
          <w:tcPr>
            <w:tcW w:w="1121" w:type="dxa"/>
          </w:tcPr>
          <w:p>
            <w:pPr>
              <w:pStyle w:val="TableParagraph"/>
              <w:spacing w:line="265" w:lineRule="exact"/>
              <w:ind w:left="85" w:right="86"/>
              <w:rPr>
                <w:rFonts w:ascii="Calibri Light"/>
                <w:b w:val="0"/>
                <w:sz w:val="22"/>
              </w:rPr>
            </w:pPr>
            <w:r>
              <w:rPr>
                <w:sz w:val="22"/>
              </w:rPr>
              <w:t>3 </w:t>
            </w:r>
            <w:r>
              <w:rPr>
                <w:rFonts w:ascii="Calibri Light"/>
                <w:b w:val="0"/>
                <w:sz w:val="22"/>
              </w:rPr>
              <w:t>(12.5%)</w:t>
            </w:r>
          </w:p>
        </w:tc>
        <w:tc>
          <w:tcPr>
            <w:tcW w:w="1244" w:type="dxa"/>
          </w:tcPr>
          <w:p>
            <w:pPr>
              <w:pStyle w:val="TableParagraph"/>
              <w:spacing w:line="265" w:lineRule="exact"/>
              <w:ind w:left="82" w:right="82"/>
              <w:rPr>
                <w:rFonts w:ascii="Calibri Light"/>
                <w:b w:val="0"/>
                <w:sz w:val="22"/>
              </w:rPr>
            </w:pPr>
            <w:r>
              <w:rPr>
                <w:sz w:val="22"/>
              </w:rPr>
              <w:t>4 </w:t>
            </w:r>
            <w:r>
              <w:rPr>
                <w:rFonts w:ascii="Calibri Light"/>
                <w:b w:val="0"/>
                <w:sz w:val="22"/>
              </w:rPr>
              <w:t>(16.6%)</w:t>
            </w:r>
          </w:p>
        </w:tc>
        <w:tc>
          <w:tcPr>
            <w:tcW w:w="1367" w:type="dxa"/>
            <w:shd w:val="clear" w:color="auto" w:fill="2D74B5"/>
          </w:tcPr>
          <w:p>
            <w:pPr>
              <w:pStyle w:val="TableParagraph"/>
              <w:spacing w:line="265" w:lineRule="exact"/>
              <w:ind w:left="268" w:right="84"/>
              <w:jc w:val="left"/>
              <w:rPr>
                <w:rFonts w:ascii="Calibri Light"/>
                <w:b w:val="0"/>
                <w:sz w:val="22"/>
              </w:rPr>
            </w:pPr>
            <w:r>
              <w:rPr>
                <w:sz w:val="22"/>
              </w:rPr>
              <w:t>12 </w:t>
            </w:r>
            <w:r>
              <w:rPr>
                <w:rFonts w:ascii="Calibri Light"/>
                <w:b w:val="0"/>
                <w:sz w:val="22"/>
              </w:rPr>
              <w:t>(50%)</w:t>
            </w:r>
          </w:p>
        </w:tc>
        <w:tc>
          <w:tcPr>
            <w:tcW w:w="1367" w:type="dxa"/>
          </w:tcPr>
          <w:p>
            <w:pPr>
              <w:pStyle w:val="TableParagraph"/>
              <w:spacing w:line="265" w:lineRule="exact"/>
              <w:ind w:left="227" w:right="230"/>
              <w:rPr>
                <w:rFonts w:ascii="Calibri Light"/>
                <w:b w:val="0"/>
                <w:sz w:val="22"/>
              </w:rPr>
            </w:pPr>
            <w:r>
              <w:rPr>
                <w:sz w:val="22"/>
              </w:rPr>
              <w:t>3 </w:t>
            </w:r>
            <w:r>
              <w:rPr>
                <w:rFonts w:ascii="Calibri Light"/>
                <w:b w:val="0"/>
                <w:sz w:val="22"/>
              </w:rPr>
              <w:t>(12.5%)</w:t>
            </w:r>
          </w:p>
        </w:tc>
      </w:tr>
      <w:tr>
        <w:trPr>
          <w:trHeight w:val="413" w:hRule="exact"/>
        </w:trPr>
        <w:tc>
          <w:tcPr>
            <w:tcW w:w="3149" w:type="dxa"/>
            <w:gridSpan w:val="2"/>
          </w:tcPr>
          <w:p>
            <w:pPr>
              <w:pStyle w:val="TableParagraph"/>
              <w:spacing w:before="9"/>
              <w:ind w:left="950"/>
              <w:jc w:val="left"/>
              <w:rPr>
                <w:sz w:val="22"/>
              </w:rPr>
            </w:pPr>
            <w:r>
              <w:rPr>
                <w:sz w:val="22"/>
              </w:rPr>
              <w:t>Mujeres (12)</w:t>
            </w:r>
          </w:p>
        </w:tc>
        <w:tc>
          <w:tcPr>
            <w:tcW w:w="1150" w:type="dxa"/>
          </w:tcPr>
          <w:p>
            <w:pPr>
              <w:pStyle w:val="TableParagraph"/>
              <w:spacing w:line="265" w:lineRule="exact"/>
              <w:ind w:left="118" w:right="120"/>
              <w:rPr>
                <w:rFonts w:ascii="Calibri Light"/>
                <w:b w:val="0"/>
                <w:sz w:val="22"/>
              </w:rPr>
            </w:pPr>
            <w:r>
              <w:rPr>
                <w:sz w:val="22"/>
              </w:rPr>
              <w:t>1 </w:t>
            </w:r>
            <w:r>
              <w:rPr>
                <w:rFonts w:ascii="Calibri Light"/>
                <w:b w:val="0"/>
                <w:sz w:val="22"/>
              </w:rPr>
              <w:t>(8%)</w:t>
            </w:r>
          </w:p>
        </w:tc>
        <w:tc>
          <w:tcPr>
            <w:tcW w:w="1121" w:type="dxa"/>
          </w:tcPr>
          <w:p>
            <w:pPr>
              <w:pStyle w:val="TableParagraph"/>
              <w:spacing w:line="265" w:lineRule="exact"/>
              <w:ind w:left="85" w:right="86"/>
              <w:rPr>
                <w:rFonts w:ascii="Calibri Light"/>
                <w:b w:val="0"/>
                <w:sz w:val="22"/>
              </w:rPr>
            </w:pPr>
            <w:r>
              <w:rPr>
                <w:sz w:val="22"/>
              </w:rPr>
              <w:t>2 </w:t>
            </w:r>
            <w:r>
              <w:rPr>
                <w:rFonts w:ascii="Calibri Light"/>
                <w:b w:val="0"/>
                <w:sz w:val="22"/>
              </w:rPr>
              <w:t>(16.6%)</w:t>
            </w:r>
          </w:p>
        </w:tc>
        <w:tc>
          <w:tcPr>
            <w:tcW w:w="1244" w:type="dxa"/>
          </w:tcPr>
          <w:p>
            <w:pPr>
              <w:pStyle w:val="TableParagraph"/>
              <w:spacing w:before="9"/>
              <w:rPr>
                <w:sz w:val="22"/>
              </w:rPr>
            </w:pPr>
            <w:r>
              <w:rPr>
                <w:w w:val="100"/>
                <w:sz w:val="22"/>
              </w:rPr>
              <w:t>0</w:t>
            </w:r>
          </w:p>
        </w:tc>
        <w:tc>
          <w:tcPr>
            <w:tcW w:w="1367" w:type="dxa"/>
            <w:shd w:val="clear" w:color="auto" w:fill="2D74B5"/>
          </w:tcPr>
          <w:p>
            <w:pPr>
              <w:pStyle w:val="TableParagraph"/>
              <w:spacing w:line="265" w:lineRule="exact"/>
              <w:ind w:left="247" w:right="84"/>
              <w:jc w:val="left"/>
              <w:rPr>
                <w:rFonts w:ascii="Calibri Light"/>
                <w:b w:val="0"/>
                <w:sz w:val="22"/>
              </w:rPr>
            </w:pPr>
            <w:r>
              <w:rPr>
                <w:sz w:val="22"/>
              </w:rPr>
              <w:t>7 </w:t>
            </w:r>
            <w:r>
              <w:rPr>
                <w:rFonts w:ascii="Calibri Light"/>
                <w:b w:val="0"/>
                <w:sz w:val="22"/>
              </w:rPr>
              <w:t>(58.3%)</w:t>
            </w:r>
          </w:p>
        </w:tc>
        <w:tc>
          <w:tcPr>
            <w:tcW w:w="1367" w:type="dxa"/>
          </w:tcPr>
          <w:p>
            <w:pPr>
              <w:pStyle w:val="TableParagraph"/>
              <w:spacing w:line="265" w:lineRule="exact"/>
              <w:ind w:left="227" w:right="230"/>
              <w:rPr>
                <w:rFonts w:ascii="Calibri Light"/>
                <w:b w:val="0"/>
                <w:sz w:val="22"/>
              </w:rPr>
            </w:pPr>
            <w:r>
              <w:rPr>
                <w:sz w:val="22"/>
              </w:rPr>
              <w:t>2 </w:t>
            </w:r>
            <w:r>
              <w:rPr>
                <w:rFonts w:ascii="Calibri Light"/>
                <w:b w:val="0"/>
                <w:sz w:val="22"/>
              </w:rPr>
              <w:t>(16.6%)</w:t>
            </w:r>
          </w:p>
        </w:tc>
      </w:tr>
      <w:tr>
        <w:trPr>
          <w:trHeight w:val="413" w:hRule="exact"/>
        </w:trPr>
        <w:tc>
          <w:tcPr>
            <w:tcW w:w="3149" w:type="dxa"/>
            <w:gridSpan w:val="2"/>
          </w:tcPr>
          <w:p>
            <w:pPr>
              <w:pStyle w:val="TableParagraph"/>
              <w:spacing w:before="9"/>
              <w:ind w:left="897"/>
              <w:jc w:val="left"/>
              <w:rPr>
                <w:sz w:val="22"/>
              </w:rPr>
            </w:pPr>
            <w:r>
              <w:rPr>
                <w:sz w:val="22"/>
              </w:rPr>
              <w:t>Hombres (12)</w:t>
            </w:r>
          </w:p>
        </w:tc>
        <w:tc>
          <w:tcPr>
            <w:tcW w:w="1150" w:type="dxa"/>
          </w:tcPr>
          <w:p>
            <w:pPr>
              <w:pStyle w:val="TableParagraph"/>
              <w:spacing w:line="265" w:lineRule="exact"/>
              <w:ind w:left="118" w:right="120"/>
              <w:rPr>
                <w:rFonts w:ascii="Calibri Light"/>
                <w:b w:val="0"/>
                <w:sz w:val="22"/>
              </w:rPr>
            </w:pPr>
            <w:r>
              <w:rPr>
                <w:sz w:val="22"/>
              </w:rPr>
              <w:t>1 </w:t>
            </w:r>
            <w:r>
              <w:rPr>
                <w:rFonts w:ascii="Calibri Light"/>
                <w:b w:val="0"/>
                <w:sz w:val="22"/>
              </w:rPr>
              <w:t>(8%)</w:t>
            </w:r>
          </w:p>
        </w:tc>
        <w:tc>
          <w:tcPr>
            <w:tcW w:w="1121" w:type="dxa"/>
            <w:tcBorders>
              <w:right w:val="single" w:sz="41" w:space="0" w:color="9CC2E4"/>
            </w:tcBorders>
          </w:tcPr>
          <w:p>
            <w:pPr>
              <w:pStyle w:val="TableParagraph"/>
              <w:spacing w:line="265" w:lineRule="exact"/>
              <w:ind w:left="102" w:right="60"/>
              <w:rPr>
                <w:rFonts w:ascii="Calibri Light"/>
                <w:b w:val="0"/>
                <w:sz w:val="22"/>
              </w:rPr>
            </w:pPr>
            <w:r>
              <w:rPr>
                <w:sz w:val="22"/>
              </w:rPr>
              <w:t>1 </w:t>
            </w:r>
            <w:r>
              <w:rPr>
                <w:rFonts w:ascii="Calibri Light"/>
                <w:b w:val="0"/>
                <w:sz w:val="22"/>
              </w:rPr>
              <w:t>(8%)</w:t>
            </w:r>
          </w:p>
        </w:tc>
        <w:tc>
          <w:tcPr>
            <w:tcW w:w="1244" w:type="dxa"/>
            <w:shd w:val="clear" w:color="auto" w:fill="9CC2E4"/>
          </w:tcPr>
          <w:p>
            <w:pPr>
              <w:pStyle w:val="TableParagraph"/>
              <w:spacing w:line="265" w:lineRule="exact"/>
              <w:ind w:left="82" w:right="82"/>
              <w:rPr>
                <w:rFonts w:ascii="Calibri Light"/>
                <w:b w:val="0"/>
                <w:sz w:val="22"/>
              </w:rPr>
            </w:pPr>
            <w:r>
              <w:rPr>
                <w:sz w:val="22"/>
              </w:rPr>
              <w:t>4 </w:t>
            </w:r>
            <w:r>
              <w:rPr>
                <w:rFonts w:ascii="Calibri Light"/>
                <w:b w:val="0"/>
                <w:sz w:val="22"/>
              </w:rPr>
              <w:t>(33.3%)</w:t>
            </w:r>
          </w:p>
        </w:tc>
        <w:tc>
          <w:tcPr>
            <w:tcW w:w="1367" w:type="dxa"/>
            <w:tcBorders>
              <w:left w:val="single" w:sz="45" w:space="0" w:color="9CC2E4"/>
            </w:tcBorders>
            <w:shd w:val="clear" w:color="auto" w:fill="2D74B5"/>
          </w:tcPr>
          <w:p>
            <w:pPr>
              <w:pStyle w:val="TableParagraph"/>
              <w:spacing w:line="265" w:lineRule="exact"/>
              <w:ind w:left="195"/>
              <w:jc w:val="left"/>
              <w:rPr>
                <w:rFonts w:ascii="Calibri Light"/>
                <w:b w:val="0"/>
                <w:sz w:val="22"/>
              </w:rPr>
            </w:pPr>
            <w:r>
              <w:rPr>
                <w:sz w:val="22"/>
              </w:rPr>
              <w:t>5 </w:t>
            </w:r>
            <w:r>
              <w:rPr>
                <w:rFonts w:ascii="Calibri Light"/>
                <w:b w:val="0"/>
                <w:sz w:val="22"/>
              </w:rPr>
              <w:t>(41.6%)</w:t>
            </w:r>
          </w:p>
        </w:tc>
        <w:tc>
          <w:tcPr>
            <w:tcW w:w="1367" w:type="dxa"/>
          </w:tcPr>
          <w:p>
            <w:pPr>
              <w:pStyle w:val="TableParagraph"/>
              <w:spacing w:line="265" w:lineRule="exact"/>
              <w:ind w:left="227" w:right="228"/>
              <w:rPr>
                <w:rFonts w:ascii="Calibri Light"/>
                <w:b w:val="0"/>
                <w:sz w:val="22"/>
              </w:rPr>
            </w:pPr>
            <w:r>
              <w:rPr>
                <w:sz w:val="22"/>
              </w:rPr>
              <w:t>1 </w:t>
            </w:r>
            <w:r>
              <w:rPr>
                <w:rFonts w:ascii="Calibri Light"/>
                <w:b w:val="0"/>
                <w:sz w:val="22"/>
              </w:rPr>
              <w:t>(8%)</w:t>
            </w:r>
          </w:p>
        </w:tc>
      </w:tr>
    </w:tbl>
    <w:p>
      <w:pPr>
        <w:spacing w:line="362" w:lineRule="auto" w:before="0"/>
        <w:ind w:left="3700" w:right="339" w:hanging="3224"/>
        <w:jc w:val="left"/>
        <w:rPr>
          <w:b/>
          <w:sz w:val="20"/>
        </w:rPr>
      </w:pPr>
      <w:r>
        <w:rPr>
          <w:b/>
          <w:sz w:val="20"/>
        </w:rPr>
        <w:t>Tabla 4.28. Discurso común para las radiocomunicaciones; respuestas en la totalidad de la población y por género</w:t>
      </w:r>
    </w:p>
    <w:p>
      <w:pPr>
        <w:pStyle w:val="BodyText"/>
        <w:spacing w:before="6"/>
        <w:rPr>
          <w:b/>
          <w:sz w:val="17"/>
        </w:rPr>
      </w:pPr>
    </w:p>
    <w:p>
      <w:pPr>
        <w:pStyle w:val="BodyText"/>
        <w:spacing w:line="360" w:lineRule="auto"/>
        <w:ind w:left="102" w:right="106" w:firstLine="707"/>
        <w:jc w:val="both"/>
      </w:pPr>
      <w:r>
        <w:rPr/>
        <w:t>En</w:t>
      </w:r>
      <w:r>
        <w:rPr>
          <w:spacing w:val="-7"/>
        </w:rPr>
        <w:t> </w:t>
      </w:r>
      <w:r>
        <w:rPr/>
        <w:t>cuanto</w:t>
      </w:r>
      <w:r>
        <w:rPr>
          <w:spacing w:val="-9"/>
        </w:rPr>
        <w:t> </w:t>
      </w:r>
      <w:r>
        <w:rPr/>
        <w:t>a</w:t>
      </w:r>
      <w:r>
        <w:rPr>
          <w:spacing w:val="-7"/>
        </w:rPr>
        <w:t> </w:t>
      </w:r>
      <w:r>
        <w:rPr/>
        <w:t>grupos</w:t>
      </w:r>
      <w:r>
        <w:rPr>
          <w:spacing w:val="-8"/>
        </w:rPr>
        <w:t> </w:t>
      </w:r>
      <w:r>
        <w:rPr/>
        <w:t>de</w:t>
      </w:r>
      <w:r>
        <w:rPr>
          <w:spacing w:val="-10"/>
        </w:rPr>
        <w:t> </w:t>
      </w:r>
      <w:r>
        <w:rPr/>
        <w:t>edad</w:t>
      </w:r>
      <w:r>
        <w:rPr>
          <w:spacing w:val="-4"/>
        </w:rPr>
        <w:t> </w:t>
      </w:r>
      <w:r>
        <w:rPr/>
        <w:t>(ver</w:t>
      </w:r>
      <w:r>
        <w:rPr>
          <w:spacing w:val="-9"/>
        </w:rPr>
        <w:t> </w:t>
      </w:r>
      <w:r>
        <w:rPr/>
        <w:t>tabla</w:t>
      </w:r>
      <w:r>
        <w:rPr>
          <w:spacing w:val="-8"/>
        </w:rPr>
        <w:t> </w:t>
      </w:r>
      <w:r>
        <w:rPr/>
        <w:t>4.29.),</w:t>
      </w:r>
      <w:r>
        <w:rPr>
          <w:spacing w:val="-10"/>
        </w:rPr>
        <w:t> </w:t>
      </w:r>
      <w:r>
        <w:rPr/>
        <w:t>el</w:t>
      </w:r>
      <w:r>
        <w:rPr>
          <w:spacing w:val="-9"/>
        </w:rPr>
        <w:t> </w:t>
      </w:r>
      <w:r>
        <w:rPr/>
        <w:t>grupo</w:t>
      </w:r>
      <w:r>
        <w:rPr>
          <w:spacing w:val="-7"/>
        </w:rPr>
        <w:t> </w:t>
      </w:r>
      <w:r>
        <w:rPr/>
        <w:t>2</w:t>
      </w:r>
      <w:r>
        <w:rPr>
          <w:spacing w:val="-7"/>
        </w:rPr>
        <w:t> </w:t>
      </w:r>
      <w:r>
        <w:rPr/>
        <w:t>y</w:t>
      </w:r>
      <w:r>
        <w:rPr>
          <w:spacing w:val="-11"/>
        </w:rPr>
        <w:t> </w:t>
      </w:r>
      <w:r>
        <w:rPr/>
        <w:t>3</w:t>
      </w:r>
      <w:r>
        <w:rPr>
          <w:spacing w:val="-7"/>
        </w:rPr>
        <w:t> </w:t>
      </w:r>
      <w:r>
        <w:rPr/>
        <w:t>ocupan</w:t>
      </w:r>
      <w:r>
        <w:rPr>
          <w:spacing w:val="-5"/>
        </w:rPr>
        <w:t> </w:t>
      </w:r>
      <w:r>
        <w:rPr/>
        <w:t>el</w:t>
      </w:r>
      <w:r>
        <w:rPr>
          <w:spacing w:val="-9"/>
        </w:rPr>
        <w:t> </w:t>
      </w:r>
      <w:r>
        <w:rPr/>
        <w:t>primer</w:t>
      </w:r>
      <w:r>
        <w:rPr>
          <w:spacing w:val="-9"/>
        </w:rPr>
        <w:t> </w:t>
      </w:r>
      <w:r>
        <w:rPr/>
        <w:t>lugar en favorecer la grabación con anglicismos mostrando cuatro de seis respuestas “en desacuerdo” con la aseveración 10 y un sujeto “muy en desacuerdo”. El grupo 1 ocupa el segundo lugar con tres de seis respuestas “en desacuerdo” y dos “indiferentes”. Finalmente,</w:t>
      </w:r>
      <w:r>
        <w:rPr>
          <w:spacing w:val="-6"/>
        </w:rPr>
        <w:t> </w:t>
      </w:r>
      <w:r>
        <w:rPr/>
        <w:t>el</w:t>
      </w:r>
      <w:r>
        <w:rPr>
          <w:spacing w:val="-5"/>
        </w:rPr>
        <w:t> </w:t>
      </w:r>
      <w:r>
        <w:rPr/>
        <w:t>grupo</w:t>
      </w:r>
      <w:r>
        <w:rPr>
          <w:spacing w:val="-4"/>
        </w:rPr>
        <w:t> </w:t>
      </w:r>
      <w:r>
        <w:rPr/>
        <w:t>4</w:t>
      </w:r>
      <w:r>
        <w:rPr>
          <w:spacing w:val="-6"/>
        </w:rPr>
        <w:t> </w:t>
      </w:r>
      <w:r>
        <w:rPr/>
        <w:t>se</w:t>
      </w:r>
      <w:r>
        <w:rPr>
          <w:spacing w:val="-4"/>
        </w:rPr>
        <w:t> </w:t>
      </w:r>
      <w:r>
        <w:rPr/>
        <w:t>muestra</w:t>
      </w:r>
      <w:r>
        <w:rPr>
          <w:spacing w:val="-4"/>
        </w:rPr>
        <w:t> </w:t>
      </w:r>
      <w:r>
        <w:rPr/>
        <w:t>en</w:t>
      </w:r>
      <w:r>
        <w:rPr>
          <w:spacing w:val="-4"/>
        </w:rPr>
        <w:t> </w:t>
      </w:r>
      <w:r>
        <w:rPr/>
        <w:t>contra</w:t>
      </w:r>
      <w:r>
        <w:rPr>
          <w:spacing w:val="-4"/>
        </w:rPr>
        <w:t> </w:t>
      </w:r>
      <w:r>
        <w:rPr/>
        <w:t>de</w:t>
      </w:r>
      <w:r>
        <w:rPr>
          <w:spacing w:val="-4"/>
        </w:rPr>
        <w:t> </w:t>
      </w:r>
      <w:r>
        <w:rPr/>
        <w:t>la</w:t>
      </w:r>
      <w:r>
        <w:rPr>
          <w:spacing w:val="-4"/>
        </w:rPr>
        <w:t> </w:t>
      </w:r>
      <w:r>
        <w:rPr/>
        <w:t>grabación</w:t>
      </w:r>
      <w:r>
        <w:rPr>
          <w:spacing w:val="-3"/>
        </w:rPr>
        <w:t> </w:t>
      </w:r>
      <w:r>
        <w:rPr/>
        <w:t>con</w:t>
      </w:r>
      <w:r>
        <w:rPr>
          <w:spacing w:val="-4"/>
        </w:rPr>
        <w:t> </w:t>
      </w:r>
      <w:r>
        <w:rPr/>
        <w:t>anglicismos</w:t>
      </w:r>
      <w:r>
        <w:rPr>
          <w:spacing w:val="-4"/>
        </w:rPr>
        <w:t> </w:t>
      </w:r>
      <w:r>
        <w:rPr/>
        <w:t>con</w:t>
      </w:r>
      <w:r>
        <w:rPr>
          <w:spacing w:val="-4"/>
        </w:rPr>
        <w:t> </w:t>
      </w:r>
      <w:r>
        <w:rPr/>
        <w:t>dos</w:t>
      </w:r>
      <w:r>
        <w:rPr>
          <w:spacing w:val="-4"/>
        </w:rPr>
        <w:t> </w:t>
      </w:r>
      <w:r>
        <w:rPr/>
        <w:t>de seis respuestas “de acuerdo” con la aseveración desfavorable y dos sujetos más “indiferentes”.</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4"/>
        <w:gridCol w:w="1148"/>
        <w:gridCol w:w="1121"/>
        <w:gridCol w:w="1244"/>
        <w:gridCol w:w="1368"/>
        <w:gridCol w:w="1366"/>
      </w:tblGrid>
      <w:tr>
        <w:trPr>
          <w:trHeight w:val="406"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10</w:t>
            </w:r>
          </w:p>
        </w:tc>
        <w:tc>
          <w:tcPr>
            <w:tcW w:w="1724" w:type="dxa"/>
            <w:vMerge w:val="restart"/>
          </w:tcPr>
          <w:p>
            <w:pPr>
              <w:pStyle w:val="TableParagraph"/>
              <w:spacing w:line="357" w:lineRule="auto" w:before="12"/>
              <w:ind w:left="163" w:right="166" w:firstLine="4"/>
              <w:rPr>
                <w:b/>
                <w:sz w:val="22"/>
              </w:rPr>
            </w:pPr>
            <w:r>
              <w:rPr>
                <w:sz w:val="22"/>
              </w:rPr>
              <w:t>Tipo de Aseveración: </w:t>
            </w:r>
            <w:r>
              <w:rPr>
                <w:b/>
                <w:sz w:val="22"/>
              </w:rPr>
              <w:t>Desfavorable</w:t>
            </w:r>
          </w:p>
        </w:tc>
        <w:tc>
          <w:tcPr>
            <w:tcW w:w="6246" w:type="dxa"/>
            <w:gridSpan w:val="5"/>
          </w:tcPr>
          <w:p>
            <w:pPr>
              <w:pStyle w:val="TableParagraph"/>
              <w:spacing w:before="7"/>
              <w:ind w:left="2516" w:right="2516"/>
              <w:rPr>
                <w:sz w:val="22"/>
              </w:rPr>
            </w:pPr>
            <w:r>
              <w:rPr>
                <w:sz w:val="22"/>
              </w:rPr>
              <w:t>Respuestas</w:t>
            </w:r>
          </w:p>
        </w:tc>
      </w:tr>
      <w:tr>
        <w:trPr>
          <w:trHeight w:val="770" w:hRule="exact"/>
        </w:trPr>
        <w:tc>
          <w:tcPr>
            <w:tcW w:w="1428" w:type="dxa"/>
            <w:gridSpan w:val="2"/>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9"/>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1 (6)</w:t>
            </w:r>
          </w:p>
        </w:tc>
        <w:tc>
          <w:tcPr>
            <w:tcW w:w="1148" w:type="dxa"/>
          </w:tcPr>
          <w:p>
            <w:pPr>
              <w:pStyle w:val="TableParagraph"/>
              <w:spacing w:line="265" w:lineRule="exact"/>
              <w:ind w:left="115" w:right="119"/>
              <w:rPr>
                <w:rFonts w:ascii="Calibri Light"/>
                <w:b w:val="0"/>
                <w:sz w:val="22"/>
              </w:rPr>
            </w:pPr>
            <w:r>
              <w:rPr>
                <w:sz w:val="22"/>
              </w:rPr>
              <w:t>1 </w:t>
            </w:r>
            <w:r>
              <w:rPr>
                <w:rFonts w:ascii="Calibri Light"/>
                <w:b w:val="0"/>
                <w:sz w:val="22"/>
              </w:rPr>
              <w:t>(16%)</w:t>
            </w:r>
          </w:p>
        </w:tc>
        <w:tc>
          <w:tcPr>
            <w:tcW w:w="1121" w:type="dxa"/>
          </w:tcPr>
          <w:p>
            <w:pPr>
              <w:pStyle w:val="TableParagraph"/>
              <w:spacing w:before="9"/>
              <w:rPr>
                <w:sz w:val="22"/>
              </w:rPr>
            </w:pPr>
            <w:r>
              <w:rPr>
                <w:w w:val="100"/>
                <w:sz w:val="22"/>
              </w:rPr>
              <w:t>0</w:t>
            </w:r>
          </w:p>
        </w:tc>
        <w:tc>
          <w:tcPr>
            <w:tcW w:w="1244" w:type="dxa"/>
          </w:tcPr>
          <w:p>
            <w:pPr>
              <w:pStyle w:val="TableParagraph"/>
              <w:spacing w:line="265" w:lineRule="exact"/>
              <w:ind w:left="82" w:right="82"/>
              <w:rPr>
                <w:rFonts w:ascii="Calibri Light"/>
                <w:b w:val="0"/>
                <w:sz w:val="22"/>
              </w:rPr>
            </w:pPr>
            <w:r>
              <w:rPr>
                <w:sz w:val="22"/>
              </w:rPr>
              <w:t>2 </w:t>
            </w:r>
            <w:r>
              <w:rPr>
                <w:rFonts w:ascii="Calibri Light"/>
                <w:b w:val="0"/>
                <w:sz w:val="22"/>
              </w:rPr>
              <w:t>(33.3%)</w:t>
            </w:r>
          </w:p>
        </w:tc>
        <w:tc>
          <w:tcPr>
            <w:tcW w:w="1368" w:type="dxa"/>
            <w:shd w:val="clear" w:color="auto" w:fill="2D74B5"/>
          </w:tcPr>
          <w:p>
            <w:pPr>
              <w:pStyle w:val="TableParagraph"/>
              <w:spacing w:line="265" w:lineRule="exact"/>
              <w:ind w:left="223" w:right="224"/>
              <w:rPr>
                <w:rFonts w:ascii="Calibri Light"/>
                <w:b w:val="0"/>
                <w:sz w:val="22"/>
              </w:rPr>
            </w:pPr>
            <w:r>
              <w:rPr>
                <w:sz w:val="22"/>
              </w:rPr>
              <w:t>3 </w:t>
            </w:r>
            <w:r>
              <w:rPr>
                <w:rFonts w:ascii="Calibri Light"/>
                <w:b w:val="0"/>
                <w:sz w:val="22"/>
              </w:rPr>
              <w:t>(50%)</w:t>
            </w:r>
          </w:p>
        </w:tc>
        <w:tc>
          <w:tcPr>
            <w:tcW w:w="1366"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2 (6)</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5"/>
              <w:rPr>
                <w:rFonts w:ascii="Calibri Light"/>
                <w:b w:val="0"/>
                <w:sz w:val="22"/>
              </w:rPr>
            </w:pPr>
            <w:r>
              <w:rPr>
                <w:sz w:val="22"/>
              </w:rPr>
              <w:t>1 </w:t>
            </w:r>
            <w:r>
              <w:rPr>
                <w:rFonts w:ascii="Calibri Light"/>
                <w:b w:val="0"/>
                <w:sz w:val="22"/>
              </w:rPr>
              <w:t>(16%)</w:t>
            </w:r>
          </w:p>
        </w:tc>
        <w:tc>
          <w:tcPr>
            <w:tcW w:w="1244" w:type="dxa"/>
          </w:tcPr>
          <w:p>
            <w:pPr>
              <w:pStyle w:val="TableParagraph"/>
              <w:spacing w:before="9"/>
              <w:rPr>
                <w:sz w:val="22"/>
              </w:rPr>
            </w:pPr>
            <w:r>
              <w:rPr>
                <w:w w:val="100"/>
                <w:sz w:val="22"/>
              </w:rPr>
              <w:t>0</w:t>
            </w:r>
          </w:p>
        </w:tc>
        <w:tc>
          <w:tcPr>
            <w:tcW w:w="1368" w:type="dxa"/>
            <w:shd w:val="clear" w:color="auto" w:fill="2D74B5"/>
          </w:tcPr>
          <w:p>
            <w:pPr>
              <w:pStyle w:val="TableParagraph"/>
              <w:spacing w:line="265" w:lineRule="exact"/>
              <w:ind w:left="222" w:right="224"/>
              <w:rPr>
                <w:rFonts w:ascii="Calibri Light"/>
                <w:b w:val="0"/>
                <w:sz w:val="22"/>
              </w:rPr>
            </w:pPr>
            <w:r>
              <w:rPr>
                <w:sz w:val="22"/>
              </w:rPr>
              <w:t>4 </w:t>
            </w:r>
            <w:r>
              <w:rPr>
                <w:rFonts w:ascii="Calibri Light"/>
                <w:b w:val="0"/>
                <w:sz w:val="22"/>
              </w:rPr>
              <w:t>(66.6%)</w:t>
            </w:r>
          </w:p>
        </w:tc>
        <w:tc>
          <w:tcPr>
            <w:tcW w:w="1366" w:type="dxa"/>
          </w:tcPr>
          <w:p>
            <w:pPr>
              <w:pStyle w:val="TableParagraph"/>
              <w:spacing w:line="265" w:lineRule="exact"/>
              <w:ind w:left="226" w:right="228"/>
              <w:rPr>
                <w:rFonts w:ascii="Calibri Light"/>
                <w:b w:val="0"/>
                <w:sz w:val="22"/>
              </w:rPr>
            </w:pPr>
            <w:r>
              <w:rPr>
                <w:sz w:val="22"/>
              </w:rPr>
              <w:t>1 </w:t>
            </w:r>
            <w:r>
              <w:rPr>
                <w:rFonts w:ascii="Calibri Light"/>
                <w:b w:val="0"/>
                <w:sz w:val="22"/>
              </w:rPr>
              <w:t>(16%)</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3 (6)</w:t>
            </w:r>
          </w:p>
        </w:tc>
        <w:tc>
          <w:tcPr>
            <w:tcW w:w="1148" w:type="dxa"/>
          </w:tcPr>
          <w:p>
            <w:pPr>
              <w:pStyle w:val="TableParagraph"/>
              <w:spacing w:line="265" w:lineRule="exact"/>
              <w:ind w:left="115" w:right="119"/>
              <w:rPr>
                <w:rFonts w:ascii="Calibri Light"/>
                <w:b w:val="0"/>
                <w:sz w:val="22"/>
              </w:rPr>
            </w:pPr>
            <w:r>
              <w:rPr>
                <w:sz w:val="22"/>
              </w:rPr>
              <w:t>1 </w:t>
            </w:r>
            <w:r>
              <w:rPr>
                <w:rFonts w:ascii="Calibri Light"/>
                <w:b w:val="0"/>
                <w:sz w:val="22"/>
              </w:rPr>
              <w:t>(16%)</w:t>
            </w:r>
          </w:p>
        </w:tc>
        <w:tc>
          <w:tcPr>
            <w:tcW w:w="1121" w:type="dxa"/>
          </w:tcPr>
          <w:p>
            <w:pPr>
              <w:pStyle w:val="TableParagraph"/>
              <w:spacing w:before="9"/>
              <w:rPr>
                <w:sz w:val="22"/>
              </w:rPr>
            </w:pPr>
            <w:r>
              <w:rPr>
                <w:w w:val="100"/>
                <w:sz w:val="22"/>
              </w:rPr>
              <w:t>0</w:t>
            </w:r>
          </w:p>
        </w:tc>
        <w:tc>
          <w:tcPr>
            <w:tcW w:w="1244" w:type="dxa"/>
          </w:tcPr>
          <w:p>
            <w:pPr>
              <w:pStyle w:val="TableParagraph"/>
              <w:spacing w:before="9"/>
              <w:rPr>
                <w:sz w:val="22"/>
              </w:rPr>
            </w:pPr>
            <w:r>
              <w:rPr>
                <w:w w:val="100"/>
                <w:sz w:val="22"/>
              </w:rPr>
              <w:t>0</w:t>
            </w:r>
          </w:p>
        </w:tc>
        <w:tc>
          <w:tcPr>
            <w:tcW w:w="1368" w:type="dxa"/>
            <w:shd w:val="clear" w:color="auto" w:fill="2D74B5"/>
          </w:tcPr>
          <w:p>
            <w:pPr>
              <w:pStyle w:val="TableParagraph"/>
              <w:spacing w:line="265" w:lineRule="exact"/>
              <w:ind w:left="222" w:right="224"/>
              <w:rPr>
                <w:rFonts w:ascii="Calibri Light"/>
                <w:b w:val="0"/>
                <w:sz w:val="22"/>
              </w:rPr>
            </w:pPr>
            <w:r>
              <w:rPr>
                <w:sz w:val="22"/>
              </w:rPr>
              <w:t>4 </w:t>
            </w:r>
            <w:r>
              <w:rPr>
                <w:rFonts w:ascii="Calibri Light"/>
                <w:b w:val="0"/>
                <w:sz w:val="22"/>
              </w:rPr>
              <w:t>(66.6%)</w:t>
            </w:r>
          </w:p>
        </w:tc>
        <w:tc>
          <w:tcPr>
            <w:tcW w:w="1366" w:type="dxa"/>
          </w:tcPr>
          <w:p>
            <w:pPr>
              <w:pStyle w:val="TableParagraph"/>
              <w:spacing w:line="265" w:lineRule="exact"/>
              <w:ind w:left="226" w:right="228"/>
              <w:rPr>
                <w:rFonts w:ascii="Calibri Light"/>
                <w:b w:val="0"/>
                <w:sz w:val="22"/>
              </w:rPr>
            </w:pPr>
            <w:r>
              <w:rPr>
                <w:sz w:val="22"/>
              </w:rPr>
              <w:t>1 </w:t>
            </w:r>
            <w:r>
              <w:rPr>
                <w:rFonts w:ascii="Calibri Light"/>
                <w:b w:val="0"/>
                <w:sz w:val="22"/>
              </w:rPr>
              <w:t>(16%)</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4 (6)</w:t>
            </w:r>
          </w:p>
        </w:tc>
        <w:tc>
          <w:tcPr>
            <w:tcW w:w="1148" w:type="dxa"/>
            <w:tcBorders>
              <w:right w:val="single" w:sz="41" w:space="0" w:color="9CC2E4"/>
            </w:tcBorders>
          </w:tcPr>
          <w:p>
            <w:pPr>
              <w:pStyle w:val="TableParagraph"/>
              <w:spacing w:before="9"/>
              <w:ind w:left="39"/>
              <w:rPr>
                <w:sz w:val="22"/>
              </w:rPr>
            </w:pPr>
            <w:r>
              <w:rPr>
                <w:w w:val="100"/>
                <w:sz w:val="22"/>
              </w:rPr>
              <w:t>0</w:t>
            </w:r>
          </w:p>
        </w:tc>
        <w:tc>
          <w:tcPr>
            <w:tcW w:w="1121" w:type="dxa"/>
            <w:shd w:val="clear" w:color="auto" w:fill="9CC2E4"/>
          </w:tcPr>
          <w:p>
            <w:pPr>
              <w:pStyle w:val="TableParagraph"/>
              <w:spacing w:line="265" w:lineRule="exact"/>
              <w:ind w:left="85" w:right="86"/>
              <w:rPr>
                <w:rFonts w:ascii="Calibri Light"/>
                <w:b w:val="0"/>
                <w:sz w:val="22"/>
              </w:rPr>
            </w:pPr>
            <w:r>
              <w:rPr>
                <w:sz w:val="22"/>
              </w:rPr>
              <w:t>2 </w:t>
            </w:r>
            <w:r>
              <w:rPr>
                <w:rFonts w:ascii="Calibri Light"/>
                <w:b w:val="0"/>
                <w:sz w:val="22"/>
              </w:rPr>
              <w:t>(33.3%)</w:t>
            </w:r>
          </w:p>
        </w:tc>
        <w:tc>
          <w:tcPr>
            <w:tcW w:w="1244" w:type="dxa"/>
            <w:shd w:val="clear" w:color="auto" w:fill="9CC2E4"/>
          </w:tcPr>
          <w:p>
            <w:pPr>
              <w:pStyle w:val="TableParagraph"/>
              <w:spacing w:line="265" w:lineRule="exact"/>
              <w:ind w:left="82" w:right="82"/>
              <w:rPr>
                <w:rFonts w:ascii="Calibri Light"/>
                <w:b w:val="0"/>
                <w:sz w:val="22"/>
              </w:rPr>
            </w:pPr>
            <w:r>
              <w:rPr>
                <w:sz w:val="22"/>
              </w:rPr>
              <w:t>2 </w:t>
            </w:r>
            <w:r>
              <w:rPr>
                <w:rFonts w:ascii="Calibri Light"/>
                <w:b w:val="0"/>
                <w:sz w:val="22"/>
              </w:rPr>
              <w:t>(33.3%)</w:t>
            </w:r>
          </w:p>
        </w:tc>
        <w:tc>
          <w:tcPr>
            <w:tcW w:w="1368" w:type="dxa"/>
            <w:tcBorders>
              <w:left w:val="single" w:sz="45" w:space="0" w:color="9CC2E4"/>
            </w:tcBorders>
          </w:tcPr>
          <w:p>
            <w:pPr>
              <w:pStyle w:val="TableParagraph"/>
              <w:spacing w:line="265" w:lineRule="exact"/>
              <w:ind w:left="177" w:right="228"/>
              <w:rPr>
                <w:rFonts w:ascii="Calibri Light"/>
                <w:b w:val="0"/>
                <w:sz w:val="22"/>
              </w:rPr>
            </w:pPr>
            <w:r>
              <w:rPr>
                <w:sz w:val="22"/>
              </w:rPr>
              <w:t>1 </w:t>
            </w:r>
            <w:r>
              <w:rPr>
                <w:rFonts w:ascii="Calibri Light"/>
                <w:b w:val="0"/>
                <w:sz w:val="22"/>
              </w:rPr>
              <w:t>(16%)</w:t>
            </w:r>
          </w:p>
        </w:tc>
        <w:tc>
          <w:tcPr>
            <w:tcW w:w="1366" w:type="dxa"/>
          </w:tcPr>
          <w:p>
            <w:pPr>
              <w:pStyle w:val="TableParagraph"/>
              <w:spacing w:line="265" w:lineRule="exact"/>
              <w:ind w:left="226" w:right="228"/>
              <w:rPr>
                <w:rFonts w:ascii="Calibri Light"/>
                <w:b w:val="0"/>
                <w:sz w:val="22"/>
              </w:rPr>
            </w:pPr>
            <w:r>
              <w:rPr>
                <w:sz w:val="22"/>
              </w:rPr>
              <w:t>1 </w:t>
            </w:r>
            <w:r>
              <w:rPr>
                <w:rFonts w:ascii="Calibri Light"/>
                <w:b w:val="0"/>
                <w:sz w:val="22"/>
              </w:rPr>
              <w:t>(16%)</w:t>
            </w:r>
          </w:p>
        </w:tc>
      </w:tr>
    </w:tbl>
    <w:p>
      <w:pPr>
        <w:spacing w:line="227" w:lineRule="exact" w:before="0"/>
        <w:ind w:left="524" w:right="339" w:firstLine="0"/>
        <w:jc w:val="left"/>
        <w:rPr>
          <w:b/>
          <w:sz w:val="20"/>
        </w:rPr>
      </w:pPr>
      <w:r>
        <w:rPr>
          <w:b/>
          <w:sz w:val="20"/>
        </w:rPr>
        <w:t>Tabla 4.29. Discurso común para las radiocomunicaciones; respuestas por grupo de edad</w:t>
      </w:r>
    </w:p>
    <w:p>
      <w:pPr>
        <w:pStyle w:val="BodyText"/>
        <w:spacing w:before="5"/>
        <w:rPr>
          <w:b/>
          <w:sz w:val="27"/>
        </w:rPr>
      </w:pPr>
    </w:p>
    <w:p>
      <w:pPr>
        <w:pStyle w:val="BodyText"/>
        <w:spacing w:line="360" w:lineRule="auto" w:before="1"/>
        <w:ind w:left="102" w:right="109" w:firstLine="707"/>
        <w:jc w:val="both"/>
      </w:pPr>
      <w:r>
        <w:rPr/>
        <w:t>Por nivel de estudios se tiene que todos se encuentran inclinados a desfavorecer la aseveración 10, sin embargo, el nivel superior mostró mayor número de respuestas “en desacuerdo” con cinco de ocho respuestas (ver tabla 4.30.). Después se encuentra el nivel básico con cuatro de ocho  y finalmente el nivel medio superior con tres de</w:t>
      </w:r>
      <w:r>
        <w:rPr>
          <w:spacing w:val="-45"/>
        </w:rPr>
        <w:t> </w:t>
      </w:r>
      <w:r>
        <w:rPr/>
        <w:t>ocho.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7"/>
        <w:gridCol w:w="1367"/>
      </w:tblGrid>
      <w:tr>
        <w:trPr>
          <w:trHeight w:val="408"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10</w:t>
            </w:r>
          </w:p>
        </w:tc>
        <w:tc>
          <w:tcPr>
            <w:tcW w:w="1721" w:type="dxa"/>
            <w:vMerge w:val="restart"/>
          </w:tcPr>
          <w:p>
            <w:pPr>
              <w:pStyle w:val="TableParagraph"/>
              <w:spacing w:line="357" w:lineRule="auto" w:before="12"/>
              <w:ind w:left="163" w:right="164" w:firstLine="4"/>
              <w:rPr>
                <w:b/>
                <w:sz w:val="22"/>
              </w:rPr>
            </w:pPr>
            <w:r>
              <w:rPr>
                <w:sz w:val="22"/>
              </w:rPr>
              <w:t>Tipo de Aseveración: </w:t>
            </w:r>
            <w:r>
              <w:rPr>
                <w:b/>
                <w:sz w:val="22"/>
              </w:rPr>
              <w:t>Desfavorable</w:t>
            </w:r>
          </w:p>
        </w:tc>
        <w:tc>
          <w:tcPr>
            <w:tcW w:w="6249" w:type="dxa"/>
            <w:gridSpan w:val="5"/>
          </w:tcPr>
          <w:p>
            <w:pPr>
              <w:pStyle w:val="TableParagraph"/>
              <w:spacing w:before="7"/>
              <w:ind w:left="2517" w:right="2517"/>
              <w:rPr>
                <w:sz w:val="22"/>
              </w:rPr>
            </w:pPr>
            <w:r>
              <w:rPr>
                <w:sz w:val="22"/>
              </w:rPr>
              <w:t>Respuestas</w:t>
            </w:r>
          </w:p>
        </w:tc>
      </w:tr>
      <w:tr>
        <w:trPr>
          <w:trHeight w:val="768" w:hRule="exact"/>
        </w:trPr>
        <w:tc>
          <w:tcPr>
            <w:tcW w:w="1428" w:type="dxa"/>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7" w:type="dxa"/>
          </w:tcPr>
          <w:p>
            <w:pPr>
              <w:pStyle w:val="TableParagraph"/>
              <w:spacing w:line="360" w:lineRule="auto"/>
              <w:ind w:left="103" w:right="84" w:firstLine="439"/>
              <w:jc w:val="left"/>
              <w:rPr>
                <w:sz w:val="22"/>
              </w:rPr>
            </w:pPr>
            <w:r>
              <w:rPr>
                <w:sz w:val="22"/>
              </w:rPr>
              <w:t>En desacuerdo</w:t>
            </w:r>
          </w:p>
        </w:tc>
        <w:tc>
          <w:tcPr>
            <w:tcW w:w="1367" w:type="dxa"/>
          </w:tcPr>
          <w:p>
            <w:pPr>
              <w:pStyle w:val="TableParagraph"/>
              <w:spacing w:line="360" w:lineRule="auto"/>
              <w:ind w:left="102" w:right="85" w:firstLine="213"/>
              <w:jc w:val="left"/>
              <w:rPr>
                <w:sz w:val="22"/>
              </w:rPr>
            </w:pPr>
            <w:r>
              <w:rPr>
                <w:sz w:val="22"/>
              </w:rPr>
              <w:t>Muy en desacuerdo</w:t>
            </w:r>
          </w:p>
        </w:tc>
      </w:tr>
      <w:tr>
        <w:trPr>
          <w:trHeight w:val="413" w:hRule="exact"/>
        </w:trPr>
        <w:tc>
          <w:tcPr>
            <w:tcW w:w="3149" w:type="dxa"/>
            <w:gridSpan w:val="2"/>
          </w:tcPr>
          <w:p>
            <w:pPr>
              <w:pStyle w:val="TableParagraph"/>
              <w:spacing w:before="9"/>
              <w:ind w:left="799"/>
              <w:jc w:val="left"/>
              <w:rPr>
                <w:sz w:val="22"/>
              </w:rPr>
            </w:pPr>
            <w:r>
              <w:rPr>
                <w:sz w:val="22"/>
              </w:rPr>
              <w:t>Nivel Básico (8)</w:t>
            </w:r>
          </w:p>
        </w:tc>
        <w:tc>
          <w:tcPr>
            <w:tcW w:w="1150" w:type="dxa"/>
          </w:tcPr>
          <w:p>
            <w:pPr>
              <w:pStyle w:val="TableParagraph"/>
              <w:spacing w:line="265" w:lineRule="exact"/>
              <w:ind w:left="118" w:right="120"/>
              <w:rPr>
                <w:rFonts w:ascii="Calibri Light"/>
                <w:b w:val="0"/>
                <w:sz w:val="22"/>
              </w:rPr>
            </w:pPr>
            <w:r>
              <w:rPr>
                <w:sz w:val="22"/>
              </w:rPr>
              <w:t>2 </w:t>
            </w:r>
            <w:r>
              <w:rPr>
                <w:rFonts w:ascii="Calibri Light"/>
                <w:b w:val="0"/>
                <w:sz w:val="22"/>
              </w:rPr>
              <w:t>(25%)</w:t>
            </w:r>
          </w:p>
        </w:tc>
        <w:tc>
          <w:tcPr>
            <w:tcW w:w="1121" w:type="dxa"/>
          </w:tcPr>
          <w:p>
            <w:pPr>
              <w:pStyle w:val="TableParagraph"/>
              <w:spacing w:line="265" w:lineRule="exact"/>
              <w:ind w:left="85" w:right="86"/>
              <w:rPr>
                <w:rFonts w:ascii="Calibri Light"/>
                <w:b w:val="0"/>
                <w:sz w:val="22"/>
              </w:rPr>
            </w:pPr>
            <w:r>
              <w:rPr>
                <w:sz w:val="22"/>
              </w:rPr>
              <w:t>1 </w:t>
            </w:r>
            <w:r>
              <w:rPr>
                <w:rFonts w:ascii="Calibri Light"/>
                <w:b w:val="0"/>
                <w:sz w:val="22"/>
              </w:rPr>
              <w:t>(12.5%)</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(12.5%)</w:t>
            </w:r>
          </w:p>
        </w:tc>
        <w:tc>
          <w:tcPr>
            <w:tcW w:w="1367" w:type="dxa"/>
            <w:shd w:val="clear" w:color="auto" w:fill="2D74B5"/>
          </w:tcPr>
          <w:p>
            <w:pPr>
              <w:pStyle w:val="TableParagraph"/>
              <w:spacing w:line="265" w:lineRule="exact"/>
              <w:ind w:right="329"/>
              <w:jc w:val="right"/>
              <w:rPr>
                <w:rFonts w:ascii="Calibri Light"/>
                <w:b w:val="0"/>
                <w:sz w:val="22"/>
              </w:rPr>
            </w:pPr>
            <w:r>
              <w:rPr>
                <w:sz w:val="22"/>
              </w:rPr>
              <w:t>4 </w:t>
            </w:r>
            <w:r>
              <w:rPr>
                <w:rFonts w:ascii="Calibri Light"/>
                <w:b w:val="0"/>
                <w:sz w:val="22"/>
              </w:rPr>
              <w:t>(50%)</w:t>
            </w:r>
          </w:p>
        </w:tc>
        <w:tc>
          <w:tcPr>
            <w:tcW w:w="1367" w:type="dxa"/>
          </w:tcPr>
          <w:p>
            <w:pPr>
              <w:pStyle w:val="TableParagraph"/>
              <w:spacing w:before="9"/>
              <w:ind w:right="1"/>
              <w:rPr>
                <w:sz w:val="22"/>
              </w:rPr>
            </w:pPr>
            <w:r>
              <w:rPr>
                <w:w w:val="100"/>
                <w:sz w:val="22"/>
              </w:rPr>
              <w:t>0</w:t>
            </w:r>
          </w:p>
        </w:tc>
      </w:tr>
      <w:tr>
        <w:trPr>
          <w:trHeight w:val="413" w:hRule="exact"/>
        </w:trPr>
        <w:tc>
          <w:tcPr>
            <w:tcW w:w="3149" w:type="dxa"/>
            <w:gridSpan w:val="2"/>
          </w:tcPr>
          <w:p>
            <w:pPr>
              <w:pStyle w:val="TableParagraph"/>
              <w:spacing w:before="10"/>
              <w:ind w:left="383"/>
              <w:jc w:val="left"/>
              <w:rPr>
                <w:sz w:val="22"/>
              </w:rPr>
            </w:pPr>
            <w:r>
              <w:rPr>
                <w:sz w:val="22"/>
              </w:rPr>
              <w:t>Nivel Medio Superior (8)</w:t>
            </w:r>
          </w:p>
        </w:tc>
        <w:tc>
          <w:tcPr>
            <w:tcW w:w="1150" w:type="dxa"/>
          </w:tcPr>
          <w:p>
            <w:pPr>
              <w:pStyle w:val="TableParagraph"/>
              <w:spacing w:before="10"/>
              <w:ind w:right="2"/>
              <w:rPr>
                <w:sz w:val="22"/>
              </w:rPr>
            </w:pPr>
            <w:r>
              <w:rPr>
                <w:w w:val="100"/>
                <w:sz w:val="22"/>
              </w:rPr>
              <w:t>0</w:t>
            </w:r>
          </w:p>
        </w:tc>
        <w:tc>
          <w:tcPr>
            <w:tcW w:w="1121" w:type="dxa"/>
          </w:tcPr>
          <w:p>
            <w:pPr>
              <w:pStyle w:val="TableParagraph"/>
              <w:spacing w:line="266" w:lineRule="exact"/>
              <w:ind w:left="85" w:right="86"/>
              <w:rPr>
                <w:rFonts w:ascii="Calibri Light"/>
                <w:b w:val="0"/>
                <w:sz w:val="22"/>
              </w:rPr>
            </w:pPr>
            <w:r>
              <w:rPr>
                <w:sz w:val="22"/>
              </w:rPr>
              <w:t>1 </w:t>
            </w:r>
            <w:r>
              <w:rPr>
                <w:rFonts w:ascii="Calibri Light"/>
                <w:b w:val="0"/>
                <w:sz w:val="22"/>
              </w:rPr>
              <w:t>(12.5%)</w:t>
            </w:r>
          </w:p>
        </w:tc>
        <w:tc>
          <w:tcPr>
            <w:tcW w:w="1244" w:type="dxa"/>
          </w:tcPr>
          <w:p>
            <w:pPr>
              <w:pStyle w:val="TableParagraph"/>
              <w:spacing w:line="266" w:lineRule="exact"/>
              <w:ind w:left="82" w:right="82"/>
              <w:rPr>
                <w:rFonts w:ascii="Calibri Light"/>
                <w:b w:val="0"/>
                <w:sz w:val="22"/>
              </w:rPr>
            </w:pPr>
            <w:r>
              <w:rPr>
                <w:sz w:val="22"/>
              </w:rPr>
              <w:t>2 </w:t>
            </w:r>
            <w:r>
              <w:rPr>
                <w:rFonts w:ascii="Calibri Light"/>
                <w:b w:val="0"/>
                <w:sz w:val="22"/>
              </w:rPr>
              <w:t>(25%)</w:t>
            </w:r>
          </w:p>
        </w:tc>
        <w:tc>
          <w:tcPr>
            <w:tcW w:w="1367" w:type="dxa"/>
            <w:shd w:val="clear" w:color="auto" w:fill="2D74B5"/>
          </w:tcPr>
          <w:p>
            <w:pPr>
              <w:pStyle w:val="TableParagraph"/>
              <w:spacing w:line="266" w:lineRule="exact"/>
              <w:ind w:right="248"/>
              <w:jc w:val="right"/>
              <w:rPr>
                <w:rFonts w:ascii="Calibri Light"/>
                <w:b w:val="0"/>
                <w:sz w:val="22"/>
              </w:rPr>
            </w:pPr>
            <w:r>
              <w:rPr>
                <w:sz w:val="22"/>
              </w:rPr>
              <w:t>3 </w:t>
            </w:r>
            <w:r>
              <w:rPr>
                <w:rFonts w:ascii="Calibri Light"/>
                <w:b w:val="0"/>
                <w:sz w:val="22"/>
              </w:rPr>
              <w:t>(37.5%)</w:t>
            </w:r>
          </w:p>
        </w:tc>
        <w:tc>
          <w:tcPr>
            <w:tcW w:w="1367" w:type="dxa"/>
          </w:tcPr>
          <w:p>
            <w:pPr>
              <w:pStyle w:val="TableParagraph"/>
              <w:spacing w:line="266" w:lineRule="exact"/>
              <w:ind w:left="227" w:right="228"/>
              <w:rPr>
                <w:rFonts w:ascii="Calibri Light"/>
                <w:b w:val="0"/>
                <w:sz w:val="22"/>
              </w:rPr>
            </w:pPr>
            <w:r>
              <w:rPr>
                <w:sz w:val="22"/>
              </w:rPr>
              <w:t>2 </w:t>
            </w:r>
            <w:r>
              <w:rPr>
                <w:rFonts w:ascii="Calibri Light"/>
                <w:b w:val="0"/>
                <w:sz w:val="22"/>
              </w:rPr>
              <w:t>(25%)</w:t>
            </w:r>
          </w:p>
        </w:tc>
      </w:tr>
      <w:tr>
        <w:trPr>
          <w:trHeight w:val="413" w:hRule="exact"/>
        </w:trPr>
        <w:tc>
          <w:tcPr>
            <w:tcW w:w="3149" w:type="dxa"/>
            <w:gridSpan w:val="2"/>
          </w:tcPr>
          <w:p>
            <w:pPr>
              <w:pStyle w:val="TableParagraph"/>
              <w:spacing w:before="9"/>
              <w:ind w:left="712"/>
              <w:jc w:val="left"/>
              <w:rPr>
                <w:sz w:val="22"/>
              </w:rPr>
            </w:pPr>
            <w:r>
              <w:rPr>
                <w:sz w:val="22"/>
              </w:rPr>
              <w:t>Nivel Superior (8)</w:t>
            </w:r>
          </w:p>
        </w:tc>
        <w:tc>
          <w:tcPr>
            <w:tcW w:w="1150" w:type="dxa"/>
          </w:tcPr>
          <w:p>
            <w:pPr>
              <w:pStyle w:val="TableParagraph"/>
              <w:spacing w:before="9"/>
              <w:ind w:right="2"/>
              <w:rPr>
                <w:sz w:val="22"/>
              </w:rPr>
            </w:pPr>
            <w:r>
              <w:rPr>
                <w:w w:val="100"/>
                <w:sz w:val="22"/>
              </w:rPr>
              <w:t>0</w:t>
            </w:r>
          </w:p>
        </w:tc>
        <w:tc>
          <w:tcPr>
            <w:tcW w:w="1121" w:type="dxa"/>
          </w:tcPr>
          <w:p>
            <w:pPr>
              <w:pStyle w:val="TableParagraph"/>
              <w:spacing w:line="265" w:lineRule="exact"/>
              <w:ind w:left="85" w:right="86"/>
              <w:rPr>
                <w:rFonts w:ascii="Calibri Light"/>
                <w:b w:val="0"/>
                <w:sz w:val="22"/>
              </w:rPr>
            </w:pPr>
            <w:r>
              <w:rPr>
                <w:sz w:val="22"/>
              </w:rPr>
              <w:t>1 </w:t>
            </w:r>
            <w:r>
              <w:rPr>
                <w:rFonts w:ascii="Calibri Light"/>
                <w:b w:val="0"/>
                <w:sz w:val="22"/>
              </w:rPr>
              <w:t>(12.5%)</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(12.5%)</w:t>
            </w:r>
          </w:p>
        </w:tc>
        <w:tc>
          <w:tcPr>
            <w:tcW w:w="1367" w:type="dxa"/>
            <w:shd w:val="clear" w:color="auto" w:fill="2D74B5"/>
          </w:tcPr>
          <w:p>
            <w:pPr>
              <w:pStyle w:val="TableParagraph"/>
              <w:spacing w:line="265" w:lineRule="exact"/>
              <w:ind w:right="252"/>
              <w:jc w:val="right"/>
              <w:rPr>
                <w:rFonts w:ascii="Calibri Light"/>
                <w:b w:val="0"/>
                <w:sz w:val="22"/>
              </w:rPr>
            </w:pPr>
            <w:r>
              <w:rPr>
                <w:sz w:val="22"/>
              </w:rPr>
              <w:t>5 </w:t>
            </w:r>
            <w:r>
              <w:rPr>
                <w:rFonts w:ascii="Calibri Light"/>
                <w:b w:val="0"/>
                <w:sz w:val="22"/>
              </w:rPr>
              <w:t>(62.5%)</w:t>
            </w:r>
          </w:p>
        </w:tc>
        <w:tc>
          <w:tcPr>
            <w:tcW w:w="1367" w:type="dxa"/>
          </w:tcPr>
          <w:p>
            <w:pPr>
              <w:pStyle w:val="TableParagraph"/>
              <w:spacing w:line="265" w:lineRule="exact"/>
              <w:ind w:left="227" w:right="230"/>
              <w:rPr>
                <w:rFonts w:ascii="Calibri Light"/>
                <w:b w:val="0"/>
                <w:sz w:val="22"/>
              </w:rPr>
            </w:pPr>
            <w:r>
              <w:rPr>
                <w:sz w:val="22"/>
              </w:rPr>
              <w:t>1 </w:t>
            </w:r>
            <w:r>
              <w:rPr>
                <w:rFonts w:ascii="Calibri Light"/>
                <w:b w:val="0"/>
                <w:sz w:val="22"/>
              </w:rPr>
              <w:t>(12.5%)</w:t>
            </w:r>
          </w:p>
        </w:tc>
      </w:tr>
    </w:tbl>
    <w:p>
      <w:pPr>
        <w:spacing w:line="227" w:lineRule="exact" w:before="0"/>
        <w:ind w:left="401" w:right="339" w:firstLine="0"/>
        <w:jc w:val="left"/>
        <w:rPr>
          <w:b/>
          <w:sz w:val="20"/>
        </w:rPr>
      </w:pPr>
      <w:r>
        <w:rPr>
          <w:b/>
          <w:sz w:val="20"/>
        </w:rPr>
        <w:t>Tabla 4.30. Discurso común para las radiocomunicaciones; respuestas por nivel de estudios</w:t>
      </w:r>
    </w:p>
    <w:p>
      <w:pPr>
        <w:pStyle w:val="BodyText"/>
        <w:spacing w:before="7"/>
        <w:rPr>
          <w:b/>
          <w:sz w:val="27"/>
        </w:rPr>
      </w:pPr>
    </w:p>
    <w:p>
      <w:pPr>
        <w:pStyle w:val="BodyText"/>
        <w:spacing w:line="360" w:lineRule="auto"/>
        <w:ind w:left="102" w:right="109" w:firstLine="707"/>
        <w:jc w:val="both"/>
      </w:pPr>
      <w:r>
        <w:rPr/>
        <w:t>En este punto es importante recalcar que las aseveraciones que se presentan a partir</w:t>
      </w:r>
      <w:r>
        <w:rPr>
          <w:spacing w:val="-6"/>
        </w:rPr>
        <w:t> </w:t>
      </w:r>
      <w:r>
        <w:rPr/>
        <w:t>de</w:t>
      </w:r>
      <w:r>
        <w:rPr>
          <w:spacing w:val="-5"/>
        </w:rPr>
        <w:t> </w:t>
      </w:r>
      <w:r>
        <w:rPr/>
        <w:t>la</w:t>
      </w:r>
      <w:r>
        <w:rPr>
          <w:spacing w:val="-6"/>
        </w:rPr>
        <w:t> </w:t>
      </w:r>
      <w:r>
        <w:rPr/>
        <w:t>numerada</w:t>
      </w:r>
      <w:r>
        <w:rPr>
          <w:spacing w:val="-5"/>
        </w:rPr>
        <w:t> </w:t>
      </w:r>
      <w:r>
        <w:rPr/>
        <w:t>con</w:t>
      </w:r>
      <w:r>
        <w:rPr>
          <w:spacing w:val="-6"/>
        </w:rPr>
        <w:t> </w:t>
      </w:r>
      <w:r>
        <w:rPr/>
        <w:t>el</w:t>
      </w:r>
      <w:r>
        <w:rPr>
          <w:spacing w:val="-7"/>
        </w:rPr>
        <w:t> </w:t>
      </w:r>
      <w:r>
        <w:rPr/>
        <w:t>11</w:t>
      </w:r>
      <w:r>
        <w:rPr>
          <w:spacing w:val="-8"/>
        </w:rPr>
        <w:t> </w:t>
      </w:r>
      <w:r>
        <w:rPr/>
        <w:t>forman</w:t>
      </w:r>
      <w:r>
        <w:rPr>
          <w:spacing w:val="-6"/>
        </w:rPr>
        <w:t> </w:t>
      </w:r>
      <w:r>
        <w:rPr/>
        <w:t>parte</w:t>
      </w:r>
      <w:r>
        <w:rPr>
          <w:spacing w:val="-8"/>
        </w:rPr>
        <w:t> </w:t>
      </w:r>
      <w:r>
        <w:rPr/>
        <w:t>de</w:t>
      </w:r>
      <w:r>
        <w:rPr>
          <w:spacing w:val="-5"/>
        </w:rPr>
        <w:t> </w:t>
      </w:r>
      <w:r>
        <w:rPr/>
        <w:t>la</w:t>
      </w:r>
      <w:r>
        <w:rPr>
          <w:spacing w:val="-5"/>
        </w:rPr>
        <w:t> </w:t>
      </w:r>
      <w:r>
        <w:rPr/>
        <w:t>segunda</w:t>
      </w:r>
      <w:r>
        <w:rPr>
          <w:spacing w:val="-6"/>
        </w:rPr>
        <w:t> </w:t>
      </w:r>
      <w:r>
        <w:rPr/>
        <w:t>sección</w:t>
      </w:r>
      <w:r>
        <w:rPr>
          <w:spacing w:val="-8"/>
        </w:rPr>
        <w:t> </w:t>
      </w:r>
      <w:r>
        <w:rPr/>
        <w:t>del</w:t>
      </w:r>
      <w:r>
        <w:rPr>
          <w:spacing w:val="-6"/>
        </w:rPr>
        <w:t> </w:t>
      </w:r>
      <w:r>
        <w:rPr/>
        <w:t>cuestionario</w:t>
      </w:r>
      <w:r>
        <w:rPr>
          <w:spacing w:val="2"/>
        </w:rPr>
        <w:t> </w:t>
      </w:r>
      <w:r>
        <w:rPr/>
        <w:t>y</w:t>
      </w:r>
      <w:r>
        <w:rPr>
          <w:spacing w:val="-7"/>
        </w:rPr>
        <w:t> </w:t>
      </w:r>
      <w:r>
        <w:rPr/>
        <w:t>se encuentran dirigidas a la grabación </w:t>
      </w:r>
      <w:r>
        <w:rPr>
          <w:b/>
        </w:rPr>
        <w:t>sin</w:t>
      </w:r>
      <w:r>
        <w:rPr>
          <w:b/>
          <w:spacing w:val="-13"/>
        </w:rPr>
        <w:t> </w:t>
      </w:r>
      <w:r>
        <w:rPr>
          <w:b/>
        </w:rPr>
        <w:t>anglicismos</w:t>
      </w:r>
      <w:r>
        <w:rPr/>
        <w:t>.</w:t>
      </w:r>
    </w:p>
    <w:p>
      <w:pPr>
        <w:pStyle w:val="BodyText"/>
        <w:spacing w:line="360" w:lineRule="auto" w:before="202"/>
        <w:ind w:left="102" w:right="115" w:firstLine="707"/>
        <w:jc w:val="both"/>
      </w:pPr>
      <w:r>
        <w:rPr/>
        <w:t>Considerando que la aseveración 11 es redactada de manera positiva ante la grabación que no incluye anglicismos, se puede considerar desfavorable para el uso de anglicismos, y viceversa, si la aseveración se redacta de manera negativa, es favorable para</w:t>
      </w:r>
      <w:r>
        <w:rPr>
          <w:spacing w:val="-6"/>
        </w:rPr>
        <w:t> </w:t>
      </w:r>
      <w:r>
        <w:rPr/>
        <w:t>los</w:t>
      </w:r>
      <w:r>
        <w:rPr>
          <w:spacing w:val="-5"/>
        </w:rPr>
        <w:t> </w:t>
      </w:r>
      <w:r>
        <w:rPr/>
        <w:t>anglicismos.</w:t>
      </w:r>
      <w:r>
        <w:rPr>
          <w:spacing w:val="-5"/>
        </w:rPr>
        <w:t> </w:t>
      </w:r>
      <w:r>
        <w:rPr/>
        <w:t>Y</w:t>
      </w:r>
      <w:r>
        <w:rPr>
          <w:spacing w:val="-10"/>
        </w:rPr>
        <w:t> </w:t>
      </w:r>
      <w:r>
        <w:rPr/>
        <w:t>a</w:t>
      </w:r>
      <w:r>
        <w:rPr>
          <w:spacing w:val="-5"/>
        </w:rPr>
        <w:t> </w:t>
      </w:r>
      <w:r>
        <w:rPr/>
        <w:t>partir</w:t>
      </w:r>
      <w:r>
        <w:rPr>
          <w:spacing w:val="-6"/>
        </w:rPr>
        <w:t> </w:t>
      </w:r>
      <w:r>
        <w:rPr/>
        <w:t>de</w:t>
      </w:r>
      <w:r>
        <w:rPr>
          <w:spacing w:val="-5"/>
        </w:rPr>
        <w:t> </w:t>
      </w:r>
      <w:r>
        <w:rPr/>
        <w:t>ello</w:t>
      </w:r>
      <w:r>
        <w:rPr>
          <w:spacing w:val="-5"/>
        </w:rPr>
        <w:t> </w:t>
      </w:r>
      <w:r>
        <w:rPr/>
        <w:t>es</w:t>
      </w:r>
      <w:r>
        <w:rPr>
          <w:spacing w:val="-6"/>
        </w:rPr>
        <w:t> </w:t>
      </w:r>
      <w:r>
        <w:rPr/>
        <w:t>como</w:t>
      </w:r>
      <w:r>
        <w:rPr>
          <w:spacing w:val="-5"/>
        </w:rPr>
        <w:t> </w:t>
      </w:r>
      <w:r>
        <w:rPr/>
        <w:t>se</w:t>
      </w:r>
      <w:r>
        <w:rPr>
          <w:spacing w:val="-5"/>
        </w:rPr>
        <w:t> </w:t>
      </w:r>
      <w:r>
        <w:rPr/>
        <w:t>determina</w:t>
      </w:r>
      <w:r>
        <w:rPr>
          <w:spacing w:val="-5"/>
        </w:rPr>
        <w:t> </w:t>
      </w:r>
      <w:r>
        <w:rPr/>
        <w:t>el</w:t>
      </w:r>
      <w:r>
        <w:rPr>
          <w:spacing w:val="-6"/>
        </w:rPr>
        <w:t> </w:t>
      </w:r>
      <w:r>
        <w:rPr/>
        <w:t>tipo</w:t>
      </w:r>
      <w:r>
        <w:rPr>
          <w:spacing w:val="-7"/>
        </w:rPr>
        <w:t> </w:t>
      </w:r>
      <w:r>
        <w:rPr/>
        <w:t>de</w:t>
      </w:r>
      <w:r>
        <w:rPr>
          <w:spacing w:val="-5"/>
        </w:rPr>
        <w:t> </w:t>
      </w:r>
      <w:r>
        <w:rPr/>
        <w:t>aseveración</w:t>
      </w:r>
      <w:r>
        <w:rPr>
          <w:spacing w:val="-7"/>
        </w:rPr>
        <w:t> </w:t>
      </w:r>
      <w:r>
        <w:rPr/>
        <w:t>de</w:t>
      </w:r>
      <w:r>
        <w:rPr>
          <w:spacing w:val="-5"/>
        </w:rPr>
        <w:t> </w:t>
      </w:r>
      <w:r>
        <w:rPr/>
        <w:t>la que se está</w:t>
      </w:r>
      <w:r>
        <w:rPr>
          <w:spacing w:val="-7"/>
        </w:rPr>
        <w:t> </w:t>
      </w:r>
      <w:r>
        <w:rPr/>
        <w:t>tratando.</w:t>
      </w:r>
    </w:p>
    <w:p>
      <w:pPr>
        <w:spacing w:after="0" w:line="360" w:lineRule="auto"/>
        <w:jc w:val="both"/>
        <w:sectPr>
          <w:footerReference w:type="default" r:id="rId38"/>
          <w:pgSz w:w="12240" w:h="15840"/>
          <w:pgMar w:footer="1003" w:header="749" w:top="960" w:bottom="1200" w:left="1600" w:right="1020"/>
        </w:sectPr>
      </w:pPr>
    </w:p>
    <w:p>
      <w:pPr>
        <w:pStyle w:val="BodyText"/>
        <w:rPr>
          <w:sz w:val="20"/>
        </w:rPr>
      </w:pPr>
    </w:p>
    <w:p>
      <w:pPr>
        <w:pStyle w:val="BodyText"/>
        <w:rPr>
          <w:sz w:val="20"/>
        </w:rPr>
      </w:pPr>
    </w:p>
    <w:p>
      <w:pPr>
        <w:pStyle w:val="BodyText"/>
        <w:spacing w:before="5"/>
        <w:rPr>
          <w:sz w:val="17"/>
        </w:rPr>
      </w:pPr>
    </w:p>
    <w:p>
      <w:pPr>
        <w:spacing w:line="360" w:lineRule="auto" w:before="70"/>
        <w:ind w:left="102" w:right="110" w:firstLine="707"/>
        <w:jc w:val="both"/>
        <w:rPr>
          <w:sz w:val="24"/>
        </w:rPr>
      </w:pPr>
      <w:r>
        <w:rPr>
          <w:sz w:val="24"/>
        </w:rPr>
        <w:t>Ahora bien, en la aseveración 11 se indica que: </w:t>
      </w:r>
      <w:r>
        <w:rPr>
          <w:spacing w:val="2"/>
          <w:sz w:val="24"/>
        </w:rPr>
        <w:t>“</w:t>
      </w:r>
      <w:r>
        <w:rPr>
          <w:b/>
          <w:spacing w:val="2"/>
          <w:sz w:val="24"/>
        </w:rPr>
        <w:t>Si </w:t>
      </w:r>
      <w:r>
        <w:rPr>
          <w:b/>
          <w:sz w:val="24"/>
        </w:rPr>
        <w:t>escuchara hablar a un político</w:t>
      </w:r>
      <w:r>
        <w:rPr>
          <w:b/>
          <w:spacing w:val="-4"/>
          <w:sz w:val="24"/>
        </w:rPr>
        <w:t> </w:t>
      </w:r>
      <w:r>
        <w:rPr>
          <w:b/>
          <w:sz w:val="24"/>
        </w:rPr>
        <w:t>de</w:t>
      </w:r>
      <w:r>
        <w:rPr>
          <w:b/>
          <w:spacing w:val="-5"/>
          <w:sz w:val="24"/>
        </w:rPr>
        <w:t> </w:t>
      </w:r>
      <w:r>
        <w:rPr>
          <w:b/>
          <w:sz w:val="24"/>
        </w:rPr>
        <w:t>la</w:t>
      </w:r>
      <w:r>
        <w:rPr>
          <w:b/>
          <w:spacing w:val="-4"/>
          <w:sz w:val="24"/>
        </w:rPr>
        <w:t> </w:t>
      </w:r>
      <w:r>
        <w:rPr>
          <w:b/>
          <w:sz w:val="24"/>
        </w:rPr>
        <w:t>manera</w:t>
      </w:r>
      <w:r>
        <w:rPr>
          <w:b/>
          <w:spacing w:val="-5"/>
          <w:sz w:val="24"/>
        </w:rPr>
        <w:t> </w:t>
      </w:r>
      <w:r>
        <w:rPr>
          <w:b/>
          <w:sz w:val="24"/>
        </w:rPr>
        <w:t>en</w:t>
      </w:r>
      <w:r>
        <w:rPr>
          <w:b/>
          <w:spacing w:val="-4"/>
          <w:sz w:val="24"/>
        </w:rPr>
        <w:t> </w:t>
      </w:r>
      <w:r>
        <w:rPr>
          <w:b/>
          <w:sz w:val="24"/>
        </w:rPr>
        <w:t>la</w:t>
      </w:r>
      <w:r>
        <w:rPr>
          <w:b/>
          <w:spacing w:val="-4"/>
          <w:sz w:val="24"/>
        </w:rPr>
        <w:t> </w:t>
      </w:r>
      <w:r>
        <w:rPr>
          <w:b/>
          <w:sz w:val="24"/>
        </w:rPr>
        <w:t>que</w:t>
      </w:r>
      <w:r>
        <w:rPr>
          <w:b/>
          <w:spacing w:val="-5"/>
          <w:sz w:val="24"/>
        </w:rPr>
        <w:t> </w:t>
      </w:r>
      <w:r>
        <w:rPr>
          <w:b/>
          <w:sz w:val="24"/>
        </w:rPr>
        <w:t>lo</w:t>
      </w:r>
      <w:r>
        <w:rPr>
          <w:b/>
          <w:spacing w:val="-3"/>
          <w:sz w:val="24"/>
        </w:rPr>
        <w:t> </w:t>
      </w:r>
      <w:r>
        <w:rPr>
          <w:b/>
          <w:sz w:val="24"/>
        </w:rPr>
        <w:t>hacen</w:t>
      </w:r>
      <w:r>
        <w:rPr>
          <w:b/>
          <w:spacing w:val="-6"/>
          <w:sz w:val="24"/>
        </w:rPr>
        <w:t> </w:t>
      </w:r>
      <w:r>
        <w:rPr>
          <w:b/>
          <w:sz w:val="24"/>
        </w:rPr>
        <w:t>en</w:t>
      </w:r>
      <w:r>
        <w:rPr>
          <w:b/>
          <w:spacing w:val="-6"/>
          <w:sz w:val="24"/>
        </w:rPr>
        <w:t> </w:t>
      </w:r>
      <w:r>
        <w:rPr>
          <w:b/>
          <w:sz w:val="24"/>
        </w:rPr>
        <w:t>la</w:t>
      </w:r>
      <w:r>
        <w:rPr>
          <w:b/>
          <w:spacing w:val="-4"/>
          <w:sz w:val="24"/>
        </w:rPr>
        <w:t> </w:t>
      </w:r>
      <w:r>
        <w:rPr>
          <w:b/>
          <w:sz w:val="24"/>
        </w:rPr>
        <w:t>grabación,</w:t>
      </w:r>
      <w:r>
        <w:rPr>
          <w:b/>
          <w:spacing w:val="-3"/>
          <w:sz w:val="24"/>
        </w:rPr>
        <w:t> </w:t>
      </w:r>
      <w:r>
        <w:rPr>
          <w:b/>
          <w:sz w:val="24"/>
        </w:rPr>
        <w:t>diría</w:t>
      </w:r>
      <w:r>
        <w:rPr>
          <w:b/>
          <w:spacing w:val="-4"/>
          <w:sz w:val="24"/>
        </w:rPr>
        <w:t> </w:t>
      </w:r>
      <w:r>
        <w:rPr>
          <w:b/>
          <w:sz w:val="24"/>
        </w:rPr>
        <w:t>que</w:t>
      </w:r>
      <w:r>
        <w:rPr>
          <w:b/>
          <w:spacing w:val="-3"/>
          <w:sz w:val="24"/>
        </w:rPr>
        <w:t> </w:t>
      </w:r>
      <w:r>
        <w:rPr>
          <w:b/>
          <w:sz w:val="24"/>
        </w:rPr>
        <w:t>no</w:t>
      </w:r>
      <w:r>
        <w:rPr>
          <w:b/>
          <w:spacing w:val="-4"/>
          <w:sz w:val="24"/>
        </w:rPr>
        <w:t> </w:t>
      </w:r>
      <w:r>
        <w:rPr>
          <w:b/>
          <w:sz w:val="24"/>
        </w:rPr>
        <w:t>influye</w:t>
      </w:r>
      <w:r>
        <w:rPr>
          <w:b/>
          <w:spacing w:val="-3"/>
          <w:sz w:val="24"/>
        </w:rPr>
        <w:t> </w:t>
      </w:r>
      <w:r>
        <w:rPr>
          <w:b/>
          <w:sz w:val="24"/>
        </w:rPr>
        <w:t>en</w:t>
      </w:r>
      <w:r>
        <w:rPr>
          <w:b/>
          <w:spacing w:val="-4"/>
          <w:sz w:val="24"/>
        </w:rPr>
        <w:t> </w:t>
      </w:r>
      <w:r>
        <w:rPr>
          <w:b/>
          <w:sz w:val="24"/>
        </w:rPr>
        <w:t>los demás</w:t>
      </w:r>
      <w:r>
        <w:rPr>
          <w:sz w:val="24"/>
        </w:rPr>
        <w:t>”, en la totalidad de la población se pudo encontrar que el 62.5% de los sujetos respondió estar “de acuerdo” con la aseveración que es del tipo favorable ante el uso</w:t>
      </w:r>
      <w:r>
        <w:rPr>
          <w:spacing w:val="-36"/>
          <w:sz w:val="24"/>
        </w:rPr>
        <w:t> </w:t>
      </w:r>
      <w:r>
        <w:rPr>
          <w:sz w:val="24"/>
        </w:rPr>
        <w:t>de anglicismos. Con respecto al género, los hombres mostraron estar más a favor del artículo con anglicismos con un 66.6% frente al 58.3% que presentan las respuestas de las mujeres (véase tabla</w:t>
      </w:r>
      <w:r>
        <w:rPr>
          <w:spacing w:val="-10"/>
          <w:sz w:val="24"/>
        </w:rPr>
        <w:t> </w:t>
      </w:r>
      <w:r>
        <w:rPr>
          <w:sz w:val="24"/>
        </w:rPr>
        <w:t>4.31.).</w:t>
      </w:r>
    </w:p>
    <w:p>
      <w:pPr>
        <w:pStyle w:val="BodyText"/>
        <w:spacing w:before="8"/>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9"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6"/>
              <w:ind w:left="83" w:right="83"/>
              <w:rPr>
                <w:b/>
                <w:sz w:val="22"/>
              </w:rPr>
            </w:pPr>
            <w:r>
              <w:rPr>
                <w:b/>
                <w:sz w:val="22"/>
              </w:rPr>
              <w:t>11</w:t>
            </w:r>
          </w:p>
        </w:tc>
        <w:tc>
          <w:tcPr>
            <w:tcW w:w="1724" w:type="dxa"/>
            <w:vMerge w:val="restart"/>
          </w:tcPr>
          <w:p>
            <w:pPr>
              <w:pStyle w:val="TableParagraph"/>
              <w:spacing w:line="360" w:lineRule="auto" w:before="12"/>
              <w:ind w:left="218" w:right="222" w:firstLine="5"/>
              <w:rPr>
                <w:b/>
                <w:sz w:val="22"/>
              </w:rPr>
            </w:pPr>
            <w:r>
              <w:rPr>
                <w:sz w:val="22"/>
              </w:rPr>
              <w:t>Tipo de Aseveración: </w:t>
            </w:r>
            <w:r>
              <w:rPr>
                <w:b/>
                <w:sz w:val="22"/>
              </w:rPr>
              <w:t>Favorable</w:t>
            </w:r>
          </w:p>
        </w:tc>
        <w:tc>
          <w:tcPr>
            <w:tcW w:w="6246" w:type="dxa"/>
            <w:gridSpan w:val="5"/>
          </w:tcPr>
          <w:p>
            <w:pPr>
              <w:pStyle w:val="TableParagraph"/>
              <w:spacing w:before="7"/>
              <w:ind w:left="2516" w:right="2516"/>
              <w:rPr>
                <w:sz w:val="22"/>
              </w:rPr>
            </w:pPr>
            <w:r>
              <w:rPr>
                <w:sz w:val="22"/>
              </w:rPr>
              <w:t>Respuestas</w:t>
            </w:r>
          </w:p>
        </w:tc>
      </w:tr>
      <w:tr>
        <w:trPr>
          <w:trHeight w:val="768"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Pr>
          <w:p>
            <w:pPr>
              <w:pStyle w:val="TableParagraph"/>
              <w:spacing w:before="9"/>
              <w:ind w:left="326"/>
              <w:jc w:val="left"/>
              <w:rPr>
                <w:sz w:val="22"/>
              </w:rPr>
            </w:pPr>
            <w:r>
              <w:rPr>
                <w:sz w:val="22"/>
              </w:rPr>
              <w:t>Total de la población (24)</w:t>
            </w:r>
          </w:p>
        </w:tc>
        <w:tc>
          <w:tcPr>
            <w:tcW w:w="1148" w:type="dxa"/>
          </w:tcPr>
          <w:p>
            <w:pPr>
              <w:pStyle w:val="TableParagraph"/>
              <w:spacing w:before="9"/>
              <w:ind w:right="5"/>
              <w:rPr>
                <w:sz w:val="22"/>
              </w:rPr>
            </w:pPr>
            <w:r>
              <w:rPr>
                <w:w w:val="100"/>
                <w:sz w:val="22"/>
              </w:rPr>
              <w:t>0</w:t>
            </w:r>
          </w:p>
        </w:tc>
        <w:tc>
          <w:tcPr>
            <w:tcW w:w="1121" w:type="dxa"/>
            <w:shd w:val="clear" w:color="auto" w:fill="2D74B5"/>
          </w:tcPr>
          <w:p>
            <w:pPr>
              <w:pStyle w:val="TableParagraph"/>
              <w:spacing w:before="9"/>
              <w:ind w:left="85" w:right="85"/>
              <w:rPr>
                <w:sz w:val="22"/>
              </w:rPr>
            </w:pPr>
            <w:r>
              <w:rPr>
                <w:sz w:val="22"/>
              </w:rPr>
              <w:t>15</w:t>
            </w:r>
          </w:p>
        </w:tc>
        <w:tc>
          <w:tcPr>
            <w:tcW w:w="1244" w:type="dxa"/>
          </w:tcPr>
          <w:p>
            <w:pPr>
              <w:pStyle w:val="TableParagraph"/>
              <w:spacing w:line="268" w:lineRule="exact"/>
              <w:ind w:left="82" w:right="82"/>
              <w:rPr>
                <w:rFonts w:ascii="Calibri Light"/>
                <w:b w:val="0"/>
                <w:sz w:val="22"/>
              </w:rPr>
            </w:pPr>
            <w:r>
              <w:rPr>
                <w:sz w:val="22"/>
              </w:rPr>
              <w:t>3 </w:t>
            </w:r>
            <w:r>
              <w:rPr>
                <w:rFonts w:ascii="Calibri Light"/>
                <w:b w:val="0"/>
                <w:sz w:val="22"/>
              </w:rPr>
              <w:t>(12.5%)</w:t>
            </w:r>
          </w:p>
        </w:tc>
        <w:tc>
          <w:tcPr>
            <w:tcW w:w="1368" w:type="dxa"/>
          </w:tcPr>
          <w:p>
            <w:pPr>
              <w:pStyle w:val="TableParagraph"/>
              <w:spacing w:line="268" w:lineRule="exact"/>
              <w:ind w:left="222" w:right="224"/>
              <w:rPr>
                <w:rFonts w:ascii="Calibri Light"/>
                <w:b w:val="0"/>
                <w:sz w:val="22"/>
              </w:rPr>
            </w:pPr>
            <w:r>
              <w:rPr>
                <w:sz w:val="22"/>
              </w:rPr>
              <w:t>5 </w:t>
            </w:r>
            <w:r>
              <w:rPr>
                <w:rFonts w:ascii="Calibri Light"/>
                <w:b w:val="0"/>
                <w:sz w:val="22"/>
              </w:rPr>
              <w:t>(20.8%)</w:t>
            </w:r>
          </w:p>
        </w:tc>
        <w:tc>
          <w:tcPr>
            <w:tcW w:w="1366" w:type="dxa"/>
          </w:tcPr>
          <w:p>
            <w:pPr>
              <w:pStyle w:val="TableParagraph"/>
              <w:spacing w:line="268" w:lineRule="exact"/>
              <w:ind w:left="226" w:right="228"/>
              <w:rPr>
                <w:rFonts w:ascii="Calibri Light"/>
                <w:b w:val="0"/>
                <w:sz w:val="22"/>
              </w:rPr>
            </w:pPr>
            <w:r>
              <w:rPr>
                <w:sz w:val="22"/>
              </w:rPr>
              <w:t>1 </w:t>
            </w:r>
            <w:r>
              <w:rPr>
                <w:rFonts w:ascii="Calibri Light"/>
                <w:b w:val="0"/>
                <w:sz w:val="22"/>
              </w:rPr>
              <w:t>(4.1%)</w:t>
            </w:r>
          </w:p>
        </w:tc>
      </w:tr>
      <w:tr>
        <w:trPr>
          <w:trHeight w:val="413" w:hRule="exact"/>
        </w:trPr>
        <w:tc>
          <w:tcPr>
            <w:tcW w:w="3152" w:type="dxa"/>
            <w:gridSpan w:val="2"/>
          </w:tcPr>
          <w:p>
            <w:pPr>
              <w:pStyle w:val="TableParagraph"/>
              <w:spacing w:before="12"/>
              <w:ind w:left="950"/>
              <w:jc w:val="left"/>
              <w:rPr>
                <w:sz w:val="22"/>
              </w:rPr>
            </w:pPr>
            <w:r>
              <w:rPr>
                <w:sz w:val="22"/>
              </w:rPr>
              <w:t>Mujeres (12)</w:t>
            </w:r>
          </w:p>
        </w:tc>
        <w:tc>
          <w:tcPr>
            <w:tcW w:w="1148" w:type="dxa"/>
          </w:tcPr>
          <w:p>
            <w:pPr>
              <w:pStyle w:val="TableParagraph"/>
              <w:spacing w:before="12"/>
              <w:ind w:right="5"/>
              <w:rPr>
                <w:sz w:val="22"/>
              </w:rPr>
            </w:pPr>
            <w:r>
              <w:rPr>
                <w:w w:val="100"/>
                <w:sz w:val="22"/>
              </w:rPr>
              <w:t>0</w:t>
            </w:r>
          </w:p>
        </w:tc>
        <w:tc>
          <w:tcPr>
            <w:tcW w:w="1121" w:type="dxa"/>
            <w:shd w:val="clear" w:color="auto" w:fill="2D74B5"/>
          </w:tcPr>
          <w:p>
            <w:pPr>
              <w:pStyle w:val="TableParagraph"/>
              <w:spacing w:line="268" w:lineRule="exact"/>
              <w:ind w:left="85" w:right="86"/>
              <w:rPr>
                <w:rFonts w:ascii="Calibri Light"/>
                <w:b w:val="0"/>
                <w:sz w:val="22"/>
              </w:rPr>
            </w:pPr>
            <w:r>
              <w:rPr>
                <w:sz w:val="22"/>
              </w:rPr>
              <w:t>7 </w:t>
            </w:r>
            <w:r>
              <w:rPr>
                <w:rFonts w:ascii="Calibri Light"/>
                <w:b w:val="0"/>
                <w:sz w:val="22"/>
              </w:rPr>
              <w:t>(58.3%)</w:t>
            </w:r>
          </w:p>
        </w:tc>
        <w:tc>
          <w:tcPr>
            <w:tcW w:w="1244" w:type="dxa"/>
          </w:tcPr>
          <w:p>
            <w:pPr>
              <w:pStyle w:val="TableParagraph"/>
              <w:spacing w:line="268" w:lineRule="exact"/>
              <w:ind w:left="82" w:right="82"/>
              <w:rPr>
                <w:rFonts w:ascii="Calibri Light"/>
                <w:b w:val="0"/>
                <w:sz w:val="22"/>
              </w:rPr>
            </w:pPr>
            <w:r>
              <w:rPr>
                <w:sz w:val="22"/>
              </w:rPr>
              <w:t>2 </w:t>
            </w:r>
            <w:r>
              <w:rPr>
                <w:rFonts w:ascii="Calibri Light"/>
                <w:b w:val="0"/>
                <w:sz w:val="22"/>
              </w:rPr>
              <w:t>(16.6%)</w:t>
            </w:r>
          </w:p>
        </w:tc>
        <w:tc>
          <w:tcPr>
            <w:tcW w:w="1368" w:type="dxa"/>
          </w:tcPr>
          <w:p>
            <w:pPr>
              <w:pStyle w:val="TableParagraph"/>
              <w:spacing w:line="268" w:lineRule="exact"/>
              <w:ind w:left="222" w:right="224"/>
              <w:rPr>
                <w:rFonts w:ascii="Calibri Light"/>
                <w:b w:val="0"/>
                <w:sz w:val="22"/>
              </w:rPr>
            </w:pPr>
            <w:r>
              <w:rPr>
                <w:sz w:val="22"/>
              </w:rPr>
              <w:t>2 </w:t>
            </w:r>
            <w:r>
              <w:rPr>
                <w:rFonts w:ascii="Calibri Light"/>
                <w:b w:val="0"/>
                <w:sz w:val="22"/>
              </w:rPr>
              <w:t>(16.6%)</w:t>
            </w:r>
          </w:p>
        </w:tc>
        <w:tc>
          <w:tcPr>
            <w:tcW w:w="1366" w:type="dxa"/>
          </w:tcPr>
          <w:p>
            <w:pPr>
              <w:pStyle w:val="TableParagraph"/>
              <w:spacing w:line="268" w:lineRule="exact"/>
              <w:ind w:left="226" w:right="228"/>
              <w:rPr>
                <w:rFonts w:ascii="Calibri Light"/>
                <w:b w:val="0"/>
                <w:sz w:val="22"/>
              </w:rPr>
            </w:pPr>
            <w:r>
              <w:rPr>
                <w:sz w:val="22"/>
              </w:rPr>
              <w:t>1 </w:t>
            </w:r>
            <w:r>
              <w:rPr>
                <w:rFonts w:ascii="Calibri Light"/>
                <w:b w:val="0"/>
                <w:sz w:val="22"/>
              </w:rPr>
              <w:t>(8%)</w:t>
            </w:r>
          </w:p>
        </w:tc>
      </w:tr>
      <w:tr>
        <w:trPr>
          <w:trHeight w:val="415" w:hRule="exact"/>
        </w:trPr>
        <w:tc>
          <w:tcPr>
            <w:tcW w:w="3152" w:type="dxa"/>
            <w:gridSpan w:val="2"/>
          </w:tcPr>
          <w:p>
            <w:pPr>
              <w:pStyle w:val="TableParagraph"/>
              <w:spacing w:before="12"/>
              <w:ind w:left="897"/>
              <w:jc w:val="left"/>
              <w:rPr>
                <w:sz w:val="22"/>
              </w:rPr>
            </w:pPr>
            <w:r>
              <w:rPr>
                <w:sz w:val="22"/>
              </w:rPr>
              <w:t>Hombres (12)</w:t>
            </w:r>
          </w:p>
        </w:tc>
        <w:tc>
          <w:tcPr>
            <w:tcW w:w="1148" w:type="dxa"/>
          </w:tcPr>
          <w:p>
            <w:pPr>
              <w:pStyle w:val="TableParagraph"/>
              <w:spacing w:before="12"/>
              <w:ind w:right="5"/>
              <w:rPr>
                <w:sz w:val="22"/>
              </w:rPr>
            </w:pPr>
            <w:r>
              <w:rPr>
                <w:w w:val="100"/>
                <w:sz w:val="22"/>
              </w:rPr>
              <w:t>0</w:t>
            </w:r>
          </w:p>
        </w:tc>
        <w:tc>
          <w:tcPr>
            <w:tcW w:w="1121" w:type="dxa"/>
            <w:shd w:val="clear" w:color="auto" w:fill="2D74B5"/>
          </w:tcPr>
          <w:p>
            <w:pPr>
              <w:pStyle w:val="TableParagraph"/>
              <w:spacing w:line="268" w:lineRule="exact"/>
              <w:ind w:left="85" w:right="86"/>
              <w:rPr>
                <w:rFonts w:ascii="Calibri Light"/>
                <w:b w:val="0"/>
                <w:sz w:val="22"/>
              </w:rPr>
            </w:pPr>
            <w:r>
              <w:rPr>
                <w:sz w:val="22"/>
              </w:rPr>
              <w:t>8 </w:t>
            </w:r>
            <w:r>
              <w:rPr>
                <w:rFonts w:ascii="Calibri Light"/>
                <w:b w:val="0"/>
                <w:sz w:val="22"/>
              </w:rPr>
              <w:t>(66.6%)</w:t>
            </w:r>
          </w:p>
        </w:tc>
        <w:tc>
          <w:tcPr>
            <w:tcW w:w="1244" w:type="dxa"/>
          </w:tcPr>
          <w:p>
            <w:pPr>
              <w:pStyle w:val="TableParagraph"/>
              <w:spacing w:line="268" w:lineRule="exact"/>
              <w:ind w:left="82" w:right="82"/>
              <w:rPr>
                <w:rFonts w:ascii="Calibri Light"/>
                <w:b w:val="0"/>
                <w:sz w:val="22"/>
              </w:rPr>
            </w:pPr>
            <w:r>
              <w:rPr>
                <w:sz w:val="22"/>
              </w:rPr>
              <w:t>1 </w:t>
            </w:r>
            <w:r>
              <w:rPr>
                <w:rFonts w:ascii="Calibri Light"/>
                <w:b w:val="0"/>
                <w:sz w:val="22"/>
              </w:rPr>
              <w:t>(8%)</w:t>
            </w:r>
          </w:p>
        </w:tc>
        <w:tc>
          <w:tcPr>
            <w:tcW w:w="1368" w:type="dxa"/>
          </w:tcPr>
          <w:p>
            <w:pPr>
              <w:pStyle w:val="TableParagraph"/>
              <w:spacing w:line="268" w:lineRule="exact"/>
              <w:ind w:left="223" w:right="224"/>
              <w:rPr>
                <w:rFonts w:ascii="Calibri Light"/>
                <w:b w:val="0"/>
                <w:sz w:val="22"/>
              </w:rPr>
            </w:pPr>
            <w:r>
              <w:rPr>
                <w:sz w:val="22"/>
              </w:rPr>
              <w:t>3 </w:t>
            </w:r>
            <w:r>
              <w:rPr>
                <w:rFonts w:ascii="Calibri Light"/>
                <w:b w:val="0"/>
                <w:sz w:val="22"/>
              </w:rPr>
              <w:t>(25%)</w:t>
            </w:r>
          </w:p>
        </w:tc>
        <w:tc>
          <w:tcPr>
            <w:tcW w:w="1366" w:type="dxa"/>
          </w:tcPr>
          <w:p>
            <w:pPr>
              <w:pStyle w:val="TableParagraph"/>
              <w:spacing w:before="12"/>
              <w:ind w:right="2"/>
              <w:rPr>
                <w:sz w:val="22"/>
              </w:rPr>
            </w:pPr>
            <w:r>
              <w:rPr>
                <w:w w:val="100"/>
                <w:sz w:val="22"/>
              </w:rPr>
              <w:t>0</w:t>
            </w:r>
          </w:p>
        </w:tc>
      </w:tr>
    </w:tbl>
    <w:p>
      <w:pPr>
        <w:spacing w:line="227" w:lineRule="exact" w:before="0"/>
        <w:ind w:left="560" w:right="339" w:firstLine="0"/>
        <w:jc w:val="left"/>
        <w:rPr>
          <w:b/>
          <w:sz w:val="20"/>
        </w:rPr>
      </w:pPr>
      <w:r>
        <w:rPr>
          <w:b/>
          <w:sz w:val="20"/>
        </w:rPr>
        <w:t>Tabla 4.31. Político sin influencia; respuestas en la totalidad de la población y por género</w:t>
      </w:r>
    </w:p>
    <w:p>
      <w:pPr>
        <w:pStyle w:val="BodyText"/>
        <w:spacing w:before="5"/>
        <w:rPr>
          <w:b/>
          <w:sz w:val="27"/>
        </w:rPr>
      </w:pPr>
    </w:p>
    <w:p>
      <w:pPr>
        <w:pStyle w:val="BodyText"/>
        <w:spacing w:line="360" w:lineRule="auto"/>
        <w:ind w:left="102" w:right="110" w:firstLine="707"/>
        <w:jc w:val="both"/>
      </w:pPr>
      <w:r>
        <w:rPr/>
        <w:t>El análisis de la aseveración 11 por grupo de edad indica que todos los grupos</w:t>
      </w:r>
      <w:r>
        <w:rPr>
          <w:spacing w:val="-43"/>
        </w:rPr>
        <w:t> </w:t>
      </w:r>
      <w:r>
        <w:rPr/>
        <w:t>de edad favorecen el uso de anglicismos en el artículo, lo anterior considerando que ya tuvieron la oportunidad de comparar ambas grabaciones (ver tabla 4.32.). Ahora bien el orden</w:t>
      </w:r>
      <w:r>
        <w:rPr>
          <w:spacing w:val="-6"/>
        </w:rPr>
        <w:t> </w:t>
      </w:r>
      <w:r>
        <w:rPr/>
        <w:t>de</w:t>
      </w:r>
      <w:r>
        <w:rPr>
          <w:spacing w:val="-6"/>
        </w:rPr>
        <w:t> </w:t>
      </w:r>
      <w:r>
        <w:rPr/>
        <w:t>acuerdo</w:t>
      </w:r>
      <w:r>
        <w:rPr>
          <w:spacing w:val="-6"/>
        </w:rPr>
        <w:t> </w:t>
      </w:r>
      <w:r>
        <w:rPr/>
        <w:t>al</w:t>
      </w:r>
      <w:r>
        <w:rPr>
          <w:spacing w:val="-7"/>
        </w:rPr>
        <w:t> </w:t>
      </w:r>
      <w:r>
        <w:rPr/>
        <w:t>porcentaje</w:t>
      </w:r>
      <w:r>
        <w:rPr>
          <w:spacing w:val="-4"/>
        </w:rPr>
        <w:t> </w:t>
      </w:r>
      <w:r>
        <w:rPr/>
        <w:t>obtenido</w:t>
      </w:r>
      <w:r>
        <w:rPr>
          <w:spacing w:val="-5"/>
        </w:rPr>
        <w:t> </w:t>
      </w:r>
      <w:r>
        <w:rPr/>
        <w:t>en</w:t>
      </w:r>
      <w:r>
        <w:rPr>
          <w:spacing w:val="-4"/>
        </w:rPr>
        <w:t> </w:t>
      </w:r>
      <w:r>
        <w:rPr/>
        <w:t>la</w:t>
      </w:r>
      <w:r>
        <w:rPr>
          <w:spacing w:val="-4"/>
        </w:rPr>
        <w:t> </w:t>
      </w:r>
      <w:r>
        <w:rPr/>
        <w:t>opción</w:t>
      </w:r>
      <w:r>
        <w:rPr>
          <w:spacing w:val="-5"/>
        </w:rPr>
        <w:t> </w:t>
      </w:r>
      <w:r>
        <w:rPr/>
        <w:t>“de</w:t>
      </w:r>
      <w:r>
        <w:rPr>
          <w:spacing w:val="-6"/>
        </w:rPr>
        <w:t> </w:t>
      </w:r>
      <w:r>
        <w:rPr/>
        <w:t>acuerdo”</w:t>
      </w:r>
      <w:r>
        <w:rPr>
          <w:spacing w:val="-7"/>
        </w:rPr>
        <w:t> </w:t>
      </w:r>
      <w:r>
        <w:rPr/>
        <w:t>es</w:t>
      </w:r>
      <w:r>
        <w:rPr>
          <w:spacing w:val="-4"/>
        </w:rPr>
        <w:t> </w:t>
      </w:r>
      <w:r>
        <w:rPr/>
        <w:t>la</w:t>
      </w:r>
      <w:r>
        <w:rPr>
          <w:spacing w:val="-4"/>
        </w:rPr>
        <w:t> </w:t>
      </w:r>
      <w:r>
        <w:rPr/>
        <w:t>siguiente:</w:t>
      </w:r>
      <w:r>
        <w:rPr>
          <w:spacing w:val="-6"/>
        </w:rPr>
        <w:t> </w:t>
      </w:r>
      <w:r>
        <w:rPr/>
        <w:t>grupo 2</w:t>
      </w:r>
      <w:r>
        <w:rPr>
          <w:spacing w:val="-8"/>
        </w:rPr>
        <w:t> </w:t>
      </w:r>
      <w:r>
        <w:rPr/>
        <w:t>con</w:t>
      </w:r>
      <w:r>
        <w:rPr>
          <w:spacing w:val="-11"/>
        </w:rPr>
        <w:t> </w:t>
      </w:r>
      <w:r>
        <w:rPr/>
        <w:t>un</w:t>
      </w:r>
      <w:r>
        <w:rPr>
          <w:spacing w:val="-8"/>
        </w:rPr>
        <w:t> </w:t>
      </w:r>
      <w:r>
        <w:rPr/>
        <w:t>83.3%,</w:t>
      </w:r>
      <w:r>
        <w:rPr>
          <w:spacing w:val="-9"/>
        </w:rPr>
        <w:t> </w:t>
      </w:r>
      <w:r>
        <w:rPr/>
        <w:t>seguido</w:t>
      </w:r>
      <w:r>
        <w:rPr>
          <w:spacing w:val="-8"/>
        </w:rPr>
        <w:t> </w:t>
      </w:r>
      <w:r>
        <w:rPr/>
        <w:t>del</w:t>
      </w:r>
      <w:r>
        <w:rPr>
          <w:spacing w:val="-10"/>
        </w:rPr>
        <w:t> </w:t>
      </w:r>
      <w:r>
        <w:rPr/>
        <w:t>grupo</w:t>
      </w:r>
      <w:r>
        <w:rPr>
          <w:spacing w:val="-11"/>
        </w:rPr>
        <w:t> </w:t>
      </w:r>
      <w:r>
        <w:rPr/>
        <w:t>2</w:t>
      </w:r>
      <w:r>
        <w:rPr>
          <w:spacing w:val="-8"/>
        </w:rPr>
        <w:t> </w:t>
      </w:r>
      <w:r>
        <w:rPr/>
        <w:t>con</w:t>
      </w:r>
      <w:r>
        <w:rPr>
          <w:spacing w:val="-11"/>
        </w:rPr>
        <w:t> </w:t>
      </w:r>
      <w:r>
        <w:rPr/>
        <w:t>66.6%,</w:t>
      </w:r>
      <w:r>
        <w:rPr>
          <w:spacing w:val="-8"/>
        </w:rPr>
        <w:t> </w:t>
      </w:r>
      <w:r>
        <w:rPr/>
        <w:t>y</w:t>
      </w:r>
      <w:r>
        <w:rPr>
          <w:spacing w:val="-12"/>
        </w:rPr>
        <w:t> </w:t>
      </w:r>
      <w:r>
        <w:rPr/>
        <w:t>el</w:t>
      </w:r>
      <w:r>
        <w:rPr>
          <w:spacing w:val="-10"/>
        </w:rPr>
        <w:t> </w:t>
      </w:r>
      <w:r>
        <w:rPr/>
        <w:t>tercer</w:t>
      </w:r>
      <w:r>
        <w:rPr>
          <w:spacing w:val="-10"/>
        </w:rPr>
        <w:t> </w:t>
      </w:r>
      <w:r>
        <w:rPr/>
        <w:t>lugar</w:t>
      </w:r>
      <w:r>
        <w:rPr>
          <w:spacing w:val="-10"/>
        </w:rPr>
        <w:t> </w:t>
      </w:r>
      <w:r>
        <w:rPr/>
        <w:t>lo</w:t>
      </w:r>
      <w:r>
        <w:rPr>
          <w:spacing w:val="-11"/>
        </w:rPr>
        <w:t> </w:t>
      </w:r>
      <w:r>
        <w:rPr/>
        <w:t>ocupan</w:t>
      </w:r>
      <w:r>
        <w:rPr>
          <w:spacing w:val="-8"/>
        </w:rPr>
        <w:t> </w:t>
      </w:r>
      <w:r>
        <w:rPr/>
        <w:t>tanto</w:t>
      </w:r>
      <w:r>
        <w:rPr>
          <w:spacing w:val="-11"/>
        </w:rPr>
        <w:t> </w:t>
      </w:r>
      <w:r>
        <w:rPr/>
        <w:t>el</w:t>
      </w:r>
      <w:r>
        <w:rPr>
          <w:spacing w:val="-10"/>
        </w:rPr>
        <w:t> </w:t>
      </w:r>
      <w:r>
        <w:rPr/>
        <w:t>grupo 1 como el grupo 4 con un</w:t>
      </w:r>
      <w:r>
        <w:rPr>
          <w:spacing w:val="-8"/>
        </w:rPr>
        <w:t> </w:t>
      </w:r>
      <w:r>
        <w:rPr/>
        <w:t>50%.</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4"/>
        <w:gridCol w:w="1148"/>
        <w:gridCol w:w="1121"/>
        <w:gridCol w:w="1244"/>
        <w:gridCol w:w="1368"/>
        <w:gridCol w:w="1366"/>
      </w:tblGrid>
      <w:tr>
        <w:trPr>
          <w:trHeight w:val="408"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11</w:t>
            </w:r>
          </w:p>
        </w:tc>
        <w:tc>
          <w:tcPr>
            <w:tcW w:w="1724" w:type="dxa"/>
            <w:vMerge w:val="restart"/>
          </w:tcPr>
          <w:p>
            <w:pPr>
              <w:pStyle w:val="TableParagraph"/>
              <w:spacing w:line="357" w:lineRule="auto" w:before="12"/>
              <w:ind w:left="218" w:right="222" w:firstLine="5"/>
              <w:rPr>
                <w:b/>
                <w:sz w:val="22"/>
              </w:rPr>
            </w:pPr>
            <w:r>
              <w:rPr>
                <w:sz w:val="22"/>
              </w:rPr>
              <w:t>Tipo de Aseveración: </w:t>
            </w:r>
            <w:r>
              <w:rPr>
                <w:b/>
                <w:sz w:val="22"/>
              </w:rPr>
              <w:t>Favorable</w:t>
            </w:r>
          </w:p>
        </w:tc>
        <w:tc>
          <w:tcPr>
            <w:tcW w:w="6246" w:type="dxa"/>
            <w:gridSpan w:val="5"/>
          </w:tcPr>
          <w:p>
            <w:pPr>
              <w:pStyle w:val="TableParagraph"/>
              <w:spacing w:before="7"/>
              <w:ind w:left="2516" w:right="2516"/>
              <w:rPr>
                <w:sz w:val="22"/>
              </w:rPr>
            </w:pPr>
            <w:r>
              <w:rPr>
                <w:sz w:val="22"/>
              </w:rPr>
              <w:t>Respuestas</w:t>
            </w:r>
          </w:p>
        </w:tc>
      </w:tr>
      <w:tr>
        <w:trPr>
          <w:trHeight w:val="768" w:hRule="exact"/>
        </w:trPr>
        <w:tc>
          <w:tcPr>
            <w:tcW w:w="1428" w:type="dxa"/>
            <w:gridSpan w:val="2"/>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1 (6)</w:t>
            </w:r>
          </w:p>
        </w:tc>
        <w:tc>
          <w:tcPr>
            <w:tcW w:w="1148" w:type="dxa"/>
          </w:tcPr>
          <w:p>
            <w:pPr>
              <w:pStyle w:val="TableParagraph"/>
              <w:spacing w:before="9"/>
              <w:ind w:right="5"/>
              <w:rPr>
                <w:sz w:val="22"/>
              </w:rPr>
            </w:pPr>
            <w:r>
              <w:rPr>
                <w:w w:val="100"/>
                <w:sz w:val="22"/>
              </w:rPr>
              <w:t>0</w:t>
            </w:r>
          </w:p>
        </w:tc>
        <w:tc>
          <w:tcPr>
            <w:tcW w:w="1121" w:type="dxa"/>
            <w:shd w:val="clear" w:color="auto" w:fill="2D74B5"/>
          </w:tcPr>
          <w:p>
            <w:pPr>
              <w:pStyle w:val="TableParagraph"/>
              <w:spacing w:line="265" w:lineRule="exact"/>
              <w:ind w:left="85" w:right="85"/>
              <w:rPr>
                <w:rFonts w:ascii="Calibri Light"/>
                <w:b w:val="0"/>
                <w:sz w:val="22"/>
              </w:rPr>
            </w:pPr>
            <w:r>
              <w:rPr>
                <w:sz w:val="22"/>
              </w:rPr>
              <w:t>3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(16%)</w:t>
            </w:r>
          </w:p>
        </w:tc>
        <w:tc>
          <w:tcPr>
            <w:tcW w:w="1368" w:type="dxa"/>
          </w:tcPr>
          <w:p>
            <w:pPr>
              <w:pStyle w:val="TableParagraph"/>
              <w:spacing w:line="265" w:lineRule="exact"/>
              <w:ind w:left="223" w:right="224"/>
              <w:rPr>
                <w:rFonts w:ascii="Calibri Light"/>
                <w:b w:val="0"/>
                <w:sz w:val="22"/>
              </w:rPr>
            </w:pPr>
            <w:r>
              <w:rPr>
                <w:sz w:val="22"/>
              </w:rPr>
              <w:t>1 </w:t>
            </w:r>
            <w:r>
              <w:rPr>
                <w:rFonts w:ascii="Calibri Light"/>
                <w:b w:val="0"/>
                <w:sz w:val="22"/>
              </w:rPr>
              <w:t>(16%)</w:t>
            </w:r>
          </w:p>
        </w:tc>
        <w:tc>
          <w:tcPr>
            <w:tcW w:w="1366" w:type="dxa"/>
          </w:tcPr>
          <w:p>
            <w:pPr>
              <w:pStyle w:val="TableParagraph"/>
              <w:spacing w:line="265" w:lineRule="exact"/>
              <w:ind w:left="226" w:right="228"/>
              <w:rPr>
                <w:rFonts w:ascii="Calibri Light"/>
                <w:b w:val="0"/>
                <w:sz w:val="22"/>
              </w:rPr>
            </w:pPr>
            <w:r>
              <w:rPr>
                <w:sz w:val="22"/>
              </w:rPr>
              <w:t>1 </w:t>
            </w:r>
            <w:r>
              <w:rPr>
                <w:rFonts w:ascii="Calibri Light"/>
                <w:b w:val="0"/>
                <w:sz w:val="22"/>
              </w:rPr>
              <w:t>(16%)</w:t>
            </w:r>
          </w:p>
        </w:tc>
      </w:tr>
      <w:tr>
        <w:trPr>
          <w:trHeight w:val="413" w:hRule="exact"/>
        </w:trPr>
        <w:tc>
          <w:tcPr>
            <w:tcW w:w="1227" w:type="dxa"/>
            <w:tcBorders>
              <w:right w:val="nil"/>
            </w:tcBorders>
          </w:tcPr>
          <w:p>
            <w:pPr>
              <w:pStyle w:val="TableParagraph"/>
              <w:spacing w:before="10"/>
              <w:ind w:right="58"/>
              <w:jc w:val="right"/>
              <w:rPr>
                <w:sz w:val="22"/>
              </w:rPr>
            </w:pPr>
            <w:r>
              <w:rPr>
                <w:sz w:val="22"/>
              </w:rPr>
              <w:t>Grupo</w:t>
            </w:r>
          </w:p>
        </w:tc>
        <w:tc>
          <w:tcPr>
            <w:tcW w:w="1924" w:type="dxa"/>
            <w:gridSpan w:val="2"/>
            <w:tcBorders>
              <w:left w:val="nil"/>
            </w:tcBorders>
          </w:tcPr>
          <w:p>
            <w:pPr>
              <w:pStyle w:val="TableParagraph"/>
              <w:spacing w:before="10"/>
              <w:ind w:left="60"/>
              <w:jc w:val="left"/>
              <w:rPr>
                <w:sz w:val="22"/>
              </w:rPr>
            </w:pPr>
            <w:r>
              <w:rPr>
                <w:sz w:val="22"/>
              </w:rPr>
              <w:t>de edad 2 (6)</w:t>
            </w:r>
          </w:p>
        </w:tc>
        <w:tc>
          <w:tcPr>
            <w:tcW w:w="1148" w:type="dxa"/>
          </w:tcPr>
          <w:p>
            <w:pPr>
              <w:pStyle w:val="TableParagraph"/>
              <w:spacing w:before="10"/>
              <w:ind w:right="5"/>
              <w:rPr>
                <w:sz w:val="22"/>
              </w:rPr>
            </w:pPr>
            <w:r>
              <w:rPr>
                <w:w w:val="100"/>
                <w:sz w:val="22"/>
              </w:rPr>
              <w:t>0</w:t>
            </w:r>
          </w:p>
        </w:tc>
        <w:tc>
          <w:tcPr>
            <w:tcW w:w="1121" w:type="dxa"/>
            <w:shd w:val="clear" w:color="auto" w:fill="2D74B5"/>
          </w:tcPr>
          <w:p>
            <w:pPr>
              <w:pStyle w:val="TableParagraph"/>
              <w:spacing w:line="266" w:lineRule="exact"/>
              <w:ind w:left="85" w:right="86"/>
              <w:rPr>
                <w:rFonts w:ascii="Calibri Light"/>
                <w:b w:val="0"/>
                <w:sz w:val="22"/>
              </w:rPr>
            </w:pPr>
            <w:r>
              <w:rPr>
                <w:sz w:val="22"/>
              </w:rPr>
              <w:t>5 </w:t>
            </w:r>
            <w:r>
              <w:rPr>
                <w:rFonts w:ascii="Calibri Light"/>
                <w:b w:val="0"/>
                <w:sz w:val="22"/>
              </w:rPr>
              <w:t>(83.3%)</w:t>
            </w:r>
          </w:p>
        </w:tc>
        <w:tc>
          <w:tcPr>
            <w:tcW w:w="1244" w:type="dxa"/>
          </w:tcPr>
          <w:p>
            <w:pPr>
              <w:pStyle w:val="TableParagraph"/>
              <w:spacing w:line="266" w:lineRule="exact"/>
              <w:ind w:left="82" w:right="82"/>
              <w:rPr>
                <w:rFonts w:ascii="Calibri Light"/>
                <w:b w:val="0"/>
                <w:sz w:val="22"/>
              </w:rPr>
            </w:pPr>
            <w:r>
              <w:rPr>
                <w:sz w:val="22"/>
              </w:rPr>
              <w:t>1 </w:t>
            </w:r>
            <w:r>
              <w:rPr>
                <w:rFonts w:ascii="Calibri Light"/>
                <w:b w:val="0"/>
                <w:sz w:val="22"/>
              </w:rPr>
              <w:t>(16%)</w:t>
            </w:r>
          </w:p>
        </w:tc>
        <w:tc>
          <w:tcPr>
            <w:tcW w:w="1368" w:type="dxa"/>
          </w:tcPr>
          <w:p>
            <w:pPr>
              <w:pStyle w:val="TableParagraph"/>
              <w:spacing w:before="10"/>
              <w:rPr>
                <w:sz w:val="22"/>
              </w:rPr>
            </w:pPr>
            <w:r>
              <w:rPr>
                <w:w w:val="100"/>
                <w:sz w:val="22"/>
              </w:rPr>
              <w:t>0</w:t>
            </w:r>
          </w:p>
        </w:tc>
        <w:tc>
          <w:tcPr>
            <w:tcW w:w="1366" w:type="dxa"/>
          </w:tcPr>
          <w:p>
            <w:pPr>
              <w:pStyle w:val="TableParagraph"/>
              <w:spacing w:before="10"/>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3 (6)</w:t>
            </w:r>
          </w:p>
        </w:tc>
        <w:tc>
          <w:tcPr>
            <w:tcW w:w="1148" w:type="dxa"/>
          </w:tcPr>
          <w:p>
            <w:pPr>
              <w:pStyle w:val="TableParagraph"/>
              <w:spacing w:before="9"/>
              <w:ind w:right="5"/>
              <w:rPr>
                <w:sz w:val="22"/>
              </w:rPr>
            </w:pPr>
            <w:r>
              <w:rPr>
                <w:w w:val="100"/>
                <w:sz w:val="22"/>
              </w:rPr>
              <w:t>0</w:t>
            </w:r>
          </w:p>
        </w:tc>
        <w:tc>
          <w:tcPr>
            <w:tcW w:w="1121" w:type="dxa"/>
            <w:shd w:val="clear" w:color="auto" w:fill="2D74B5"/>
          </w:tcPr>
          <w:p>
            <w:pPr>
              <w:pStyle w:val="TableParagraph"/>
              <w:spacing w:line="265" w:lineRule="exact"/>
              <w:ind w:left="85" w:right="86"/>
              <w:rPr>
                <w:rFonts w:ascii="Calibri Light"/>
                <w:b w:val="0"/>
                <w:sz w:val="22"/>
              </w:rPr>
            </w:pPr>
            <w:r>
              <w:rPr>
                <w:sz w:val="22"/>
              </w:rPr>
              <w:t>4 </w:t>
            </w:r>
            <w:r>
              <w:rPr>
                <w:rFonts w:ascii="Calibri Light"/>
                <w:b w:val="0"/>
                <w:sz w:val="22"/>
              </w:rPr>
              <w:t>(66.6%)</w:t>
            </w:r>
          </w:p>
        </w:tc>
        <w:tc>
          <w:tcPr>
            <w:tcW w:w="1244" w:type="dxa"/>
          </w:tcPr>
          <w:p>
            <w:pPr>
              <w:pStyle w:val="TableParagraph"/>
              <w:spacing w:before="9"/>
              <w:rPr>
                <w:sz w:val="22"/>
              </w:rPr>
            </w:pPr>
            <w:r>
              <w:rPr>
                <w:w w:val="100"/>
                <w:sz w:val="22"/>
              </w:rPr>
              <w:t>0</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4 (6)</w:t>
            </w:r>
          </w:p>
        </w:tc>
        <w:tc>
          <w:tcPr>
            <w:tcW w:w="1148" w:type="dxa"/>
          </w:tcPr>
          <w:p>
            <w:pPr>
              <w:pStyle w:val="TableParagraph"/>
              <w:spacing w:before="9"/>
              <w:ind w:right="5"/>
              <w:rPr>
                <w:sz w:val="22"/>
              </w:rPr>
            </w:pPr>
            <w:r>
              <w:rPr>
                <w:w w:val="100"/>
                <w:sz w:val="22"/>
              </w:rPr>
              <w:t>0</w:t>
            </w:r>
          </w:p>
        </w:tc>
        <w:tc>
          <w:tcPr>
            <w:tcW w:w="1121" w:type="dxa"/>
            <w:shd w:val="clear" w:color="auto" w:fill="2D74B5"/>
          </w:tcPr>
          <w:p>
            <w:pPr>
              <w:pStyle w:val="TableParagraph"/>
              <w:spacing w:line="265" w:lineRule="exact"/>
              <w:ind w:left="85" w:right="85"/>
              <w:rPr>
                <w:rFonts w:ascii="Calibri Light"/>
                <w:b w:val="0"/>
                <w:sz w:val="22"/>
              </w:rPr>
            </w:pPr>
            <w:r>
              <w:rPr>
                <w:sz w:val="22"/>
              </w:rPr>
              <w:t>3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(16%)</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9"/>
              <w:ind w:right="2"/>
              <w:rPr>
                <w:sz w:val="22"/>
              </w:rPr>
            </w:pPr>
            <w:r>
              <w:rPr>
                <w:w w:val="100"/>
                <w:sz w:val="22"/>
              </w:rPr>
              <w:t>0</w:t>
            </w:r>
          </w:p>
        </w:tc>
      </w:tr>
    </w:tbl>
    <w:p>
      <w:pPr>
        <w:spacing w:line="227" w:lineRule="exact" w:before="0"/>
        <w:ind w:left="1741" w:right="339" w:firstLine="0"/>
        <w:jc w:val="left"/>
        <w:rPr>
          <w:b/>
          <w:sz w:val="20"/>
        </w:rPr>
      </w:pPr>
      <w:r>
        <w:rPr>
          <w:b/>
          <w:sz w:val="20"/>
        </w:rPr>
        <w:t>Tabla 4.32. Político sin influencia; respuestas por grupo de edad</w:t>
      </w:r>
    </w:p>
    <w:p>
      <w:pPr>
        <w:spacing w:after="0" w:line="227" w:lineRule="exact"/>
        <w:jc w:val="left"/>
        <w:rPr>
          <w:sz w:val="20"/>
        </w:rPr>
        <w:sectPr>
          <w:footerReference w:type="default" r:id="rId39"/>
          <w:pgSz w:w="12240" w:h="15840"/>
          <w:pgMar w:footer="1003" w:header="749" w:top="960" w:bottom="1200" w:left="1600" w:right="1020"/>
          <w:pgNumType w:start="61"/>
        </w:sect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70"/>
        <w:ind w:left="102" w:right="109" w:firstLine="667"/>
        <w:jc w:val="both"/>
      </w:pPr>
      <w:r>
        <w:rPr/>
        <w:t>La mayoría de las respuestas en el análisis por nivel de estudios, mostraron un 62.5% de respuestas “de acuerdo” en todos los niveles, como se puede apreciar en la tabla 4.33. Lo que indica que no hay gran variedad de actitudes en cuanto al nivel académico.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1"/>
        <w:gridCol w:w="1678"/>
        <w:gridCol w:w="1087"/>
        <w:gridCol w:w="1060"/>
        <w:gridCol w:w="1283"/>
        <w:gridCol w:w="1409"/>
        <w:gridCol w:w="1409"/>
      </w:tblGrid>
      <w:tr>
        <w:trPr>
          <w:trHeight w:val="389" w:hRule="exact"/>
        </w:trPr>
        <w:tc>
          <w:tcPr>
            <w:tcW w:w="1471" w:type="dxa"/>
            <w:vMerge w:val="restart"/>
          </w:tcPr>
          <w:p>
            <w:pPr>
              <w:pStyle w:val="TableParagraph"/>
              <w:spacing w:before="192"/>
              <w:ind w:left="104" w:right="105"/>
              <w:rPr>
                <w:sz w:val="22"/>
              </w:rPr>
            </w:pPr>
            <w:r>
              <w:rPr>
                <w:sz w:val="22"/>
              </w:rPr>
              <w:t>Aseveración</w:t>
            </w:r>
          </w:p>
          <w:p>
            <w:pPr>
              <w:pStyle w:val="TableParagraph"/>
              <w:spacing w:before="124"/>
              <w:ind w:left="104" w:right="104"/>
              <w:rPr>
                <w:b/>
                <w:sz w:val="22"/>
              </w:rPr>
            </w:pPr>
            <w:r>
              <w:rPr>
                <w:b/>
                <w:sz w:val="22"/>
              </w:rPr>
              <w:t>11</w:t>
            </w:r>
          </w:p>
        </w:tc>
        <w:tc>
          <w:tcPr>
            <w:tcW w:w="1678" w:type="dxa"/>
            <w:vMerge w:val="restart"/>
          </w:tcPr>
          <w:p>
            <w:pPr>
              <w:pStyle w:val="TableParagraph"/>
              <w:spacing w:line="357" w:lineRule="auto" w:before="2"/>
              <w:ind w:left="196" w:right="198" w:firstLine="5"/>
              <w:rPr>
                <w:b/>
                <w:sz w:val="22"/>
              </w:rPr>
            </w:pPr>
            <w:r>
              <w:rPr>
                <w:sz w:val="22"/>
              </w:rPr>
              <w:t>Tipo de Aseveración: </w:t>
            </w:r>
            <w:r>
              <w:rPr>
                <w:b/>
                <w:sz w:val="22"/>
              </w:rPr>
              <w:t>Favorable</w:t>
            </w:r>
          </w:p>
        </w:tc>
        <w:tc>
          <w:tcPr>
            <w:tcW w:w="6249" w:type="dxa"/>
            <w:gridSpan w:val="5"/>
          </w:tcPr>
          <w:p>
            <w:pPr>
              <w:pStyle w:val="TableParagraph"/>
              <w:spacing w:line="251" w:lineRule="exact"/>
              <w:ind w:left="2515" w:right="2518"/>
              <w:rPr>
                <w:sz w:val="22"/>
              </w:rPr>
            </w:pPr>
            <w:r>
              <w:rPr>
                <w:sz w:val="22"/>
              </w:rPr>
              <w:t>Respuestas</w:t>
            </w:r>
          </w:p>
        </w:tc>
      </w:tr>
      <w:tr>
        <w:trPr>
          <w:trHeight w:val="770" w:hRule="exact"/>
        </w:trPr>
        <w:tc>
          <w:tcPr>
            <w:tcW w:w="1471" w:type="dxa"/>
            <w:vMerge/>
          </w:tcPr>
          <w:p>
            <w:pPr/>
          </w:p>
        </w:tc>
        <w:tc>
          <w:tcPr>
            <w:tcW w:w="1678" w:type="dxa"/>
            <w:vMerge/>
          </w:tcPr>
          <w:p>
            <w:pPr/>
          </w:p>
        </w:tc>
        <w:tc>
          <w:tcPr>
            <w:tcW w:w="1087" w:type="dxa"/>
          </w:tcPr>
          <w:p>
            <w:pPr>
              <w:pStyle w:val="TableParagraph"/>
              <w:spacing w:line="362" w:lineRule="auto"/>
              <w:ind w:left="139" w:right="123" w:firstLine="36"/>
              <w:jc w:val="left"/>
              <w:rPr>
                <w:sz w:val="22"/>
              </w:rPr>
            </w:pPr>
            <w:r>
              <w:rPr>
                <w:sz w:val="22"/>
              </w:rPr>
              <w:t>Muy de acuerdo</w:t>
            </w:r>
          </w:p>
        </w:tc>
        <w:tc>
          <w:tcPr>
            <w:tcW w:w="1060" w:type="dxa"/>
          </w:tcPr>
          <w:p>
            <w:pPr>
              <w:pStyle w:val="TableParagraph"/>
              <w:spacing w:line="362" w:lineRule="auto"/>
              <w:ind w:left="127" w:right="108" w:firstLine="256"/>
              <w:jc w:val="left"/>
              <w:rPr>
                <w:sz w:val="22"/>
              </w:rPr>
            </w:pPr>
            <w:r>
              <w:rPr>
                <w:sz w:val="22"/>
              </w:rPr>
              <w:t>De acuerdo</w:t>
            </w:r>
          </w:p>
        </w:tc>
        <w:tc>
          <w:tcPr>
            <w:tcW w:w="1283" w:type="dxa"/>
          </w:tcPr>
          <w:p>
            <w:pPr>
              <w:pStyle w:val="TableParagraph"/>
              <w:spacing w:before="189"/>
              <w:ind w:left="104" w:right="101"/>
              <w:rPr>
                <w:sz w:val="22"/>
              </w:rPr>
            </w:pPr>
            <w:r>
              <w:rPr>
                <w:sz w:val="22"/>
              </w:rPr>
              <w:t>indiferente</w:t>
            </w:r>
          </w:p>
        </w:tc>
        <w:tc>
          <w:tcPr>
            <w:tcW w:w="1409" w:type="dxa"/>
          </w:tcPr>
          <w:p>
            <w:pPr>
              <w:pStyle w:val="TableParagraph"/>
              <w:spacing w:line="362" w:lineRule="auto"/>
              <w:ind w:left="125" w:right="105" w:firstLine="439"/>
              <w:jc w:val="left"/>
              <w:rPr>
                <w:sz w:val="22"/>
              </w:rPr>
            </w:pPr>
            <w:r>
              <w:rPr>
                <w:sz w:val="22"/>
              </w:rPr>
              <w:t>En desacuerdo</w:t>
            </w:r>
          </w:p>
        </w:tc>
        <w:tc>
          <w:tcPr>
            <w:tcW w:w="1409" w:type="dxa"/>
          </w:tcPr>
          <w:p>
            <w:pPr>
              <w:pStyle w:val="TableParagraph"/>
              <w:spacing w:line="362" w:lineRule="auto"/>
              <w:ind w:left="122" w:right="107" w:firstLine="216"/>
              <w:jc w:val="left"/>
              <w:rPr>
                <w:sz w:val="22"/>
              </w:rPr>
            </w:pPr>
            <w:r>
              <w:rPr>
                <w:sz w:val="22"/>
              </w:rPr>
              <w:t>Muy en desacuerdo</w:t>
            </w:r>
          </w:p>
        </w:tc>
      </w:tr>
      <w:tr>
        <w:trPr>
          <w:trHeight w:val="406" w:hRule="exact"/>
        </w:trPr>
        <w:tc>
          <w:tcPr>
            <w:tcW w:w="3149" w:type="dxa"/>
            <w:gridSpan w:val="2"/>
          </w:tcPr>
          <w:p>
            <w:pPr>
              <w:pStyle w:val="TableParagraph"/>
              <w:spacing w:before="7"/>
              <w:ind w:left="799"/>
              <w:jc w:val="left"/>
              <w:rPr>
                <w:sz w:val="22"/>
              </w:rPr>
            </w:pPr>
            <w:r>
              <w:rPr>
                <w:sz w:val="22"/>
              </w:rPr>
              <w:t>Nivel Básico (8)</w:t>
            </w:r>
          </w:p>
        </w:tc>
        <w:tc>
          <w:tcPr>
            <w:tcW w:w="1087" w:type="dxa"/>
          </w:tcPr>
          <w:p>
            <w:pPr>
              <w:pStyle w:val="TableParagraph"/>
              <w:spacing w:before="7"/>
              <w:ind w:right="2"/>
              <w:rPr>
                <w:sz w:val="22"/>
              </w:rPr>
            </w:pPr>
            <w:r>
              <w:rPr>
                <w:w w:val="100"/>
                <w:sz w:val="22"/>
              </w:rPr>
              <w:t>0</w:t>
            </w:r>
          </w:p>
        </w:tc>
        <w:tc>
          <w:tcPr>
            <w:tcW w:w="1060" w:type="dxa"/>
            <w:shd w:val="clear" w:color="auto" w:fill="2D74B5"/>
          </w:tcPr>
          <w:p>
            <w:pPr>
              <w:pStyle w:val="TableParagraph"/>
              <w:spacing w:before="7"/>
              <w:rPr>
                <w:sz w:val="22"/>
              </w:rPr>
            </w:pPr>
            <w:r>
              <w:rPr>
                <w:w w:val="100"/>
                <w:sz w:val="22"/>
              </w:rPr>
              <w:t>5</w:t>
            </w:r>
          </w:p>
        </w:tc>
        <w:tc>
          <w:tcPr>
            <w:tcW w:w="1283" w:type="dxa"/>
          </w:tcPr>
          <w:p>
            <w:pPr>
              <w:pStyle w:val="TableParagraph"/>
              <w:spacing w:before="7"/>
              <w:ind w:left="3"/>
              <w:rPr>
                <w:sz w:val="22"/>
              </w:rPr>
            </w:pPr>
            <w:r>
              <w:rPr>
                <w:w w:val="100"/>
                <w:sz w:val="22"/>
              </w:rPr>
              <w:t>1</w:t>
            </w:r>
          </w:p>
        </w:tc>
        <w:tc>
          <w:tcPr>
            <w:tcW w:w="1409" w:type="dxa"/>
          </w:tcPr>
          <w:p>
            <w:pPr>
              <w:pStyle w:val="TableParagraph"/>
              <w:spacing w:before="7"/>
              <w:rPr>
                <w:sz w:val="22"/>
              </w:rPr>
            </w:pPr>
            <w:r>
              <w:rPr>
                <w:w w:val="100"/>
                <w:sz w:val="22"/>
              </w:rPr>
              <w:t>1</w:t>
            </w:r>
          </w:p>
        </w:tc>
        <w:tc>
          <w:tcPr>
            <w:tcW w:w="1409" w:type="dxa"/>
          </w:tcPr>
          <w:p>
            <w:pPr>
              <w:pStyle w:val="TableParagraph"/>
              <w:spacing w:before="7"/>
              <w:ind w:right="2"/>
              <w:rPr>
                <w:sz w:val="22"/>
              </w:rPr>
            </w:pPr>
            <w:r>
              <w:rPr>
                <w:w w:val="100"/>
                <w:sz w:val="22"/>
              </w:rPr>
              <w:t>1</w:t>
            </w:r>
          </w:p>
        </w:tc>
      </w:tr>
      <w:tr>
        <w:trPr>
          <w:trHeight w:val="409" w:hRule="exact"/>
        </w:trPr>
        <w:tc>
          <w:tcPr>
            <w:tcW w:w="3149" w:type="dxa"/>
            <w:gridSpan w:val="2"/>
          </w:tcPr>
          <w:p>
            <w:pPr>
              <w:pStyle w:val="TableParagraph"/>
              <w:spacing w:before="8"/>
              <w:ind w:left="383"/>
              <w:jc w:val="left"/>
              <w:rPr>
                <w:sz w:val="22"/>
              </w:rPr>
            </w:pPr>
            <w:r>
              <w:rPr>
                <w:sz w:val="22"/>
              </w:rPr>
              <w:t>Nivel Medio Superior (8)</w:t>
            </w:r>
          </w:p>
        </w:tc>
        <w:tc>
          <w:tcPr>
            <w:tcW w:w="1087" w:type="dxa"/>
          </w:tcPr>
          <w:p>
            <w:pPr>
              <w:pStyle w:val="TableParagraph"/>
              <w:spacing w:before="8"/>
              <w:ind w:right="2"/>
              <w:rPr>
                <w:sz w:val="22"/>
              </w:rPr>
            </w:pPr>
            <w:r>
              <w:rPr>
                <w:w w:val="100"/>
                <w:sz w:val="22"/>
              </w:rPr>
              <w:t>0</w:t>
            </w:r>
          </w:p>
        </w:tc>
        <w:tc>
          <w:tcPr>
            <w:tcW w:w="1060" w:type="dxa"/>
            <w:shd w:val="clear" w:color="auto" w:fill="2D74B5"/>
          </w:tcPr>
          <w:p>
            <w:pPr>
              <w:pStyle w:val="TableParagraph"/>
              <w:spacing w:before="8"/>
              <w:rPr>
                <w:sz w:val="22"/>
              </w:rPr>
            </w:pPr>
            <w:r>
              <w:rPr>
                <w:w w:val="100"/>
                <w:sz w:val="22"/>
              </w:rPr>
              <w:t>5</w:t>
            </w:r>
          </w:p>
        </w:tc>
        <w:tc>
          <w:tcPr>
            <w:tcW w:w="1283" w:type="dxa"/>
          </w:tcPr>
          <w:p>
            <w:pPr>
              <w:pStyle w:val="TableParagraph"/>
              <w:spacing w:before="8"/>
              <w:ind w:left="3"/>
              <w:rPr>
                <w:sz w:val="22"/>
              </w:rPr>
            </w:pPr>
            <w:r>
              <w:rPr>
                <w:w w:val="100"/>
                <w:sz w:val="22"/>
              </w:rPr>
              <w:t>1</w:t>
            </w:r>
          </w:p>
        </w:tc>
        <w:tc>
          <w:tcPr>
            <w:tcW w:w="1409" w:type="dxa"/>
          </w:tcPr>
          <w:p>
            <w:pPr>
              <w:pStyle w:val="TableParagraph"/>
              <w:spacing w:before="8"/>
              <w:rPr>
                <w:sz w:val="22"/>
              </w:rPr>
            </w:pPr>
            <w:r>
              <w:rPr>
                <w:w w:val="100"/>
                <w:sz w:val="22"/>
              </w:rPr>
              <w:t>2</w:t>
            </w:r>
          </w:p>
        </w:tc>
        <w:tc>
          <w:tcPr>
            <w:tcW w:w="1409" w:type="dxa"/>
          </w:tcPr>
          <w:p>
            <w:pPr>
              <w:pStyle w:val="TableParagraph"/>
              <w:spacing w:before="8"/>
              <w:ind w:right="2"/>
              <w:rPr>
                <w:sz w:val="22"/>
              </w:rPr>
            </w:pPr>
            <w:r>
              <w:rPr>
                <w:w w:val="100"/>
                <w:sz w:val="22"/>
              </w:rPr>
              <w:t>0</w:t>
            </w:r>
          </w:p>
        </w:tc>
      </w:tr>
      <w:tr>
        <w:trPr>
          <w:trHeight w:val="408" w:hRule="exact"/>
        </w:trPr>
        <w:tc>
          <w:tcPr>
            <w:tcW w:w="3149" w:type="dxa"/>
            <w:gridSpan w:val="2"/>
          </w:tcPr>
          <w:p>
            <w:pPr>
              <w:pStyle w:val="TableParagraph"/>
              <w:spacing w:before="7"/>
              <w:ind w:left="712"/>
              <w:jc w:val="left"/>
              <w:rPr>
                <w:sz w:val="22"/>
              </w:rPr>
            </w:pPr>
            <w:r>
              <w:rPr>
                <w:sz w:val="22"/>
              </w:rPr>
              <w:t>Nivel Superior (8)</w:t>
            </w:r>
          </w:p>
        </w:tc>
        <w:tc>
          <w:tcPr>
            <w:tcW w:w="1087" w:type="dxa"/>
          </w:tcPr>
          <w:p>
            <w:pPr>
              <w:pStyle w:val="TableParagraph"/>
              <w:spacing w:before="7"/>
              <w:ind w:right="2"/>
              <w:rPr>
                <w:sz w:val="22"/>
              </w:rPr>
            </w:pPr>
            <w:r>
              <w:rPr>
                <w:w w:val="100"/>
                <w:sz w:val="22"/>
              </w:rPr>
              <w:t>0</w:t>
            </w:r>
          </w:p>
        </w:tc>
        <w:tc>
          <w:tcPr>
            <w:tcW w:w="1060" w:type="dxa"/>
            <w:shd w:val="clear" w:color="auto" w:fill="2D74B5"/>
          </w:tcPr>
          <w:p>
            <w:pPr>
              <w:pStyle w:val="TableParagraph"/>
              <w:spacing w:before="7"/>
              <w:rPr>
                <w:sz w:val="22"/>
              </w:rPr>
            </w:pPr>
            <w:r>
              <w:rPr>
                <w:w w:val="100"/>
                <w:sz w:val="22"/>
              </w:rPr>
              <w:t>5</w:t>
            </w:r>
          </w:p>
        </w:tc>
        <w:tc>
          <w:tcPr>
            <w:tcW w:w="1283" w:type="dxa"/>
          </w:tcPr>
          <w:p>
            <w:pPr>
              <w:pStyle w:val="TableParagraph"/>
              <w:spacing w:before="7"/>
              <w:ind w:left="3"/>
              <w:rPr>
                <w:sz w:val="22"/>
              </w:rPr>
            </w:pPr>
            <w:r>
              <w:rPr>
                <w:w w:val="100"/>
                <w:sz w:val="22"/>
              </w:rPr>
              <w:t>1</w:t>
            </w:r>
          </w:p>
        </w:tc>
        <w:tc>
          <w:tcPr>
            <w:tcW w:w="1409" w:type="dxa"/>
          </w:tcPr>
          <w:p>
            <w:pPr>
              <w:pStyle w:val="TableParagraph"/>
              <w:spacing w:before="7"/>
              <w:rPr>
                <w:sz w:val="22"/>
              </w:rPr>
            </w:pPr>
            <w:r>
              <w:rPr>
                <w:w w:val="100"/>
                <w:sz w:val="22"/>
              </w:rPr>
              <w:t>2</w:t>
            </w:r>
          </w:p>
        </w:tc>
        <w:tc>
          <w:tcPr>
            <w:tcW w:w="1409" w:type="dxa"/>
          </w:tcPr>
          <w:p>
            <w:pPr>
              <w:pStyle w:val="TableParagraph"/>
              <w:spacing w:before="7"/>
              <w:ind w:right="2"/>
              <w:rPr>
                <w:sz w:val="22"/>
              </w:rPr>
            </w:pPr>
            <w:r>
              <w:rPr>
                <w:w w:val="100"/>
                <w:sz w:val="22"/>
              </w:rPr>
              <w:t>0</w:t>
            </w:r>
          </w:p>
        </w:tc>
      </w:tr>
    </w:tbl>
    <w:p>
      <w:pPr>
        <w:spacing w:line="227" w:lineRule="exact" w:before="0"/>
        <w:ind w:left="1618" w:right="339" w:firstLine="0"/>
        <w:jc w:val="left"/>
        <w:rPr>
          <w:b/>
          <w:sz w:val="20"/>
        </w:rPr>
      </w:pPr>
      <w:r>
        <w:rPr>
          <w:b/>
          <w:sz w:val="20"/>
        </w:rPr>
        <w:t>Tabla 4.33. Político sin influencia; respuestas por nivel de estudios</w:t>
      </w:r>
    </w:p>
    <w:p>
      <w:pPr>
        <w:pStyle w:val="BodyText"/>
        <w:spacing w:before="5"/>
        <w:rPr>
          <w:b/>
          <w:sz w:val="27"/>
        </w:rPr>
      </w:pPr>
    </w:p>
    <w:p>
      <w:pPr>
        <w:pStyle w:val="BodyText"/>
        <w:spacing w:line="360" w:lineRule="auto"/>
        <w:ind w:left="102" w:right="108" w:firstLine="707"/>
        <w:jc w:val="both"/>
      </w:pPr>
      <w:r>
        <w:rPr/>
        <w:t>Con respecto a la aseveración 12, que dicta “</w:t>
      </w:r>
      <w:r>
        <w:rPr>
          <w:b/>
        </w:rPr>
        <w:t>El dominio del vocabulario de un líder</w:t>
      </w:r>
      <w:r>
        <w:rPr>
          <w:b/>
          <w:spacing w:val="-9"/>
        </w:rPr>
        <w:t> </w:t>
      </w:r>
      <w:r>
        <w:rPr>
          <w:b/>
        </w:rPr>
        <w:t>empresarial</w:t>
      </w:r>
      <w:r>
        <w:rPr>
          <w:b/>
          <w:spacing w:val="-11"/>
        </w:rPr>
        <w:t> </w:t>
      </w:r>
      <w:r>
        <w:rPr>
          <w:b/>
        </w:rPr>
        <w:t>es</w:t>
      </w:r>
      <w:r>
        <w:rPr>
          <w:b/>
          <w:spacing w:val="-11"/>
        </w:rPr>
        <w:t> </w:t>
      </w:r>
      <w:r>
        <w:rPr>
          <w:b/>
        </w:rPr>
        <w:t>tan</w:t>
      </w:r>
      <w:r>
        <w:rPr>
          <w:b/>
          <w:spacing w:val="-9"/>
        </w:rPr>
        <w:t> </w:t>
      </w:r>
      <w:r>
        <w:rPr>
          <w:b/>
        </w:rPr>
        <w:t>amplio</w:t>
      </w:r>
      <w:r>
        <w:rPr>
          <w:b/>
          <w:spacing w:val="-12"/>
        </w:rPr>
        <w:t> </w:t>
      </w:r>
      <w:r>
        <w:rPr>
          <w:b/>
        </w:rPr>
        <w:t>como</w:t>
      </w:r>
      <w:r>
        <w:rPr>
          <w:b/>
          <w:spacing w:val="-9"/>
        </w:rPr>
        <w:t> </w:t>
      </w:r>
      <w:r>
        <w:rPr>
          <w:b/>
        </w:rPr>
        <w:t>el</w:t>
      </w:r>
      <w:r>
        <w:rPr>
          <w:b/>
          <w:spacing w:val="-9"/>
        </w:rPr>
        <w:t> </w:t>
      </w:r>
      <w:r>
        <w:rPr>
          <w:b/>
        </w:rPr>
        <w:t>de</w:t>
      </w:r>
      <w:r>
        <w:rPr>
          <w:b/>
          <w:spacing w:val="-11"/>
        </w:rPr>
        <w:t> </w:t>
      </w:r>
      <w:r>
        <w:rPr>
          <w:b/>
        </w:rPr>
        <w:t>la</w:t>
      </w:r>
      <w:r>
        <w:rPr>
          <w:b/>
          <w:spacing w:val="-8"/>
        </w:rPr>
        <w:t> </w:t>
      </w:r>
      <w:r>
        <w:rPr>
          <w:b/>
        </w:rPr>
        <w:t>grabación</w:t>
      </w:r>
      <w:r>
        <w:rPr/>
        <w:t>”</w:t>
      </w:r>
      <w:r>
        <w:rPr>
          <w:spacing w:val="-10"/>
        </w:rPr>
        <w:t> </w:t>
      </w:r>
      <w:r>
        <w:rPr/>
        <w:t>se</w:t>
      </w:r>
      <w:r>
        <w:rPr>
          <w:spacing w:val="-11"/>
        </w:rPr>
        <w:t> </w:t>
      </w:r>
      <w:r>
        <w:rPr/>
        <w:t>puede</w:t>
      </w:r>
      <w:r>
        <w:rPr>
          <w:spacing w:val="-8"/>
        </w:rPr>
        <w:t> </w:t>
      </w:r>
      <w:r>
        <w:rPr/>
        <w:t>apreciar</w:t>
      </w:r>
      <w:r>
        <w:rPr>
          <w:spacing w:val="-10"/>
        </w:rPr>
        <w:t> </w:t>
      </w:r>
      <w:r>
        <w:rPr/>
        <w:t>que</w:t>
      </w:r>
      <w:r>
        <w:rPr>
          <w:spacing w:val="-8"/>
        </w:rPr>
        <w:t> </w:t>
      </w:r>
      <w:r>
        <w:rPr/>
        <w:t>al</w:t>
      </w:r>
      <w:r>
        <w:rPr>
          <w:spacing w:val="-10"/>
        </w:rPr>
        <w:t> </w:t>
      </w:r>
      <w:r>
        <w:rPr/>
        <w:t>ser dirigida a una grabación que no contiene anglicismos, pues, es desfavorable a su preferencia. Ahora bien, en cuanto a los resultados, tanto en </w:t>
      </w:r>
      <w:r>
        <w:rPr>
          <w:spacing w:val="3"/>
        </w:rPr>
        <w:t>la </w:t>
      </w:r>
      <w:r>
        <w:rPr/>
        <w:t>totalidad como en el análisis por género, no es muy definitivo, ya que muestran un 41.6% de respuestas “en desacuerdo” y el mismo porcentaje “de acuerdo”, sin embargo, al mismo tiempo presentan un 16.6% de respuestas “muy de acuerdo”, lo cual, podría mostrar una inclinación hacia la preferencia de artículos sin anglicismos (Ver tabla</w:t>
      </w:r>
      <w:r>
        <w:rPr>
          <w:spacing w:val="-15"/>
        </w:rPr>
        <w:t> </w:t>
      </w:r>
      <w:r>
        <w:rPr/>
        <w:t>4.34).</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14"/>
        <w:gridCol w:w="1140"/>
        <w:gridCol w:w="1138"/>
        <w:gridCol w:w="1244"/>
        <w:gridCol w:w="1367"/>
        <w:gridCol w:w="1367"/>
      </w:tblGrid>
      <w:tr>
        <w:trPr>
          <w:trHeight w:val="406"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12</w:t>
            </w:r>
          </w:p>
        </w:tc>
        <w:tc>
          <w:tcPr>
            <w:tcW w:w="1714" w:type="dxa"/>
            <w:vMerge w:val="restart"/>
          </w:tcPr>
          <w:p>
            <w:pPr>
              <w:pStyle w:val="TableParagraph"/>
              <w:spacing w:line="357" w:lineRule="auto" w:before="12"/>
              <w:ind w:left="158" w:right="161" w:firstLine="4"/>
              <w:rPr>
                <w:b/>
                <w:sz w:val="22"/>
              </w:rPr>
            </w:pPr>
            <w:r>
              <w:rPr>
                <w:sz w:val="22"/>
              </w:rPr>
              <w:t>Tipo de Aseveración: </w:t>
            </w:r>
            <w:r>
              <w:rPr>
                <w:b/>
                <w:sz w:val="22"/>
              </w:rPr>
              <w:t>Desfavorable</w:t>
            </w:r>
          </w:p>
        </w:tc>
        <w:tc>
          <w:tcPr>
            <w:tcW w:w="6256" w:type="dxa"/>
            <w:gridSpan w:val="5"/>
          </w:tcPr>
          <w:p>
            <w:pPr>
              <w:pStyle w:val="TableParagraph"/>
              <w:spacing w:before="7"/>
              <w:ind w:left="2521" w:right="2521"/>
              <w:rPr>
                <w:sz w:val="22"/>
              </w:rPr>
            </w:pPr>
            <w:r>
              <w:rPr>
                <w:sz w:val="22"/>
              </w:rPr>
              <w:t>Respuestas</w:t>
            </w:r>
          </w:p>
        </w:tc>
      </w:tr>
      <w:tr>
        <w:trPr>
          <w:trHeight w:val="770" w:hRule="exact"/>
        </w:trPr>
        <w:tc>
          <w:tcPr>
            <w:tcW w:w="1428" w:type="dxa"/>
            <w:vMerge/>
          </w:tcPr>
          <w:p>
            <w:pPr/>
          </w:p>
        </w:tc>
        <w:tc>
          <w:tcPr>
            <w:tcW w:w="1714" w:type="dxa"/>
            <w:vMerge/>
          </w:tcPr>
          <w:p>
            <w:pPr/>
          </w:p>
        </w:tc>
        <w:tc>
          <w:tcPr>
            <w:tcW w:w="1140" w:type="dxa"/>
          </w:tcPr>
          <w:p>
            <w:pPr>
              <w:pStyle w:val="TableParagraph"/>
              <w:spacing w:line="360" w:lineRule="auto"/>
              <w:ind w:left="168" w:right="147" w:firstLine="36"/>
              <w:jc w:val="left"/>
              <w:rPr>
                <w:sz w:val="22"/>
              </w:rPr>
            </w:pPr>
            <w:r>
              <w:rPr>
                <w:sz w:val="22"/>
              </w:rPr>
              <w:t>Muy de acuerdo</w:t>
            </w:r>
          </w:p>
        </w:tc>
        <w:tc>
          <w:tcPr>
            <w:tcW w:w="1138" w:type="dxa"/>
          </w:tcPr>
          <w:p>
            <w:pPr>
              <w:pStyle w:val="TableParagraph"/>
              <w:spacing w:line="360" w:lineRule="auto"/>
              <w:ind w:left="165" w:right="147" w:firstLine="256"/>
              <w:jc w:val="left"/>
              <w:rPr>
                <w:sz w:val="22"/>
              </w:rPr>
            </w:pPr>
            <w:r>
              <w:rPr>
                <w:sz w:val="22"/>
              </w:rPr>
              <w:t>De acuerdo</w:t>
            </w:r>
          </w:p>
        </w:tc>
        <w:tc>
          <w:tcPr>
            <w:tcW w:w="1244" w:type="dxa"/>
          </w:tcPr>
          <w:p>
            <w:pPr>
              <w:pStyle w:val="TableParagraph"/>
              <w:spacing w:before="189"/>
              <w:ind w:left="83" w:right="82"/>
              <w:rPr>
                <w:sz w:val="22"/>
              </w:rPr>
            </w:pPr>
            <w:r>
              <w:rPr>
                <w:sz w:val="22"/>
              </w:rPr>
              <w:t>indiferente</w:t>
            </w:r>
          </w:p>
        </w:tc>
        <w:tc>
          <w:tcPr>
            <w:tcW w:w="1367" w:type="dxa"/>
          </w:tcPr>
          <w:p>
            <w:pPr>
              <w:pStyle w:val="TableParagraph"/>
              <w:spacing w:line="360" w:lineRule="auto"/>
              <w:ind w:left="103" w:right="84" w:firstLine="439"/>
              <w:jc w:val="left"/>
              <w:rPr>
                <w:sz w:val="22"/>
              </w:rPr>
            </w:pPr>
            <w:r>
              <w:rPr>
                <w:sz w:val="22"/>
              </w:rPr>
              <w:t>En desacuerdo</w:t>
            </w:r>
          </w:p>
        </w:tc>
        <w:tc>
          <w:tcPr>
            <w:tcW w:w="1367" w:type="dxa"/>
          </w:tcPr>
          <w:p>
            <w:pPr>
              <w:pStyle w:val="TableParagraph"/>
              <w:spacing w:line="360" w:lineRule="auto"/>
              <w:ind w:left="102" w:right="85" w:firstLine="213"/>
              <w:jc w:val="left"/>
              <w:rPr>
                <w:sz w:val="22"/>
              </w:rPr>
            </w:pPr>
            <w:r>
              <w:rPr>
                <w:sz w:val="22"/>
              </w:rPr>
              <w:t>Muy en desacuerdo</w:t>
            </w:r>
          </w:p>
        </w:tc>
      </w:tr>
      <w:tr>
        <w:trPr>
          <w:trHeight w:val="413" w:hRule="exact"/>
        </w:trPr>
        <w:tc>
          <w:tcPr>
            <w:tcW w:w="3142" w:type="dxa"/>
            <w:gridSpan w:val="2"/>
          </w:tcPr>
          <w:p>
            <w:pPr>
              <w:pStyle w:val="TableParagraph"/>
              <w:spacing w:before="9"/>
              <w:ind w:left="323"/>
              <w:jc w:val="left"/>
              <w:rPr>
                <w:sz w:val="22"/>
              </w:rPr>
            </w:pPr>
            <w:r>
              <w:rPr>
                <w:sz w:val="22"/>
              </w:rPr>
              <w:t>Total de la población (24)</w:t>
            </w:r>
          </w:p>
        </w:tc>
        <w:tc>
          <w:tcPr>
            <w:tcW w:w="1140" w:type="dxa"/>
            <w:shd w:val="clear" w:color="auto" w:fill="9CC2E4"/>
          </w:tcPr>
          <w:p>
            <w:pPr>
              <w:pStyle w:val="TableParagraph"/>
              <w:spacing w:line="265" w:lineRule="exact"/>
              <w:ind w:left="134"/>
              <w:jc w:val="left"/>
              <w:rPr>
                <w:rFonts w:ascii="Calibri Light"/>
                <w:b w:val="0"/>
                <w:sz w:val="22"/>
              </w:rPr>
            </w:pPr>
            <w:r>
              <w:rPr>
                <w:sz w:val="22"/>
              </w:rPr>
              <w:t>4 </w:t>
            </w:r>
            <w:r>
              <w:rPr>
                <w:rFonts w:ascii="Calibri Light"/>
                <w:b w:val="0"/>
                <w:sz w:val="22"/>
              </w:rPr>
              <w:t>(16.6%)</w:t>
            </w:r>
          </w:p>
        </w:tc>
        <w:tc>
          <w:tcPr>
            <w:tcW w:w="1138" w:type="dxa"/>
            <w:shd w:val="clear" w:color="auto" w:fill="2D74B5"/>
          </w:tcPr>
          <w:p>
            <w:pPr>
              <w:pStyle w:val="TableParagraph"/>
              <w:spacing w:line="265" w:lineRule="exact"/>
              <w:ind w:left="103"/>
              <w:jc w:val="left"/>
              <w:rPr>
                <w:rFonts w:ascii="Calibri Light"/>
                <w:b w:val="0"/>
                <w:sz w:val="22"/>
              </w:rPr>
            </w:pPr>
            <w:r>
              <w:rPr>
                <w:sz w:val="22"/>
              </w:rPr>
              <w:t>10</w:t>
            </w:r>
            <w:r>
              <w:rPr>
                <w:rFonts w:ascii="Calibri Light"/>
                <w:b w:val="0"/>
                <w:sz w:val="22"/>
              </w:rPr>
              <w:t>(41.6%)</w:t>
            </w:r>
          </w:p>
        </w:tc>
        <w:tc>
          <w:tcPr>
            <w:tcW w:w="1244" w:type="dxa"/>
          </w:tcPr>
          <w:p>
            <w:pPr>
              <w:pStyle w:val="TableParagraph"/>
              <w:spacing w:before="9"/>
              <w:rPr>
                <w:sz w:val="22"/>
              </w:rPr>
            </w:pPr>
            <w:r>
              <w:rPr>
                <w:w w:val="100"/>
                <w:sz w:val="22"/>
              </w:rPr>
              <w:t>0</w:t>
            </w:r>
          </w:p>
        </w:tc>
        <w:tc>
          <w:tcPr>
            <w:tcW w:w="1367" w:type="dxa"/>
            <w:shd w:val="clear" w:color="auto" w:fill="2D74B5"/>
          </w:tcPr>
          <w:p>
            <w:pPr>
              <w:pStyle w:val="TableParagraph"/>
              <w:spacing w:line="265" w:lineRule="exact"/>
              <w:ind w:left="218" w:right="84"/>
              <w:jc w:val="left"/>
              <w:rPr>
                <w:rFonts w:ascii="Calibri Light"/>
                <w:b w:val="0"/>
                <w:sz w:val="22"/>
              </w:rPr>
            </w:pPr>
            <w:r>
              <w:rPr>
                <w:sz w:val="22"/>
              </w:rPr>
              <w:t>10</w:t>
            </w:r>
            <w:r>
              <w:rPr>
                <w:rFonts w:ascii="Calibri Light"/>
                <w:b w:val="0"/>
                <w:sz w:val="22"/>
              </w:rPr>
              <w:t>(41.6%)</w:t>
            </w:r>
          </w:p>
        </w:tc>
        <w:tc>
          <w:tcPr>
            <w:tcW w:w="1367" w:type="dxa"/>
          </w:tcPr>
          <w:p>
            <w:pPr>
              <w:pStyle w:val="TableParagraph"/>
              <w:spacing w:before="9"/>
              <w:ind w:left="615"/>
              <w:jc w:val="left"/>
              <w:rPr>
                <w:sz w:val="22"/>
              </w:rPr>
            </w:pPr>
            <w:r>
              <w:rPr>
                <w:w w:val="100"/>
                <w:sz w:val="22"/>
              </w:rPr>
              <w:t>0</w:t>
            </w:r>
          </w:p>
        </w:tc>
      </w:tr>
      <w:tr>
        <w:trPr>
          <w:trHeight w:val="413" w:hRule="exact"/>
        </w:trPr>
        <w:tc>
          <w:tcPr>
            <w:tcW w:w="3142" w:type="dxa"/>
            <w:gridSpan w:val="2"/>
          </w:tcPr>
          <w:p>
            <w:pPr>
              <w:pStyle w:val="TableParagraph"/>
              <w:spacing w:before="9"/>
              <w:ind w:left="947"/>
              <w:jc w:val="left"/>
              <w:rPr>
                <w:sz w:val="22"/>
              </w:rPr>
            </w:pPr>
            <w:r>
              <w:rPr>
                <w:sz w:val="22"/>
              </w:rPr>
              <w:t>Mujeres (12)</w:t>
            </w:r>
          </w:p>
        </w:tc>
        <w:tc>
          <w:tcPr>
            <w:tcW w:w="1140" w:type="dxa"/>
            <w:shd w:val="clear" w:color="auto" w:fill="9CC2E4"/>
          </w:tcPr>
          <w:p>
            <w:pPr>
              <w:pStyle w:val="TableParagraph"/>
              <w:spacing w:line="265" w:lineRule="exact"/>
              <w:ind w:left="134"/>
              <w:jc w:val="left"/>
              <w:rPr>
                <w:rFonts w:ascii="Calibri Light"/>
                <w:b w:val="0"/>
                <w:sz w:val="22"/>
              </w:rPr>
            </w:pPr>
            <w:r>
              <w:rPr>
                <w:sz w:val="22"/>
              </w:rPr>
              <w:t>2 </w:t>
            </w:r>
            <w:r>
              <w:rPr>
                <w:rFonts w:ascii="Calibri Light"/>
                <w:b w:val="0"/>
                <w:sz w:val="22"/>
              </w:rPr>
              <w:t>(16.6%)</w:t>
            </w:r>
          </w:p>
        </w:tc>
        <w:tc>
          <w:tcPr>
            <w:tcW w:w="1138" w:type="dxa"/>
            <w:shd w:val="clear" w:color="auto" w:fill="2D74B5"/>
          </w:tcPr>
          <w:p>
            <w:pPr>
              <w:pStyle w:val="TableParagraph"/>
              <w:spacing w:line="265" w:lineRule="exact"/>
              <w:ind w:left="134"/>
              <w:jc w:val="left"/>
              <w:rPr>
                <w:rFonts w:ascii="Calibri Light"/>
                <w:b w:val="0"/>
                <w:sz w:val="22"/>
              </w:rPr>
            </w:pPr>
            <w:r>
              <w:rPr>
                <w:sz w:val="22"/>
              </w:rPr>
              <w:t>5 </w:t>
            </w:r>
            <w:r>
              <w:rPr>
                <w:rFonts w:ascii="Calibri Light"/>
                <w:b w:val="0"/>
                <w:sz w:val="22"/>
              </w:rPr>
              <w:t>(41.6%)</w:t>
            </w:r>
          </w:p>
        </w:tc>
        <w:tc>
          <w:tcPr>
            <w:tcW w:w="1244" w:type="dxa"/>
          </w:tcPr>
          <w:p>
            <w:pPr>
              <w:pStyle w:val="TableParagraph"/>
              <w:spacing w:before="9"/>
              <w:rPr>
                <w:sz w:val="22"/>
              </w:rPr>
            </w:pPr>
            <w:r>
              <w:rPr>
                <w:w w:val="100"/>
                <w:sz w:val="22"/>
              </w:rPr>
              <w:t>0</w:t>
            </w:r>
          </w:p>
        </w:tc>
        <w:tc>
          <w:tcPr>
            <w:tcW w:w="1367" w:type="dxa"/>
            <w:shd w:val="clear" w:color="auto" w:fill="2D74B5"/>
          </w:tcPr>
          <w:p>
            <w:pPr>
              <w:pStyle w:val="TableParagraph"/>
              <w:spacing w:line="265" w:lineRule="exact"/>
              <w:ind w:left="247" w:right="84"/>
              <w:jc w:val="left"/>
              <w:rPr>
                <w:rFonts w:ascii="Calibri Light"/>
                <w:b w:val="0"/>
                <w:sz w:val="22"/>
              </w:rPr>
            </w:pPr>
            <w:r>
              <w:rPr>
                <w:sz w:val="22"/>
              </w:rPr>
              <w:t>5 </w:t>
            </w:r>
            <w:r>
              <w:rPr>
                <w:rFonts w:ascii="Calibri Light"/>
                <w:b w:val="0"/>
                <w:sz w:val="22"/>
              </w:rPr>
              <w:t>(41.6%)</w:t>
            </w:r>
          </w:p>
        </w:tc>
        <w:tc>
          <w:tcPr>
            <w:tcW w:w="1367" w:type="dxa"/>
          </w:tcPr>
          <w:p>
            <w:pPr>
              <w:pStyle w:val="TableParagraph"/>
              <w:spacing w:before="9"/>
              <w:ind w:left="615"/>
              <w:jc w:val="left"/>
              <w:rPr>
                <w:sz w:val="22"/>
              </w:rPr>
            </w:pPr>
            <w:r>
              <w:rPr>
                <w:w w:val="100"/>
                <w:sz w:val="22"/>
              </w:rPr>
              <w:t>0</w:t>
            </w:r>
          </w:p>
        </w:tc>
      </w:tr>
      <w:tr>
        <w:trPr>
          <w:trHeight w:val="413" w:hRule="exact"/>
        </w:trPr>
        <w:tc>
          <w:tcPr>
            <w:tcW w:w="3142" w:type="dxa"/>
            <w:gridSpan w:val="2"/>
          </w:tcPr>
          <w:p>
            <w:pPr>
              <w:pStyle w:val="TableParagraph"/>
              <w:spacing w:before="10"/>
              <w:ind w:left="892"/>
              <w:jc w:val="left"/>
              <w:rPr>
                <w:sz w:val="22"/>
              </w:rPr>
            </w:pPr>
            <w:r>
              <w:rPr>
                <w:sz w:val="22"/>
              </w:rPr>
              <w:t>Hombres (12)</w:t>
            </w:r>
          </w:p>
        </w:tc>
        <w:tc>
          <w:tcPr>
            <w:tcW w:w="1140" w:type="dxa"/>
            <w:shd w:val="clear" w:color="auto" w:fill="9CC2E4"/>
          </w:tcPr>
          <w:p>
            <w:pPr>
              <w:pStyle w:val="TableParagraph"/>
              <w:spacing w:line="266" w:lineRule="exact"/>
              <w:ind w:left="134"/>
              <w:jc w:val="left"/>
              <w:rPr>
                <w:rFonts w:ascii="Calibri Light"/>
                <w:b w:val="0"/>
                <w:sz w:val="22"/>
              </w:rPr>
            </w:pPr>
            <w:r>
              <w:rPr>
                <w:sz w:val="22"/>
              </w:rPr>
              <w:t>2 </w:t>
            </w:r>
            <w:r>
              <w:rPr>
                <w:rFonts w:ascii="Calibri Light"/>
                <w:b w:val="0"/>
                <w:sz w:val="22"/>
              </w:rPr>
              <w:t>(16.6%)</w:t>
            </w:r>
          </w:p>
        </w:tc>
        <w:tc>
          <w:tcPr>
            <w:tcW w:w="1138" w:type="dxa"/>
            <w:shd w:val="clear" w:color="auto" w:fill="2D74B5"/>
          </w:tcPr>
          <w:p>
            <w:pPr>
              <w:pStyle w:val="TableParagraph"/>
              <w:spacing w:line="266" w:lineRule="exact"/>
              <w:ind w:left="134"/>
              <w:jc w:val="left"/>
              <w:rPr>
                <w:rFonts w:ascii="Calibri Light"/>
                <w:b w:val="0"/>
                <w:sz w:val="22"/>
              </w:rPr>
            </w:pPr>
            <w:r>
              <w:rPr>
                <w:sz w:val="22"/>
              </w:rPr>
              <w:t>5 </w:t>
            </w:r>
            <w:r>
              <w:rPr>
                <w:rFonts w:ascii="Calibri Light"/>
                <w:b w:val="0"/>
                <w:sz w:val="22"/>
              </w:rPr>
              <w:t>(41.6%)</w:t>
            </w:r>
          </w:p>
        </w:tc>
        <w:tc>
          <w:tcPr>
            <w:tcW w:w="1244" w:type="dxa"/>
          </w:tcPr>
          <w:p>
            <w:pPr>
              <w:pStyle w:val="TableParagraph"/>
              <w:spacing w:before="10"/>
              <w:rPr>
                <w:sz w:val="22"/>
              </w:rPr>
            </w:pPr>
            <w:r>
              <w:rPr>
                <w:w w:val="100"/>
                <w:sz w:val="22"/>
              </w:rPr>
              <w:t>0</w:t>
            </w:r>
          </w:p>
        </w:tc>
        <w:tc>
          <w:tcPr>
            <w:tcW w:w="1367" w:type="dxa"/>
            <w:shd w:val="clear" w:color="auto" w:fill="2D74B5"/>
          </w:tcPr>
          <w:p>
            <w:pPr>
              <w:pStyle w:val="TableParagraph"/>
              <w:spacing w:line="266" w:lineRule="exact"/>
              <w:ind w:left="247" w:right="84"/>
              <w:jc w:val="left"/>
              <w:rPr>
                <w:rFonts w:ascii="Calibri Light"/>
                <w:b w:val="0"/>
                <w:sz w:val="22"/>
              </w:rPr>
            </w:pPr>
            <w:r>
              <w:rPr>
                <w:sz w:val="22"/>
              </w:rPr>
              <w:t>5 </w:t>
            </w:r>
            <w:r>
              <w:rPr>
                <w:rFonts w:ascii="Calibri Light"/>
                <w:b w:val="0"/>
                <w:sz w:val="22"/>
              </w:rPr>
              <w:t>(41.6%)</w:t>
            </w:r>
          </w:p>
        </w:tc>
        <w:tc>
          <w:tcPr>
            <w:tcW w:w="1367" w:type="dxa"/>
          </w:tcPr>
          <w:p>
            <w:pPr>
              <w:pStyle w:val="TableParagraph"/>
              <w:spacing w:before="10"/>
              <w:ind w:left="615"/>
              <w:jc w:val="left"/>
              <w:rPr>
                <w:sz w:val="22"/>
              </w:rPr>
            </w:pPr>
            <w:r>
              <w:rPr>
                <w:w w:val="100"/>
                <w:sz w:val="22"/>
              </w:rPr>
              <w:t>0</w:t>
            </w:r>
          </w:p>
        </w:tc>
      </w:tr>
    </w:tbl>
    <w:p>
      <w:pPr>
        <w:spacing w:line="362" w:lineRule="auto" w:before="0"/>
        <w:ind w:left="4473" w:right="26" w:hanging="4221"/>
        <w:jc w:val="left"/>
        <w:rPr>
          <w:b/>
          <w:sz w:val="20"/>
        </w:rPr>
      </w:pPr>
      <w:r>
        <w:rPr>
          <w:b/>
          <w:sz w:val="20"/>
        </w:rPr>
        <w:t>Tabla 4.34. Vocabulario de un líder empresarial; respuestas en la totalidad de la población y por género</w:t>
      </w:r>
    </w:p>
    <w:p>
      <w:pPr>
        <w:pStyle w:val="BodyText"/>
        <w:spacing w:before="6"/>
        <w:rPr>
          <w:b/>
          <w:sz w:val="17"/>
        </w:rPr>
      </w:pPr>
    </w:p>
    <w:p>
      <w:pPr>
        <w:pStyle w:val="BodyText"/>
        <w:ind w:left="810" w:right="339"/>
      </w:pPr>
      <w:r>
        <w:rPr/>
        <w:t>En cuanto a grupo de edad, la diferencia se ve claramente marcada en la tabla</w:t>
      </w:r>
    </w:p>
    <w:p>
      <w:pPr>
        <w:pStyle w:val="BodyText"/>
        <w:spacing w:before="136"/>
        <w:ind w:left="102" w:right="26"/>
      </w:pPr>
      <w:r>
        <w:rPr/>
        <w:t>4.35.  Los  grupos  1  y 2  muestran  un  66.6%  de  respuestas  “en desacuerdo”  con la</w:t>
      </w:r>
    </w:p>
    <w:p>
      <w:pPr>
        <w:spacing w:after="0"/>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11"/>
        <w:jc w:val="both"/>
      </w:pPr>
      <w:r>
        <w:rPr/>
        <w:t>grabación sin anglicismos. El grupo 4 es determinante al mostrar su preferencia por la grabación sin anglicismos con un 83.3%, sin embargo, al interpretar los resultados del grupo</w:t>
      </w:r>
      <w:r>
        <w:rPr>
          <w:spacing w:val="-16"/>
        </w:rPr>
        <w:t> </w:t>
      </w:r>
      <w:r>
        <w:rPr/>
        <w:t>3</w:t>
      </w:r>
      <w:r>
        <w:rPr>
          <w:spacing w:val="-16"/>
        </w:rPr>
        <w:t> </w:t>
      </w:r>
      <w:r>
        <w:rPr/>
        <w:t>los</w:t>
      </w:r>
      <w:r>
        <w:rPr>
          <w:spacing w:val="-16"/>
        </w:rPr>
        <w:t> </w:t>
      </w:r>
      <w:r>
        <w:rPr/>
        <w:t>porcentajes</w:t>
      </w:r>
      <w:r>
        <w:rPr>
          <w:spacing w:val="-18"/>
        </w:rPr>
        <w:t> </w:t>
      </w:r>
      <w:r>
        <w:rPr/>
        <w:t>muestran</w:t>
      </w:r>
      <w:r>
        <w:rPr>
          <w:spacing w:val="-16"/>
        </w:rPr>
        <w:t> </w:t>
      </w:r>
      <w:r>
        <w:rPr/>
        <w:t>un</w:t>
      </w:r>
      <w:r>
        <w:rPr>
          <w:spacing w:val="-18"/>
        </w:rPr>
        <w:t> </w:t>
      </w:r>
      <w:r>
        <w:rPr/>
        <w:t>33.3%</w:t>
      </w:r>
      <w:r>
        <w:rPr>
          <w:spacing w:val="-16"/>
        </w:rPr>
        <w:t> </w:t>
      </w:r>
      <w:r>
        <w:rPr/>
        <w:t>de</w:t>
      </w:r>
      <w:r>
        <w:rPr>
          <w:spacing w:val="-18"/>
        </w:rPr>
        <w:t> </w:t>
      </w:r>
      <w:r>
        <w:rPr/>
        <w:t>respuestas</w:t>
      </w:r>
      <w:r>
        <w:rPr>
          <w:spacing w:val="-16"/>
        </w:rPr>
        <w:t> </w:t>
      </w:r>
      <w:r>
        <w:rPr/>
        <w:t>en</w:t>
      </w:r>
      <w:r>
        <w:rPr>
          <w:spacing w:val="-16"/>
        </w:rPr>
        <w:t> </w:t>
      </w:r>
      <w:r>
        <w:rPr/>
        <w:t>la</w:t>
      </w:r>
      <w:r>
        <w:rPr>
          <w:spacing w:val="-16"/>
        </w:rPr>
        <w:t> </w:t>
      </w:r>
      <w:r>
        <w:rPr/>
        <w:t>opción</w:t>
      </w:r>
      <w:r>
        <w:rPr>
          <w:spacing w:val="-16"/>
        </w:rPr>
        <w:t> </w:t>
      </w:r>
      <w:r>
        <w:rPr/>
        <w:t>“muy</w:t>
      </w:r>
      <w:r>
        <w:rPr>
          <w:spacing w:val="-19"/>
        </w:rPr>
        <w:t> </w:t>
      </w:r>
      <w:r>
        <w:rPr/>
        <w:t>de</w:t>
      </w:r>
      <w:r>
        <w:rPr>
          <w:spacing w:val="-16"/>
        </w:rPr>
        <w:t> </w:t>
      </w:r>
      <w:r>
        <w:rPr/>
        <w:t>acuerdo”, otro 33.3% “de acuerdo” y 33.3% “en desacuerdo” lo que mostraría que no hay una preferencia definitiva, no obstante hay una inclinación hacía la aceptación de la aseveración por los porcentajes en “muy de acuerdo” y “de</w:t>
      </w:r>
      <w:r>
        <w:rPr>
          <w:spacing w:val="-27"/>
        </w:rPr>
        <w:t> </w:t>
      </w:r>
      <w:r>
        <w:rPr/>
        <w:t>acuerdo”.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4"/>
        <w:gridCol w:w="1148"/>
        <w:gridCol w:w="1121"/>
        <w:gridCol w:w="1244"/>
        <w:gridCol w:w="1368"/>
        <w:gridCol w:w="1366"/>
      </w:tblGrid>
      <w:tr>
        <w:trPr>
          <w:trHeight w:val="408"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12</w:t>
            </w:r>
          </w:p>
        </w:tc>
        <w:tc>
          <w:tcPr>
            <w:tcW w:w="1724" w:type="dxa"/>
            <w:vMerge w:val="restart"/>
          </w:tcPr>
          <w:p>
            <w:pPr>
              <w:pStyle w:val="TableParagraph"/>
              <w:spacing w:line="360" w:lineRule="auto" w:before="12"/>
              <w:ind w:left="163" w:right="166" w:firstLine="4"/>
              <w:rPr>
                <w:b/>
                <w:sz w:val="22"/>
              </w:rPr>
            </w:pPr>
            <w:r>
              <w:rPr>
                <w:sz w:val="22"/>
              </w:rPr>
              <w:t>Tipo de Aseveración: </w:t>
            </w:r>
            <w:r>
              <w:rPr>
                <w:b/>
                <w:sz w:val="22"/>
              </w:rPr>
              <w:t>Desfavorable</w:t>
            </w:r>
          </w:p>
        </w:tc>
        <w:tc>
          <w:tcPr>
            <w:tcW w:w="6246" w:type="dxa"/>
            <w:gridSpan w:val="5"/>
          </w:tcPr>
          <w:p>
            <w:pPr>
              <w:pStyle w:val="TableParagraph"/>
              <w:spacing w:before="7"/>
              <w:ind w:left="2516" w:right="2516"/>
              <w:rPr>
                <w:sz w:val="22"/>
              </w:rPr>
            </w:pPr>
            <w:r>
              <w:rPr>
                <w:sz w:val="22"/>
              </w:rPr>
              <w:t>Respuestas</w:t>
            </w:r>
          </w:p>
        </w:tc>
      </w:tr>
      <w:tr>
        <w:trPr>
          <w:trHeight w:val="769" w:hRule="exact"/>
        </w:trPr>
        <w:tc>
          <w:tcPr>
            <w:tcW w:w="1428" w:type="dxa"/>
            <w:gridSpan w:val="2"/>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8"/>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1 (6)</w:t>
            </w:r>
          </w:p>
        </w:tc>
        <w:tc>
          <w:tcPr>
            <w:tcW w:w="1148" w:type="dxa"/>
          </w:tcPr>
          <w:p>
            <w:pPr>
              <w:pStyle w:val="TableParagraph"/>
              <w:spacing w:line="265" w:lineRule="exact"/>
              <w:ind w:left="115" w:right="119"/>
              <w:rPr>
                <w:rFonts w:ascii="Calibri Light"/>
                <w:b w:val="0"/>
                <w:sz w:val="22"/>
              </w:rPr>
            </w:pPr>
            <w:r>
              <w:rPr>
                <w:sz w:val="22"/>
              </w:rPr>
              <w:t>1 </w:t>
            </w:r>
            <w:r>
              <w:rPr>
                <w:rFonts w:ascii="Calibri Light"/>
                <w:b w:val="0"/>
                <w:sz w:val="22"/>
              </w:rPr>
              <w:t>(16%)</w:t>
            </w:r>
          </w:p>
        </w:tc>
        <w:tc>
          <w:tcPr>
            <w:tcW w:w="1121" w:type="dxa"/>
          </w:tcPr>
          <w:p>
            <w:pPr>
              <w:pStyle w:val="TableParagraph"/>
              <w:spacing w:line="265" w:lineRule="exact"/>
              <w:ind w:left="85" w:right="85"/>
              <w:rPr>
                <w:rFonts w:ascii="Calibri Light"/>
                <w:b w:val="0"/>
                <w:sz w:val="22"/>
              </w:rPr>
            </w:pPr>
            <w:r>
              <w:rPr>
                <w:sz w:val="22"/>
              </w:rPr>
              <w:t>1 </w:t>
            </w:r>
            <w:r>
              <w:rPr>
                <w:rFonts w:ascii="Calibri Light"/>
                <w:b w:val="0"/>
                <w:sz w:val="22"/>
              </w:rPr>
              <w:t>(16%)</w:t>
            </w:r>
          </w:p>
        </w:tc>
        <w:tc>
          <w:tcPr>
            <w:tcW w:w="1244" w:type="dxa"/>
          </w:tcPr>
          <w:p>
            <w:pPr>
              <w:pStyle w:val="TableParagraph"/>
              <w:spacing w:before="9"/>
              <w:rPr>
                <w:sz w:val="22"/>
              </w:rPr>
            </w:pPr>
            <w:r>
              <w:rPr>
                <w:w w:val="100"/>
                <w:sz w:val="22"/>
              </w:rPr>
              <w:t>0</w:t>
            </w:r>
          </w:p>
        </w:tc>
        <w:tc>
          <w:tcPr>
            <w:tcW w:w="1368" w:type="dxa"/>
            <w:shd w:val="clear" w:color="auto" w:fill="2D74B5"/>
          </w:tcPr>
          <w:p>
            <w:pPr>
              <w:pStyle w:val="TableParagraph"/>
              <w:spacing w:line="265" w:lineRule="exact"/>
              <w:ind w:left="222" w:right="224"/>
              <w:rPr>
                <w:rFonts w:ascii="Calibri Light"/>
                <w:b w:val="0"/>
                <w:sz w:val="22"/>
              </w:rPr>
            </w:pPr>
            <w:r>
              <w:rPr>
                <w:sz w:val="22"/>
              </w:rPr>
              <w:t>4 </w:t>
            </w:r>
            <w:r>
              <w:rPr>
                <w:rFonts w:ascii="Calibri Light"/>
                <w:b w:val="0"/>
                <w:sz w:val="22"/>
              </w:rPr>
              <w:t>(66.6%)</w:t>
            </w:r>
          </w:p>
        </w:tc>
        <w:tc>
          <w:tcPr>
            <w:tcW w:w="1366" w:type="dxa"/>
          </w:tcPr>
          <w:p>
            <w:pPr>
              <w:pStyle w:val="TableParagraph"/>
              <w:spacing w:before="9"/>
              <w:ind w:left="614"/>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2 (6)</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6"/>
              <w:rPr>
                <w:rFonts w:ascii="Calibri Light"/>
                <w:b w:val="0"/>
                <w:sz w:val="22"/>
              </w:rPr>
            </w:pPr>
            <w:r>
              <w:rPr>
                <w:sz w:val="22"/>
              </w:rPr>
              <w:t>2 </w:t>
            </w:r>
            <w:r>
              <w:rPr>
                <w:rFonts w:ascii="Calibri Light"/>
                <w:b w:val="0"/>
                <w:sz w:val="22"/>
              </w:rPr>
              <w:t>(33.3%)</w:t>
            </w:r>
          </w:p>
        </w:tc>
        <w:tc>
          <w:tcPr>
            <w:tcW w:w="1244" w:type="dxa"/>
          </w:tcPr>
          <w:p>
            <w:pPr>
              <w:pStyle w:val="TableParagraph"/>
              <w:spacing w:before="9"/>
              <w:rPr>
                <w:sz w:val="22"/>
              </w:rPr>
            </w:pPr>
            <w:r>
              <w:rPr>
                <w:w w:val="100"/>
                <w:sz w:val="22"/>
              </w:rPr>
              <w:t>0</w:t>
            </w:r>
          </w:p>
        </w:tc>
        <w:tc>
          <w:tcPr>
            <w:tcW w:w="1368" w:type="dxa"/>
            <w:shd w:val="clear" w:color="auto" w:fill="2D74B5"/>
          </w:tcPr>
          <w:p>
            <w:pPr>
              <w:pStyle w:val="TableParagraph"/>
              <w:spacing w:line="265" w:lineRule="exact"/>
              <w:ind w:left="222" w:right="224"/>
              <w:rPr>
                <w:rFonts w:ascii="Calibri Light"/>
                <w:b w:val="0"/>
                <w:sz w:val="22"/>
              </w:rPr>
            </w:pPr>
            <w:r>
              <w:rPr>
                <w:sz w:val="22"/>
              </w:rPr>
              <w:t>4 </w:t>
            </w:r>
            <w:r>
              <w:rPr>
                <w:rFonts w:ascii="Calibri Light"/>
                <w:b w:val="0"/>
                <w:sz w:val="22"/>
              </w:rPr>
              <w:t>(66.6%)</w:t>
            </w:r>
          </w:p>
        </w:tc>
        <w:tc>
          <w:tcPr>
            <w:tcW w:w="1366" w:type="dxa"/>
          </w:tcPr>
          <w:p>
            <w:pPr>
              <w:pStyle w:val="TableParagraph"/>
              <w:spacing w:before="9"/>
              <w:ind w:left="614"/>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right w:val="single" w:sz="41" w:space="0" w:color="9CC2E4"/>
            </w:tcBorders>
          </w:tcPr>
          <w:p>
            <w:pPr>
              <w:pStyle w:val="TableParagraph"/>
              <w:spacing w:before="9"/>
              <w:ind w:left="60"/>
              <w:jc w:val="left"/>
              <w:rPr>
                <w:sz w:val="22"/>
              </w:rPr>
            </w:pPr>
            <w:r>
              <w:rPr>
                <w:sz w:val="22"/>
              </w:rPr>
              <w:t>de edad 3 (6)</w:t>
            </w:r>
          </w:p>
        </w:tc>
        <w:tc>
          <w:tcPr>
            <w:tcW w:w="1148" w:type="dxa"/>
            <w:shd w:val="clear" w:color="auto" w:fill="9CC2E4"/>
          </w:tcPr>
          <w:p>
            <w:pPr>
              <w:pStyle w:val="TableParagraph"/>
              <w:spacing w:line="265" w:lineRule="exact"/>
              <w:ind w:left="117" w:right="119"/>
              <w:rPr>
                <w:rFonts w:ascii="Calibri Light"/>
                <w:b w:val="0"/>
                <w:sz w:val="22"/>
              </w:rPr>
            </w:pPr>
            <w:r>
              <w:rPr>
                <w:sz w:val="22"/>
              </w:rPr>
              <w:t>2 </w:t>
            </w:r>
            <w:r>
              <w:rPr>
                <w:rFonts w:ascii="Calibri Light"/>
                <w:b w:val="0"/>
                <w:sz w:val="22"/>
              </w:rPr>
              <w:t>(33.3%)</w:t>
            </w:r>
          </w:p>
        </w:tc>
        <w:tc>
          <w:tcPr>
            <w:tcW w:w="1121" w:type="dxa"/>
            <w:shd w:val="clear" w:color="auto" w:fill="9CC2E4"/>
          </w:tcPr>
          <w:p>
            <w:pPr>
              <w:pStyle w:val="TableParagraph"/>
              <w:spacing w:line="265" w:lineRule="exact"/>
              <w:ind w:left="85" w:right="86"/>
              <w:rPr>
                <w:rFonts w:ascii="Calibri Light"/>
                <w:b w:val="0"/>
                <w:sz w:val="22"/>
              </w:rPr>
            </w:pPr>
            <w:r>
              <w:rPr>
                <w:sz w:val="22"/>
              </w:rPr>
              <w:t>2 </w:t>
            </w:r>
            <w:r>
              <w:rPr>
                <w:rFonts w:ascii="Calibri Light"/>
                <w:b w:val="0"/>
                <w:sz w:val="22"/>
              </w:rPr>
              <w:t>(33.3%)</w:t>
            </w:r>
          </w:p>
        </w:tc>
        <w:tc>
          <w:tcPr>
            <w:tcW w:w="1244" w:type="dxa"/>
            <w:tcBorders>
              <w:left w:val="single" w:sz="45" w:space="0" w:color="9CC2E4"/>
              <w:right w:val="single" w:sz="41" w:space="0" w:color="9CC2E4"/>
            </w:tcBorders>
          </w:tcPr>
          <w:p>
            <w:pPr>
              <w:pStyle w:val="TableParagraph"/>
              <w:spacing w:before="9"/>
              <w:ind w:right="5"/>
              <w:rPr>
                <w:sz w:val="22"/>
              </w:rPr>
            </w:pPr>
            <w:r>
              <w:rPr>
                <w:w w:val="100"/>
                <w:sz w:val="22"/>
              </w:rPr>
              <w:t>0</w:t>
            </w:r>
          </w:p>
        </w:tc>
        <w:tc>
          <w:tcPr>
            <w:tcW w:w="1368" w:type="dxa"/>
            <w:shd w:val="clear" w:color="auto" w:fill="9CC2E4"/>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Borders>
              <w:left w:val="thickThinMediumGap" w:sz="23" w:space="0" w:color="9CC2E4"/>
            </w:tcBorders>
          </w:tcPr>
          <w:p>
            <w:pPr>
              <w:pStyle w:val="TableParagraph"/>
              <w:spacing w:before="9"/>
              <w:ind w:left="561"/>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4 (6)</w:t>
            </w:r>
          </w:p>
        </w:tc>
        <w:tc>
          <w:tcPr>
            <w:tcW w:w="1148" w:type="dxa"/>
            <w:tcBorders>
              <w:right w:val="single" w:sz="41" w:space="0" w:color="2D74B5"/>
            </w:tcBorders>
          </w:tcPr>
          <w:p>
            <w:pPr>
              <w:pStyle w:val="TableParagraph"/>
              <w:spacing w:line="265" w:lineRule="exact"/>
              <w:ind w:left="114" w:right="75"/>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5" w:lineRule="exact"/>
              <w:ind w:left="85" w:right="86"/>
              <w:rPr>
                <w:rFonts w:ascii="Calibri Light"/>
                <w:b w:val="0"/>
                <w:sz w:val="22"/>
              </w:rPr>
            </w:pPr>
            <w:r>
              <w:rPr>
                <w:sz w:val="22"/>
              </w:rPr>
              <w:t>5 </w:t>
            </w:r>
            <w:r>
              <w:rPr>
                <w:rFonts w:ascii="Calibri Light"/>
                <w:b w:val="0"/>
                <w:sz w:val="22"/>
              </w:rPr>
              <w:t>(66.6%)</w:t>
            </w:r>
          </w:p>
        </w:tc>
        <w:tc>
          <w:tcPr>
            <w:tcW w:w="1244" w:type="dxa"/>
            <w:tcBorders>
              <w:left w:val="single" w:sz="45" w:space="0" w:color="2D74B5"/>
            </w:tcBorders>
          </w:tcPr>
          <w:p>
            <w:pPr>
              <w:pStyle w:val="TableParagraph"/>
              <w:spacing w:before="9"/>
              <w:ind w:right="52"/>
              <w:rPr>
                <w:sz w:val="22"/>
              </w:rPr>
            </w:pPr>
            <w:r>
              <w:rPr>
                <w:w w:val="100"/>
                <w:sz w:val="22"/>
              </w:rPr>
              <w:t>0</w:t>
            </w:r>
          </w:p>
        </w:tc>
        <w:tc>
          <w:tcPr>
            <w:tcW w:w="1368" w:type="dxa"/>
          </w:tcPr>
          <w:p>
            <w:pPr>
              <w:pStyle w:val="TableParagraph"/>
              <w:spacing w:before="9"/>
              <w:rPr>
                <w:sz w:val="22"/>
              </w:rPr>
            </w:pPr>
            <w:r>
              <w:rPr>
                <w:w w:val="100"/>
                <w:sz w:val="22"/>
              </w:rPr>
              <w:t>0</w:t>
            </w:r>
          </w:p>
        </w:tc>
        <w:tc>
          <w:tcPr>
            <w:tcW w:w="1366" w:type="dxa"/>
          </w:tcPr>
          <w:p>
            <w:pPr>
              <w:pStyle w:val="TableParagraph"/>
              <w:spacing w:before="9"/>
              <w:ind w:left="614"/>
              <w:jc w:val="left"/>
              <w:rPr>
                <w:sz w:val="22"/>
              </w:rPr>
            </w:pPr>
            <w:r>
              <w:rPr>
                <w:w w:val="100"/>
                <w:sz w:val="22"/>
              </w:rPr>
              <w:t>0</w:t>
            </w:r>
          </w:p>
        </w:tc>
      </w:tr>
    </w:tbl>
    <w:p>
      <w:pPr>
        <w:spacing w:line="227" w:lineRule="exact" w:before="0"/>
        <w:ind w:left="1076" w:right="339" w:firstLine="0"/>
        <w:jc w:val="left"/>
        <w:rPr>
          <w:b/>
          <w:sz w:val="20"/>
        </w:rPr>
      </w:pPr>
      <w:r>
        <w:rPr>
          <w:b/>
          <w:sz w:val="20"/>
        </w:rPr>
        <w:t>Tabla 4.35. Vocabulario de un líder empresarial; respuestas por grupo de edad</w:t>
      </w:r>
    </w:p>
    <w:p>
      <w:pPr>
        <w:pStyle w:val="BodyText"/>
        <w:spacing w:before="5"/>
        <w:rPr>
          <w:b/>
          <w:sz w:val="27"/>
        </w:rPr>
      </w:pPr>
    </w:p>
    <w:p>
      <w:pPr>
        <w:pStyle w:val="BodyText"/>
        <w:spacing w:line="360" w:lineRule="auto"/>
        <w:ind w:left="102" w:right="108" w:firstLine="707"/>
        <w:jc w:val="both"/>
      </w:pPr>
      <w:r>
        <w:rPr/>
        <w:t>El análisis por nivel de estudios, la tabla 4.36. presenta al nivel superior con un 50% de opiniones “en desacuerdo” con la aseveración 12. El nivel medio superior se muestra a favor de la aseveración con un 62.5%, mientras que el nivel básico presenta un 37.5% de respuestas tanto en “muy de acuerdo” y “en desacuerdo”, no obstante, hay un</w:t>
      </w:r>
      <w:r>
        <w:rPr>
          <w:spacing w:val="-16"/>
        </w:rPr>
        <w:t> </w:t>
      </w:r>
      <w:r>
        <w:rPr/>
        <w:t>25%</w:t>
      </w:r>
      <w:r>
        <w:rPr>
          <w:spacing w:val="-16"/>
        </w:rPr>
        <w:t> </w:t>
      </w:r>
      <w:r>
        <w:rPr/>
        <w:t>“de</w:t>
      </w:r>
      <w:r>
        <w:rPr>
          <w:spacing w:val="-16"/>
        </w:rPr>
        <w:t> </w:t>
      </w:r>
      <w:r>
        <w:rPr/>
        <w:t>acuerdo”</w:t>
      </w:r>
      <w:r>
        <w:rPr>
          <w:spacing w:val="-17"/>
        </w:rPr>
        <w:t> </w:t>
      </w:r>
      <w:r>
        <w:rPr/>
        <w:t>lo</w:t>
      </w:r>
      <w:r>
        <w:rPr>
          <w:spacing w:val="-18"/>
        </w:rPr>
        <w:t> </w:t>
      </w:r>
      <w:r>
        <w:rPr/>
        <w:t>que</w:t>
      </w:r>
      <w:r>
        <w:rPr>
          <w:spacing w:val="-16"/>
        </w:rPr>
        <w:t> </w:t>
      </w:r>
      <w:r>
        <w:rPr/>
        <w:t>podría</w:t>
      </w:r>
      <w:r>
        <w:rPr>
          <w:spacing w:val="-16"/>
        </w:rPr>
        <w:t> </w:t>
      </w:r>
      <w:r>
        <w:rPr/>
        <w:t>dar</w:t>
      </w:r>
      <w:r>
        <w:rPr>
          <w:spacing w:val="-17"/>
        </w:rPr>
        <w:t> </w:t>
      </w:r>
      <w:r>
        <w:rPr/>
        <w:t>una</w:t>
      </w:r>
      <w:r>
        <w:rPr>
          <w:spacing w:val="-16"/>
        </w:rPr>
        <w:t> </w:t>
      </w:r>
      <w:r>
        <w:rPr/>
        <w:t>inclinación</w:t>
      </w:r>
      <w:r>
        <w:rPr>
          <w:spacing w:val="-15"/>
        </w:rPr>
        <w:t> </w:t>
      </w:r>
      <w:r>
        <w:rPr/>
        <w:t>hacia</w:t>
      </w:r>
      <w:r>
        <w:rPr>
          <w:spacing w:val="-16"/>
        </w:rPr>
        <w:t> </w:t>
      </w:r>
      <w:r>
        <w:rPr/>
        <w:t>la</w:t>
      </w:r>
      <w:r>
        <w:rPr>
          <w:spacing w:val="-16"/>
        </w:rPr>
        <w:t> </w:t>
      </w:r>
      <w:r>
        <w:rPr/>
        <w:t>aceptación</w:t>
      </w:r>
      <w:r>
        <w:rPr>
          <w:spacing w:val="-15"/>
        </w:rPr>
        <w:t> </w:t>
      </w:r>
      <w:r>
        <w:rPr/>
        <w:t>de</w:t>
      </w:r>
      <w:r>
        <w:rPr>
          <w:spacing w:val="-16"/>
        </w:rPr>
        <w:t> </w:t>
      </w:r>
      <w:r>
        <w:rPr/>
        <w:t>la</w:t>
      </w:r>
      <w:r>
        <w:rPr>
          <w:spacing w:val="-16"/>
        </w:rPr>
        <w:t> </w:t>
      </w:r>
      <w:r>
        <w:rPr/>
        <w:t>grabación sin</w:t>
      </w:r>
      <w:r>
        <w:rPr>
          <w:spacing w:val="-4"/>
        </w:rPr>
        <w:t> </w:t>
      </w:r>
      <w:r>
        <w:rPr/>
        <w:t>anglicismos.</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6" w:hRule="exact"/>
        </w:trPr>
        <w:tc>
          <w:tcPr>
            <w:tcW w:w="1428" w:type="dxa"/>
            <w:vMerge w:val="restart"/>
          </w:tcPr>
          <w:p>
            <w:pPr>
              <w:pStyle w:val="TableParagraph"/>
              <w:spacing w:before="3"/>
              <w:jc w:val="left"/>
              <w:rPr>
                <w:sz w:val="17"/>
              </w:rPr>
            </w:pPr>
          </w:p>
          <w:p>
            <w:pPr>
              <w:pStyle w:val="TableParagraph"/>
              <w:ind w:left="82" w:right="83"/>
              <w:rPr>
                <w:sz w:val="22"/>
              </w:rPr>
            </w:pPr>
            <w:r>
              <w:rPr>
                <w:sz w:val="22"/>
              </w:rPr>
              <w:t>Aseveración</w:t>
            </w:r>
          </w:p>
          <w:p>
            <w:pPr>
              <w:pStyle w:val="TableParagraph"/>
              <w:spacing w:before="126"/>
              <w:ind w:left="83" w:right="83"/>
              <w:rPr>
                <w:b/>
                <w:sz w:val="22"/>
              </w:rPr>
            </w:pPr>
            <w:r>
              <w:rPr>
                <w:b/>
                <w:sz w:val="22"/>
              </w:rPr>
              <w:t>12</w:t>
            </w:r>
          </w:p>
        </w:tc>
        <w:tc>
          <w:tcPr>
            <w:tcW w:w="1724" w:type="dxa"/>
            <w:vMerge w:val="restart"/>
          </w:tcPr>
          <w:p>
            <w:pPr>
              <w:pStyle w:val="TableParagraph"/>
              <w:spacing w:line="360" w:lineRule="auto" w:before="9"/>
              <w:ind w:left="163" w:right="166" w:firstLine="4"/>
              <w:rPr>
                <w:b/>
                <w:sz w:val="22"/>
              </w:rPr>
            </w:pPr>
            <w:r>
              <w:rPr>
                <w:sz w:val="22"/>
              </w:rPr>
              <w:t>Tipo de Aseveración: </w:t>
            </w:r>
            <w:r>
              <w:rPr>
                <w:b/>
                <w:sz w:val="22"/>
              </w:rPr>
              <w:t>Desfavorable</w:t>
            </w:r>
          </w:p>
        </w:tc>
        <w:tc>
          <w:tcPr>
            <w:tcW w:w="6246" w:type="dxa"/>
            <w:gridSpan w:val="5"/>
          </w:tcPr>
          <w:p>
            <w:pPr>
              <w:pStyle w:val="TableParagraph"/>
              <w:spacing w:before="5"/>
              <w:ind w:left="2516" w:right="2517"/>
              <w:rPr>
                <w:sz w:val="22"/>
              </w:rPr>
            </w:pPr>
            <w:r>
              <w:rPr>
                <w:sz w:val="22"/>
              </w:rPr>
              <w:t>Respuestas</w:t>
            </w:r>
          </w:p>
        </w:tc>
      </w:tr>
      <w:tr>
        <w:trPr>
          <w:trHeight w:val="768"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Borders>
              <w:right w:val="single" w:sz="41" w:space="0" w:color="9CC2E4"/>
            </w:tcBorders>
          </w:tcPr>
          <w:p>
            <w:pPr>
              <w:pStyle w:val="TableParagraph"/>
              <w:spacing w:before="12"/>
              <w:ind w:left="799"/>
              <w:jc w:val="left"/>
              <w:rPr>
                <w:sz w:val="22"/>
              </w:rPr>
            </w:pPr>
            <w:r>
              <w:rPr>
                <w:sz w:val="22"/>
              </w:rPr>
              <w:t>Nivel Básico (8)</w:t>
            </w:r>
          </w:p>
        </w:tc>
        <w:tc>
          <w:tcPr>
            <w:tcW w:w="1148" w:type="dxa"/>
            <w:shd w:val="clear" w:color="auto" w:fill="9CC2E4"/>
          </w:tcPr>
          <w:p>
            <w:pPr>
              <w:pStyle w:val="TableParagraph"/>
              <w:spacing w:line="268" w:lineRule="exact"/>
              <w:ind w:left="117" w:right="119"/>
              <w:rPr>
                <w:rFonts w:ascii="Calibri Light"/>
                <w:b w:val="0"/>
                <w:sz w:val="22"/>
              </w:rPr>
            </w:pPr>
            <w:r>
              <w:rPr>
                <w:sz w:val="22"/>
              </w:rPr>
              <w:t>3 </w:t>
            </w:r>
            <w:r>
              <w:rPr>
                <w:rFonts w:ascii="Calibri Light"/>
                <w:b w:val="0"/>
                <w:sz w:val="22"/>
              </w:rPr>
              <w:t>(37.5%)</w:t>
            </w:r>
          </w:p>
        </w:tc>
        <w:tc>
          <w:tcPr>
            <w:tcW w:w="1121" w:type="dxa"/>
            <w:shd w:val="clear" w:color="auto" w:fill="9CC2E4"/>
          </w:tcPr>
          <w:p>
            <w:pPr>
              <w:pStyle w:val="TableParagraph"/>
              <w:spacing w:line="268" w:lineRule="exact"/>
              <w:ind w:left="85" w:right="85"/>
              <w:rPr>
                <w:rFonts w:ascii="Calibri Light"/>
                <w:b w:val="0"/>
                <w:sz w:val="22"/>
              </w:rPr>
            </w:pPr>
            <w:r>
              <w:rPr>
                <w:sz w:val="22"/>
              </w:rPr>
              <w:t>2 </w:t>
            </w:r>
            <w:r>
              <w:rPr>
                <w:rFonts w:ascii="Calibri Light"/>
                <w:b w:val="0"/>
                <w:sz w:val="22"/>
              </w:rPr>
              <w:t>(25%)</w:t>
            </w:r>
          </w:p>
        </w:tc>
        <w:tc>
          <w:tcPr>
            <w:tcW w:w="1244" w:type="dxa"/>
            <w:tcBorders>
              <w:left w:val="single" w:sz="45" w:space="0" w:color="9CC2E4"/>
              <w:right w:val="single" w:sz="41" w:space="0" w:color="9CC2E4"/>
            </w:tcBorders>
          </w:tcPr>
          <w:p>
            <w:pPr>
              <w:pStyle w:val="TableParagraph"/>
              <w:spacing w:before="12"/>
              <w:ind w:right="5"/>
              <w:rPr>
                <w:sz w:val="22"/>
              </w:rPr>
            </w:pPr>
            <w:r>
              <w:rPr>
                <w:w w:val="100"/>
                <w:sz w:val="22"/>
              </w:rPr>
              <w:t>0</w:t>
            </w:r>
          </w:p>
        </w:tc>
        <w:tc>
          <w:tcPr>
            <w:tcW w:w="1368" w:type="dxa"/>
            <w:shd w:val="clear" w:color="auto" w:fill="9CC2E4"/>
          </w:tcPr>
          <w:p>
            <w:pPr>
              <w:pStyle w:val="TableParagraph"/>
              <w:spacing w:line="268" w:lineRule="exact"/>
              <w:ind w:left="222" w:right="224"/>
              <w:rPr>
                <w:rFonts w:ascii="Calibri Light"/>
                <w:b w:val="0"/>
                <w:sz w:val="22"/>
              </w:rPr>
            </w:pPr>
            <w:r>
              <w:rPr>
                <w:sz w:val="22"/>
              </w:rPr>
              <w:t>3 </w:t>
            </w:r>
            <w:r>
              <w:rPr>
                <w:rFonts w:ascii="Calibri Light"/>
                <w:b w:val="0"/>
                <w:sz w:val="22"/>
              </w:rPr>
              <w:t>(37.5%)</w:t>
            </w:r>
          </w:p>
        </w:tc>
        <w:tc>
          <w:tcPr>
            <w:tcW w:w="1366" w:type="dxa"/>
            <w:tcBorders>
              <w:left w:val="thickThinMediumGap" w:sz="23" w:space="0" w:color="9CC2E4"/>
            </w:tcBorders>
          </w:tcPr>
          <w:p>
            <w:pPr>
              <w:pStyle w:val="TableParagraph"/>
              <w:spacing w:before="12"/>
              <w:ind w:left="561"/>
              <w:jc w:val="left"/>
              <w:rPr>
                <w:sz w:val="22"/>
              </w:rPr>
            </w:pPr>
            <w:r>
              <w:rPr>
                <w:w w:val="100"/>
                <w:sz w:val="22"/>
              </w:rPr>
              <w:t>0</w:t>
            </w:r>
          </w:p>
        </w:tc>
      </w:tr>
      <w:tr>
        <w:trPr>
          <w:trHeight w:val="416" w:hRule="exact"/>
        </w:trPr>
        <w:tc>
          <w:tcPr>
            <w:tcW w:w="3152" w:type="dxa"/>
            <w:gridSpan w:val="2"/>
          </w:tcPr>
          <w:p>
            <w:pPr>
              <w:pStyle w:val="TableParagraph"/>
              <w:spacing w:before="12"/>
              <w:ind w:left="383"/>
              <w:jc w:val="left"/>
              <w:rPr>
                <w:sz w:val="22"/>
              </w:rPr>
            </w:pPr>
            <w:r>
              <w:rPr>
                <w:sz w:val="22"/>
              </w:rPr>
              <w:t>Nivel Medio Superior (8)</w:t>
            </w:r>
          </w:p>
        </w:tc>
        <w:tc>
          <w:tcPr>
            <w:tcW w:w="1148" w:type="dxa"/>
            <w:tcBorders>
              <w:right w:val="single" w:sz="41" w:space="0" w:color="2D74B5"/>
            </w:tcBorders>
          </w:tcPr>
          <w:p>
            <w:pPr>
              <w:pStyle w:val="TableParagraph"/>
              <w:spacing w:before="12"/>
              <w:ind w:left="39"/>
              <w:rPr>
                <w:sz w:val="22"/>
              </w:rPr>
            </w:pPr>
            <w:r>
              <w:rPr>
                <w:w w:val="100"/>
                <w:sz w:val="22"/>
              </w:rPr>
              <w:t>0</w:t>
            </w:r>
          </w:p>
        </w:tc>
        <w:tc>
          <w:tcPr>
            <w:tcW w:w="1121" w:type="dxa"/>
            <w:shd w:val="clear" w:color="auto" w:fill="2D74B5"/>
          </w:tcPr>
          <w:p>
            <w:pPr>
              <w:pStyle w:val="TableParagraph"/>
              <w:ind w:left="85" w:right="86"/>
              <w:rPr>
                <w:rFonts w:ascii="Calibri Light"/>
                <w:b w:val="0"/>
                <w:sz w:val="22"/>
              </w:rPr>
            </w:pPr>
            <w:r>
              <w:rPr>
                <w:sz w:val="22"/>
              </w:rPr>
              <w:t>5 </w:t>
            </w:r>
            <w:r>
              <w:rPr>
                <w:rFonts w:ascii="Calibri Light"/>
                <w:b w:val="0"/>
                <w:sz w:val="22"/>
              </w:rPr>
              <w:t>(62.5%)</w:t>
            </w:r>
          </w:p>
        </w:tc>
        <w:tc>
          <w:tcPr>
            <w:tcW w:w="1244" w:type="dxa"/>
            <w:tcBorders>
              <w:left w:val="single" w:sz="45" w:space="0" w:color="2D74B5"/>
            </w:tcBorders>
          </w:tcPr>
          <w:p>
            <w:pPr>
              <w:pStyle w:val="TableParagraph"/>
              <w:spacing w:before="12"/>
              <w:ind w:right="52"/>
              <w:rPr>
                <w:sz w:val="22"/>
              </w:rPr>
            </w:pPr>
            <w:r>
              <w:rPr>
                <w:w w:val="100"/>
                <w:sz w:val="22"/>
              </w:rPr>
              <w:t>0</w:t>
            </w:r>
          </w:p>
        </w:tc>
        <w:tc>
          <w:tcPr>
            <w:tcW w:w="1368" w:type="dxa"/>
          </w:tcPr>
          <w:p>
            <w:pPr>
              <w:pStyle w:val="TableParagraph"/>
              <w:ind w:left="222" w:right="224"/>
              <w:rPr>
                <w:rFonts w:ascii="Calibri Light"/>
                <w:b w:val="0"/>
                <w:sz w:val="22"/>
              </w:rPr>
            </w:pPr>
            <w:r>
              <w:rPr>
                <w:sz w:val="22"/>
              </w:rPr>
              <w:t>3 </w:t>
            </w:r>
            <w:r>
              <w:rPr>
                <w:rFonts w:ascii="Calibri Light"/>
                <w:b w:val="0"/>
                <w:sz w:val="22"/>
              </w:rPr>
              <w:t>(37.5%)</w:t>
            </w:r>
          </w:p>
        </w:tc>
        <w:tc>
          <w:tcPr>
            <w:tcW w:w="1366" w:type="dxa"/>
          </w:tcPr>
          <w:p>
            <w:pPr>
              <w:pStyle w:val="TableParagraph"/>
              <w:spacing w:before="12"/>
              <w:ind w:left="614"/>
              <w:jc w:val="left"/>
              <w:rPr>
                <w:sz w:val="22"/>
              </w:rPr>
            </w:pPr>
            <w:r>
              <w:rPr>
                <w:w w:val="100"/>
                <w:sz w:val="22"/>
              </w:rPr>
              <w:t>0</w:t>
            </w:r>
          </w:p>
        </w:tc>
      </w:tr>
      <w:tr>
        <w:trPr>
          <w:trHeight w:val="413" w:hRule="exact"/>
        </w:trPr>
        <w:tc>
          <w:tcPr>
            <w:tcW w:w="3152" w:type="dxa"/>
            <w:gridSpan w:val="2"/>
          </w:tcPr>
          <w:p>
            <w:pPr>
              <w:pStyle w:val="TableParagraph"/>
              <w:spacing w:before="9"/>
              <w:ind w:left="712"/>
              <w:jc w:val="left"/>
              <w:rPr>
                <w:sz w:val="22"/>
              </w:rPr>
            </w:pPr>
            <w:r>
              <w:rPr>
                <w:sz w:val="22"/>
              </w:rPr>
              <w:t>Nivel Superior (8)</w:t>
            </w:r>
          </w:p>
        </w:tc>
        <w:tc>
          <w:tcPr>
            <w:tcW w:w="1148" w:type="dxa"/>
          </w:tcPr>
          <w:p>
            <w:pPr>
              <w:pStyle w:val="TableParagraph"/>
              <w:spacing w:line="265" w:lineRule="exact"/>
              <w:ind w:left="117" w:right="119"/>
              <w:rPr>
                <w:rFonts w:ascii="Calibri Light"/>
                <w:b w:val="0"/>
                <w:sz w:val="22"/>
              </w:rPr>
            </w:pPr>
            <w:r>
              <w:rPr>
                <w:sz w:val="22"/>
              </w:rPr>
              <w:t>1 </w:t>
            </w:r>
            <w:r>
              <w:rPr>
                <w:rFonts w:ascii="Calibri Light"/>
                <w:b w:val="0"/>
                <w:sz w:val="22"/>
              </w:rPr>
              <w:t>(12.5%)</w:t>
            </w:r>
          </w:p>
        </w:tc>
        <w:tc>
          <w:tcPr>
            <w:tcW w:w="1121" w:type="dxa"/>
          </w:tcPr>
          <w:p>
            <w:pPr>
              <w:pStyle w:val="TableParagraph"/>
              <w:spacing w:line="265" w:lineRule="exact"/>
              <w:ind w:left="85" w:right="86"/>
              <w:rPr>
                <w:rFonts w:ascii="Calibri Light"/>
                <w:b w:val="0"/>
                <w:sz w:val="22"/>
              </w:rPr>
            </w:pPr>
            <w:r>
              <w:rPr>
                <w:sz w:val="22"/>
              </w:rPr>
              <w:t>3 </w:t>
            </w:r>
            <w:r>
              <w:rPr>
                <w:rFonts w:ascii="Calibri Light"/>
                <w:b w:val="0"/>
                <w:sz w:val="22"/>
              </w:rPr>
              <w:t>(37.5%)</w:t>
            </w:r>
          </w:p>
        </w:tc>
        <w:tc>
          <w:tcPr>
            <w:tcW w:w="1244" w:type="dxa"/>
            <w:tcBorders>
              <w:right w:val="single" w:sz="41" w:space="0" w:color="2D74B5"/>
            </w:tcBorders>
          </w:tcPr>
          <w:p>
            <w:pPr>
              <w:pStyle w:val="TableParagraph"/>
              <w:spacing w:before="9"/>
              <w:ind w:left="44"/>
              <w:rPr>
                <w:sz w:val="22"/>
              </w:rPr>
            </w:pPr>
            <w:r>
              <w:rPr>
                <w:w w:val="100"/>
                <w:sz w:val="22"/>
              </w:rPr>
              <w:t>0</w:t>
            </w:r>
          </w:p>
        </w:tc>
        <w:tc>
          <w:tcPr>
            <w:tcW w:w="1368" w:type="dxa"/>
            <w:shd w:val="clear" w:color="auto" w:fill="2D74B5"/>
          </w:tcPr>
          <w:p>
            <w:pPr>
              <w:pStyle w:val="TableParagraph"/>
              <w:spacing w:line="265" w:lineRule="exact"/>
              <w:ind w:left="223" w:right="224"/>
              <w:rPr>
                <w:rFonts w:ascii="Calibri Light"/>
                <w:b w:val="0"/>
                <w:sz w:val="22"/>
              </w:rPr>
            </w:pPr>
            <w:r>
              <w:rPr>
                <w:sz w:val="22"/>
              </w:rPr>
              <w:t>4 </w:t>
            </w:r>
            <w:r>
              <w:rPr>
                <w:rFonts w:ascii="Calibri Light"/>
                <w:b w:val="0"/>
                <w:sz w:val="22"/>
              </w:rPr>
              <w:t>(50%)</w:t>
            </w:r>
          </w:p>
        </w:tc>
        <w:tc>
          <w:tcPr>
            <w:tcW w:w="1366" w:type="dxa"/>
            <w:tcBorders>
              <w:left w:val="thickThinMediumGap" w:sz="23" w:space="0" w:color="2D74B5"/>
            </w:tcBorders>
          </w:tcPr>
          <w:p>
            <w:pPr>
              <w:pStyle w:val="TableParagraph"/>
              <w:spacing w:before="9"/>
              <w:ind w:left="561"/>
              <w:jc w:val="left"/>
              <w:rPr>
                <w:sz w:val="22"/>
              </w:rPr>
            </w:pPr>
            <w:r>
              <w:rPr>
                <w:w w:val="100"/>
                <w:sz w:val="22"/>
              </w:rPr>
              <w:t>0</w:t>
            </w:r>
          </w:p>
        </w:tc>
      </w:tr>
    </w:tbl>
    <w:p>
      <w:pPr>
        <w:spacing w:line="227" w:lineRule="exact" w:before="0"/>
        <w:ind w:left="954" w:right="339" w:firstLine="0"/>
        <w:jc w:val="left"/>
        <w:rPr>
          <w:b/>
          <w:sz w:val="20"/>
        </w:rPr>
      </w:pPr>
      <w:r>
        <w:rPr>
          <w:b/>
          <w:sz w:val="20"/>
        </w:rPr>
        <w:t>Tabla 4.36. Vocabulario de un líder empresarial; respuestas por nivel de estudios</w:t>
      </w:r>
    </w:p>
    <w:p>
      <w:pPr>
        <w:pStyle w:val="BodyText"/>
        <w:spacing w:before="5"/>
        <w:rPr>
          <w:b/>
          <w:sz w:val="27"/>
        </w:rPr>
      </w:pPr>
    </w:p>
    <w:p>
      <w:pPr>
        <w:spacing w:line="360" w:lineRule="auto" w:before="0"/>
        <w:ind w:left="102" w:right="26" w:firstLine="707"/>
        <w:jc w:val="left"/>
        <w:rPr>
          <w:b/>
          <w:sz w:val="24"/>
        </w:rPr>
      </w:pPr>
      <w:r>
        <w:rPr>
          <w:sz w:val="24"/>
        </w:rPr>
        <w:t>La aseveración 13 es del tipo favorable ante el uso de anglicismos. Esta fue redactada de la siguiente manera: “</w:t>
      </w:r>
      <w:r>
        <w:rPr>
          <w:b/>
          <w:sz w:val="24"/>
        </w:rPr>
        <w:t>En la grabación, el vocabulario se asocia con  un</w:t>
      </w:r>
    </w:p>
    <w:p>
      <w:pPr>
        <w:spacing w:after="0" w:line="360" w:lineRule="auto"/>
        <w:jc w:val="left"/>
        <w:rPr>
          <w:sz w:val="24"/>
        </w:rPr>
        <w:sectPr>
          <w:pgSz w:w="12240" w:h="15840"/>
          <w:pgMar w:header="749" w:footer="1003" w:top="960" w:bottom="1200" w:left="1600" w:right="1020"/>
        </w:sect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70"/>
        <w:ind w:left="102" w:right="106"/>
        <w:jc w:val="both"/>
      </w:pPr>
      <w:r>
        <w:rPr>
          <w:b/>
        </w:rPr>
        <w:t>técnico computacional por ser apropiado</w:t>
      </w:r>
      <w:r>
        <w:rPr/>
        <w:t>”. Vale la pena recordar al lector que los adjetivos</w:t>
      </w:r>
      <w:r>
        <w:rPr>
          <w:spacing w:val="-15"/>
        </w:rPr>
        <w:t> </w:t>
      </w:r>
      <w:r>
        <w:rPr/>
        <w:t>seleccionados</w:t>
      </w:r>
      <w:r>
        <w:rPr>
          <w:spacing w:val="-15"/>
        </w:rPr>
        <w:t> </w:t>
      </w:r>
      <w:r>
        <w:rPr/>
        <w:t>son</w:t>
      </w:r>
      <w:r>
        <w:rPr>
          <w:spacing w:val="-14"/>
        </w:rPr>
        <w:t> </w:t>
      </w:r>
      <w:r>
        <w:rPr/>
        <w:t>referentes</w:t>
      </w:r>
      <w:r>
        <w:rPr>
          <w:spacing w:val="-17"/>
        </w:rPr>
        <w:t> </w:t>
      </w:r>
      <w:r>
        <w:rPr/>
        <w:t>a</w:t>
      </w:r>
      <w:r>
        <w:rPr>
          <w:spacing w:val="-17"/>
        </w:rPr>
        <w:t> </w:t>
      </w:r>
      <w:r>
        <w:rPr/>
        <w:t>alguna</w:t>
      </w:r>
      <w:r>
        <w:rPr>
          <w:spacing w:val="-14"/>
        </w:rPr>
        <w:t> </w:t>
      </w:r>
      <w:r>
        <w:rPr/>
        <w:t>de</w:t>
      </w:r>
      <w:r>
        <w:rPr>
          <w:spacing w:val="-14"/>
        </w:rPr>
        <w:t> </w:t>
      </w:r>
      <w:r>
        <w:rPr/>
        <w:t>las</w:t>
      </w:r>
      <w:r>
        <w:rPr>
          <w:spacing w:val="-17"/>
        </w:rPr>
        <w:t> </w:t>
      </w:r>
      <w:r>
        <w:rPr/>
        <w:t>variables,</w:t>
      </w:r>
      <w:r>
        <w:rPr>
          <w:spacing w:val="-14"/>
        </w:rPr>
        <w:t> </w:t>
      </w:r>
      <w:r>
        <w:rPr/>
        <w:t>en</w:t>
      </w:r>
      <w:r>
        <w:rPr>
          <w:spacing w:val="-17"/>
        </w:rPr>
        <w:t> </w:t>
      </w:r>
      <w:r>
        <w:rPr/>
        <w:t>este</w:t>
      </w:r>
      <w:r>
        <w:rPr>
          <w:spacing w:val="-14"/>
        </w:rPr>
        <w:t> </w:t>
      </w:r>
      <w:r>
        <w:rPr/>
        <w:t>caso</w:t>
      </w:r>
      <w:r>
        <w:rPr>
          <w:spacing w:val="-17"/>
        </w:rPr>
        <w:t> </w:t>
      </w:r>
      <w:r>
        <w:rPr/>
        <w:t>apropiado, responde</w:t>
      </w:r>
      <w:r>
        <w:rPr>
          <w:spacing w:val="-4"/>
        </w:rPr>
        <w:t> </w:t>
      </w:r>
      <w:r>
        <w:rPr/>
        <w:t>a</w:t>
      </w:r>
      <w:r>
        <w:rPr>
          <w:spacing w:val="-6"/>
        </w:rPr>
        <w:t> </w:t>
      </w:r>
      <w:r>
        <w:rPr/>
        <w:t>prestigioso</w:t>
      </w:r>
      <w:r>
        <w:rPr>
          <w:spacing w:val="-5"/>
        </w:rPr>
        <w:t> </w:t>
      </w:r>
      <w:r>
        <w:rPr/>
        <w:t>como</w:t>
      </w:r>
      <w:r>
        <w:rPr>
          <w:spacing w:val="-4"/>
        </w:rPr>
        <w:t> </w:t>
      </w:r>
      <w:r>
        <w:rPr/>
        <w:t>sinónimo,</w:t>
      </w:r>
      <w:r>
        <w:rPr>
          <w:spacing w:val="-4"/>
        </w:rPr>
        <w:t> </w:t>
      </w:r>
      <w:r>
        <w:rPr/>
        <w:t>no</w:t>
      </w:r>
      <w:r>
        <w:rPr>
          <w:spacing w:val="-6"/>
        </w:rPr>
        <w:t> </w:t>
      </w:r>
      <w:r>
        <w:rPr/>
        <w:t>existe</w:t>
      </w:r>
      <w:r>
        <w:rPr>
          <w:spacing w:val="-4"/>
        </w:rPr>
        <w:t> </w:t>
      </w:r>
      <w:r>
        <w:rPr/>
        <w:t>relación</w:t>
      </w:r>
      <w:r>
        <w:rPr>
          <w:spacing w:val="-5"/>
        </w:rPr>
        <w:t> </w:t>
      </w:r>
      <w:r>
        <w:rPr/>
        <w:t>con</w:t>
      </w:r>
      <w:r>
        <w:rPr>
          <w:spacing w:val="-4"/>
        </w:rPr>
        <w:t> </w:t>
      </w:r>
      <w:r>
        <w:rPr/>
        <w:t>la</w:t>
      </w:r>
      <w:r>
        <w:rPr>
          <w:spacing w:val="-4"/>
        </w:rPr>
        <w:t> </w:t>
      </w:r>
      <w:r>
        <w:rPr/>
        <w:t>percepción</w:t>
      </w:r>
      <w:r>
        <w:rPr>
          <w:spacing w:val="-3"/>
        </w:rPr>
        <w:t> </w:t>
      </w:r>
      <w:r>
        <w:rPr/>
        <w:t>que</w:t>
      </w:r>
      <w:r>
        <w:rPr>
          <w:spacing w:val="-4"/>
        </w:rPr>
        <w:t> </w:t>
      </w:r>
      <w:r>
        <w:rPr/>
        <w:t>se</w:t>
      </w:r>
      <w:r>
        <w:rPr>
          <w:spacing w:val="-4"/>
        </w:rPr>
        <w:t> </w:t>
      </w:r>
      <w:r>
        <w:rPr/>
        <w:t>tiene en esta investigación hacia la lengua en general. Ya adentrados en los resultados, </w:t>
      </w:r>
      <w:r>
        <w:rPr>
          <w:spacing w:val="3"/>
        </w:rPr>
        <w:t>la </w:t>
      </w:r>
      <w:r>
        <w:rPr/>
        <w:t>totalidad de la población indicó el mismo porcentaje (33.3%) de respuestas “de acuerdo” que “en desacuerdo”, sin embargo, un 8.3% respondió estar “muy de acuerdo” lo que podría inclinar la balanza a favorecer el empleo de anglicismos en el artículo frente al 4.1% “muy en</w:t>
      </w:r>
      <w:r>
        <w:rPr>
          <w:spacing w:val="-11"/>
        </w:rPr>
        <w:t> </w:t>
      </w:r>
      <w:r>
        <w:rPr/>
        <w:t>desacuerdo”.</w:t>
      </w:r>
    </w:p>
    <w:p>
      <w:pPr>
        <w:pStyle w:val="BodyText"/>
        <w:spacing w:line="360" w:lineRule="auto" w:before="205"/>
        <w:ind w:left="102" w:right="115" w:firstLine="707"/>
        <w:jc w:val="both"/>
      </w:pPr>
      <w:r>
        <w:rPr/>
        <w:t>En cuanto a género, los hombres presentan una leve inclinación por favorecer la aseveración,</w:t>
      </w:r>
      <w:r>
        <w:rPr>
          <w:spacing w:val="-9"/>
        </w:rPr>
        <w:t> </w:t>
      </w:r>
      <w:r>
        <w:rPr/>
        <w:t>al</w:t>
      </w:r>
      <w:r>
        <w:rPr>
          <w:spacing w:val="-12"/>
        </w:rPr>
        <w:t> </w:t>
      </w:r>
      <w:r>
        <w:rPr/>
        <w:t>añadir</w:t>
      </w:r>
      <w:r>
        <w:rPr>
          <w:spacing w:val="-10"/>
        </w:rPr>
        <w:t> </w:t>
      </w:r>
      <w:r>
        <w:rPr/>
        <w:t>a</w:t>
      </w:r>
      <w:r>
        <w:rPr>
          <w:spacing w:val="-8"/>
        </w:rPr>
        <w:t> </w:t>
      </w:r>
      <w:r>
        <w:rPr/>
        <w:t>los</w:t>
      </w:r>
      <w:r>
        <w:rPr>
          <w:spacing w:val="-9"/>
        </w:rPr>
        <w:t> </w:t>
      </w:r>
      <w:r>
        <w:rPr/>
        <w:t>4</w:t>
      </w:r>
      <w:r>
        <w:rPr>
          <w:spacing w:val="-8"/>
        </w:rPr>
        <w:t> </w:t>
      </w:r>
      <w:r>
        <w:rPr/>
        <w:t>sujetos</w:t>
      </w:r>
      <w:r>
        <w:rPr>
          <w:spacing w:val="-9"/>
        </w:rPr>
        <w:t> </w:t>
      </w:r>
      <w:r>
        <w:rPr/>
        <w:t>de</w:t>
      </w:r>
      <w:r>
        <w:rPr>
          <w:spacing w:val="-8"/>
        </w:rPr>
        <w:t> </w:t>
      </w:r>
      <w:r>
        <w:rPr/>
        <w:t>8</w:t>
      </w:r>
      <w:r>
        <w:rPr>
          <w:spacing w:val="-8"/>
        </w:rPr>
        <w:t> </w:t>
      </w:r>
      <w:r>
        <w:rPr/>
        <w:t>que</w:t>
      </w:r>
      <w:r>
        <w:rPr>
          <w:spacing w:val="-8"/>
        </w:rPr>
        <w:t> </w:t>
      </w:r>
      <w:r>
        <w:rPr/>
        <w:t>dijeron</w:t>
      </w:r>
      <w:r>
        <w:rPr>
          <w:spacing w:val="-11"/>
        </w:rPr>
        <w:t> </w:t>
      </w:r>
      <w:r>
        <w:rPr/>
        <w:t>estar</w:t>
      </w:r>
      <w:r>
        <w:rPr>
          <w:spacing w:val="-10"/>
        </w:rPr>
        <w:t> </w:t>
      </w:r>
      <w:r>
        <w:rPr/>
        <w:t>“de</w:t>
      </w:r>
      <w:r>
        <w:rPr>
          <w:spacing w:val="-11"/>
        </w:rPr>
        <w:t> </w:t>
      </w:r>
      <w:r>
        <w:rPr/>
        <w:t>acuerdo”,</w:t>
      </w:r>
      <w:r>
        <w:rPr>
          <w:spacing w:val="-9"/>
        </w:rPr>
        <w:t> </w:t>
      </w:r>
      <w:r>
        <w:rPr/>
        <w:t>un</w:t>
      </w:r>
      <w:r>
        <w:rPr>
          <w:spacing w:val="-8"/>
        </w:rPr>
        <w:t> </w:t>
      </w:r>
      <w:r>
        <w:rPr/>
        <w:t>16.6%</w:t>
      </w:r>
      <w:r>
        <w:rPr>
          <w:spacing w:val="-9"/>
        </w:rPr>
        <w:t> </w:t>
      </w:r>
      <w:r>
        <w:rPr/>
        <w:t>“muy de</w:t>
      </w:r>
      <w:r>
        <w:rPr>
          <w:spacing w:val="-6"/>
        </w:rPr>
        <w:t> </w:t>
      </w:r>
      <w:r>
        <w:rPr/>
        <w:t>acuerdo”.</w:t>
      </w:r>
      <w:r>
        <w:rPr>
          <w:spacing w:val="-7"/>
        </w:rPr>
        <w:t> </w:t>
      </w:r>
      <w:r>
        <w:rPr/>
        <w:t>En</w:t>
      </w:r>
      <w:r>
        <w:rPr>
          <w:spacing w:val="-6"/>
        </w:rPr>
        <w:t> </w:t>
      </w:r>
      <w:r>
        <w:rPr/>
        <w:t>el</w:t>
      </w:r>
      <w:r>
        <w:rPr>
          <w:spacing w:val="-7"/>
        </w:rPr>
        <w:t> </w:t>
      </w:r>
      <w:r>
        <w:rPr/>
        <w:t>caso</w:t>
      </w:r>
      <w:r>
        <w:rPr>
          <w:spacing w:val="-6"/>
        </w:rPr>
        <w:t> </w:t>
      </w:r>
      <w:r>
        <w:rPr/>
        <w:t>de</w:t>
      </w:r>
      <w:r>
        <w:rPr>
          <w:spacing w:val="-6"/>
        </w:rPr>
        <w:t> </w:t>
      </w:r>
      <w:r>
        <w:rPr/>
        <w:t>las</w:t>
      </w:r>
      <w:r>
        <w:rPr>
          <w:spacing w:val="-6"/>
        </w:rPr>
        <w:t> </w:t>
      </w:r>
      <w:r>
        <w:rPr/>
        <w:t>mujeres,</w:t>
      </w:r>
      <w:r>
        <w:rPr>
          <w:spacing w:val="-6"/>
        </w:rPr>
        <w:t> </w:t>
      </w:r>
      <w:r>
        <w:rPr/>
        <w:t>sus</w:t>
      </w:r>
      <w:r>
        <w:rPr>
          <w:spacing w:val="-9"/>
        </w:rPr>
        <w:t> </w:t>
      </w:r>
      <w:r>
        <w:rPr/>
        <w:t>porcentajes</w:t>
      </w:r>
      <w:r>
        <w:rPr>
          <w:spacing w:val="-7"/>
        </w:rPr>
        <w:t> </w:t>
      </w:r>
      <w:r>
        <w:rPr/>
        <w:t>no</w:t>
      </w:r>
      <w:r>
        <w:rPr>
          <w:spacing w:val="-6"/>
        </w:rPr>
        <w:t> </w:t>
      </w:r>
      <w:r>
        <w:rPr/>
        <w:t>permiten</w:t>
      </w:r>
      <w:r>
        <w:rPr>
          <w:spacing w:val="-8"/>
        </w:rPr>
        <w:t> </w:t>
      </w:r>
      <w:r>
        <w:rPr/>
        <w:t>determinar</w:t>
      </w:r>
      <w:r>
        <w:rPr>
          <w:spacing w:val="-7"/>
        </w:rPr>
        <w:t> </w:t>
      </w:r>
      <w:r>
        <w:rPr/>
        <w:t>nada</w:t>
      </w:r>
      <w:r>
        <w:rPr>
          <w:spacing w:val="-6"/>
        </w:rPr>
        <w:t> </w:t>
      </w:r>
      <w:r>
        <w:rPr/>
        <w:t>en concreto (véase tabla</w:t>
      </w:r>
      <w:r>
        <w:rPr>
          <w:spacing w:val="-10"/>
        </w:rPr>
        <w:t> </w:t>
      </w:r>
      <w:r>
        <w:rPr/>
        <w:t>4.37.).</w:t>
      </w:r>
    </w:p>
    <w:p>
      <w:pPr>
        <w:pStyle w:val="BodyText"/>
        <w:rPr>
          <w:sz w:val="20"/>
        </w:rPr>
      </w:pPr>
    </w:p>
    <w:p>
      <w:pPr>
        <w:pStyle w:val="BodyText"/>
        <w:rPr>
          <w:sz w:val="20"/>
        </w:rPr>
      </w:pPr>
    </w:p>
    <w:p>
      <w:pPr>
        <w:pStyle w:val="BodyText"/>
        <w:rPr>
          <w:sz w:val="20"/>
        </w:rPr>
      </w:pPr>
    </w:p>
    <w:p>
      <w:pPr>
        <w:pStyle w:val="BodyText"/>
        <w:spacing w:before="4"/>
        <w:rPr>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7"/>
        <w:gridCol w:w="1367"/>
      </w:tblGrid>
      <w:tr>
        <w:trPr>
          <w:trHeight w:val="408"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13</w:t>
            </w:r>
          </w:p>
        </w:tc>
        <w:tc>
          <w:tcPr>
            <w:tcW w:w="1721" w:type="dxa"/>
            <w:vMerge w:val="restart"/>
          </w:tcPr>
          <w:p>
            <w:pPr>
              <w:pStyle w:val="TableParagraph"/>
              <w:spacing w:line="357" w:lineRule="auto" w:before="12"/>
              <w:ind w:left="218" w:right="220" w:firstLine="5"/>
              <w:rPr>
                <w:b/>
                <w:sz w:val="22"/>
              </w:rPr>
            </w:pPr>
            <w:r>
              <w:rPr>
                <w:sz w:val="22"/>
              </w:rPr>
              <w:t>Tipo de Aseveración: </w:t>
            </w:r>
            <w:r>
              <w:rPr>
                <w:b/>
                <w:sz w:val="22"/>
              </w:rPr>
              <w:t>Favorable</w:t>
            </w:r>
          </w:p>
        </w:tc>
        <w:tc>
          <w:tcPr>
            <w:tcW w:w="6249" w:type="dxa"/>
            <w:gridSpan w:val="5"/>
          </w:tcPr>
          <w:p>
            <w:pPr>
              <w:pStyle w:val="TableParagraph"/>
              <w:spacing w:before="7"/>
              <w:ind w:left="2517" w:right="2517"/>
              <w:rPr>
                <w:sz w:val="22"/>
              </w:rPr>
            </w:pPr>
            <w:r>
              <w:rPr>
                <w:sz w:val="22"/>
              </w:rPr>
              <w:t>Respuestas</w:t>
            </w:r>
          </w:p>
        </w:tc>
      </w:tr>
      <w:tr>
        <w:trPr>
          <w:trHeight w:val="768" w:hRule="exact"/>
        </w:trPr>
        <w:tc>
          <w:tcPr>
            <w:tcW w:w="1428" w:type="dxa"/>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7" w:type="dxa"/>
          </w:tcPr>
          <w:p>
            <w:pPr>
              <w:pStyle w:val="TableParagraph"/>
              <w:spacing w:line="360" w:lineRule="auto"/>
              <w:ind w:left="103" w:right="84" w:firstLine="439"/>
              <w:jc w:val="left"/>
              <w:rPr>
                <w:sz w:val="22"/>
              </w:rPr>
            </w:pPr>
            <w:r>
              <w:rPr>
                <w:sz w:val="22"/>
              </w:rPr>
              <w:t>En desacuerdo</w:t>
            </w:r>
          </w:p>
        </w:tc>
        <w:tc>
          <w:tcPr>
            <w:tcW w:w="1367" w:type="dxa"/>
          </w:tcPr>
          <w:p>
            <w:pPr>
              <w:pStyle w:val="TableParagraph"/>
              <w:spacing w:line="360" w:lineRule="auto"/>
              <w:ind w:left="102" w:right="85" w:firstLine="213"/>
              <w:jc w:val="left"/>
              <w:rPr>
                <w:sz w:val="22"/>
              </w:rPr>
            </w:pPr>
            <w:r>
              <w:rPr>
                <w:sz w:val="22"/>
              </w:rPr>
              <w:t>Muy en desacuerdo</w:t>
            </w:r>
          </w:p>
        </w:tc>
      </w:tr>
      <w:tr>
        <w:trPr>
          <w:trHeight w:val="413" w:hRule="exact"/>
        </w:trPr>
        <w:tc>
          <w:tcPr>
            <w:tcW w:w="3149" w:type="dxa"/>
            <w:gridSpan w:val="2"/>
          </w:tcPr>
          <w:p>
            <w:pPr>
              <w:pStyle w:val="TableParagraph"/>
              <w:spacing w:before="9"/>
              <w:ind w:left="400"/>
              <w:jc w:val="left"/>
              <w:rPr>
                <w:sz w:val="22"/>
              </w:rPr>
            </w:pPr>
            <w:r>
              <w:rPr>
                <w:sz w:val="22"/>
              </w:rPr>
              <w:t>Total de la población 24</w:t>
            </w:r>
          </w:p>
        </w:tc>
        <w:tc>
          <w:tcPr>
            <w:tcW w:w="1150" w:type="dxa"/>
            <w:tcBorders>
              <w:right w:val="single" w:sz="41" w:space="0" w:color="9CC2E4"/>
            </w:tcBorders>
          </w:tcPr>
          <w:p>
            <w:pPr>
              <w:pStyle w:val="TableParagraph"/>
              <w:spacing w:line="265" w:lineRule="exact"/>
              <w:ind w:left="117" w:right="75"/>
              <w:rPr>
                <w:rFonts w:ascii="Calibri Light"/>
                <w:b w:val="0"/>
                <w:sz w:val="22"/>
              </w:rPr>
            </w:pPr>
            <w:r>
              <w:rPr>
                <w:sz w:val="22"/>
              </w:rPr>
              <w:t>2 </w:t>
            </w:r>
            <w:r>
              <w:rPr>
                <w:rFonts w:ascii="Calibri Light"/>
                <w:b w:val="0"/>
                <w:sz w:val="22"/>
              </w:rPr>
              <w:t>(8.3%)</w:t>
            </w:r>
          </w:p>
        </w:tc>
        <w:tc>
          <w:tcPr>
            <w:tcW w:w="1121" w:type="dxa"/>
            <w:shd w:val="clear" w:color="auto" w:fill="9CC2E4"/>
          </w:tcPr>
          <w:p>
            <w:pPr>
              <w:pStyle w:val="TableParagraph"/>
              <w:spacing w:line="265" w:lineRule="exact"/>
              <w:ind w:left="85" w:right="86"/>
              <w:rPr>
                <w:rFonts w:ascii="Calibri Light"/>
                <w:b w:val="0"/>
                <w:sz w:val="22"/>
              </w:rPr>
            </w:pPr>
            <w:r>
              <w:rPr>
                <w:sz w:val="22"/>
              </w:rPr>
              <w:t>8 </w:t>
            </w:r>
            <w:r>
              <w:rPr>
                <w:rFonts w:ascii="Calibri Light"/>
                <w:b w:val="0"/>
                <w:sz w:val="22"/>
              </w:rPr>
              <w:t>(33.3%)</w:t>
            </w:r>
          </w:p>
        </w:tc>
        <w:tc>
          <w:tcPr>
            <w:tcW w:w="1244" w:type="dxa"/>
            <w:tcBorders>
              <w:left w:val="single" w:sz="45" w:space="0" w:color="9CC2E4"/>
            </w:tcBorders>
          </w:tcPr>
          <w:p>
            <w:pPr>
              <w:pStyle w:val="TableParagraph"/>
              <w:spacing w:line="265" w:lineRule="exact"/>
              <w:ind w:left="110" w:right="159"/>
              <w:rPr>
                <w:rFonts w:ascii="Calibri Light"/>
                <w:b w:val="0"/>
                <w:sz w:val="22"/>
              </w:rPr>
            </w:pPr>
            <w:r>
              <w:rPr>
                <w:sz w:val="22"/>
              </w:rPr>
              <w:t>5 </w:t>
            </w:r>
            <w:r>
              <w:rPr>
                <w:rFonts w:ascii="Calibri Light"/>
                <w:b w:val="0"/>
                <w:sz w:val="22"/>
              </w:rPr>
              <w:t>(20.8%)</w:t>
            </w:r>
          </w:p>
        </w:tc>
        <w:tc>
          <w:tcPr>
            <w:tcW w:w="1367" w:type="dxa"/>
            <w:shd w:val="clear" w:color="auto" w:fill="9CC2E4"/>
          </w:tcPr>
          <w:p>
            <w:pPr>
              <w:pStyle w:val="TableParagraph"/>
              <w:spacing w:line="265" w:lineRule="exact"/>
              <w:ind w:left="168" w:right="168"/>
              <w:rPr>
                <w:rFonts w:ascii="Calibri Light"/>
                <w:b w:val="0"/>
                <w:sz w:val="22"/>
              </w:rPr>
            </w:pPr>
            <w:r>
              <w:rPr>
                <w:sz w:val="22"/>
              </w:rPr>
              <w:t>8 </w:t>
            </w:r>
            <w:r>
              <w:rPr>
                <w:rFonts w:ascii="Calibri Light"/>
                <w:b w:val="0"/>
                <w:sz w:val="22"/>
              </w:rPr>
              <w:t>(33.3%)</w:t>
            </w:r>
          </w:p>
        </w:tc>
        <w:tc>
          <w:tcPr>
            <w:tcW w:w="1367" w:type="dxa"/>
          </w:tcPr>
          <w:p>
            <w:pPr>
              <w:pStyle w:val="TableParagraph"/>
              <w:spacing w:line="265" w:lineRule="exact"/>
              <w:ind w:left="227" w:right="228"/>
              <w:rPr>
                <w:rFonts w:ascii="Calibri Light"/>
                <w:b w:val="0"/>
                <w:sz w:val="22"/>
              </w:rPr>
            </w:pPr>
            <w:r>
              <w:rPr>
                <w:sz w:val="22"/>
              </w:rPr>
              <w:t>1 </w:t>
            </w:r>
            <w:r>
              <w:rPr>
                <w:rFonts w:ascii="Calibri Light"/>
                <w:b w:val="0"/>
                <w:sz w:val="22"/>
              </w:rPr>
              <w:t>(4.1%)</w:t>
            </w:r>
          </w:p>
        </w:tc>
      </w:tr>
      <w:tr>
        <w:trPr>
          <w:trHeight w:val="413" w:hRule="exact"/>
        </w:trPr>
        <w:tc>
          <w:tcPr>
            <w:tcW w:w="3149" w:type="dxa"/>
            <w:gridSpan w:val="2"/>
          </w:tcPr>
          <w:p>
            <w:pPr>
              <w:pStyle w:val="TableParagraph"/>
              <w:spacing w:before="9"/>
              <w:ind w:left="950"/>
              <w:jc w:val="left"/>
              <w:rPr>
                <w:sz w:val="22"/>
              </w:rPr>
            </w:pPr>
            <w:r>
              <w:rPr>
                <w:sz w:val="22"/>
              </w:rPr>
              <w:t>Mujeres (12)</w:t>
            </w:r>
          </w:p>
        </w:tc>
        <w:tc>
          <w:tcPr>
            <w:tcW w:w="1150" w:type="dxa"/>
            <w:tcBorders>
              <w:right w:val="single" w:sz="41" w:space="0" w:color="9CC2E4"/>
            </w:tcBorders>
          </w:tcPr>
          <w:p>
            <w:pPr>
              <w:pStyle w:val="TableParagraph"/>
              <w:spacing w:before="9"/>
              <w:ind w:left="41"/>
              <w:rPr>
                <w:sz w:val="22"/>
              </w:rPr>
            </w:pPr>
            <w:r>
              <w:rPr>
                <w:w w:val="100"/>
                <w:sz w:val="22"/>
              </w:rPr>
              <w:t>0</w:t>
            </w:r>
          </w:p>
        </w:tc>
        <w:tc>
          <w:tcPr>
            <w:tcW w:w="1121" w:type="dxa"/>
            <w:shd w:val="clear" w:color="auto" w:fill="9CC2E4"/>
          </w:tcPr>
          <w:p>
            <w:pPr>
              <w:pStyle w:val="TableParagraph"/>
              <w:spacing w:line="265" w:lineRule="exact"/>
              <w:ind w:left="85" w:right="86"/>
              <w:rPr>
                <w:rFonts w:ascii="Calibri Light"/>
                <w:b w:val="0"/>
                <w:sz w:val="22"/>
              </w:rPr>
            </w:pPr>
            <w:r>
              <w:rPr>
                <w:sz w:val="22"/>
              </w:rPr>
              <w:t>4 </w:t>
            </w:r>
            <w:r>
              <w:rPr>
                <w:rFonts w:ascii="Calibri Light"/>
                <w:b w:val="0"/>
                <w:sz w:val="22"/>
              </w:rPr>
              <w:t>(33.3%)</w:t>
            </w:r>
          </w:p>
        </w:tc>
        <w:tc>
          <w:tcPr>
            <w:tcW w:w="1244" w:type="dxa"/>
            <w:tcBorders>
              <w:left w:val="single" w:sz="45" w:space="0" w:color="9CC2E4"/>
            </w:tcBorders>
          </w:tcPr>
          <w:p>
            <w:pPr>
              <w:pStyle w:val="TableParagraph"/>
              <w:spacing w:line="265" w:lineRule="exact"/>
              <w:ind w:left="110" w:right="161"/>
              <w:rPr>
                <w:rFonts w:ascii="Calibri Light"/>
                <w:b w:val="0"/>
                <w:sz w:val="22"/>
              </w:rPr>
            </w:pPr>
            <w:r>
              <w:rPr>
                <w:sz w:val="22"/>
              </w:rPr>
              <w:t>3 </w:t>
            </w:r>
            <w:r>
              <w:rPr>
                <w:rFonts w:ascii="Calibri Light"/>
                <w:b w:val="0"/>
                <w:sz w:val="22"/>
              </w:rPr>
              <w:t>(25%)</w:t>
            </w:r>
          </w:p>
        </w:tc>
        <w:tc>
          <w:tcPr>
            <w:tcW w:w="1367" w:type="dxa"/>
            <w:shd w:val="clear" w:color="auto" w:fill="9CC2E4"/>
          </w:tcPr>
          <w:p>
            <w:pPr>
              <w:pStyle w:val="TableParagraph"/>
              <w:spacing w:line="265" w:lineRule="exact"/>
              <w:ind w:left="168" w:right="168"/>
              <w:rPr>
                <w:rFonts w:ascii="Calibri Light"/>
                <w:b w:val="0"/>
                <w:sz w:val="22"/>
              </w:rPr>
            </w:pPr>
            <w:r>
              <w:rPr>
                <w:sz w:val="22"/>
              </w:rPr>
              <w:t>4 </w:t>
            </w:r>
            <w:r>
              <w:rPr>
                <w:rFonts w:ascii="Calibri Light"/>
                <w:b w:val="0"/>
                <w:sz w:val="22"/>
              </w:rPr>
              <w:t>(33.3%)</w:t>
            </w:r>
          </w:p>
        </w:tc>
        <w:tc>
          <w:tcPr>
            <w:tcW w:w="1367" w:type="dxa"/>
          </w:tcPr>
          <w:p>
            <w:pPr>
              <w:pStyle w:val="TableParagraph"/>
              <w:spacing w:line="265" w:lineRule="exact"/>
              <w:ind w:left="227" w:right="228"/>
              <w:rPr>
                <w:rFonts w:ascii="Calibri Light"/>
                <w:b w:val="0"/>
                <w:sz w:val="22"/>
              </w:rPr>
            </w:pPr>
            <w:r>
              <w:rPr>
                <w:sz w:val="22"/>
              </w:rPr>
              <w:t>1 </w:t>
            </w:r>
            <w:r>
              <w:rPr>
                <w:rFonts w:ascii="Calibri Light"/>
                <w:b w:val="0"/>
                <w:sz w:val="22"/>
              </w:rPr>
              <w:t>(8%)</w:t>
            </w:r>
          </w:p>
        </w:tc>
      </w:tr>
      <w:tr>
        <w:trPr>
          <w:trHeight w:val="413" w:hRule="exact"/>
        </w:trPr>
        <w:tc>
          <w:tcPr>
            <w:tcW w:w="3149" w:type="dxa"/>
            <w:gridSpan w:val="2"/>
            <w:tcBorders>
              <w:right w:val="single" w:sz="45" w:space="0" w:color="9CC2E4"/>
            </w:tcBorders>
          </w:tcPr>
          <w:p>
            <w:pPr>
              <w:pStyle w:val="TableParagraph"/>
              <w:spacing w:before="9"/>
              <w:ind w:left="897"/>
              <w:jc w:val="left"/>
              <w:rPr>
                <w:sz w:val="22"/>
              </w:rPr>
            </w:pPr>
            <w:r>
              <w:rPr>
                <w:sz w:val="22"/>
              </w:rPr>
              <w:t>Hombres (12)</w:t>
            </w:r>
          </w:p>
        </w:tc>
        <w:tc>
          <w:tcPr>
            <w:tcW w:w="1150" w:type="dxa"/>
            <w:shd w:val="clear" w:color="auto" w:fill="9CC2E4"/>
          </w:tcPr>
          <w:p>
            <w:pPr>
              <w:pStyle w:val="TableParagraph"/>
              <w:spacing w:line="265" w:lineRule="exact"/>
              <w:ind w:left="120" w:right="120"/>
              <w:rPr>
                <w:rFonts w:ascii="Calibri Light"/>
                <w:b w:val="0"/>
                <w:sz w:val="22"/>
              </w:rPr>
            </w:pPr>
            <w:r>
              <w:rPr>
                <w:sz w:val="22"/>
              </w:rPr>
              <w:t>2 </w:t>
            </w:r>
            <w:r>
              <w:rPr>
                <w:rFonts w:ascii="Calibri Light"/>
                <w:b w:val="0"/>
                <w:sz w:val="22"/>
              </w:rPr>
              <w:t>(16.6%)</w:t>
            </w:r>
          </w:p>
        </w:tc>
        <w:tc>
          <w:tcPr>
            <w:tcW w:w="1121" w:type="dxa"/>
            <w:shd w:val="clear" w:color="auto" w:fill="9CC2E4"/>
          </w:tcPr>
          <w:p>
            <w:pPr>
              <w:pStyle w:val="TableParagraph"/>
              <w:spacing w:line="265" w:lineRule="exact"/>
              <w:ind w:left="85" w:right="86"/>
              <w:rPr>
                <w:rFonts w:ascii="Calibri Light"/>
                <w:b w:val="0"/>
                <w:sz w:val="22"/>
              </w:rPr>
            </w:pPr>
            <w:r>
              <w:rPr>
                <w:sz w:val="22"/>
              </w:rPr>
              <w:t>4 </w:t>
            </w:r>
            <w:r>
              <w:rPr>
                <w:rFonts w:ascii="Calibri Light"/>
                <w:b w:val="0"/>
                <w:sz w:val="22"/>
              </w:rPr>
              <w:t>(33.3%)</w:t>
            </w:r>
          </w:p>
        </w:tc>
        <w:tc>
          <w:tcPr>
            <w:tcW w:w="1244" w:type="dxa"/>
            <w:tcBorders>
              <w:left w:val="single" w:sz="45" w:space="0" w:color="9CC2E4"/>
            </w:tcBorders>
          </w:tcPr>
          <w:p>
            <w:pPr>
              <w:pStyle w:val="TableParagraph"/>
              <w:spacing w:line="265" w:lineRule="exact"/>
              <w:ind w:left="110" w:right="159"/>
              <w:rPr>
                <w:rFonts w:ascii="Calibri Light"/>
                <w:b w:val="0"/>
                <w:sz w:val="22"/>
              </w:rPr>
            </w:pPr>
            <w:r>
              <w:rPr>
                <w:sz w:val="22"/>
              </w:rPr>
              <w:t>2 </w:t>
            </w:r>
            <w:r>
              <w:rPr>
                <w:rFonts w:ascii="Calibri Light"/>
                <w:b w:val="0"/>
                <w:sz w:val="22"/>
              </w:rPr>
              <w:t>(16.6%)</w:t>
            </w:r>
          </w:p>
        </w:tc>
        <w:tc>
          <w:tcPr>
            <w:tcW w:w="1367" w:type="dxa"/>
            <w:shd w:val="clear" w:color="auto" w:fill="9CC2E4"/>
          </w:tcPr>
          <w:p>
            <w:pPr>
              <w:pStyle w:val="TableParagraph"/>
              <w:spacing w:line="265" w:lineRule="exact"/>
              <w:ind w:left="168" w:right="168"/>
              <w:rPr>
                <w:rFonts w:ascii="Calibri Light"/>
                <w:b w:val="0"/>
                <w:sz w:val="22"/>
              </w:rPr>
            </w:pPr>
            <w:r>
              <w:rPr>
                <w:sz w:val="22"/>
              </w:rPr>
              <w:t>4 </w:t>
            </w:r>
            <w:r>
              <w:rPr>
                <w:rFonts w:ascii="Calibri Light"/>
                <w:b w:val="0"/>
                <w:sz w:val="22"/>
              </w:rPr>
              <w:t>(33.3%)</w:t>
            </w:r>
          </w:p>
        </w:tc>
        <w:tc>
          <w:tcPr>
            <w:tcW w:w="1367" w:type="dxa"/>
          </w:tcPr>
          <w:p>
            <w:pPr>
              <w:pStyle w:val="TableParagraph"/>
              <w:spacing w:before="9"/>
              <w:ind w:right="1"/>
              <w:rPr>
                <w:sz w:val="22"/>
              </w:rPr>
            </w:pPr>
            <w:r>
              <w:rPr>
                <w:w w:val="100"/>
                <w:sz w:val="22"/>
              </w:rPr>
              <w:t>0</w:t>
            </w:r>
          </w:p>
        </w:tc>
      </w:tr>
    </w:tbl>
    <w:p>
      <w:pPr>
        <w:spacing w:line="362" w:lineRule="auto" w:before="0"/>
        <w:ind w:left="4473" w:right="318" w:hanging="4149"/>
        <w:jc w:val="left"/>
        <w:rPr>
          <w:b/>
          <w:sz w:val="20"/>
        </w:rPr>
      </w:pPr>
      <w:r>
        <w:rPr>
          <w:b/>
          <w:sz w:val="20"/>
        </w:rPr>
        <w:t>Tabla 4.37. Técnico computacional apropiado; respuestas en la totalidad de la población y por género</w:t>
      </w:r>
    </w:p>
    <w:p>
      <w:pPr>
        <w:pStyle w:val="BodyText"/>
        <w:spacing w:before="6"/>
        <w:rPr>
          <w:b/>
          <w:sz w:val="17"/>
        </w:rPr>
      </w:pPr>
    </w:p>
    <w:p>
      <w:pPr>
        <w:pStyle w:val="BodyText"/>
        <w:spacing w:line="360" w:lineRule="auto"/>
        <w:ind w:left="102" w:right="107" w:firstLine="707"/>
        <w:jc w:val="both"/>
      </w:pPr>
      <w:r>
        <w:rPr/>
        <w:t>Con respecto al contraste entre grupos de edad (ver tabla 4.38.), los grupos 2 y 3 muestran el 50% de sus respuestas en la opción “de acuerdo”, tal como se aprecia en la tabla</w:t>
      </w:r>
      <w:r>
        <w:rPr>
          <w:spacing w:val="-11"/>
        </w:rPr>
        <w:t> </w:t>
      </w:r>
      <w:r>
        <w:rPr/>
        <w:t>4.38.</w:t>
      </w:r>
      <w:r>
        <w:rPr>
          <w:spacing w:val="-11"/>
        </w:rPr>
        <w:t> </w:t>
      </w:r>
      <w:r>
        <w:rPr/>
        <w:t>El</w:t>
      </w:r>
      <w:r>
        <w:rPr>
          <w:spacing w:val="-12"/>
        </w:rPr>
        <w:t> </w:t>
      </w:r>
      <w:r>
        <w:rPr/>
        <w:t>grupo</w:t>
      </w:r>
      <w:r>
        <w:rPr>
          <w:spacing w:val="-11"/>
        </w:rPr>
        <w:t> </w:t>
      </w:r>
      <w:r>
        <w:rPr/>
        <w:t>1</w:t>
      </w:r>
      <w:r>
        <w:rPr>
          <w:spacing w:val="-10"/>
        </w:rPr>
        <w:t> </w:t>
      </w:r>
      <w:r>
        <w:rPr/>
        <w:t>indica</w:t>
      </w:r>
      <w:r>
        <w:rPr>
          <w:spacing w:val="-11"/>
        </w:rPr>
        <w:t> </w:t>
      </w:r>
      <w:r>
        <w:rPr/>
        <w:t>una</w:t>
      </w:r>
      <w:r>
        <w:rPr>
          <w:spacing w:val="-10"/>
        </w:rPr>
        <w:t> </w:t>
      </w:r>
      <w:r>
        <w:rPr/>
        <w:t>mayoría</w:t>
      </w:r>
      <w:r>
        <w:rPr>
          <w:spacing w:val="51"/>
        </w:rPr>
        <w:t> </w:t>
      </w:r>
      <w:r>
        <w:rPr/>
        <w:t>“indiferente”.</w:t>
      </w:r>
      <w:r>
        <w:rPr>
          <w:spacing w:val="-9"/>
        </w:rPr>
        <w:t> </w:t>
      </w:r>
      <w:r>
        <w:rPr/>
        <w:t>Y</w:t>
      </w:r>
      <w:r>
        <w:rPr>
          <w:spacing w:val="-12"/>
        </w:rPr>
        <w:t> </w:t>
      </w:r>
      <w:r>
        <w:rPr/>
        <w:t>en</w:t>
      </w:r>
      <w:r>
        <w:rPr>
          <w:spacing w:val="-10"/>
        </w:rPr>
        <w:t> </w:t>
      </w:r>
      <w:r>
        <w:rPr/>
        <w:t>el</w:t>
      </w:r>
      <w:r>
        <w:rPr>
          <w:spacing w:val="-9"/>
        </w:rPr>
        <w:t> </w:t>
      </w:r>
      <w:r>
        <w:rPr/>
        <w:t>grupo</w:t>
      </w:r>
      <w:r>
        <w:rPr>
          <w:spacing w:val="-8"/>
        </w:rPr>
        <w:t> </w:t>
      </w:r>
      <w:r>
        <w:rPr/>
        <w:t>4,</w:t>
      </w:r>
      <w:r>
        <w:rPr>
          <w:spacing w:val="-9"/>
        </w:rPr>
        <w:t> </w:t>
      </w:r>
      <w:r>
        <w:rPr/>
        <w:t>cuatro</w:t>
      </w:r>
      <w:r>
        <w:rPr>
          <w:spacing w:val="-11"/>
        </w:rPr>
        <w:t> </w:t>
      </w:r>
      <w:r>
        <w:rPr/>
        <w:t>de</w:t>
      </w:r>
      <w:r>
        <w:rPr>
          <w:spacing w:val="-8"/>
        </w:rPr>
        <w:t> </w:t>
      </w:r>
      <w:r>
        <w:rPr/>
        <w:t>los</w:t>
      </w:r>
      <w:r>
        <w:rPr>
          <w:spacing w:val="-11"/>
        </w:rPr>
        <w:t> </w:t>
      </w:r>
      <w:r>
        <w:rPr/>
        <w:t>seis sujetos, se encuentran “en</w:t>
      </w:r>
      <w:r>
        <w:rPr>
          <w:spacing w:val="-13"/>
        </w:rPr>
        <w:t> </w:t>
      </w:r>
      <w:r>
        <w:rPr/>
        <w:t>desacuerdo”.</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9"/>
        <w:gridCol w:w="316"/>
        <w:gridCol w:w="1570"/>
        <w:gridCol w:w="1063"/>
        <w:gridCol w:w="1066"/>
        <w:gridCol w:w="1313"/>
        <w:gridCol w:w="1441"/>
        <w:gridCol w:w="1440"/>
      </w:tblGrid>
      <w:tr>
        <w:trPr>
          <w:trHeight w:val="406" w:hRule="exact"/>
        </w:trPr>
        <w:tc>
          <w:tcPr>
            <w:tcW w:w="1505" w:type="dxa"/>
            <w:gridSpan w:val="2"/>
            <w:vMerge w:val="restart"/>
          </w:tcPr>
          <w:p>
            <w:pPr>
              <w:pStyle w:val="TableParagraph"/>
              <w:spacing w:before="6"/>
              <w:jc w:val="left"/>
              <w:rPr>
                <w:sz w:val="17"/>
              </w:rPr>
            </w:pPr>
          </w:p>
          <w:p>
            <w:pPr>
              <w:pStyle w:val="TableParagraph"/>
              <w:ind w:left="121" w:right="122"/>
              <w:rPr>
                <w:sz w:val="22"/>
              </w:rPr>
            </w:pPr>
            <w:r>
              <w:rPr>
                <w:sz w:val="22"/>
              </w:rPr>
              <w:t>Aseveración</w:t>
            </w:r>
          </w:p>
          <w:p>
            <w:pPr>
              <w:pStyle w:val="TableParagraph"/>
              <w:spacing w:before="124"/>
              <w:ind w:left="121" w:right="121"/>
              <w:rPr>
                <w:b/>
                <w:sz w:val="22"/>
              </w:rPr>
            </w:pPr>
            <w:r>
              <w:rPr>
                <w:b/>
                <w:sz w:val="22"/>
              </w:rPr>
              <w:t>13</w:t>
            </w:r>
          </w:p>
        </w:tc>
        <w:tc>
          <w:tcPr>
            <w:tcW w:w="1570" w:type="dxa"/>
            <w:vMerge w:val="restart"/>
          </w:tcPr>
          <w:p>
            <w:pPr>
              <w:pStyle w:val="TableParagraph"/>
              <w:spacing w:line="357" w:lineRule="auto" w:before="12"/>
              <w:ind w:left="141" w:right="146" w:firstLine="5"/>
              <w:rPr>
                <w:b/>
                <w:sz w:val="22"/>
              </w:rPr>
            </w:pPr>
            <w:r>
              <w:rPr>
                <w:sz w:val="22"/>
              </w:rPr>
              <w:t>Tipo de Aseveración: </w:t>
            </w:r>
            <w:r>
              <w:rPr>
                <w:b/>
                <w:sz w:val="22"/>
              </w:rPr>
              <w:t>Favorable</w:t>
            </w:r>
          </w:p>
        </w:tc>
        <w:tc>
          <w:tcPr>
            <w:tcW w:w="6323" w:type="dxa"/>
            <w:gridSpan w:val="5"/>
          </w:tcPr>
          <w:p>
            <w:pPr>
              <w:pStyle w:val="TableParagraph"/>
              <w:spacing w:before="7"/>
              <w:ind w:left="2555" w:right="2555"/>
              <w:rPr>
                <w:sz w:val="22"/>
              </w:rPr>
            </w:pPr>
            <w:r>
              <w:rPr>
                <w:sz w:val="22"/>
              </w:rPr>
              <w:t>Respuestas</w:t>
            </w:r>
          </w:p>
        </w:tc>
      </w:tr>
      <w:tr>
        <w:trPr>
          <w:trHeight w:val="770" w:hRule="exact"/>
        </w:trPr>
        <w:tc>
          <w:tcPr>
            <w:tcW w:w="1505" w:type="dxa"/>
            <w:gridSpan w:val="2"/>
            <w:vMerge/>
          </w:tcPr>
          <w:p>
            <w:pPr/>
          </w:p>
        </w:tc>
        <w:tc>
          <w:tcPr>
            <w:tcW w:w="1570" w:type="dxa"/>
            <w:vMerge/>
          </w:tcPr>
          <w:p>
            <w:pPr/>
          </w:p>
        </w:tc>
        <w:tc>
          <w:tcPr>
            <w:tcW w:w="1063" w:type="dxa"/>
          </w:tcPr>
          <w:p>
            <w:pPr>
              <w:pStyle w:val="TableParagraph"/>
              <w:spacing w:line="360" w:lineRule="auto"/>
              <w:ind w:left="127" w:right="111" w:firstLine="38"/>
              <w:jc w:val="left"/>
              <w:rPr>
                <w:sz w:val="22"/>
              </w:rPr>
            </w:pPr>
            <w:r>
              <w:rPr>
                <w:sz w:val="22"/>
              </w:rPr>
              <w:t>Muy de acuerdo</w:t>
            </w:r>
          </w:p>
        </w:tc>
        <w:tc>
          <w:tcPr>
            <w:tcW w:w="1066" w:type="dxa"/>
          </w:tcPr>
          <w:p>
            <w:pPr>
              <w:pStyle w:val="TableParagraph"/>
              <w:spacing w:line="360" w:lineRule="auto"/>
              <w:ind w:left="129" w:right="112" w:firstLine="256"/>
              <w:jc w:val="left"/>
              <w:rPr>
                <w:sz w:val="22"/>
              </w:rPr>
            </w:pPr>
            <w:r>
              <w:rPr>
                <w:sz w:val="22"/>
              </w:rPr>
              <w:t>De acuerdo</w:t>
            </w:r>
          </w:p>
        </w:tc>
        <w:tc>
          <w:tcPr>
            <w:tcW w:w="1313" w:type="dxa"/>
          </w:tcPr>
          <w:p>
            <w:pPr>
              <w:pStyle w:val="TableParagraph"/>
              <w:spacing w:before="189"/>
              <w:ind w:left="117" w:right="117"/>
              <w:rPr>
                <w:sz w:val="22"/>
              </w:rPr>
            </w:pPr>
            <w:r>
              <w:rPr>
                <w:sz w:val="22"/>
              </w:rPr>
              <w:t>indiferente</w:t>
            </w:r>
          </w:p>
        </w:tc>
        <w:tc>
          <w:tcPr>
            <w:tcW w:w="1441" w:type="dxa"/>
          </w:tcPr>
          <w:p>
            <w:pPr>
              <w:pStyle w:val="TableParagraph"/>
              <w:spacing w:line="360" w:lineRule="auto"/>
              <w:ind w:left="137" w:right="124" w:firstLine="441"/>
              <w:jc w:val="left"/>
              <w:rPr>
                <w:sz w:val="22"/>
              </w:rPr>
            </w:pPr>
            <w:r>
              <w:rPr>
                <w:sz w:val="22"/>
              </w:rPr>
              <w:t>En desacuerdo</w:t>
            </w:r>
          </w:p>
        </w:tc>
        <w:tc>
          <w:tcPr>
            <w:tcW w:w="1440" w:type="dxa"/>
          </w:tcPr>
          <w:p>
            <w:pPr>
              <w:pStyle w:val="TableParagraph"/>
              <w:spacing w:line="360" w:lineRule="auto"/>
              <w:ind w:left="139" w:right="122" w:firstLine="216"/>
              <w:jc w:val="left"/>
              <w:rPr>
                <w:sz w:val="22"/>
              </w:rPr>
            </w:pPr>
            <w:r>
              <w:rPr>
                <w:sz w:val="22"/>
              </w:rPr>
              <w:t>Muy en desacuerdo</w:t>
            </w:r>
          </w:p>
        </w:tc>
      </w:tr>
      <w:tr>
        <w:trPr>
          <w:trHeight w:val="413" w:hRule="exact"/>
        </w:trPr>
        <w:tc>
          <w:tcPr>
            <w:tcW w:w="1189" w:type="dxa"/>
            <w:tcBorders>
              <w:right w:val="nil"/>
            </w:tcBorders>
          </w:tcPr>
          <w:p>
            <w:pPr>
              <w:pStyle w:val="TableParagraph"/>
              <w:spacing w:before="9"/>
              <w:ind w:right="58"/>
              <w:jc w:val="right"/>
              <w:rPr>
                <w:sz w:val="22"/>
              </w:rPr>
            </w:pPr>
            <w:r>
              <w:rPr>
                <w:sz w:val="22"/>
              </w:rPr>
              <w:t>Grupo</w:t>
            </w:r>
          </w:p>
        </w:tc>
        <w:tc>
          <w:tcPr>
            <w:tcW w:w="1886" w:type="dxa"/>
            <w:gridSpan w:val="2"/>
            <w:tcBorders>
              <w:left w:val="nil"/>
            </w:tcBorders>
          </w:tcPr>
          <w:p>
            <w:pPr>
              <w:pStyle w:val="TableParagraph"/>
              <w:spacing w:before="9"/>
              <w:ind w:left="60"/>
              <w:jc w:val="left"/>
              <w:rPr>
                <w:sz w:val="22"/>
              </w:rPr>
            </w:pPr>
            <w:r>
              <w:rPr>
                <w:sz w:val="22"/>
              </w:rPr>
              <w:t>de edad 1 (6)</w:t>
            </w:r>
          </w:p>
        </w:tc>
        <w:tc>
          <w:tcPr>
            <w:tcW w:w="1063" w:type="dxa"/>
          </w:tcPr>
          <w:p>
            <w:pPr>
              <w:pStyle w:val="TableParagraph"/>
              <w:spacing w:line="265" w:lineRule="exact"/>
              <w:ind w:left="159" w:right="161"/>
              <w:rPr>
                <w:rFonts w:ascii="Calibri Light"/>
                <w:b w:val="0"/>
                <w:sz w:val="22"/>
              </w:rPr>
            </w:pPr>
            <w:r>
              <w:rPr>
                <w:sz w:val="22"/>
              </w:rPr>
              <w:t>1 </w:t>
            </w:r>
            <w:r>
              <w:rPr>
                <w:rFonts w:ascii="Calibri Light"/>
                <w:b w:val="0"/>
                <w:sz w:val="22"/>
              </w:rPr>
              <w:t>(16%)</w:t>
            </w:r>
          </w:p>
        </w:tc>
        <w:tc>
          <w:tcPr>
            <w:tcW w:w="1066" w:type="dxa"/>
            <w:tcBorders>
              <w:right w:val="single" w:sz="45" w:space="0" w:color="2D74B5"/>
            </w:tcBorders>
          </w:tcPr>
          <w:p>
            <w:pPr>
              <w:pStyle w:val="TableParagraph"/>
              <w:spacing w:before="9"/>
              <w:ind w:left="49"/>
              <w:rPr>
                <w:sz w:val="22"/>
              </w:rPr>
            </w:pPr>
            <w:r>
              <w:rPr>
                <w:w w:val="100"/>
                <w:sz w:val="22"/>
              </w:rPr>
              <w:t>0</w:t>
            </w:r>
          </w:p>
        </w:tc>
        <w:tc>
          <w:tcPr>
            <w:tcW w:w="1313" w:type="dxa"/>
            <w:shd w:val="clear" w:color="auto" w:fill="2D74B5"/>
          </w:tcPr>
          <w:p>
            <w:pPr>
              <w:pStyle w:val="TableParagraph"/>
              <w:spacing w:line="265" w:lineRule="exact"/>
              <w:ind w:left="117" w:right="117"/>
              <w:rPr>
                <w:rFonts w:ascii="Calibri Light"/>
                <w:b w:val="0"/>
                <w:sz w:val="22"/>
              </w:rPr>
            </w:pPr>
            <w:r>
              <w:rPr>
                <w:sz w:val="22"/>
              </w:rPr>
              <w:t>3 </w:t>
            </w:r>
            <w:r>
              <w:rPr>
                <w:rFonts w:ascii="Calibri Light"/>
                <w:b w:val="0"/>
                <w:sz w:val="22"/>
              </w:rPr>
              <w:t>(40%)</w:t>
            </w:r>
          </w:p>
        </w:tc>
        <w:tc>
          <w:tcPr>
            <w:tcW w:w="1441" w:type="dxa"/>
            <w:tcBorders>
              <w:left w:val="thickThinMediumGap" w:sz="23" w:space="0" w:color="2D74B5"/>
            </w:tcBorders>
          </w:tcPr>
          <w:p>
            <w:pPr>
              <w:pStyle w:val="TableParagraph"/>
              <w:spacing w:line="265" w:lineRule="exact"/>
              <w:ind w:left="212" w:right="266"/>
              <w:rPr>
                <w:rFonts w:ascii="Calibri Light"/>
                <w:b w:val="0"/>
                <w:sz w:val="22"/>
              </w:rPr>
            </w:pPr>
            <w:r>
              <w:rPr>
                <w:sz w:val="22"/>
              </w:rPr>
              <w:t>2 </w:t>
            </w:r>
            <w:r>
              <w:rPr>
                <w:rFonts w:ascii="Calibri Light"/>
                <w:b w:val="0"/>
                <w:sz w:val="22"/>
              </w:rPr>
              <w:t>(33.3%)</w:t>
            </w:r>
          </w:p>
        </w:tc>
        <w:tc>
          <w:tcPr>
            <w:tcW w:w="1440" w:type="dxa"/>
          </w:tcPr>
          <w:p>
            <w:pPr>
              <w:pStyle w:val="TableParagraph"/>
              <w:spacing w:before="9"/>
              <w:rPr>
                <w:sz w:val="22"/>
              </w:rPr>
            </w:pPr>
            <w:r>
              <w:rPr>
                <w:w w:val="100"/>
                <w:sz w:val="22"/>
              </w:rPr>
              <w:t>0</w:t>
            </w:r>
          </w:p>
        </w:tc>
      </w:tr>
      <w:tr>
        <w:trPr>
          <w:trHeight w:val="413" w:hRule="exact"/>
        </w:trPr>
        <w:tc>
          <w:tcPr>
            <w:tcW w:w="1189" w:type="dxa"/>
            <w:tcBorders>
              <w:right w:val="nil"/>
            </w:tcBorders>
          </w:tcPr>
          <w:p>
            <w:pPr>
              <w:pStyle w:val="TableParagraph"/>
              <w:spacing w:before="9"/>
              <w:ind w:right="58"/>
              <w:jc w:val="right"/>
              <w:rPr>
                <w:sz w:val="22"/>
              </w:rPr>
            </w:pPr>
            <w:r>
              <w:rPr>
                <w:sz w:val="22"/>
              </w:rPr>
              <w:t>Grupo</w:t>
            </w:r>
          </w:p>
        </w:tc>
        <w:tc>
          <w:tcPr>
            <w:tcW w:w="1886" w:type="dxa"/>
            <w:gridSpan w:val="2"/>
            <w:tcBorders>
              <w:left w:val="nil"/>
            </w:tcBorders>
          </w:tcPr>
          <w:p>
            <w:pPr>
              <w:pStyle w:val="TableParagraph"/>
              <w:spacing w:before="9"/>
              <w:ind w:left="60"/>
              <w:jc w:val="left"/>
              <w:rPr>
                <w:sz w:val="22"/>
              </w:rPr>
            </w:pPr>
            <w:r>
              <w:rPr>
                <w:sz w:val="22"/>
              </w:rPr>
              <w:t>de edad 2 (6)</w:t>
            </w:r>
          </w:p>
        </w:tc>
        <w:tc>
          <w:tcPr>
            <w:tcW w:w="1063" w:type="dxa"/>
            <w:tcBorders>
              <w:right w:val="single" w:sz="41" w:space="0" w:color="2D74B5"/>
            </w:tcBorders>
          </w:tcPr>
          <w:p>
            <w:pPr>
              <w:pStyle w:val="TableParagraph"/>
              <w:spacing w:before="9"/>
              <w:ind w:left="42"/>
              <w:rPr>
                <w:sz w:val="22"/>
              </w:rPr>
            </w:pPr>
            <w:r>
              <w:rPr>
                <w:w w:val="100"/>
                <w:sz w:val="22"/>
              </w:rPr>
              <w:t>0</w:t>
            </w:r>
          </w:p>
        </w:tc>
        <w:tc>
          <w:tcPr>
            <w:tcW w:w="1066" w:type="dxa"/>
            <w:shd w:val="clear" w:color="auto" w:fill="2D74B5"/>
          </w:tcPr>
          <w:p>
            <w:pPr>
              <w:pStyle w:val="TableParagraph"/>
              <w:spacing w:line="265" w:lineRule="exact"/>
              <w:ind w:left="108" w:right="109"/>
              <w:rPr>
                <w:rFonts w:ascii="Calibri Light"/>
                <w:b w:val="0"/>
                <w:sz w:val="22"/>
              </w:rPr>
            </w:pPr>
            <w:r>
              <w:rPr>
                <w:sz w:val="22"/>
              </w:rPr>
              <w:t>3 </w:t>
            </w:r>
            <w:r>
              <w:rPr>
                <w:rFonts w:ascii="Calibri Light"/>
                <w:b w:val="0"/>
                <w:sz w:val="22"/>
              </w:rPr>
              <w:t>(40%)</w:t>
            </w:r>
          </w:p>
        </w:tc>
        <w:tc>
          <w:tcPr>
            <w:tcW w:w="1313" w:type="dxa"/>
            <w:tcBorders>
              <w:left w:val="single" w:sz="41" w:space="0" w:color="2D74B5"/>
            </w:tcBorders>
          </w:tcPr>
          <w:p>
            <w:pPr>
              <w:pStyle w:val="TableParagraph"/>
              <w:spacing w:line="265" w:lineRule="exact"/>
              <w:ind w:left="155" w:right="201"/>
              <w:rPr>
                <w:rFonts w:ascii="Calibri Light"/>
                <w:b w:val="0"/>
                <w:sz w:val="22"/>
              </w:rPr>
            </w:pPr>
            <w:r>
              <w:rPr>
                <w:sz w:val="22"/>
              </w:rPr>
              <w:t>2 </w:t>
            </w:r>
            <w:r>
              <w:rPr>
                <w:rFonts w:ascii="Calibri Light"/>
                <w:b w:val="0"/>
                <w:sz w:val="22"/>
              </w:rPr>
              <w:t>(33.3%)</w:t>
            </w:r>
          </w:p>
        </w:tc>
        <w:tc>
          <w:tcPr>
            <w:tcW w:w="1441" w:type="dxa"/>
          </w:tcPr>
          <w:p>
            <w:pPr>
              <w:pStyle w:val="TableParagraph"/>
              <w:spacing w:line="265" w:lineRule="exact"/>
              <w:ind w:left="263" w:right="266"/>
              <w:rPr>
                <w:rFonts w:ascii="Calibri Light"/>
                <w:b w:val="0"/>
                <w:sz w:val="22"/>
              </w:rPr>
            </w:pPr>
            <w:r>
              <w:rPr>
                <w:sz w:val="22"/>
              </w:rPr>
              <w:t>1 </w:t>
            </w:r>
            <w:r>
              <w:rPr>
                <w:rFonts w:ascii="Calibri Light"/>
                <w:b w:val="0"/>
                <w:sz w:val="22"/>
              </w:rPr>
              <w:t>(16%)</w:t>
            </w:r>
          </w:p>
        </w:tc>
        <w:tc>
          <w:tcPr>
            <w:tcW w:w="1440" w:type="dxa"/>
          </w:tcPr>
          <w:p>
            <w:pPr>
              <w:pStyle w:val="TableParagraph"/>
              <w:spacing w:before="9"/>
              <w:rPr>
                <w:sz w:val="22"/>
              </w:rPr>
            </w:pPr>
            <w:r>
              <w:rPr>
                <w:w w:val="100"/>
                <w:sz w:val="22"/>
              </w:rPr>
              <w:t>0</w:t>
            </w:r>
          </w:p>
        </w:tc>
      </w:tr>
      <w:tr>
        <w:trPr>
          <w:trHeight w:val="413" w:hRule="exact"/>
        </w:trPr>
        <w:tc>
          <w:tcPr>
            <w:tcW w:w="1189" w:type="dxa"/>
            <w:tcBorders>
              <w:right w:val="nil"/>
            </w:tcBorders>
          </w:tcPr>
          <w:p>
            <w:pPr>
              <w:pStyle w:val="TableParagraph"/>
              <w:spacing w:before="9"/>
              <w:ind w:right="58"/>
              <w:jc w:val="right"/>
              <w:rPr>
                <w:sz w:val="22"/>
              </w:rPr>
            </w:pPr>
            <w:r>
              <w:rPr>
                <w:sz w:val="22"/>
              </w:rPr>
              <w:t>Grupo</w:t>
            </w:r>
          </w:p>
        </w:tc>
        <w:tc>
          <w:tcPr>
            <w:tcW w:w="1886" w:type="dxa"/>
            <w:gridSpan w:val="2"/>
            <w:tcBorders>
              <w:left w:val="nil"/>
            </w:tcBorders>
          </w:tcPr>
          <w:p>
            <w:pPr>
              <w:pStyle w:val="TableParagraph"/>
              <w:spacing w:before="9"/>
              <w:ind w:left="60"/>
              <w:jc w:val="left"/>
              <w:rPr>
                <w:sz w:val="22"/>
              </w:rPr>
            </w:pPr>
            <w:r>
              <w:rPr>
                <w:sz w:val="22"/>
              </w:rPr>
              <w:t>de edad 3 (6)</w:t>
            </w:r>
          </w:p>
        </w:tc>
        <w:tc>
          <w:tcPr>
            <w:tcW w:w="1063" w:type="dxa"/>
            <w:tcBorders>
              <w:right w:val="single" w:sz="41" w:space="0" w:color="2D74B5"/>
            </w:tcBorders>
          </w:tcPr>
          <w:p>
            <w:pPr>
              <w:pStyle w:val="TableParagraph"/>
              <w:spacing w:line="265" w:lineRule="exact"/>
              <w:ind w:left="157" w:right="115"/>
              <w:rPr>
                <w:rFonts w:ascii="Calibri Light"/>
                <w:b w:val="0"/>
                <w:sz w:val="22"/>
              </w:rPr>
            </w:pPr>
            <w:r>
              <w:rPr>
                <w:sz w:val="22"/>
              </w:rPr>
              <w:t>1 </w:t>
            </w:r>
            <w:r>
              <w:rPr>
                <w:rFonts w:ascii="Calibri Light"/>
                <w:b w:val="0"/>
                <w:sz w:val="22"/>
              </w:rPr>
              <w:t>(16%)</w:t>
            </w:r>
          </w:p>
        </w:tc>
        <w:tc>
          <w:tcPr>
            <w:tcW w:w="1066" w:type="dxa"/>
            <w:shd w:val="clear" w:color="auto" w:fill="2D74B5"/>
          </w:tcPr>
          <w:p>
            <w:pPr>
              <w:pStyle w:val="TableParagraph"/>
              <w:spacing w:line="265" w:lineRule="exact"/>
              <w:ind w:left="108" w:right="109"/>
              <w:rPr>
                <w:rFonts w:ascii="Calibri Light"/>
                <w:b w:val="0"/>
                <w:sz w:val="22"/>
              </w:rPr>
            </w:pPr>
            <w:r>
              <w:rPr>
                <w:sz w:val="22"/>
              </w:rPr>
              <w:t>3 </w:t>
            </w:r>
            <w:r>
              <w:rPr>
                <w:rFonts w:ascii="Calibri Light"/>
                <w:b w:val="0"/>
                <w:sz w:val="22"/>
              </w:rPr>
              <w:t>(40%)</w:t>
            </w:r>
          </w:p>
        </w:tc>
        <w:tc>
          <w:tcPr>
            <w:tcW w:w="1313" w:type="dxa"/>
            <w:tcBorders>
              <w:left w:val="single" w:sz="41" w:space="0" w:color="2D74B5"/>
            </w:tcBorders>
          </w:tcPr>
          <w:p>
            <w:pPr>
              <w:pStyle w:val="TableParagraph"/>
              <w:spacing w:before="9"/>
              <w:ind w:right="44"/>
              <w:rPr>
                <w:sz w:val="22"/>
              </w:rPr>
            </w:pPr>
            <w:r>
              <w:rPr>
                <w:w w:val="100"/>
                <w:sz w:val="22"/>
              </w:rPr>
              <w:t>0</w:t>
            </w:r>
          </w:p>
        </w:tc>
        <w:tc>
          <w:tcPr>
            <w:tcW w:w="1441" w:type="dxa"/>
          </w:tcPr>
          <w:p>
            <w:pPr>
              <w:pStyle w:val="TableParagraph"/>
              <w:spacing w:line="265" w:lineRule="exact"/>
              <w:ind w:left="263" w:right="266"/>
              <w:rPr>
                <w:rFonts w:ascii="Calibri Light"/>
                <w:b w:val="0"/>
                <w:sz w:val="22"/>
              </w:rPr>
            </w:pPr>
            <w:r>
              <w:rPr>
                <w:sz w:val="22"/>
              </w:rPr>
              <w:t>1 </w:t>
            </w:r>
            <w:r>
              <w:rPr>
                <w:rFonts w:ascii="Calibri Light"/>
                <w:b w:val="0"/>
                <w:sz w:val="22"/>
              </w:rPr>
              <w:t>(16%)</w:t>
            </w:r>
          </w:p>
        </w:tc>
        <w:tc>
          <w:tcPr>
            <w:tcW w:w="1440" w:type="dxa"/>
          </w:tcPr>
          <w:p>
            <w:pPr>
              <w:pStyle w:val="TableParagraph"/>
              <w:spacing w:line="265" w:lineRule="exact"/>
              <w:ind w:left="348" w:right="348"/>
              <w:rPr>
                <w:rFonts w:ascii="Calibri Light"/>
                <w:b w:val="0"/>
                <w:sz w:val="22"/>
              </w:rPr>
            </w:pPr>
            <w:r>
              <w:rPr>
                <w:sz w:val="22"/>
              </w:rPr>
              <w:t>1 </w:t>
            </w:r>
            <w:r>
              <w:rPr>
                <w:rFonts w:ascii="Calibri Light"/>
                <w:b w:val="0"/>
                <w:sz w:val="22"/>
              </w:rPr>
              <w:t>(16%)</w:t>
            </w:r>
          </w:p>
        </w:tc>
      </w:tr>
      <w:tr>
        <w:trPr>
          <w:trHeight w:val="413" w:hRule="exact"/>
        </w:trPr>
        <w:tc>
          <w:tcPr>
            <w:tcW w:w="1189" w:type="dxa"/>
            <w:tcBorders>
              <w:right w:val="nil"/>
            </w:tcBorders>
          </w:tcPr>
          <w:p>
            <w:pPr>
              <w:pStyle w:val="TableParagraph"/>
              <w:spacing w:before="9"/>
              <w:ind w:right="58"/>
              <w:jc w:val="right"/>
              <w:rPr>
                <w:sz w:val="22"/>
              </w:rPr>
            </w:pPr>
            <w:r>
              <w:rPr>
                <w:sz w:val="22"/>
              </w:rPr>
              <w:t>Grupo</w:t>
            </w:r>
          </w:p>
        </w:tc>
        <w:tc>
          <w:tcPr>
            <w:tcW w:w="1886" w:type="dxa"/>
            <w:gridSpan w:val="2"/>
            <w:tcBorders>
              <w:left w:val="nil"/>
            </w:tcBorders>
          </w:tcPr>
          <w:p>
            <w:pPr>
              <w:pStyle w:val="TableParagraph"/>
              <w:spacing w:before="9"/>
              <w:ind w:left="60"/>
              <w:jc w:val="left"/>
              <w:rPr>
                <w:sz w:val="22"/>
              </w:rPr>
            </w:pPr>
            <w:r>
              <w:rPr>
                <w:sz w:val="22"/>
              </w:rPr>
              <w:t>de edad 4 (6)</w:t>
            </w:r>
          </w:p>
        </w:tc>
        <w:tc>
          <w:tcPr>
            <w:tcW w:w="1063" w:type="dxa"/>
          </w:tcPr>
          <w:p>
            <w:pPr>
              <w:pStyle w:val="TableParagraph"/>
              <w:spacing w:before="9"/>
              <w:ind w:right="2"/>
              <w:rPr>
                <w:sz w:val="22"/>
              </w:rPr>
            </w:pPr>
            <w:r>
              <w:rPr>
                <w:w w:val="100"/>
                <w:sz w:val="22"/>
              </w:rPr>
              <w:t>0</w:t>
            </w:r>
          </w:p>
        </w:tc>
        <w:tc>
          <w:tcPr>
            <w:tcW w:w="1066" w:type="dxa"/>
          </w:tcPr>
          <w:p>
            <w:pPr>
              <w:pStyle w:val="TableParagraph"/>
              <w:spacing w:line="265" w:lineRule="exact"/>
              <w:ind w:left="109" w:right="109"/>
              <w:rPr>
                <w:rFonts w:ascii="Calibri Light"/>
                <w:b w:val="0"/>
                <w:sz w:val="22"/>
              </w:rPr>
            </w:pPr>
            <w:r>
              <w:rPr>
                <w:sz w:val="22"/>
              </w:rPr>
              <w:t>2</w:t>
            </w:r>
            <w:r>
              <w:rPr>
                <w:rFonts w:ascii="Calibri Light"/>
                <w:b w:val="0"/>
                <w:sz w:val="22"/>
              </w:rPr>
              <w:t>(33.3%)</w:t>
            </w:r>
          </w:p>
        </w:tc>
        <w:tc>
          <w:tcPr>
            <w:tcW w:w="1313" w:type="dxa"/>
            <w:tcBorders>
              <w:right w:val="single" w:sz="41" w:space="0" w:color="2D74B5"/>
            </w:tcBorders>
          </w:tcPr>
          <w:p>
            <w:pPr>
              <w:pStyle w:val="TableParagraph"/>
              <w:spacing w:before="9"/>
              <w:ind w:left="46"/>
              <w:rPr>
                <w:sz w:val="22"/>
              </w:rPr>
            </w:pPr>
            <w:r>
              <w:rPr>
                <w:w w:val="100"/>
                <w:sz w:val="22"/>
              </w:rPr>
              <w:t>0</w:t>
            </w:r>
          </w:p>
        </w:tc>
        <w:tc>
          <w:tcPr>
            <w:tcW w:w="1441" w:type="dxa"/>
            <w:shd w:val="clear" w:color="auto" w:fill="2D74B5"/>
          </w:tcPr>
          <w:p>
            <w:pPr>
              <w:pStyle w:val="TableParagraph"/>
              <w:spacing w:line="265" w:lineRule="exact"/>
              <w:ind w:left="265" w:right="266"/>
              <w:rPr>
                <w:rFonts w:ascii="Calibri Light"/>
                <w:b w:val="0"/>
                <w:sz w:val="22"/>
              </w:rPr>
            </w:pPr>
            <w:r>
              <w:rPr>
                <w:sz w:val="22"/>
              </w:rPr>
              <w:t>4 </w:t>
            </w:r>
            <w:r>
              <w:rPr>
                <w:rFonts w:ascii="Calibri Light"/>
                <w:b w:val="0"/>
                <w:sz w:val="22"/>
              </w:rPr>
              <w:t>(66.6%)</w:t>
            </w:r>
          </w:p>
        </w:tc>
        <w:tc>
          <w:tcPr>
            <w:tcW w:w="1440" w:type="dxa"/>
            <w:tcBorders>
              <w:left w:val="single" w:sz="45" w:space="0" w:color="2D74B5"/>
            </w:tcBorders>
          </w:tcPr>
          <w:p>
            <w:pPr>
              <w:pStyle w:val="TableParagraph"/>
              <w:spacing w:before="9"/>
              <w:ind w:right="52"/>
              <w:rPr>
                <w:sz w:val="22"/>
              </w:rPr>
            </w:pPr>
            <w:r>
              <w:rPr>
                <w:w w:val="100"/>
                <w:sz w:val="22"/>
              </w:rPr>
              <w:t>0</w:t>
            </w:r>
          </w:p>
        </w:tc>
      </w:tr>
    </w:tbl>
    <w:p>
      <w:pPr>
        <w:spacing w:line="227" w:lineRule="exact" w:before="0"/>
        <w:ind w:left="1146" w:right="339" w:firstLine="0"/>
        <w:jc w:val="left"/>
        <w:rPr>
          <w:b/>
          <w:sz w:val="20"/>
        </w:rPr>
      </w:pPr>
      <w:r>
        <w:rPr>
          <w:b/>
          <w:sz w:val="20"/>
        </w:rPr>
        <w:t>Tabla 4.38. Técnico computacional apropiado; respuestas por grupo de edad</w:t>
      </w:r>
    </w:p>
    <w:p>
      <w:pPr>
        <w:pStyle w:val="BodyText"/>
        <w:spacing w:before="5"/>
        <w:rPr>
          <w:b/>
          <w:sz w:val="27"/>
        </w:rPr>
      </w:pPr>
    </w:p>
    <w:p>
      <w:pPr>
        <w:pStyle w:val="BodyText"/>
        <w:spacing w:line="360" w:lineRule="auto" w:before="1"/>
        <w:ind w:left="102" w:right="107" w:firstLine="707"/>
        <w:jc w:val="both"/>
      </w:pPr>
      <w:r>
        <w:rPr/>
        <w:t>El nivel de estudios que mayor afinidad tiene con la aseveración 13 es el básico, quienes</w:t>
      </w:r>
      <w:r>
        <w:rPr>
          <w:spacing w:val="-7"/>
        </w:rPr>
        <w:t> </w:t>
      </w:r>
      <w:r>
        <w:rPr/>
        <w:t>de</w:t>
      </w:r>
      <w:r>
        <w:rPr>
          <w:spacing w:val="-6"/>
        </w:rPr>
        <w:t> </w:t>
      </w:r>
      <w:r>
        <w:rPr/>
        <w:t>ocho</w:t>
      </w:r>
      <w:r>
        <w:rPr>
          <w:spacing w:val="-4"/>
        </w:rPr>
        <w:t> </w:t>
      </w:r>
      <w:r>
        <w:rPr/>
        <w:t>respuestas,</w:t>
      </w:r>
      <w:r>
        <w:rPr>
          <w:spacing w:val="-6"/>
        </w:rPr>
        <w:t> </w:t>
      </w:r>
      <w:r>
        <w:rPr/>
        <w:t>contestaron</w:t>
      </w:r>
      <w:r>
        <w:rPr>
          <w:spacing w:val="-6"/>
        </w:rPr>
        <w:t> </w:t>
      </w:r>
      <w:r>
        <w:rPr/>
        <w:t>cinco</w:t>
      </w:r>
      <w:r>
        <w:rPr>
          <w:spacing w:val="-4"/>
        </w:rPr>
        <w:t> </w:t>
      </w:r>
      <w:r>
        <w:rPr/>
        <w:t>en</w:t>
      </w:r>
      <w:r>
        <w:rPr>
          <w:spacing w:val="-4"/>
        </w:rPr>
        <w:t> </w:t>
      </w:r>
      <w:r>
        <w:rPr/>
        <w:t>“de</w:t>
      </w:r>
      <w:r>
        <w:rPr>
          <w:spacing w:val="-6"/>
        </w:rPr>
        <w:t> </w:t>
      </w:r>
      <w:r>
        <w:rPr/>
        <w:t>acuerdo” (ver</w:t>
      </w:r>
      <w:r>
        <w:rPr>
          <w:spacing w:val="-5"/>
        </w:rPr>
        <w:t> </w:t>
      </w:r>
      <w:r>
        <w:rPr/>
        <w:t>tabla</w:t>
      </w:r>
      <w:r>
        <w:rPr>
          <w:spacing w:val="-6"/>
        </w:rPr>
        <w:t> </w:t>
      </w:r>
      <w:r>
        <w:rPr/>
        <w:t>4.39).</w:t>
      </w:r>
      <w:r>
        <w:rPr>
          <w:spacing w:val="-6"/>
        </w:rPr>
        <w:t> </w:t>
      </w:r>
      <w:r>
        <w:rPr/>
        <w:t>Por</w:t>
      </w:r>
      <w:r>
        <w:rPr>
          <w:spacing w:val="-7"/>
        </w:rPr>
        <w:t> </w:t>
      </w:r>
      <w:r>
        <w:rPr/>
        <w:t>otro lado</w:t>
      </w:r>
      <w:r>
        <w:rPr>
          <w:spacing w:val="-8"/>
        </w:rPr>
        <w:t> </w:t>
      </w:r>
      <w:r>
        <w:rPr/>
        <w:t>el</w:t>
      </w:r>
      <w:r>
        <w:rPr>
          <w:spacing w:val="-10"/>
        </w:rPr>
        <w:t> </w:t>
      </w:r>
      <w:r>
        <w:rPr/>
        <w:t>nivel</w:t>
      </w:r>
      <w:r>
        <w:rPr>
          <w:spacing w:val="-10"/>
        </w:rPr>
        <w:t> </w:t>
      </w:r>
      <w:r>
        <w:rPr/>
        <w:t>medio</w:t>
      </w:r>
      <w:r>
        <w:rPr>
          <w:spacing w:val="-9"/>
        </w:rPr>
        <w:t> </w:t>
      </w:r>
      <w:r>
        <w:rPr/>
        <w:t>superior</w:t>
      </w:r>
      <w:r>
        <w:rPr>
          <w:spacing w:val="-10"/>
        </w:rPr>
        <w:t> </w:t>
      </w:r>
      <w:r>
        <w:rPr/>
        <w:t>muestra</w:t>
      </w:r>
      <w:r>
        <w:rPr>
          <w:spacing w:val="-9"/>
        </w:rPr>
        <w:t> </w:t>
      </w:r>
      <w:r>
        <w:rPr/>
        <w:t>tres</w:t>
      </w:r>
      <w:r>
        <w:rPr>
          <w:spacing w:val="-9"/>
        </w:rPr>
        <w:t> </w:t>
      </w:r>
      <w:r>
        <w:rPr/>
        <w:t>respuestas</w:t>
      </w:r>
      <w:r>
        <w:rPr>
          <w:spacing w:val="-12"/>
        </w:rPr>
        <w:t> </w:t>
      </w:r>
      <w:r>
        <w:rPr/>
        <w:t>de</w:t>
      </w:r>
      <w:r>
        <w:rPr>
          <w:spacing w:val="-8"/>
        </w:rPr>
        <w:t> </w:t>
      </w:r>
      <w:r>
        <w:rPr/>
        <w:t>ocho,</w:t>
      </w:r>
      <w:r>
        <w:rPr>
          <w:spacing w:val="-9"/>
        </w:rPr>
        <w:t> </w:t>
      </w:r>
      <w:r>
        <w:rPr/>
        <w:t>tanto</w:t>
      </w:r>
      <w:r>
        <w:rPr>
          <w:spacing w:val="-10"/>
        </w:rPr>
        <w:t> </w:t>
      </w:r>
      <w:r>
        <w:rPr/>
        <w:t>en</w:t>
      </w:r>
      <w:r>
        <w:rPr>
          <w:spacing w:val="-8"/>
        </w:rPr>
        <w:t> </w:t>
      </w:r>
      <w:r>
        <w:rPr/>
        <w:t>“indiferente”</w:t>
      </w:r>
      <w:r>
        <w:rPr>
          <w:spacing w:val="-10"/>
        </w:rPr>
        <w:t> </w:t>
      </w:r>
      <w:r>
        <w:rPr/>
        <w:t>como “en desacuerdo”, desfavoreciendo así, la presencia de anglicismos en las grabaciones. Finalmente,</w:t>
      </w:r>
      <w:r>
        <w:rPr>
          <w:spacing w:val="-14"/>
        </w:rPr>
        <w:t> </w:t>
      </w:r>
      <w:r>
        <w:rPr/>
        <w:t>la</w:t>
      </w:r>
      <w:r>
        <w:rPr>
          <w:spacing w:val="-14"/>
        </w:rPr>
        <w:t> </w:t>
      </w:r>
      <w:r>
        <w:rPr/>
        <w:t>mitad</w:t>
      </w:r>
      <w:r>
        <w:rPr>
          <w:spacing w:val="-14"/>
        </w:rPr>
        <w:t> </w:t>
      </w:r>
      <w:r>
        <w:rPr/>
        <w:t>de</w:t>
      </w:r>
      <w:r>
        <w:rPr>
          <w:spacing w:val="-14"/>
        </w:rPr>
        <w:t> </w:t>
      </w:r>
      <w:r>
        <w:rPr/>
        <w:t>las</w:t>
      </w:r>
      <w:r>
        <w:rPr>
          <w:spacing w:val="-14"/>
        </w:rPr>
        <w:t> </w:t>
      </w:r>
      <w:r>
        <w:rPr/>
        <w:t>repuestas</w:t>
      </w:r>
      <w:r>
        <w:rPr>
          <w:spacing w:val="-15"/>
        </w:rPr>
        <w:t> </w:t>
      </w:r>
      <w:r>
        <w:rPr/>
        <w:t>en</w:t>
      </w:r>
      <w:r>
        <w:rPr>
          <w:spacing w:val="-14"/>
        </w:rPr>
        <w:t> </w:t>
      </w:r>
      <w:r>
        <w:rPr/>
        <w:t>el</w:t>
      </w:r>
      <w:r>
        <w:rPr>
          <w:spacing w:val="-15"/>
        </w:rPr>
        <w:t> </w:t>
      </w:r>
      <w:r>
        <w:rPr/>
        <w:t>nivel</w:t>
      </w:r>
      <w:r>
        <w:rPr>
          <w:spacing w:val="-15"/>
        </w:rPr>
        <w:t> </w:t>
      </w:r>
      <w:r>
        <w:rPr/>
        <w:t>superior</w:t>
      </w:r>
      <w:r>
        <w:rPr>
          <w:spacing w:val="-16"/>
        </w:rPr>
        <w:t> </w:t>
      </w:r>
      <w:r>
        <w:rPr/>
        <w:t>manifiestan</w:t>
      </w:r>
      <w:r>
        <w:rPr>
          <w:spacing w:val="-14"/>
        </w:rPr>
        <w:t> </w:t>
      </w:r>
      <w:r>
        <w:rPr/>
        <w:t>el</w:t>
      </w:r>
      <w:r>
        <w:rPr>
          <w:spacing w:val="-15"/>
        </w:rPr>
        <w:t> </w:t>
      </w:r>
      <w:r>
        <w:rPr/>
        <w:t>“desacuerdo”</w:t>
      </w:r>
      <w:r>
        <w:rPr>
          <w:spacing w:val="-16"/>
        </w:rPr>
        <w:t> </w:t>
      </w:r>
      <w:r>
        <w:rPr/>
        <w:t>con lo que establece la</w:t>
      </w:r>
      <w:r>
        <w:rPr>
          <w:spacing w:val="-13"/>
        </w:rPr>
        <w:t> </w:t>
      </w:r>
      <w:r>
        <w:rPr/>
        <w:t>aseveración.</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8"/>
        <w:gridCol w:w="1366"/>
      </w:tblGrid>
      <w:tr>
        <w:trPr>
          <w:trHeight w:val="408"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13</w:t>
            </w:r>
          </w:p>
        </w:tc>
        <w:tc>
          <w:tcPr>
            <w:tcW w:w="1721" w:type="dxa"/>
            <w:vMerge w:val="restart"/>
          </w:tcPr>
          <w:p>
            <w:pPr>
              <w:pStyle w:val="TableParagraph"/>
              <w:spacing w:line="357" w:lineRule="auto" w:before="12"/>
              <w:ind w:left="218" w:right="220" w:firstLine="5"/>
              <w:rPr>
                <w:b/>
                <w:sz w:val="22"/>
              </w:rPr>
            </w:pPr>
            <w:r>
              <w:rPr>
                <w:sz w:val="22"/>
              </w:rPr>
              <w:t>Tipo de Aseveración: </w:t>
            </w:r>
            <w:r>
              <w:rPr>
                <w:b/>
                <w:sz w:val="22"/>
              </w:rPr>
              <w:t>Favorable</w:t>
            </w:r>
          </w:p>
        </w:tc>
        <w:tc>
          <w:tcPr>
            <w:tcW w:w="6249" w:type="dxa"/>
            <w:gridSpan w:val="5"/>
          </w:tcPr>
          <w:p>
            <w:pPr>
              <w:pStyle w:val="TableParagraph"/>
              <w:spacing w:before="7"/>
              <w:ind w:left="2517" w:right="2517"/>
              <w:rPr>
                <w:sz w:val="22"/>
              </w:rPr>
            </w:pPr>
            <w:r>
              <w:rPr>
                <w:sz w:val="22"/>
              </w:rPr>
              <w:t>Respuestas</w:t>
            </w:r>
          </w:p>
        </w:tc>
      </w:tr>
      <w:tr>
        <w:trPr>
          <w:trHeight w:val="768" w:hRule="exact"/>
        </w:trPr>
        <w:tc>
          <w:tcPr>
            <w:tcW w:w="1428" w:type="dxa"/>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9" w:type="dxa"/>
            <w:gridSpan w:val="2"/>
          </w:tcPr>
          <w:p>
            <w:pPr>
              <w:pStyle w:val="TableParagraph"/>
              <w:spacing w:before="9"/>
              <w:ind w:left="799"/>
              <w:jc w:val="left"/>
              <w:rPr>
                <w:sz w:val="22"/>
              </w:rPr>
            </w:pPr>
            <w:r>
              <w:rPr>
                <w:sz w:val="22"/>
              </w:rPr>
              <w:t>Nivel Básico (8)</w:t>
            </w:r>
          </w:p>
        </w:tc>
        <w:tc>
          <w:tcPr>
            <w:tcW w:w="1150" w:type="dxa"/>
            <w:tcBorders>
              <w:right w:val="single" w:sz="41" w:space="0" w:color="2D74B5"/>
            </w:tcBorders>
          </w:tcPr>
          <w:p>
            <w:pPr>
              <w:pStyle w:val="TableParagraph"/>
              <w:spacing w:before="9"/>
              <w:ind w:left="41"/>
              <w:rPr>
                <w:sz w:val="22"/>
              </w:rPr>
            </w:pPr>
            <w:r>
              <w:rPr>
                <w:w w:val="100"/>
                <w:sz w:val="22"/>
              </w:rPr>
              <w:t>0</w:t>
            </w:r>
          </w:p>
        </w:tc>
        <w:tc>
          <w:tcPr>
            <w:tcW w:w="1121" w:type="dxa"/>
            <w:shd w:val="clear" w:color="auto" w:fill="2D74B5"/>
          </w:tcPr>
          <w:p>
            <w:pPr>
              <w:pStyle w:val="TableParagraph"/>
              <w:spacing w:line="265" w:lineRule="exact"/>
              <w:ind w:left="85" w:right="86"/>
              <w:rPr>
                <w:rFonts w:ascii="Calibri Light"/>
                <w:b w:val="0"/>
                <w:sz w:val="22"/>
              </w:rPr>
            </w:pPr>
            <w:r>
              <w:rPr>
                <w:sz w:val="22"/>
              </w:rPr>
              <w:t>5 </w:t>
            </w:r>
            <w:r>
              <w:rPr>
                <w:rFonts w:ascii="Calibri Light"/>
                <w:b w:val="0"/>
                <w:sz w:val="22"/>
              </w:rPr>
              <w:t>(62.5%)</w:t>
            </w:r>
          </w:p>
        </w:tc>
        <w:tc>
          <w:tcPr>
            <w:tcW w:w="1244" w:type="dxa"/>
            <w:tcBorders>
              <w:left w:val="single" w:sz="45" w:space="0" w:color="2D74B5"/>
            </w:tcBorders>
          </w:tcPr>
          <w:p>
            <w:pPr>
              <w:pStyle w:val="TableParagraph"/>
              <w:spacing w:line="265" w:lineRule="exact"/>
              <w:ind w:left="110" w:right="161"/>
              <w:rPr>
                <w:rFonts w:ascii="Calibri Light"/>
                <w:b w:val="0"/>
                <w:sz w:val="22"/>
              </w:rPr>
            </w:pPr>
            <w:r>
              <w:rPr>
                <w:sz w:val="22"/>
              </w:rPr>
              <w:t>2 </w:t>
            </w:r>
            <w:r>
              <w:rPr>
                <w:rFonts w:ascii="Calibri Light"/>
                <w:b w:val="0"/>
                <w:sz w:val="22"/>
              </w:rPr>
              <w:t>(25%)</w:t>
            </w:r>
          </w:p>
        </w:tc>
        <w:tc>
          <w:tcPr>
            <w:tcW w:w="1368" w:type="dxa"/>
          </w:tcPr>
          <w:p>
            <w:pPr>
              <w:pStyle w:val="TableParagraph"/>
              <w:spacing w:line="265" w:lineRule="exact"/>
              <w:ind w:left="222" w:right="224"/>
              <w:rPr>
                <w:rFonts w:ascii="Calibri Light"/>
                <w:b w:val="0"/>
                <w:sz w:val="22"/>
              </w:rPr>
            </w:pPr>
            <w:r>
              <w:rPr>
                <w:sz w:val="22"/>
              </w:rPr>
              <w:t>1 </w:t>
            </w:r>
            <w:r>
              <w:rPr>
                <w:rFonts w:ascii="Calibri Light"/>
                <w:b w:val="0"/>
                <w:sz w:val="22"/>
              </w:rPr>
              <w:t>(12.5%)</w:t>
            </w:r>
          </w:p>
        </w:tc>
        <w:tc>
          <w:tcPr>
            <w:tcW w:w="1366" w:type="dxa"/>
          </w:tcPr>
          <w:p>
            <w:pPr>
              <w:pStyle w:val="TableParagraph"/>
              <w:spacing w:before="9"/>
              <w:ind w:right="2"/>
              <w:rPr>
                <w:sz w:val="22"/>
              </w:rPr>
            </w:pPr>
            <w:r>
              <w:rPr>
                <w:w w:val="100"/>
                <w:sz w:val="22"/>
              </w:rPr>
              <w:t>0</w:t>
            </w:r>
          </w:p>
        </w:tc>
      </w:tr>
      <w:tr>
        <w:trPr>
          <w:trHeight w:val="413" w:hRule="exact"/>
        </w:trPr>
        <w:tc>
          <w:tcPr>
            <w:tcW w:w="3149" w:type="dxa"/>
            <w:gridSpan w:val="2"/>
          </w:tcPr>
          <w:p>
            <w:pPr>
              <w:pStyle w:val="TableParagraph"/>
              <w:spacing w:before="9"/>
              <w:ind w:left="383"/>
              <w:jc w:val="left"/>
              <w:rPr>
                <w:sz w:val="22"/>
              </w:rPr>
            </w:pPr>
            <w:r>
              <w:rPr>
                <w:sz w:val="22"/>
              </w:rPr>
              <w:t>Nivel Medio Superior (8)</w:t>
            </w:r>
          </w:p>
        </w:tc>
        <w:tc>
          <w:tcPr>
            <w:tcW w:w="1150" w:type="dxa"/>
          </w:tcPr>
          <w:p>
            <w:pPr>
              <w:pStyle w:val="TableParagraph"/>
              <w:spacing w:before="9"/>
              <w:ind w:right="2"/>
              <w:rPr>
                <w:sz w:val="22"/>
              </w:rPr>
            </w:pPr>
            <w:r>
              <w:rPr>
                <w:w w:val="100"/>
                <w:sz w:val="22"/>
              </w:rPr>
              <w:t>0</w:t>
            </w:r>
          </w:p>
        </w:tc>
        <w:tc>
          <w:tcPr>
            <w:tcW w:w="1121" w:type="dxa"/>
            <w:tcBorders>
              <w:right w:val="single" w:sz="41" w:space="0" w:color="9CC2E4"/>
            </w:tcBorders>
          </w:tcPr>
          <w:p>
            <w:pPr>
              <w:pStyle w:val="TableParagraph"/>
              <w:spacing w:line="265" w:lineRule="exact"/>
              <w:ind w:left="102" w:right="60"/>
              <w:rPr>
                <w:rFonts w:ascii="Calibri Light"/>
                <w:b w:val="0"/>
                <w:sz w:val="22"/>
              </w:rPr>
            </w:pPr>
            <w:r>
              <w:rPr>
                <w:sz w:val="22"/>
              </w:rPr>
              <w:t>2 </w:t>
            </w:r>
            <w:r>
              <w:rPr>
                <w:rFonts w:ascii="Calibri Light"/>
                <w:b w:val="0"/>
                <w:sz w:val="22"/>
              </w:rPr>
              <w:t>(25%)</w:t>
            </w:r>
          </w:p>
        </w:tc>
        <w:tc>
          <w:tcPr>
            <w:tcW w:w="1244" w:type="dxa"/>
            <w:shd w:val="clear" w:color="auto" w:fill="9CC2E4"/>
          </w:tcPr>
          <w:p>
            <w:pPr>
              <w:pStyle w:val="TableParagraph"/>
              <w:spacing w:line="265" w:lineRule="exact"/>
              <w:ind w:left="82" w:right="82"/>
              <w:rPr>
                <w:rFonts w:ascii="Calibri Light"/>
                <w:b w:val="0"/>
                <w:sz w:val="22"/>
              </w:rPr>
            </w:pPr>
            <w:r>
              <w:rPr>
                <w:sz w:val="22"/>
              </w:rPr>
              <w:t>3 </w:t>
            </w:r>
            <w:r>
              <w:rPr>
                <w:rFonts w:ascii="Calibri Light"/>
                <w:b w:val="0"/>
                <w:sz w:val="22"/>
              </w:rPr>
              <w:t>(37.5%)</w:t>
            </w:r>
          </w:p>
        </w:tc>
        <w:tc>
          <w:tcPr>
            <w:tcW w:w="1368" w:type="dxa"/>
            <w:shd w:val="clear" w:color="auto" w:fill="9CC2E4"/>
          </w:tcPr>
          <w:p>
            <w:pPr>
              <w:pStyle w:val="TableParagraph"/>
              <w:spacing w:line="265" w:lineRule="exact"/>
              <w:ind w:left="222" w:right="224"/>
              <w:rPr>
                <w:rFonts w:ascii="Calibri Light"/>
                <w:b w:val="0"/>
                <w:sz w:val="22"/>
              </w:rPr>
            </w:pPr>
            <w:r>
              <w:rPr>
                <w:sz w:val="22"/>
              </w:rPr>
              <w:t>3 </w:t>
            </w:r>
            <w:r>
              <w:rPr>
                <w:rFonts w:ascii="Calibri Light"/>
                <w:b w:val="0"/>
                <w:sz w:val="22"/>
              </w:rPr>
              <w:t>(37.5%)</w:t>
            </w:r>
          </w:p>
        </w:tc>
        <w:tc>
          <w:tcPr>
            <w:tcW w:w="1366" w:type="dxa"/>
            <w:tcBorders>
              <w:left w:val="thickThinMediumGap" w:sz="23" w:space="0" w:color="9CC2E4"/>
            </w:tcBorders>
          </w:tcPr>
          <w:p>
            <w:pPr>
              <w:pStyle w:val="TableParagraph"/>
              <w:spacing w:before="9"/>
              <w:ind w:right="55"/>
              <w:rPr>
                <w:sz w:val="22"/>
              </w:rPr>
            </w:pPr>
            <w:r>
              <w:rPr>
                <w:w w:val="100"/>
                <w:sz w:val="22"/>
              </w:rPr>
              <w:t>0</w:t>
            </w:r>
          </w:p>
        </w:tc>
      </w:tr>
      <w:tr>
        <w:trPr>
          <w:trHeight w:val="413" w:hRule="exact"/>
        </w:trPr>
        <w:tc>
          <w:tcPr>
            <w:tcW w:w="3149" w:type="dxa"/>
            <w:gridSpan w:val="2"/>
          </w:tcPr>
          <w:p>
            <w:pPr>
              <w:pStyle w:val="TableParagraph"/>
              <w:spacing w:before="9"/>
              <w:ind w:left="712"/>
              <w:jc w:val="left"/>
              <w:rPr>
                <w:sz w:val="22"/>
              </w:rPr>
            </w:pPr>
            <w:r>
              <w:rPr>
                <w:sz w:val="22"/>
              </w:rPr>
              <w:t>Nivel Superior (8)</w:t>
            </w:r>
          </w:p>
        </w:tc>
        <w:tc>
          <w:tcPr>
            <w:tcW w:w="1150" w:type="dxa"/>
          </w:tcPr>
          <w:p>
            <w:pPr>
              <w:pStyle w:val="TableParagraph"/>
              <w:spacing w:line="265" w:lineRule="exact"/>
              <w:ind w:left="118" w:right="120"/>
              <w:rPr>
                <w:rFonts w:ascii="Calibri Light"/>
                <w:b w:val="0"/>
                <w:sz w:val="22"/>
              </w:rPr>
            </w:pPr>
            <w:r>
              <w:rPr>
                <w:sz w:val="22"/>
              </w:rPr>
              <w:t>2 </w:t>
            </w:r>
            <w:r>
              <w:rPr>
                <w:rFonts w:ascii="Calibri Light"/>
                <w:b w:val="0"/>
                <w:sz w:val="22"/>
              </w:rPr>
              <w:t>(25%)</w:t>
            </w:r>
          </w:p>
        </w:tc>
        <w:tc>
          <w:tcPr>
            <w:tcW w:w="1121" w:type="dxa"/>
          </w:tcPr>
          <w:p>
            <w:pPr>
              <w:pStyle w:val="TableParagraph"/>
              <w:spacing w:line="265" w:lineRule="exact"/>
              <w:ind w:left="85" w:right="86"/>
              <w:rPr>
                <w:rFonts w:ascii="Calibri Light"/>
                <w:b w:val="0"/>
                <w:sz w:val="22"/>
              </w:rPr>
            </w:pPr>
            <w:r>
              <w:rPr>
                <w:sz w:val="22"/>
              </w:rPr>
              <w:t>1 </w:t>
            </w:r>
            <w:r>
              <w:rPr>
                <w:rFonts w:ascii="Calibri Light"/>
                <w:b w:val="0"/>
                <w:sz w:val="22"/>
              </w:rPr>
              <w:t>(12.5%)</w:t>
            </w:r>
          </w:p>
        </w:tc>
        <w:tc>
          <w:tcPr>
            <w:tcW w:w="1244" w:type="dxa"/>
            <w:tcBorders>
              <w:right w:val="single" w:sz="41" w:space="0" w:color="2D74B5"/>
            </w:tcBorders>
          </w:tcPr>
          <w:p>
            <w:pPr>
              <w:pStyle w:val="TableParagraph"/>
              <w:spacing w:before="9"/>
              <w:ind w:left="44"/>
              <w:rPr>
                <w:sz w:val="22"/>
              </w:rPr>
            </w:pPr>
            <w:r>
              <w:rPr>
                <w:w w:val="100"/>
                <w:sz w:val="22"/>
              </w:rPr>
              <w:t>0</w:t>
            </w:r>
          </w:p>
        </w:tc>
        <w:tc>
          <w:tcPr>
            <w:tcW w:w="1368" w:type="dxa"/>
            <w:shd w:val="clear" w:color="auto" w:fill="2D74B5"/>
          </w:tcPr>
          <w:p>
            <w:pPr>
              <w:pStyle w:val="TableParagraph"/>
              <w:spacing w:line="265" w:lineRule="exact"/>
              <w:ind w:left="223" w:right="224"/>
              <w:rPr>
                <w:rFonts w:ascii="Calibri Light"/>
                <w:b w:val="0"/>
                <w:sz w:val="22"/>
              </w:rPr>
            </w:pPr>
            <w:r>
              <w:rPr>
                <w:sz w:val="22"/>
              </w:rPr>
              <w:t>4 </w:t>
            </w:r>
            <w:r>
              <w:rPr>
                <w:rFonts w:ascii="Calibri Light"/>
                <w:b w:val="0"/>
                <w:sz w:val="22"/>
              </w:rPr>
              <w:t>(50%)</w:t>
            </w:r>
          </w:p>
        </w:tc>
        <w:tc>
          <w:tcPr>
            <w:tcW w:w="1366" w:type="dxa"/>
            <w:tcBorders>
              <w:left w:val="thickThinMediumGap" w:sz="23" w:space="0" w:color="2D74B5"/>
            </w:tcBorders>
          </w:tcPr>
          <w:p>
            <w:pPr>
              <w:pStyle w:val="TableParagraph"/>
              <w:spacing w:line="265" w:lineRule="exact"/>
              <w:ind w:left="173" w:right="230"/>
              <w:rPr>
                <w:rFonts w:ascii="Calibri Light"/>
                <w:b w:val="0"/>
                <w:sz w:val="22"/>
              </w:rPr>
            </w:pPr>
            <w:r>
              <w:rPr>
                <w:sz w:val="22"/>
              </w:rPr>
              <w:t>1 </w:t>
            </w:r>
            <w:r>
              <w:rPr>
                <w:rFonts w:ascii="Calibri Light"/>
                <w:b w:val="0"/>
                <w:sz w:val="22"/>
              </w:rPr>
              <w:t>(12.5%)</w:t>
            </w:r>
          </w:p>
        </w:tc>
      </w:tr>
    </w:tbl>
    <w:p>
      <w:pPr>
        <w:spacing w:line="227" w:lineRule="exact" w:before="0"/>
        <w:ind w:left="1026" w:right="339" w:firstLine="0"/>
        <w:jc w:val="left"/>
        <w:rPr>
          <w:b/>
          <w:sz w:val="20"/>
        </w:rPr>
      </w:pPr>
      <w:r>
        <w:rPr>
          <w:b/>
          <w:sz w:val="20"/>
        </w:rPr>
        <w:t>Tabla 4.39. Técnico computacional apropiado; respuestas por nivel de estudios</w:t>
      </w:r>
    </w:p>
    <w:p>
      <w:pPr>
        <w:pStyle w:val="BodyText"/>
        <w:spacing w:before="7"/>
        <w:rPr>
          <w:b/>
          <w:sz w:val="27"/>
        </w:rPr>
      </w:pPr>
    </w:p>
    <w:p>
      <w:pPr>
        <w:spacing w:line="360" w:lineRule="auto" w:before="0"/>
        <w:ind w:left="102" w:right="110" w:firstLine="707"/>
        <w:jc w:val="both"/>
        <w:rPr>
          <w:sz w:val="24"/>
        </w:rPr>
      </w:pPr>
      <w:r>
        <w:rPr>
          <w:sz w:val="24"/>
        </w:rPr>
        <w:t>La</w:t>
      </w:r>
      <w:r>
        <w:rPr>
          <w:spacing w:val="-8"/>
          <w:sz w:val="24"/>
        </w:rPr>
        <w:t> </w:t>
      </w:r>
      <w:r>
        <w:rPr>
          <w:sz w:val="24"/>
        </w:rPr>
        <w:t>aseveración</w:t>
      </w:r>
      <w:r>
        <w:rPr>
          <w:spacing w:val="-6"/>
          <w:sz w:val="24"/>
        </w:rPr>
        <w:t> </w:t>
      </w:r>
      <w:r>
        <w:rPr>
          <w:b/>
          <w:sz w:val="24"/>
        </w:rPr>
        <w:t>“Si</w:t>
      </w:r>
      <w:r>
        <w:rPr>
          <w:b/>
          <w:spacing w:val="-9"/>
          <w:sz w:val="24"/>
        </w:rPr>
        <w:t> </w:t>
      </w:r>
      <w:r>
        <w:rPr>
          <w:b/>
          <w:sz w:val="24"/>
        </w:rPr>
        <w:t>en</w:t>
      </w:r>
      <w:r>
        <w:rPr>
          <w:b/>
          <w:spacing w:val="-9"/>
          <w:sz w:val="24"/>
        </w:rPr>
        <w:t> </w:t>
      </w:r>
      <w:r>
        <w:rPr>
          <w:b/>
          <w:sz w:val="24"/>
        </w:rPr>
        <w:t>un</w:t>
      </w:r>
      <w:r>
        <w:rPr>
          <w:b/>
          <w:spacing w:val="-7"/>
          <w:sz w:val="24"/>
        </w:rPr>
        <w:t> </w:t>
      </w:r>
      <w:r>
        <w:rPr>
          <w:b/>
          <w:sz w:val="24"/>
        </w:rPr>
        <w:t>anuncio</w:t>
      </w:r>
      <w:r>
        <w:rPr>
          <w:b/>
          <w:spacing w:val="-7"/>
          <w:sz w:val="24"/>
        </w:rPr>
        <w:t> </w:t>
      </w:r>
      <w:r>
        <w:rPr>
          <w:b/>
          <w:sz w:val="24"/>
        </w:rPr>
        <w:t>publicitario</w:t>
      </w:r>
      <w:r>
        <w:rPr>
          <w:b/>
          <w:spacing w:val="-6"/>
          <w:sz w:val="24"/>
        </w:rPr>
        <w:t> </w:t>
      </w:r>
      <w:r>
        <w:rPr>
          <w:b/>
          <w:sz w:val="24"/>
        </w:rPr>
        <w:t>se</w:t>
      </w:r>
      <w:r>
        <w:rPr>
          <w:b/>
          <w:spacing w:val="-8"/>
          <w:sz w:val="24"/>
        </w:rPr>
        <w:t> </w:t>
      </w:r>
      <w:r>
        <w:rPr>
          <w:b/>
          <w:sz w:val="24"/>
        </w:rPr>
        <w:t>dirigieran</w:t>
      </w:r>
      <w:r>
        <w:rPr>
          <w:b/>
          <w:spacing w:val="-9"/>
          <w:sz w:val="24"/>
        </w:rPr>
        <w:t> </w:t>
      </w:r>
      <w:r>
        <w:rPr>
          <w:b/>
          <w:sz w:val="24"/>
        </w:rPr>
        <w:t>al</w:t>
      </w:r>
      <w:r>
        <w:rPr>
          <w:b/>
          <w:spacing w:val="-9"/>
          <w:sz w:val="24"/>
        </w:rPr>
        <w:t> </w:t>
      </w:r>
      <w:r>
        <w:rPr>
          <w:b/>
          <w:sz w:val="24"/>
        </w:rPr>
        <w:t>público</w:t>
      </w:r>
      <w:r>
        <w:rPr>
          <w:b/>
          <w:spacing w:val="-9"/>
          <w:sz w:val="24"/>
        </w:rPr>
        <w:t> </w:t>
      </w:r>
      <w:r>
        <w:rPr>
          <w:b/>
          <w:sz w:val="24"/>
        </w:rPr>
        <w:t>como</w:t>
      </w:r>
      <w:r>
        <w:rPr>
          <w:b/>
          <w:spacing w:val="-7"/>
          <w:sz w:val="24"/>
        </w:rPr>
        <w:t> </w:t>
      </w:r>
      <w:r>
        <w:rPr>
          <w:b/>
          <w:sz w:val="24"/>
        </w:rPr>
        <w:t>lo hacen en la grabación, el negocio adquiriría fama”</w:t>
      </w:r>
      <w:r>
        <w:rPr>
          <w:sz w:val="24"/>
        </w:rPr>
        <w:t>, que es el reactivo número 14 en el cuestionario, es del tipo desfavorable </w:t>
      </w:r>
      <w:r>
        <w:rPr>
          <w:spacing w:val="2"/>
          <w:sz w:val="24"/>
        </w:rPr>
        <w:t>al </w:t>
      </w:r>
      <w:r>
        <w:rPr>
          <w:sz w:val="24"/>
        </w:rPr>
        <w:t>uso de</w:t>
      </w:r>
      <w:r>
        <w:rPr>
          <w:spacing w:val="-25"/>
          <w:sz w:val="24"/>
        </w:rPr>
        <w:t> </w:t>
      </w:r>
      <w:r>
        <w:rPr>
          <w:sz w:val="24"/>
        </w:rPr>
        <w:t>anglicismos.</w:t>
      </w:r>
    </w:p>
    <w:p>
      <w:pPr>
        <w:pStyle w:val="BodyText"/>
        <w:spacing w:line="360" w:lineRule="auto" w:before="205"/>
        <w:ind w:left="102" w:right="108" w:firstLine="707"/>
        <w:jc w:val="both"/>
      </w:pPr>
      <w:r>
        <w:rPr/>
        <w:t>En</w:t>
      </w:r>
      <w:r>
        <w:rPr>
          <w:spacing w:val="-4"/>
        </w:rPr>
        <w:t> </w:t>
      </w:r>
      <w:r>
        <w:rPr/>
        <w:t>la</w:t>
      </w:r>
      <w:r>
        <w:rPr>
          <w:spacing w:val="-6"/>
        </w:rPr>
        <w:t> </w:t>
      </w:r>
      <w:r>
        <w:rPr/>
        <w:t>totalidad</w:t>
      </w:r>
      <w:r>
        <w:rPr>
          <w:spacing w:val="-6"/>
        </w:rPr>
        <w:t> </w:t>
      </w:r>
      <w:r>
        <w:rPr/>
        <w:t>de</w:t>
      </w:r>
      <w:r>
        <w:rPr>
          <w:spacing w:val="-6"/>
        </w:rPr>
        <w:t> </w:t>
      </w:r>
      <w:r>
        <w:rPr/>
        <w:t>la</w:t>
      </w:r>
      <w:r>
        <w:rPr>
          <w:spacing w:val="-6"/>
        </w:rPr>
        <w:t> </w:t>
      </w:r>
      <w:r>
        <w:rPr/>
        <w:t>población</w:t>
      </w:r>
      <w:r>
        <w:rPr>
          <w:spacing w:val="-6"/>
        </w:rPr>
        <w:t> </w:t>
      </w:r>
      <w:r>
        <w:rPr/>
        <w:t>se</w:t>
      </w:r>
      <w:r>
        <w:rPr>
          <w:spacing w:val="-6"/>
        </w:rPr>
        <w:t> </w:t>
      </w:r>
      <w:r>
        <w:rPr/>
        <w:t>pudo</w:t>
      </w:r>
      <w:r>
        <w:rPr>
          <w:spacing w:val="-6"/>
        </w:rPr>
        <w:t> </w:t>
      </w:r>
      <w:r>
        <w:rPr/>
        <w:t>apreciar</w:t>
      </w:r>
      <w:r>
        <w:rPr>
          <w:spacing w:val="-5"/>
        </w:rPr>
        <w:t> </w:t>
      </w:r>
      <w:r>
        <w:rPr/>
        <w:t>en</w:t>
      </w:r>
      <w:r>
        <w:rPr>
          <w:spacing w:val="-6"/>
        </w:rPr>
        <w:t> </w:t>
      </w:r>
      <w:r>
        <w:rPr/>
        <w:t>esta</w:t>
      </w:r>
      <w:r>
        <w:rPr>
          <w:spacing w:val="-6"/>
        </w:rPr>
        <w:t> </w:t>
      </w:r>
      <w:r>
        <w:rPr/>
        <w:t>aseveración</w:t>
      </w:r>
      <w:r>
        <w:rPr>
          <w:spacing w:val="-6"/>
        </w:rPr>
        <w:t> </w:t>
      </w:r>
      <w:r>
        <w:rPr/>
        <w:t>que</w:t>
      </w:r>
      <w:r>
        <w:rPr>
          <w:spacing w:val="-6"/>
        </w:rPr>
        <w:t> </w:t>
      </w:r>
      <w:r>
        <w:rPr/>
        <w:t>el</w:t>
      </w:r>
      <w:r>
        <w:rPr>
          <w:spacing w:val="-5"/>
        </w:rPr>
        <w:t> </w:t>
      </w:r>
      <w:r>
        <w:rPr/>
        <w:t>37.5% de respuestas fueron “de acuerdo”, el 25% “en desacuerdo”, y el 20.8% “indiferente”, lo cual indica que los sujetos se encuentran a favor de la grabación sin anglicismos (ver tabla</w:t>
      </w:r>
      <w:r>
        <w:rPr>
          <w:spacing w:val="43"/>
        </w:rPr>
        <w:t> </w:t>
      </w:r>
      <w:r>
        <w:rPr/>
        <w:t>4.40.).</w:t>
      </w:r>
      <w:r>
        <w:rPr>
          <w:spacing w:val="43"/>
        </w:rPr>
        <w:t> </w:t>
      </w:r>
      <w:r>
        <w:rPr/>
        <w:t>En</w:t>
      </w:r>
      <w:r>
        <w:rPr>
          <w:spacing w:val="46"/>
        </w:rPr>
        <w:t> </w:t>
      </w:r>
      <w:r>
        <w:rPr/>
        <w:t>cuanto</w:t>
      </w:r>
      <w:r>
        <w:rPr>
          <w:spacing w:val="46"/>
        </w:rPr>
        <w:t> </w:t>
      </w:r>
      <w:r>
        <w:rPr/>
        <w:t>a</w:t>
      </w:r>
      <w:r>
        <w:rPr>
          <w:spacing w:val="44"/>
        </w:rPr>
        <w:t> </w:t>
      </w:r>
      <w:r>
        <w:rPr/>
        <w:t>las</w:t>
      </w:r>
      <w:r>
        <w:rPr>
          <w:spacing w:val="43"/>
        </w:rPr>
        <w:t> </w:t>
      </w:r>
      <w:r>
        <w:rPr/>
        <w:t>mujeres,</w:t>
      </w:r>
      <w:r>
        <w:rPr>
          <w:spacing w:val="46"/>
        </w:rPr>
        <w:t> </w:t>
      </w:r>
      <w:r>
        <w:rPr/>
        <w:t>siete</w:t>
      </w:r>
      <w:r>
        <w:rPr>
          <w:spacing w:val="46"/>
        </w:rPr>
        <w:t> </w:t>
      </w:r>
      <w:r>
        <w:rPr/>
        <w:t>de</w:t>
      </w:r>
      <w:r>
        <w:rPr>
          <w:spacing w:val="46"/>
        </w:rPr>
        <w:t> </w:t>
      </w:r>
      <w:r>
        <w:rPr/>
        <w:t>doce</w:t>
      </w:r>
      <w:r>
        <w:rPr>
          <w:spacing w:val="46"/>
        </w:rPr>
        <w:t> </w:t>
      </w:r>
      <w:r>
        <w:rPr/>
        <w:t>se</w:t>
      </w:r>
      <w:r>
        <w:rPr>
          <w:spacing w:val="43"/>
        </w:rPr>
        <w:t> </w:t>
      </w:r>
      <w:r>
        <w:rPr/>
        <w:t>encuentran</w:t>
      </w:r>
      <w:r>
        <w:rPr>
          <w:spacing w:val="46"/>
        </w:rPr>
        <w:t> </w:t>
      </w:r>
      <w:r>
        <w:rPr/>
        <w:t>“de</w:t>
      </w:r>
      <w:r>
        <w:rPr>
          <w:spacing w:val="46"/>
        </w:rPr>
        <w:t> </w:t>
      </w:r>
      <w:r>
        <w:rPr/>
        <w:t>acuerdo”</w:t>
      </w:r>
      <w:r>
        <w:rPr>
          <w:spacing w:val="42"/>
        </w:rPr>
        <w:t> </w:t>
      </w:r>
      <w:r>
        <w:rPr/>
        <w:t>al</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26"/>
      </w:pPr>
      <w:r>
        <w:rPr/>
        <w:t>contrario de los hombres, en cuyo caso, el 33.3% está “en desacuerdo” y otro 33.3% es “indiferente” a la aseveración.</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8"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14</w:t>
            </w:r>
          </w:p>
        </w:tc>
        <w:tc>
          <w:tcPr>
            <w:tcW w:w="1724" w:type="dxa"/>
            <w:vMerge w:val="restart"/>
          </w:tcPr>
          <w:p>
            <w:pPr>
              <w:pStyle w:val="TableParagraph"/>
              <w:spacing w:line="357" w:lineRule="auto" w:before="12"/>
              <w:ind w:left="163" w:right="166" w:firstLine="4"/>
              <w:rPr>
                <w:b/>
                <w:sz w:val="22"/>
              </w:rPr>
            </w:pPr>
            <w:r>
              <w:rPr>
                <w:sz w:val="22"/>
              </w:rPr>
              <w:t>Tipo de Aseveración: </w:t>
            </w:r>
            <w:r>
              <w:rPr>
                <w:b/>
                <w:sz w:val="22"/>
              </w:rPr>
              <w:t>Desfavorable</w:t>
            </w:r>
          </w:p>
        </w:tc>
        <w:tc>
          <w:tcPr>
            <w:tcW w:w="6246" w:type="dxa"/>
            <w:gridSpan w:val="5"/>
          </w:tcPr>
          <w:p>
            <w:pPr>
              <w:pStyle w:val="TableParagraph"/>
              <w:spacing w:before="7"/>
              <w:ind w:left="2516" w:right="2516"/>
              <w:rPr>
                <w:sz w:val="22"/>
              </w:rPr>
            </w:pPr>
            <w:r>
              <w:rPr>
                <w:sz w:val="22"/>
              </w:rPr>
              <w:t>Respuestas</w:t>
            </w:r>
          </w:p>
        </w:tc>
      </w:tr>
      <w:tr>
        <w:trPr>
          <w:trHeight w:val="768"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Pr>
          <w:p>
            <w:pPr>
              <w:pStyle w:val="TableParagraph"/>
              <w:spacing w:before="9"/>
              <w:ind w:left="326"/>
              <w:jc w:val="left"/>
              <w:rPr>
                <w:sz w:val="22"/>
              </w:rPr>
            </w:pPr>
            <w:r>
              <w:rPr>
                <w:sz w:val="22"/>
              </w:rPr>
              <w:t>Total de la población (24)</w:t>
            </w:r>
          </w:p>
        </w:tc>
        <w:tc>
          <w:tcPr>
            <w:tcW w:w="1148" w:type="dxa"/>
          </w:tcPr>
          <w:p>
            <w:pPr>
              <w:pStyle w:val="TableParagraph"/>
              <w:spacing w:line="265" w:lineRule="exact"/>
              <w:ind w:left="117" w:right="119"/>
              <w:rPr>
                <w:rFonts w:ascii="Calibri Light"/>
                <w:b w:val="0"/>
                <w:sz w:val="22"/>
              </w:rPr>
            </w:pPr>
            <w:r>
              <w:rPr>
                <w:sz w:val="22"/>
              </w:rPr>
              <w:t>3 </w:t>
            </w:r>
            <w:r>
              <w:rPr>
                <w:rFonts w:ascii="Calibri Light"/>
                <w:b w:val="0"/>
                <w:sz w:val="22"/>
              </w:rPr>
              <w:t>(12.5%)</w:t>
            </w:r>
          </w:p>
        </w:tc>
        <w:tc>
          <w:tcPr>
            <w:tcW w:w="1121" w:type="dxa"/>
            <w:shd w:val="clear" w:color="auto" w:fill="2D74B5"/>
          </w:tcPr>
          <w:p>
            <w:pPr>
              <w:pStyle w:val="TableParagraph"/>
              <w:spacing w:line="265" w:lineRule="exact"/>
              <w:ind w:left="85" w:right="86"/>
              <w:rPr>
                <w:rFonts w:ascii="Calibri Light"/>
                <w:b w:val="0"/>
                <w:sz w:val="22"/>
              </w:rPr>
            </w:pPr>
            <w:r>
              <w:rPr>
                <w:sz w:val="22"/>
              </w:rPr>
              <w:t>9 </w:t>
            </w:r>
            <w:r>
              <w:rPr>
                <w:rFonts w:ascii="Calibri Light"/>
                <w:b w:val="0"/>
                <w:sz w:val="22"/>
              </w:rPr>
              <w:t>(37.5%)</w:t>
            </w:r>
          </w:p>
        </w:tc>
        <w:tc>
          <w:tcPr>
            <w:tcW w:w="1244" w:type="dxa"/>
          </w:tcPr>
          <w:p>
            <w:pPr>
              <w:pStyle w:val="TableParagraph"/>
              <w:spacing w:line="265" w:lineRule="exact"/>
              <w:ind w:left="82" w:right="82"/>
              <w:rPr>
                <w:rFonts w:ascii="Calibri Light"/>
                <w:b w:val="0"/>
                <w:sz w:val="22"/>
              </w:rPr>
            </w:pPr>
            <w:r>
              <w:rPr>
                <w:sz w:val="22"/>
              </w:rPr>
              <w:t>5 </w:t>
            </w:r>
            <w:r>
              <w:rPr>
                <w:rFonts w:ascii="Calibri Light"/>
                <w:b w:val="0"/>
                <w:sz w:val="22"/>
              </w:rPr>
              <w:t>(20.8%)</w:t>
            </w:r>
          </w:p>
        </w:tc>
        <w:tc>
          <w:tcPr>
            <w:tcW w:w="1368" w:type="dxa"/>
          </w:tcPr>
          <w:p>
            <w:pPr>
              <w:pStyle w:val="TableParagraph"/>
              <w:spacing w:line="265" w:lineRule="exact"/>
              <w:ind w:left="223" w:right="224"/>
              <w:rPr>
                <w:rFonts w:ascii="Calibri Light"/>
                <w:b w:val="0"/>
                <w:sz w:val="22"/>
              </w:rPr>
            </w:pPr>
            <w:r>
              <w:rPr>
                <w:sz w:val="22"/>
              </w:rPr>
              <w:t>6 </w:t>
            </w:r>
            <w:r>
              <w:rPr>
                <w:rFonts w:ascii="Calibri Light"/>
                <w:b w:val="0"/>
                <w:sz w:val="22"/>
              </w:rPr>
              <w:t>(25%)</w:t>
            </w:r>
          </w:p>
        </w:tc>
        <w:tc>
          <w:tcPr>
            <w:tcW w:w="1366" w:type="dxa"/>
          </w:tcPr>
          <w:p>
            <w:pPr>
              <w:pStyle w:val="TableParagraph"/>
              <w:spacing w:line="265" w:lineRule="exact"/>
              <w:ind w:left="226" w:right="228"/>
              <w:rPr>
                <w:rFonts w:ascii="Calibri Light"/>
                <w:b w:val="0"/>
                <w:sz w:val="22"/>
              </w:rPr>
            </w:pPr>
            <w:r>
              <w:rPr>
                <w:sz w:val="22"/>
              </w:rPr>
              <w:t>1 </w:t>
            </w:r>
            <w:r>
              <w:rPr>
                <w:rFonts w:ascii="Calibri Light"/>
                <w:b w:val="0"/>
                <w:sz w:val="22"/>
              </w:rPr>
              <w:t>(4.1%)</w:t>
            </w:r>
          </w:p>
        </w:tc>
      </w:tr>
      <w:tr>
        <w:trPr>
          <w:trHeight w:val="413" w:hRule="exact"/>
        </w:trPr>
        <w:tc>
          <w:tcPr>
            <w:tcW w:w="3152" w:type="dxa"/>
            <w:gridSpan w:val="2"/>
          </w:tcPr>
          <w:p>
            <w:pPr>
              <w:pStyle w:val="TableParagraph"/>
              <w:spacing w:before="9"/>
              <w:ind w:left="950"/>
              <w:jc w:val="left"/>
              <w:rPr>
                <w:sz w:val="22"/>
              </w:rPr>
            </w:pPr>
            <w:r>
              <w:rPr>
                <w:sz w:val="22"/>
              </w:rPr>
              <w:t>Mujeres (12)</w:t>
            </w:r>
          </w:p>
        </w:tc>
        <w:tc>
          <w:tcPr>
            <w:tcW w:w="1148" w:type="dxa"/>
          </w:tcPr>
          <w:p>
            <w:pPr>
              <w:pStyle w:val="TableParagraph"/>
              <w:spacing w:line="265" w:lineRule="exact"/>
              <w:ind w:left="115" w:right="119"/>
              <w:rPr>
                <w:rFonts w:ascii="Calibri Light"/>
                <w:b w:val="0"/>
                <w:sz w:val="22"/>
              </w:rPr>
            </w:pPr>
            <w:r>
              <w:rPr>
                <w:sz w:val="22"/>
              </w:rPr>
              <w:t>1 </w:t>
            </w:r>
            <w:r>
              <w:rPr>
                <w:rFonts w:ascii="Calibri Light"/>
                <w:b w:val="0"/>
                <w:sz w:val="22"/>
              </w:rPr>
              <w:t>(8%)</w:t>
            </w:r>
          </w:p>
        </w:tc>
        <w:tc>
          <w:tcPr>
            <w:tcW w:w="1121" w:type="dxa"/>
            <w:shd w:val="clear" w:color="auto" w:fill="2D74B5"/>
          </w:tcPr>
          <w:p>
            <w:pPr>
              <w:pStyle w:val="TableParagraph"/>
              <w:spacing w:line="265" w:lineRule="exact"/>
              <w:ind w:left="85" w:right="86"/>
              <w:rPr>
                <w:rFonts w:ascii="Calibri Light"/>
                <w:b w:val="0"/>
                <w:sz w:val="22"/>
              </w:rPr>
            </w:pPr>
            <w:r>
              <w:rPr>
                <w:sz w:val="22"/>
              </w:rPr>
              <w:t>7 </w:t>
            </w:r>
            <w:r>
              <w:rPr>
                <w:rFonts w:ascii="Calibri Light"/>
                <w:b w:val="0"/>
                <w:sz w:val="22"/>
              </w:rPr>
              <w:t>(58.3%)</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(8%)</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(16.6%)</w:t>
            </w:r>
          </w:p>
        </w:tc>
        <w:tc>
          <w:tcPr>
            <w:tcW w:w="1366" w:type="dxa"/>
          </w:tcPr>
          <w:p>
            <w:pPr>
              <w:pStyle w:val="TableParagraph"/>
              <w:spacing w:line="265" w:lineRule="exact"/>
              <w:ind w:left="226" w:right="228"/>
              <w:rPr>
                <w:rFonts w:ascii="Calibri Light"/>
                <w:b w:val="0"/>
                <w:sz w:val="22"/>
              </w:rPr>
            </w:pPr>
            <w:r>
              <w:rPr>
                <w:sz w:val="22"/>
              </w:rPr>
              <w:t>1 </w:t>
            </w:r>
            <w:r>
              <w:rPr>
                <w:rFonts w:ascii="Calibri Light"/>
                <w:b w:val="0"/>
                <w:sz w:val="22"/>
              </w:rPr>
              <w:t>(8%)</w:t>
            </w:r>
          </w:p>
        </w:tc>
      </w:tr>
      <w:tr>
        <w:trPr>
          <w:trHeight w:val="413" w:hRule="exact"/>
        </w:trPr>
        <w:tc>
          <w:tcPr>
            <w:tcW w:w="3152" w:type="dxa"/>
            <w:gridSpan w:val="2"/>
          </w:tcPr>
          <w:p>
            <w:pPr>
              <w:pStyle w:val="TableParagraph"/>
              <w:spacing w:before="9"/>
              <w:ind w:left="897"/>
              <w:jc w:val="left"/>
              <w:rPr>
                <w:sz w:val="22"/>
              </w:rPr>
            </w:pPr>
            <w:r>
              <w:rPr>
                <w:sz w:val="22"/>
              </w:rPr>
              <w:t>Hombres (12)</w:t>
            </w:r>
          </w:p>
        </w:tc>
        <w:tc>
          <w:tcPr>
            <w:tcW w:w="1148" w:type="dxa"/>
          </w:tcPr>
          <w:p>
            <w:pPr>
              <w:pStyle w:val="TableParagraph"/>
              <w:spacing w:line="265" w:lineRule="exact"/>
              <w:ind w:left="117" w:right="119"/>
              <w:rPr>
                <w:rFonts w:ascii="Calibri Light"/>
                <w:b w:val="0"/>
                <w:sz w:val="22"/>
              </w:rPr>
            </w:pPr>
            <w:r>
              <w:rPr>
                <w:sz w:val="22"/>
              </w:rPr>
              <w:t>2 </w:t>
            </w:r>
            <w:r>
              <w:rPr>
                <w:rFonts w:ascii="Calibri Light"/>
                <w:b w:val="0"/>
                <w:sz w:val="22"/>
              </w:rPr>
              <w:t>(16.6%)</w:t>
            </w:r>
          </w:p>
        </w:tc>
        <w:tc>
          <w:tcPr>
            <w:tcW w:w="1121" w:type="dxa"/>
            <w:tcBorders>
              <w:right w:val="single" w:sz="41" w:space="0" w:color="9CC2E4"/>
            </w:tcBorders>
          </w:tcPr>
          <w:p>
            <w:pPr>
              <w:pStyle w:val="TableParagraph"/>
              <w:spacing w:line="265" w:lineRule="exact"/>
              <w:ind w:left="105" w:right="60"/>
              <w:rPr>
                <w:rFonts w:ascii="Calibri Light"/>
                <w:b w:val="0"/>
                <w:sz w:val="22"/>
              </w:rPr>
            </w:pPr>
            <w:r>
              <w:rPr>
                <w:sz w:val="22"/>
              </w:rPr>
              <w:t>2 </w:t>
            </w:r>
            <w:r>
              <w:rPr>
                <w:rFonts w:ascii="Calibri Light"/>
                <w:b w:val="0"/>
                <w:sz w:val="22"/>
              </w:rPr>
              <w:t>(16.6%)</w:t>
            </w:r>
          </w:p>
        </w:tc>
        <w:tc>
          <w:tcPr>
            <w:tcW w:w="1244" w:type="dxa"/>
            <w:shd w:val="clear" w:color="auto" w:fill="9CC2E4"/>
          </w:tcPr>
          <w:p>
            <w:pPr>
              <w:pStyle w:val="TableParagraph"/>
              <w:spacing w:line="265" w:lineRule="exact"/>
              <w:ind w:left="82" w:right="82"/>
              <w:rPr>
                <w:rFonts w:ascii="Calibri Light"/>
                <w:b w:val="0"/>
                <w:sz w:val="22"/>
              </w:rPr>
            </w:pPr>
            <w:r>
              <w:rPr>
                <w:sz w:val="22"/>
              </w:rPr>
              <w:t>4 </w:t>
            </w:r>
            <w:r>
              <w:rPr>
                <w:rFonts w:ascii="Calibri Light"/>
                <w:b w:val="0"/>
                <w:sz w:val="22"/>
              </w:rPr>
              <w:t>(33.3%)</w:t>
            </w:r>
          </w:p>
        </w:tc>
        <w:tc>
          <w:tcPr>
            <w:tcW w:w="1368" w:type="dxa"/>
            <w:shd w:val="clear" w:color="auto" w:fill="9CC2E4"/>
          </w:tcPr>
          <w:p>
            <w:pPr>
              <w:pStyle w:val="TableParagraph"/>
              <w:spacing w:line="265" w:lineRule="exact"/>
              <w:ind w:left="222" w:right="224"/>
              <w:rPr>
                <w:rFonts w:ascii="Calibri Light"/>
                <w:b w:val="0"/>
                <w:sz w:val="22"/>
              </w:rPr>
            </w:pPr>
            <w:r>
              <w:rPr>
                <w:sz w:val="22"/>
              </w:rPr>
              <w:t>4 </w:t>
            </w:r>
            <w:r>
              <w:rPr>
                <w:rFonts w:ascii="Calibri Light"/>
                <w:b w:val="0"/>
                <w:sz w:val="22"/>
              </w:rPr>
              <w:t>(33.3%)</w:t>
            </w:r>
          </w:p>
        </w:tc>
        <w:tc>
          <w:tcPr>
            <w:tcW w:w="1366" w:type="dxa"/>
            <w:tcBorders>
              <w:left w:val="thickThinMediumGap" w:sz="23" w:space="0" w:color="9CC2E4"/>
            </w:tcBorders>
          </w:tcPr>
          <w:p>
            <w:pPr>
              <w:pStyle w:val="TableParagraph"/>
              <w:spacing w:before="9"/>
              <w:ind w:right="55"/>
              <w:rPr>
                <w:sz w:val="22"/>
              </w:rPr>
            </w:pPr>
            <w:r>
              <w:rPr>
                <w:w w:val="100"/>
                <w:sz w:val="22"/>
              </w:rPr>
              <w:t>0</w:t>
            </w:r>
          </w:p>
        </w:tc>
      </w:tr>
    </w:tbl>
    <w:p>
      <w:pPr>
        <w:spacing w:line="228" w:lineRule="exact" w:before="0"/>
        <w:ind w:left="810" w:right="26" w:hanging="658"/>
        <w:jc w:val="left"/>
        <w:rPr>
          <w:b/>
          <w:sz w:val="20"/>
        </w:rPr>
      </w:pPr>
      <w:r>
        <w:rPr>
          <w:b/>
          <w:sz w:val="20"/>
        </w:rPr>
        <w:t>Tabla 4.40. Anuncio publicitario con fama; respuestas en la totalidad de la población y por género</w:t>
      </w:r>
    </w:p>
    <w:p>
      <w:pPr>
        <w:pStyle w:val="BodyText"/>
        <w:spacing w:before="5"/>
        <w:rPr>
          <w:b/>
          <w:sz w:val="27"/>
        </w:rPr>
      </w:pPr>
    </w:p>
    <w:p>
      <w:pPr>
        <w:pStyle w:val="BodyText"/>
        <w:spacing w:line="360" w:lineRule="auto"/>
        <w:ind w:left="102" w:right="115" w:firstLine="707"/>
        <w:jc w:val="both"/>
      </w:pPr>
      <w:r>
        <w:rPr/>
        <w:t>Por</w:t>
      </w:r>
      <w:r>
        <w:rPr>
          <w:spacing w:val="-12"/>
        </w:rPr>
        <w:t> </w:t>
      </w:r>
      <w:r>
        <w:rPr/>
        <w:t>grupo</w:t>
      </w:r>
      <w:r>
        <w:rPr>
          <w:spacing w:val="-11"/>
        </w:rPr>
        <w:t> </w:t>
      </w:r>
      <w:r>
        <w:rPr/>
        <w:t>de</w:t>
      </w:r>
      <w:r>
        <w:rPr>
          <w:spacing w:val="-11"/>
        </w:rPr>
        <w:t> </w:t>
      </w:r>
      <w:r>
        <w:rPr/>
        <w:t>edad,</w:t>
      </w:r>
      <w:r>
        <w:rPr>
          <w:spacing w:val="-11"/>
        </w:rPr>
        <w:t> </w:t>
      </w:r>
      <w:r>
        <w:rPr/>
        <w:t>el</w:t>
      </w:r>
      <w:r>
        <w:rPr>
          <w:spacing w:val="-14"/>
        </w:rPr>
        <w:t> </w:t>
      </w:r>
      <w:r>
        <w:rPr/>
        <w:t>grupo</w:t>
      </w:r>
      <w:r>
        <w:rPr>
          <w:spacing w:val="-11"/>
        </w:rPr>
        <w:t> </w:t>
      </w:r>
      <w:r>
        <w:rPr/>
        <w:t>3</w:t>
      </w:r>
      <w:r>
        <w:rPr>
          <w:spacing w:val="-11"/>
        </w:rPr>
        <w:t> </w:t>
      </w:r>
      <w:r>
        <w:rPr/>
        <w:t>presenta</w:t>
      </w:r>
      <w:r>
        <w:rPr>
          <w:spacing w:val="-10"/>
        </w:rPr>
        <w:t> </w:t>
      </w:r>
      <w:r>
        <w:rPr/>
        <w:t>el</w:t>
      </w:r>
      <w:r>
        <w:rPr>
          <w:spacing w:val="-12"/>
        </w:rPr>
        <w:t> </w:t>
      </w:r>
      <w:r>
        <w:rPr/>
        <w:t>50%</w:t>
      </w:r>
      <w:r>
        <w:rPr>
          <w:spacing w:val="-11"/>
        </w:rPr>
        <w:t> </w:t>
      </w:r>
      <w:r>
        <w:rPr/>
        <w:t>de</w:t>
      </w:r>
      <w:r>
        <w:rPr>
          <w:spacing w:val="-11"/>
        </w:rPr>
        <w:t> </w:t>
      </w:r>
      <w:r>
        <w:rPr/>
        <w:t>sus</w:t>
      </w:r>
      <w:r>
        <w:rPr>
          <w:spacing w:val="-12"/>
        </w:rPr>
        <w:t> </w:t>
      </w:r>
      <w:r>
        <w:rPr/>
        <w:t>respuestas</w:t>
      </w:r>
      <w:r>
        <w:rPr>
          <w:spacing w:val="-12"/>
        </w:rPr>
        <w:t> </w:t>
      </w:r>
      <w:r>
        <w:rPr/>
        <w:t>en</w:t>
      </w:r>
      <w:r>
        <w:rPr>
          <w:spacing w:val="-11"/>
        </w:rPr>
        <w:t> </w:t>
      </w:r>
      <w:r>
        <w:rPr/>
        <w:t>“desacuerdo” con la aseveración favoreciendo el uso de anglicismos; el grupo 1 es “indiferente” con la mitad</w:t>
      </w:r>
      <w:r>
        <w:rPr>
          <w:spacing w:val="-11"/>
        </w:rPr>
        <w:t> </w:t>
      </w:r>
      <w:r>
        <w:rPr/>
        <w:t>de</w:t>
      </w:r>
      <w:r>
        <w:rPr>
          <w:spacing w:val="-8"/>
        </w:rPr>
        <w:t> </w:t>
      </w:r>
      <w:r>
        <w:rPr/>
        <w:t>sus</w:t>
      </w:r>
      <w:r>
        <w:rPr>
          <w:spacing w:val="-9"/>
        </w:rPr>
        <w:t> </w:t>
      </w:r>
      <w:r>
        <w:rPr/>
        <w:t>respuestas</w:t>
      </w:r>
      <w:r>
        <w:rPr>
          <w:spacing w:val="-9"/>
        </w:rPr>
        <w:t> </w:t>
      </w:r>
      <w:r>
        <w:rPr/>
        <w:t>ubicadas</w:t>
      </w:r>
      <w:r>
        <w:rPr>
          <w:spacing w:val="-9"/>
        </w:rPr>
        <w:t> </w:t>
      </w:r>
      <w:r>
        <w:rPr/>
        <w:t>en</w:t>
      </w:r>
      <w:r>
        <w:rPr>
          <w:spacing w:val="-8"/>
        </w:rPr>
        <w:t> </w:t>
      </w:r>
      <w:r>
        <w:rPr/>
        <w:t>dicha</w:t>
      </w:r>
      <w:r>
        <w:rPr>
          <w:spacing w:val="-8"/>
        </w:rPr>
        <w:t> </w:t>
      </w:r>
      <w:r>
        <w:rPr/>
        <w:t>opción,</w:t>
      </w:r>
      <w:r>
        <w:rPr>
          <w:spacing w:val="-9"/>
        </w:rPr>
        <w:t> </w:t>
      </w:r>
      <w:r>
        <w:rPr/>
        <w:t>y</w:t>
      </w:r>
      <w:r>
        <w:rPr>
          <w:spacing w:val="-12"/>
        </w:rPr>
        <w:t> </w:t>
      </w:r>
      <w:r>
        <w:rPr/>
        <w:t>el</w:t>
      </w:r>
      <w:r>
        <w:rPr>
          <w:spacing w:val="-10"/>
        </w:rPr>
        <w:t> </w:t>
      </w:r>
      <w:r>
        <w:rPr/>
        <w:t>grupo</w:t>
      </w:r>
      <w:r>
        <w:rPr>
          <w:spacing w:val="-8"/>
        </w:rPr>
        <w:t> </w:t>
      </w:r>
      <w:r>
        <w:rPr/>
        <w:t>2</w:t>
      </w:r>
      <w:r>
        <w:rPr>
          <w:spacing w:val="-8"/>
        </w:rPr>
        <w:t> </w:t>
      </w:r>
      <w:r>
        <w:rPr/>
        <w:t>y</w:t>
      </w:r>
      <w:r>
        <w:rPr>
          <w:spacing w:val="-12"/>
        </w:rPr>
        <w:t> </w:t>
      </w:r>
      <w:r>
        <w:rPr/>
        <w:t>4</w:t>
      </w:r>
      <w:r>
        <w:rPr>
          <w:spacing w:val="-8"/>
        </w:rPr>
        <w:t> </w:t>
      </w:r>
      <w:r>
        <w:rPr/>
        <w:t>presentan</w:t>
      </w:r>
      <w:r>
        <w:rPr>
          <w:spacing w:val="-11"/>
        </w:rPr>
        <w:t> </w:t>
      </w:r>
      <w:r>
        <w:rPr/>
        <w:t>ese</w:t>
      </w:r>
      <w:r>
        <w:rPr>
          <w:spacing w:val="-11"/>
        </w:rPr>
        <w:t> </w:t>
      </w:r>
      <w:r>
        <w:rPr/>
        <w:t>mismo 50% de respuestas “de acuerdo” con la grabación sin anglicismos (ver tabla</w:t>
      </w:r>
      <w:r>
        <w:rPr>
          <w:spacing w:val="-20"/>
        </w:rPr>
        <w:t> </w:t>
      </w:r>
      <w:r>
        <w:rPr/>
        <w:t>4.41.).</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1"/>
        <w:gridCol w:w="1150"/>
        <w:gridCol w:w="1121"/>
        <w:gridCol w:w="1244"/>
        <w:gridCol w:w="1368"/>
        <w:gridCol w:w="1366"/>
      </w:tblGrid>
      <w:tr>
        <w:trPr>
          <w:trHeight w:val="406"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14</w:t>
            </w:r>
          </w:p>
        </w:tc>
        <w:tc>
          <w:tcPr>
            <w:tcW w:w="1721" w:type="dxa"/>
            <w:vMerge w:val="restart"/>
          </w:tcPr>
          <w:p>
            <w:pPr>
              <w:pStyle w:val="TableParagraph"/>
              <w:spacing w:line="360" w:lineRule="auto" w:before="9"/>
              <w:ind w:left="163" w:right="163" w:firstLine="3"/>
              <w:rPr>
                <w:b/>
                <w:sz w:val="22"/>
              </w:rPr>
            </w:pPr>
            <w:r>
              <w:rPr>
                <w:sz w:val="22"/>
              </w:rPr>
              <w:t>Tipo de Aseveración: </w:t>
            </w:r>
            <w:r>
              <w:rPr>
                <w:b/>
                <w:sz w:val="22"/>
              </w:rPr>
              <w:t>Desfavorable</w:t>
            </w:r>
          </w:p>
        </w:tc>
        <w:tc>
          <w:tcPr>
            <w:tcW w:w="6249" w:type="dxa"/>
            <w:gridSpan w:val="5"/>
          </w:tcPr>
          <w:p>
            <w:pPr>
              <w:pStyle w:val="TableParagraph"/>
              <w:spacing w:before="5"/>
              <w:ind w:left="2517" w:right="2517"/>
              <w:rPr>
                <w:sz w:val="22"/>
              </w:rPr>
            </w:pPr>
            <w:r>
              <w:rPr>
                <w:sz w:val="22"/>
              </w:rPr>
              <w:t>Respuestas</w:t>
            </w:r>
          </w:p>
        </w:tc>
      </w:tr>
      <w:tr>
        <w:trPr>
          <w:trHeight w:val="771" w:hRule="exact"/>
        </w:trPr>
        <w:tc>
          <w:tcPr>
            <w:tcW w:w="1428" w:type="dxa"/>
            <w:gridSpan w:val="2"/>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1 (6)</w:t>
            </w:r>
          </w:p>
        </w:tc>
        <w:tc>
          <w:tcPr>
            <w:tcW w:w="1150" w:type="dxa"/>
          </w:tcPr>
          <w:p>
            <w:pPr>
              <w:pStyle w:val="TableParagraph"/>
              <w:spacing w:line="265" w:lineRule="exact"/>
              <w:ind w:left="118" w:right="120"/>
              <w:rPr>
                <w:rFonts w:ascii="Calibri Light"/>
                <w:b w:val="0"/>
                <w:sz w:val="22"/>
              </w:rPr>
            </w:pPr>
            <w:r>
              <w:rPr>
                <w:sz w:val="22"/>
              </w:rPr>
              <w:t>1 </w:t>
            </w:r>
            <w:r>
              <w:rPr>
                <w:rFonts w:ascii="Calibri Light"/>
                <w:b w:val="0"/>
                <w:sz w:val="22"/>
              </w:rPr>
              <w:t>(16%)</w:t>
            </w:r>
          </w:p>
        </w:tc>
        <w:tc>
          <w:tcPr>
            <w:tcW w:w="1121" w:type="dxa"/>
            <w:tcBorders>
              <w:right w:val="single" w:sz="41" w:space="0" w:color="2D74B5"/>
            </w:tcBorders>
          </w:tcPr>
          <w:p>
            <w:pPr>
              <w:pStyle w:val="TableParagraph"/>
              <w:spacing w:line="265" w:lineRule="exact"/>
              <w:ind w:left="105" w:right="60"/>
              <w:rPr>
                <w:rFonts w:ascii="Calibri Light"/>
                <w:b w:val="0"/>
                <w:sz w:val="22"/>
              </w:rPr>
            </w:pPr>
            <w:r>
              <w:rPr>
                <w:sz w:val="22"/>
              </w:rPr>
              <w:t>2 </w:t>
            </w:r>
            <w:r>
              <w:rPr>
                <w:rFonts w:ascii="Calibri Light"/>
                <w:b w:val="0"/>
                <w:sz w:val="22"/>
              </w:rPr>
              <w:t>(33.3%)</w:t>
            </w:r>
          </w:p>
        </w:tc>
        <w:tc>
          <w:tcPr>
            <w:tcW w:w="1244" w:type="dxa"/>
            <w:shd w:val="clear" w:color="auto" w:fill="2D74B5"/>
          </w:tcPr>
          <w:p>
            <w:pPr>
              <w:pStyle w:val="TableParagraph"/>
              <w:spacing w:line="265" w:lineRule="exact"/>
              <w:ind w:left="82" w:right="82"/>
              <w:rPr>
                <w:rFonts w:ascii="Calibri Light"/>
                <w:b w:val="0"/>
                <w:sz w:val="22"/>
              </w:rPr>
            </w:pPr>
            <w:r>
              <w:rPr>
                <w:sz w:val="22"/>
              </w:rPr>
              <w:t>3 </w:t>
            </w:r>
            <w:r>
              <w:rPr>
                <w:rFonts w:ascii="Calibri Light"/>
                <w:b w:val="0"/>
                <w:sz w:val="22"/>
              </w:rPr>
              <w:t>(50%)</w:t>
            </w:r>
          </w:p>
        </w:tc>
        <w:tc>
          <w:tcPr>
            <w:tcW w:w="1368" w:type="dxa"/>
            <w:tcBorders>
              <w:left w:val="single" w:sz="45" w:space="0" w:color="2D74B5"/>
            </w:tcBorders>
          </w:tcPr>
          <w:p>
            <w:pPr>
              <w:pStyle w:val="TableParagraph"/>
              <w:spacing w:before="9"/>
              <w:ind w:right="51"/>
              <w:rPr>
                <w:sz w:val="22"/>
              </w:rPr>
            </w:pPr>
            <w:r>
              <w:rPr>
                <w:w w:val="100"/>
                <w:sz w:val="22"/>
              </w:rPr>
              <w:t>0</w:t>
            </w:r>
          </w:p>
        </w:tc>
        <w:tc>
          <w:tcPr>
            <w:tcW w:w="1366"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2 (6)</w:t>
            </w:r>
          </w:p>
        </w:tc>
        <w:tc>
          <w:tcPr>
            <w:tcW w:w="1150" w:type="dxa"/>
            <w:tcBorders>
              <w:right w:val="single" w:sz="41" w:space="0" w:color="2D74B5"/>
            </w:tcBorders>
          </w:tcPr>
          <w:p>
            <w:pPr>
              <w:pStyle w:val="TableParagraph"/>
              <w:spacing w:line="265" w:lineRule="exact"/>
              <w:ind w:left="117" w:right="75"/>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5" w:lineRule="exact"/>
              <w:ind w:left="85" w:right="87"/>
              <w:rPr>
                <w:rFonts w:ascii="Calibri Light"/>
                <w:b w:val="0"/>
                <w:sz w:val="22"/>
              </w:rPr>
            </w:pPr>
            <w:r>
              <w:rPr>
                <w:sz w:val="22"/>
              </w:rPr>
              <w:t>3 </w:t>
            </w:r>
            <w:r>
              <w:rPr>
                <w:rFonts w:ascii="Calibri Light"/>
                <w:b w:val="0"/>
                <w:sz w:val="22"/>
              </w:rPr>
              <w:t>(50%)</w:t>
            </w:r>
          </w:p>
        </w:tc>
        <w:tc>
          <w:tcPr>
            <w:tcW w:w="1244" w:type="dxa"/>
            <w:tcBorders>
              <w:left w:val="single" w:sz="45" w:space="0" w:color="2D74B5"/>
            </w:tcBorders>
          </w:tcPr>
          <w:p>
            <w:pPr>
              <w:pStyle w:val="TableParagraph"/>
              <w:spacing w:before="9"/>
              <w:ind w:right="52"/>
              <w:rPr>
                <w:sz w:val="22"/>
              </w:rPr>
            </w:pPr>
            <w:r>
              <w:rPr>
                <w:w w:val="100"/>
                <w:sz w:val="22"/>
              </w:rPr>
              <w:t>0</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3 (6)</w:t>
            </w:r>
          </w:p>
        </w:tc>
        <w:tc>
          <w:tcPr>
            <w:tcW w:w="1150" w:type="dxa"/>
          </w:tcPr>
          <w:p>
            <w:pPr>
              <w:pStyle w:val="TableParagraph"/>
              <w:spacing w:before="9"/>
              <w:ind w:right="2"/>
              <w:rPr>
                <w:sz w:val="22"/>
              </w:rPr>
            </w:pPr>
            <w:r>
              <w:rPr>
                <w:w w:val="100"/>
                <w:sz w:val="22"/>
              </w:rPr>
              <w:t>0</w:t>
            </w:r>
          </w:p>
        </w:tc>
        <w:tc>
          <w:tcPr>
            <w:tcW w:w="1121" w:type="dxa"/>
          </w:tcPr>
          <w:p>
            <w:pPr>
              <w:pStyle w:val="TableParagraph"/>
              <w:spacing w:line="265" w:lineRule="exact"/>
              <w:ind w:left="85" w:right="87"/>
              <w:rPr>
                <w:rFonts w:ascii="Calibri Light"/>
                <w:b w:val="0"/>
                <w:sz w:val="22"/>
              </w:rPr>
            </w:pPr>
            <w:r>
              <w:rPr>
                <w:sz w:val="22"/>
              </w:rPr>
              <w:t>1 </w:t>
            </w:r>
            <w:r>
              <w:rPr>
                <w:rFonts w:ascii="Calibri Light"/>
                <w:b w:val="0"/>
                <w:sz w:val="22"/>
              </w:rPr>
              <w:t>(16%)</w:t>
            </w:r>
          </w:p>
        </w:tc>
        <w:tc>
          <w:tcPr>
            <w:tcW w:w="1244" w:type="dxa"/>
            <w:tcBorders>
              <w:right w:val="single" w:sz="41" w:space="0" w:color="2D74B5"/>
            </w:tcBorders>
          </w:tcPr>
          <w:p>
            <w:pPr>
              <w:pStyle w:val="TableParagraph"/>
              <w:spacing w:line="265" w:lineRule="exact"/>
              <w:ind w:left="165" w:right="121"/>
              <w:rPr>
                <w:rFonts w:ascii="Calibri Light"/>
                <w:b w:val="0"/>
                <w:sz w:val="22"/>
              </w:rPr>
            </w:pPr>
            <w:r>
              <w:rPr>
                <w:sz w:val="22"/>
              </w:rPr>
              <w:t>1 </w:t>
            </w:r>
            <w:r>
              <w:rPr>
                <w:rFonts w:ascii="Calibri Light"/>
                <w:b w:val="0"/>
                <w:sz w:val="22"/>
              </w:rPr>
              <w:t>(16%)</w:t>
            </w:r>
          </w:p>
        </w:tc>
        <w:tc>
          <w:tcPr>
            <w:tcW w:w="1368" w:type="dxa"/>
            <w:shd w:val="clear" w:color="auto" w:fill="2D74B5"/>
          </w:tcPr>
          <w:p>
            <w:pPr>
              <w:pStyle w:val="TableParagraph"/>
              <w:spacing w:line="265" w:lineRule="exact"/>
              <w:ind w:left="223" w:right="224"/>
              <w:rPr>
                <w:rFonts w:ascii="Calibri Light"/>
                <w:b w:val="0"/>
                <w:sz w:val="22"/>
              </w:rPr>
            </w:pPr>
            <w:r>
              <w:rPr>
                <w:sz w:val="22"/>
              </w:rPr>
              <w:t>3 </w:t>
            </w:r>
            <w:r>
              <w:rPr>
                <w:rFonts w:ascii="Calibri Light"/>
                <w:b w:val="0"/>
                <w:sz w:val="22"/>
              </w:rPr>
              <w:t>(50%)</w:t>
            </w:r>
          </w:p>
        </w:tc>
        <w:tc>
          <w:tcPr>
            <w:tcW w:w="1366" w:type="dxa"/>
            <w:tcBorders>
              <w:left w:val="thickThinMediumGap" w:sz="23" w:space="0" w:color="2D74B5"/>
            </w:tcBorders>
          </w:tcPr>
          <w:p>
            <w:pPr>
              <w:pStyle w:val="TableParagraph"/>
              <w:spacing w:line="265" w:lineRule="exact"/>
              <w:ind w:left="173" w:right="228"/>
              <w:rPr>
                <w:rFonts w:ascii="Calibri Light"/>
                <w:b w:val="0"/>
                <w:sz w:val="22"/>
              </w:rPr>
            </w:pPr>
            <w:r>
              <w:rPr>
                <w:sz w:val="22"/>
              </w:rPr>
              <w:t>1 </w:t>
            </w:r>
            <w:r>
              <w:rPr>
                <w:rFonts w:ascii="Calibri Light"/>
                <w:b w:val="0"/>
                <w:sz w:val="22"/>
              </w:rPr>
              <w:t>(16%)</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4 (6)</w:t>
            </w:r>
          </w:p>
        </w:tc>
        <w:tc>
          <w:tcPr>
            <w:tcW w:w="1150" w:type="dxa"/>
            <w:tcBorders>
              <w:right w:val="single" w:sz="41" w:space="0" w:color="2D74B5"/>
            </w:tcBorders>
          </w:tcPr>
          <w:p>
            <w:pPr>
              <w:pStyle w:val="TableParagraph"/>
              <w:spacing w:line="265" w:lineRule="exact"/>
              <w:ind w:left="117" w:right="75"/>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5" w:lineRule="exact"/>
              <w:ind w:left="85" w:right="87"/>
              <w:rPr>
                <w:rFonts w:ascii="Calibri Light"/>
                <w:b w:val="0"/>
                <w:sz w:val="22"/>
              </w:rPr>
            </w:pPr>
            <w:r>
              <w:rPr>
                <w:sz w:val="22"/>
              </w:rPr>
              <w:t>3 </w:t>
            </w:r>
            <w:r>
              <w:rPr>
                <w:rFonts w:ascii="Calibri Light"/>
                <w:b w:val="0"/>
                <w:sz w:val="22"/>
              </w:rPr>
              <w:t>(50%)</w:t>
            </w:r>
          </w:p>
        </w:tc>
        <w:tc>
          <w:tcPr>
            <w:tcW w:w="1244" w:type="dxa"/>
            <w:tcBorders>
              <w:left w:val="single" w:sz="45" w:space="0" w:color="2D74B5"/>
            </w:tcBorders>
          </w:tcPr>
          <w:p>
            <w:pPr>
              <w:pStyle w:val="TableParagraph"/>
              <w:spacing w:line="265" w:lineRule="exact"/>
              <w:ind w:left="110" w:right="161"/>
              <w:rPr>
                <w:rFonts w:ascii="Calibri Light"/>
                <w:b w:val="0"/>
                <w:sz w:val="22"/>
              </w:rPr>
            </w:pPr>
            <w:r>
              <w:rPr>
                <w:sz w:val="22"/>
              </w:rPr>
              <w:t>1 </w:t>
            </w:r>
            <w:r>
              <w:rPr>
                <w:rFonts w:ascii="Calibri Light"/>
                <w:b w:val="0"/>
                <w:sz w:val="22"/>
              </w:rPr>
              <w:t>(16%)</w:t>
            </w:r>
          </w:p>
        </w:tc>
        <w:tc>
          <w:tcPr>
            <w:tcW w:w="1368" w:type="dxa"/>
          </w:tcPr>
          <w:p>
            <w:pPr>
              <w:pStyle w:val="TableParagraph"/>
              <w:spacing w:line="265" w:lineRule="exact"/>
              <w:ind w:left="223" w:right="224"/>
              <w:rPr>
                <w:rFonts w:ascii="Calibri Light"/>
                <w:b w:val="0"/>
                <w:sz w:val="22"/>
              </w:rPr>
            </w:pPr>
            <w:r>
              <w:rPr>
                <w:sz w:val="22"/>
              </w:rPr>
              <w:t>1 </w:t>
            </w:r>
            <w:r>
              <w:rPr>
                <w:rFonts w:ascii="Calibri Light"/>
                <w:b w:val="0"/>
                <w:sz w:val="22"/>
              </w:rPr>
              <w:t>(16%)</w:t>
            </w:r>
          </w:p>
        </w:tc>
        <w:tc>
          <w:tcPr>
            <w:tcW w:w="1366" w:type="dxa"/>
          </w:tcPr>
          <w:p>
            <w:pPr>
              <w:pStyle w:val="TableParagraph"/>
              <w:spacing w:before="9"/>
              <w:ind w:right="2"/>
              <w:rPr>
                <w:sz w:val="22"/>
              </w:rPr>
            </w:pPr>
            <w:r>
              <w:rPr>
                <w:w w:val="100"/>
                <w:sz w:val="22"/>
              </w:rPr>
              <w:t>0</w:t>
            </w:r>
          </w:p>
        </w:tc>
      </w:tr>
    </w:tbl>
    <w:p>
      <w:pPr>
        <w:spacing w:line="227" w:lineRule="exact" w:before="0"/>
        <w:ind w:left="1335" w:right="339" w:firstLine="0"/>
        <w:jc w:val="left"/>
        <w:rPr>
          <w:b/>
          <w:sz w:val="20"/>
        </w:rPr>
      </w:pPr>
      <w:r>
        <w:rPr>
          <w:b/>
          <w:sz w:val="20"/>
        </w:rPr>
        <w:t>Tabla 4.41. Anuncio publicitario con fama; respuestas por grupo de edad</w:t>
      </w:r>
    </w:p>
    <w:p>
      <w:pPr>
        <w:pStyle w:val="BodyText"/>
        <w:spacing w:before="5"/>
        <w:rPr>
          <w:b/>
          <w:sz w:val="27"/>
        </w:rPr>
      </w:pPr>
    </w:p>
    <w:p>
      <w:pPr>
        <w:pStyle w:val="BodyText"/>
        <w:spacing w:line="360" w:lineRule="auto"/>
        <w:ind w:left="102" w:right="112" w:firstLine="707"/>
        <w:jc w:val="both"/>
      </w:pPr>
      <w:r>
        <w:rPr/>
        <w:t>En el análisis por nivel de estudio, el nivel medio superior presenta el 35.7% de respuestas “en desacuerdo” hacía desfavorecer el uso de anglicismos y otro 35.7% es “indiferente”. El nivel superior, por el contrario, muestra estar “de acuerdo” con la aseveración y la grabación sin anglicismos en un 62.5%. No obstante, el nivel básico se encuentra indefinido al presentar el 25% de respuestas tanto en la opción “muy de acuerdo”, “de acuerdo” e “indiferente” como en la opción “en desacuerdo” (tabla 4.42.).</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6"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14</w:t>
            </w:r>
          </w:p>
        </w:tc>
        <w:tc>
          <w:tcPr>
            <w:tcW w:w="1724" w:type="dxa"/>
            <w:vMerge w:val="restart"/>
          </w:tcPr>
          <w:p>
            <w:pPr>
              <w:pStyle w:val="TableParagraph"/>
              <w:spacing w:line="357" w:lineRule="auto" w:before="12"/>
              <w:ind w:left="163" w:right="166" w:firstLine="4"/>
              <w:rPr>
                <w:b/>
                <w:sz w:val="22"/>
              </w:rPr>
            </w:pPr>
            <w:r>
              <w:rPr>
                <w:sz w:val="22"/>
              </w:rPr>
              <w:t>Tipo de Aseveración: </w:t>
            </w:r>
            <w:r>
              <w:rPr>
                <w:b/>
                <w:sz w:val="22"/>
              </w:rPr>
              <w:t>Desfavorable</w:t>
            </w:r>
          </w:p>
        </w:tc>
        <w:tc>
          <w:tcPr>
            <w:tcW w:w="6246" w:type="dxa"/>
            <w:gridSpan w:val="5"/>
          </w:tcPr>
          <w:p>
            <w:pPr>
              <w:pStyle w:val="TableParagraph"/>
              <w:spacing w:before="7"/>
              <w:ind w:left="2516" w:right="2516"/>
              <w:rPr>
                <w:sz w:val="22"/>
              </w:rPr>
            </w:pPr>
            <w:r>
              <w:rPr>
                <w:sz w:val="22"/>
              </w:rPr>
              <w:t>Respuestas</w:t>
            </w:r>
          </w:p>
        </w:tc>
      </w:tr>
      <w:tr>
        <w:trPr>
          <w:trHeight w:val="770"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9"/>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Borders>
              <w:right w:val="single" w:sz="41" w:space="0" w:color="9CC2E4"/>
            </w:tcBorders>
          </w:tcPr>
          <w:p>
            <w:pPr>
              <w:pStyle w:val="TableParagraph"/>
              <w:spacing w:before="9"/>
              <w:ind w:left="799"/>
              <w:jc w:val="left"/>
              <w:rPr>
                <w:sz w:val="22"/>
              </w:rPr>
            </w:pPr>
            <w:r>
              <w:rPr>
                <w:sz w:val="22"/>
              </w:rPr>
              <w:t>Nivel Básico (8)</w:t>
            </w:r>
          </w:p>
        </w:tc>
        <w:tc>
          <w:tcPr>
            <w:tcW w:w="1148" w:type="dxa"/>
            <w:shd w:val="clear" w:color="auto" w:fill="9CC2E4"/>
          </w:tcPr>
          <w:p>
            <w:pPr>
              <w:pStyle w:val="TableParagraph"/>
              <w:spacing w:line="265" w:lineRule="exact"/>
              <w:ind w:left="115" w:right="119"/>
              <w:rPr>
                <w:rFonts w:ascii="Calibri Light"/>
                <w:b w:val="0"/>
                <w:sz w:val="22"/>
              </w:rPr>
            </w:pPr>
            <w:r>
              <w:rPr>
                <w:sz w:val="22"/>
              </w:rPr>
              <w:t>2 </w:t>
            </w:r>
            <w:r>
              <w:rPr>
                <w:rFonts w:ascii="Calibri Light"/>
                <w:b w:val="0"/>
                <w:sz w:val="22"/>
              </w:rPr>
              <w:t>(25%)</w:t>
            </w:r>
          </w:p>
        </w:tc>
        <w:tc>
          <w:tcPr>
            <w:tcW w:w="1121" w:type="dxa"/>
            <w:shd w:val="clear" w:color="auto" w:fill="9CC2E4"/>
          </w:tcPr>
          <w:p>
            <w:pPr>
              <w:pStyle w:val="TableParagraph"/>
              <w:spacing w:line="265" w:lineRule="exact"/>
              <w:ind w:left="85" w:right="85"/>
              <w:rPr>
                <w:rFonts w:ascii="Calibri Light"/>
                <w:b w:val="0"/>
                <w:sz w:val="22"/>
              </w:rPr>
            </w:pPr>
            <w:r>
              <w:rPr>
                <w:sz w:val="22"/>
              </w:rPr>
              <w:t>2 </w:t>
            </w:r>
            <w:r>
              <w:rPr>
                <w:rFonts w:ascii="Calibri Light"/>
                <w:b w:val="0"/>
                <w:sz w:val="22"/>
              </w:rPr>
              <w:t>(25%)</w:t>
            </w:r>
          </w:p>
        </w:tc>
        <w:tc>
          <w:tcPr>
            <w:tcW w:w="1244" w:type="dxa"/>
            <w:shd w:val="clear" w:color="auto" w:fill="9CC2E4"/>
          </w:tcPr>
          <w:p>
            <w:pPr>
              <w:pStyle w:val="TableParagraph"/>
              <w:spacing w:line="265" w:lineRule="exact"/>
              <w:ind w:left="82" w:right="82"/>
              <w:rPr>
                <w:rFonts w:ascii="Calibri Light"/>
                <w:b w:val="0"/>
                <w:sz w:val="22"/>
              </w:rPr>
            </w:pPr>
            <w:r>
              <w:rPr>
                <w:sz w:val="22"/>
              </w:rPr>
              <w:t>2 </w:t>
            </w:r>
            <w:r>
              <w:rPr>
                <w:rFonts w:ascii="Calibri Light"/>
                <w:b w:val="0"/>
                <w:sz w:val="22"/>
              </w:rPr>
              <w:t>(25%)</w:t>
            </w:r>
          </w:p>
        </w:tc>
        <w:tc>
          <w:tcPr>
            <w:tcW w:w="1368" w:type="dxa"/>
            <w:shd w:val="clear" w:color="auto" w:fill="9CC2E4"/>
          </w:tcPr>
          <w:p>
            <w:pPr>
              <w:pStyle w:val="TableParagraph"/>
              <w:spacing w:line="265" w:lineRule="exact"/>
              <w:ind w:left="223" w:right="224"/>
              <w:rPr>
                <w:rFonts w:ascii="Calibri Light"/>
                <w:b w:val="0"/>
                <w:sz w:val="22"/>
              </w:rPr>
            </w:pPr>
            <w:r>
              <w:rPr>
                <w:sz w:val="22"/>
              </w:rPr>
              <w:t>2 </w:t>
            </w:r>
            <w:r>
              <w:rPr>
                <w:rFonts w:ascii="Calibri Light"/>
                <w:b w:val="0"/>
                <w:sz w:val="22"/>
              </w:rPr>
              <w:t>(25%)</w:t>
            </w:r>
          </w:p>
        </w:tc>
        <w:tc>
          <w:tcPr>
            <w:tcW w:w="1366" w:type="dxa"/>
            <w:tcBorders>
              <w:left w:val="thickThinMediumGap" w:sz="23" w:space="0" w:color="9CC2E4"/>
            </w:tcBorders>
          </w:tcPr>
          <w:p>
            <w:pPr>
              <w:pStyle w:val="TableParagraph"/>
              <w:spacing w:before="9"/>
              <w:ind w:right="55"/>
              <w:rPr>
                <w:sz w:val="22"/>
              </w:rPr>
            </w:pPr>
            <w:r>
              <w:rPr>
                <w:w w:val="100"/>
                <w:sz w:val="22"/>
              </w:rPr>
              <w:t>0</w:t>
            </w:r>
          </w:p>
        </w:tc>
      </w:tr>
      <w:tr>
        <w:trPr>
          <w:trHeight w:val="413" w:hRule="exact"/>
        </w:trPr>
        <w:tc>
          <w:tcPr>
            <w:tcW w:w="3152" w:type="dxa"/>
            <w:gridSpan w:val="2"/>
          </w:tcPr>
          <w:p>
            <w:pPr>
              <w:pStyle w:val="TableParagraph"/>
              <w:spacing w:before="9"/>
              <w:ind w:left="383"/>
              <w:jc w:val="left"/>
              <w:rPr>
                <w:sz w:val="22"/>
              </w:rPr>
            </w:pPr>
            <w:r>
              <w:rPr>
                <w:sz w:val="22"/>
              </w:rPr>
              <w:t>Nivel Medio Superior (8)</w:t>
            </w:r>
          </w:p>
        </w:tc>
        <w:tc>
          <w:tcPr>
            <w:tcW w:w="1148" w:type="dxa"/>
          </w:tcPr>
          <w:p>
            <w:pPr>
              <w:pStyle w:val="TableParagraph"/>
              <w:spacing w:before="9"/>
              <w:ind w:right="5"/>
              <w:rPr>
                <w:sz w:val="22"/>
              </w:rPr>
            </w:pPr>
            <w:r>
              <w:rPr>
                <w:w w:val="100"/>
                <w:sz w:val="22"/>
              </w:rPr>
              <w:t>0</w:t>
            </w:r>
          </w:p>
        </w:tc>
        <w:tc>
          <w:tcPr>
            <w:tcW w:w="1121" w:type="dxa"/>
            <w:tcBorders>
              <w:right w:val="single" w:sz="41" w:space="0" w:color="9CC2E4"/>
            </w:tcBorders>
          </w:tcPr>
          <w:p>
            <w:pPr>
              <w:pStyle w:val="TableParagraph"/>
              <w:spacing w:line="265" w:lineRule="exact"/>
              <w:ind w:left="105" w:right="58"/>
              <w:rPr>
                <w:rFonts w:ascii="Calibri Light"/>
                <w:b w:val="0"/>
                <w:sz w:val="22"/>
              </w:rPr>
            </w:pPr>
            <w:r>
              <w:rPr>
                <w:sz w:val="22"/>
              </w:rPr>
              <w:t>2 </w:t>
            </w:r>
            <w:r>
              <w:rPr>
                <w:rFonts w:ascii="Calibri Light"/>
                <w:b w:val="0"/>
                <w:sz w:val="22"/>
              </w:rPr>
              <w:t>(25%)</w:t>
            </w:r>
          </w:p>
        </w:tc>
        <w:tc>
          <w:tcPr>
            <w:tcW w:w="1244" w:type="dxa"/>
            <w:shd w:val="clear" w:color="auto" w:fill="9CC2E4"/>
          </w:tcPr>
          <w:p>
            <w:pPr>
              <w:pStyle w:val="TableParagraph"/>
              <w:spacing w:line="265" w:lineRule="exact"/>
              <w:ind w:left="82" w:right="82"/>
              <w:rPr>
                <w:rFonts w:ascii="Calibri Light"/>
                <w:b w:val="0"/>
                <w:sz w:val="22"/>
              </w:rPr>
            </w:pPr>
            <w:r>
              <w:rPr>
                <w:sz w:val="22"/>
              </w:rPr>
              <w:t>3 </w:t>
            </w:r>
            <w:r>
              <w:rPr>
                <w:rFonts w:ascii="Calibri Light"/>
                <w:b w:val="0"/>
                <w:sz w:val="22"/>
              </w:rPr>
              <w:t>(37.5%)</w:t>
            </w:r>
          </w:p>
        </w:tc>
        <w:tc>
          <w:tcPr>
            <w:tcW w:w="1368" w:type="dxa"/>
            <w:shd w:val="clear" w:color="auto" w:fill="9CC2E4"/>
          </w:tcPr>
          <w:p>
            <w:pPr>
              <w:pStyle w:val="TableParagraph"/>
              <w:spacing w:line="265" w:lineRule="exact"/>
              <w:ind w:left="222" w:right="224"/>
              <w:rPr>
                <w:rFonts w:ascii="Calibri Light"/>
                <w:b w:val="0"/>
                <w:sz w:val="22"/>
              </w:rPr>
            </w:pPr>
            <w:r>
              <w:rPr>
                <w:sz w:val="22"/>
              </w:rPr>
              <w:t>3 </w:t>
            </w:r>
            <w:r>
              <w:rPr>
                <w:rFonts w:ascii="Calibri Light"/>
                <w:b w:val="0"/>
                <w:sz w:val="22"/>
              </w:rPr>
              <w:t>(37.5%)</w:t>
            </w:r>
          </w:p>
        </w:tc>
        <w:tc>
          <w:tcPr>
            <w:tcW w:w="1366" w:type="dxa"/>
            <w:tcBorders>
              <w:left w:val="thickThinMediumGap" w:sz="23" w:space="0" w:color="9CC2E4"/>
            </w:tcBorders>
          </w:tcPr>
          <w:p>
            <w:pPr>
              <w:pStyle w:val="TableParagraph"/>
              <w:spacing w:before="9"/>
              <w:ind w:right="55"/>
              <w:rPr>
                <w:sz w:val="22"/>
              </w:rPr>
            </w:pPr>
            <w:r>
              <w:rPr>
                <w:w w:val="100"/>
                <w:sz w:val="22"/>
              </w:rPr>
              <w:t>0</w:t>
            </w:r>
          </w:p>
        </w:tc>
      </w:tr>
      <w:tr>
        <w:trPr>
          <w:trHeight w:val="413" w:hRule="exact"/>
        </w:trPr>
        <w:tc>
          <w:tcPr>
            <w:tcW w:w="3152" w:type="dxa"/>
            <w:gridSpan w:val="2"/>
          </w:tcPr>
          <w:p>
            <w:pPr>
              <w:pStyle w:val="TableParagraph"/>
              <w:spacing w:before="9"/>
              <w:ind w:left="712"/>
              <w:jc w:val="left"/>
              <w:rPr>
                <w:sz w:val="22"/>
              </w:rPr>
            </w:pPr>
            <w:r>
              <w:rPr>
                <w:sz w:val="22"/>
              </w:rPr>
              <w:t>Nivel Superior (8)</w:t>
            </w:r>
          </w:p>
        </w:tc>
        <w:tc>
          <w:tcPr>
            <w:tcW w:w="1148" w:type="dxa"/>
            <w:tcBorders>
              <w:right w:val="single" w:sz="41" w:space="0" w:color="2D74B5"/>
            </w:tcBorders>
          </w:tcPr>
          <w:p>
            <w:pPr>
              <w:pStyle w:val="TableParagraph"/>
              <w:spacing w:line="265" w:lineRule="exact"/>
              <w:ind w:left="117" w:right="75"/>
              <w:rPr>
                <w:rFonts w:ascii="Calibri Light"/>
                <w:b w:val="0"/>
                <w:sz w:val="22"/>
              </w:rPr>
            </w:pPr>
            <w:r>
              <w:rPr>
                <w:sz w:val="22"/>
              </w:rPr>
              <w:t>1 </w:t>
            </w:r>
            <w:r>
              <w:rPr>
                <w:rFonts w:ascii="Calibri Light"/>
                <w:b w:val="0"/>
                <w:sz w:val="22"/>
              </w:rPr>
              <w:t>(12.5%)</w:t>
            </w:r>
          </w:p>
        </w:tc>
        <w:tc>
          <w:tcPr>
            <w:tcW w:w="1121" w:type="dxa"/>
            <w:shd w:val="clear" w:color="auto" w:fill="2D74B5"/>
          </w:tcPr>
          <w:p>
            <w:pPr>
              <w:pStyle w:val="TableParagraph"/>
              <w:spacing w:line="265" w:lineRule="exact"/>
              <w:ind w:left="85" w:right="86"/>
              <w:rPr>
                <w:rFonts w:ascii="Calibri Light"/>
                <w:b w:val="0"/>
                <w:sz w:val="22"/>
              </w:rPr>
            </w:pPr>
            <w:r>
              <w:rPr>
                <w:sz w:val="22"/>
              </w:rPr>
              <w:t>5 </w:t>
            </w:r>
            <w:r>
              <w:rPr>
                <w:rFonts w:ascii="Calibri Light"/>
                <w:b w:val="0"/>
                <w:sz w:val="22"/>
              </w:rPr>
              <w:t>(62.5%)</w:t>
            </w:r>
          </w:p>
        </w:tc>
        <w:tc>
          <w:tcPr>
            <w:tcW w:w="1244" w:type="dxa"/>
            <w:tcBorders>
              <w:left w:val="single" w:sz="45" w:space="0" w:color="2D74B5"/>
            </w:tcBorders>
          </w:tcPr>
          <w:p>
            <w:pPr>
              <w:pStyle w:val="TableParagraph"/>
              <w:spacing w:before="9"/>
              <w:ind w:right="52"/>
              <w:rPr>
                <w:sz w:val="22"/>
              </w:rPr>
            </w:pPr>
            <w:r>
              <w:rPr>
                <w:w w:val="100"/>
                <w:sz w:val="22"/>
              </w:rPr>
              <w:t>0</w:t>
            </w:r>
          </w:p>
        </w:tc>
        <w:tc>
          <w:tcPr>
            <w:tcW w:w="1368" w:type="dxa"/>
          </w:tcPr>
          <w:p>
            <w:pPr>
              <w:pStyle w:val="TableParagraph"/>
              <w:spacing w:line="265" w:lineRule="exact"/>
              <w:ind w:left="222" w:right="224"/>
              <w:rPr>
                <w:rFonts w:ascii="Calibri Light"/>
                <w:b w:val="0"/>
                <w:sz w:val="22"/>
              </w:rPr>
            </w:pPr>
            <w:r>
              <w:rPr>
                <w:sz w:val="22"/>
              </w:rPr>
              <w:t>1 </w:t>
            </w:r>
            <w:r>
              <w:rPr>
                <w:rFonts w:ascii="Calibri Light"/>
                <w:b w:val="0"/>
                <w:sz w:val="22"/>
              </w:rPr>
              <w:t>(12.5%)</w:t>
            </w:r>
          </w:p>
        </w:tc>
        <w:tc>
          <w:tcPr>
            <w:tcW w:w="1366" w:type="dxa"/>
          </w:tcPr>
          <w:p>
            <w:pPr>
              <w:pStyle w:val="TableParagraph"/>
              <w:spacing w:line="265" w:lineRule="exact"/>
              <w:ind w:left="226" w:right="230"/>
              <w:rPr>
                <w:rFonts w:ascii="Calibri Light"/>
                <w:b w:val="0"/>
                <w:sz w:val="22"/>
              </w:rPr>
            </w:pPr>
            <w:r>
              <w:rPr>
                <w:sz w:val="22"/>
              </w:rPr>
              <w:t>1 </w:t>
            </w:r>
            <w:r>
              <w:rPr>
                <w:rFonts w:ascii="Calibri Light"/>
                <w:b w:val="0"/>
                <w:sz w:val="22"/>
              </w:rPr>
              <w:t>(12.5%)</w:t>
            </w:r>
          </w:p>
        </w:tc>
      </w:tr>
    </w:tbl>
    <w:p>
      <w:pPr>
        <w:spacing w:line="227" w:lineRule="exact" w:before="0"/>
        <w:ind w:left="1213" w:right="339" w:firstLine="0"/>
        <w:jc w:val="left"/>
        <w:rPr>
          <w:b/>
          <w:sz w:val="20"/>
        </w:rPr>
      </w:pPr>
      <w:r>
        <w:rPr>
          <w:b/>
          <w:sz w:val="20"/>
        </w:rPr>
        <w:t>Tabla 4.42. Anuncio publicitario con fama; respuestas por nivel de estudios</w:t>
      </w:r>
    </w:p>
    <w:p>
      <w:pPr>
        <w:pStyle w:val="BodyText"/>
        <w:spacing w:before="5"/>
        <w:rPr>
          <w:b/>
          <w:sz w:val="27"/>
        </w:rPr>
      </w:pPr>
    </w:p>
    <w:p>
      <w:pPr>
        <w:pStyle w:val="BodyText"/>
        <w:spacing w:line="360" w:lineRule="auto"/>
        <w:ind w:left="102" w:right="112" w:firstLine="707"/>
        <w:jc w:val="both"/>
      </w:pPr>
      <w:r>
        <w:rPr/>
        <w:t>La aseveración 15 indica lo siguiente: “</w:t>
      </w:r>
      <w:r>
        <w:rPr>
          <w:b/>
        </w:rPr>
        <w:t>En un contexto informal y más familiar se produciría un texto como el de esta grabación</w:t>
      </w:r>
      <w:r>
        <w:rPr/>
        <w:t>”, muestra una posición favorable ante el uso de anglicismos. Lo que a esta aseveración respecta, nueve de 24 sujetos encuestados dijeron estar “en desacuerdo” con lo que se establece, no obstante, siete están “de acuerdo” y seis “muy de acuerdo”, a pesar de ello sería difícil determinar que la</w:t>
      </w:r>
      <w:r>
        <w:rPr>
          <w:spacing w:val="-13"/>
        </w:rPr>
        <w:t> </w:t>
      </w:r>
      <w:r>
        <w:rPr/>
        <w:t>mayoría</w:t>
      </w:r>
      <w:r>
        <w:rPr>
          <w:spacing w:val="-13"/>
        </w:rPr>
        <w:t> </w:t>
      </w:r>
      <w:r>
        <w:rPr/>
        <w:t>de</w:t>
      </w:r>
      <w:r>
        <w:rPr>
          <w:spacing w:val="-13"/>
        </w:rPr>
        <w:t> </w:t>
      </w:r>
      <w:r>
        <w:rPr/>
        <w:t>la</w:t>
      </w:r>
      <w:r>
        <w:rPr>
          <w:spacing w:val="-16"/>
        </w:rPr>
        <w:t> </w:t>
      </w:r>
      <w:r>
        <w:rPr/>
        <w:t>población</w:t>
      </w:r>
      <w:r>
        <w:rPr>
          <w:spacing w:val="-13"/>
        </w:rPr>
        <w:t> </w:t>
      </w:r>
      <w:r>
        <w:rPr/>
        <w:t>se</w:t>
      </w:r>
      <w:r>
        <w:rPr>
          <w:spacing w:val="-15"/>
        </w:rPr>
        <w:t> </w:t>
      </w:r>
      <w:r>
        <w:rPr/>
        <w:t>inclinan</w:t>
      </w:r>
      <w:r>
        <w:rPr>
          <w:spacing w:val="-13"/>
        </w:rPr>
        <w:t> </w:t>
      </w:r>
      <w:r>
        <w:rPr/>
        <w:t>por</w:t>
      </w:r>
      <w:r>
        <w:rPr>
          <w:spacing w:val="-15"/>
        </w:rPr>
        <w:t> </w:t>
      </w:r>
      <w:r>
        <w:rPr/>
        <w:t>las</w:t>
      </w:r>
      <w:r>
        <w:rPr>
          <w:spacing w:val="-13"/>
        </w:rPr>
        <w:t> </w:t>
      </w:r>
      <w:r>
        <w:rPr/>
        <w:t>respuestas</w:t>
      </w:r>
      <w:r>
        <w:rPr>
          <w:spacing w:val="-16"/>
        </w:rPr>
        <w:t> </w:t>
      </w:r>
      <w:r>
        <w:rPr/>
        <w:t>“muy</w:t>
      </w:r>
      <w:r>
        <w:rPr>
          <w:spacing w:val="-16"/>
        </w:rPr>
        <w:t> </w:t>
      </w:r>
      <w:r>
        <w:rPr/>
        <w:t>de</w:t>
      </w:r>
      <w:r>
        <w:rPr>
          <w:spacing w:val="-15"/>
        </w:rPr>
        <w:t> </w:t>
      </w:r>
      <w:r>
        <w:rPr/>
        <w:t>acuerdo”</w:t>
      </w:r>
      <w:r>
        <w:rPr>
          <w:spacing w:val="-15"/>
        </w:rPr>
        <w:t> </w:t>
      </w:r>
      <w:r>
        <w:rPr/>
        <w:t>y</w:t>
      </w:r>
      <w:r>
        <w:rPr>
          <w:spacing w:val="-16"/>
        </w:rPr>
        <w:t> </w:t>
      </w:r>
      <w:r>
        <w:rPr/>
        <w:t>“de</w:t>
      </w:r>
      <w:r>
        <w:rPr>
          <w:spacing w:val="-15"/>
        </w:rPr>
        <w:t> </w:t>
      </w:r>
      <w:r>
        <w:rPr/>
        <w:t>acuerdo” (ver</w:t>
      </w:r>
      <w:r>
        <w:rPr>
          <w:spacing w:val="-6"/>
        </w:rPr>
        <w:t> </w:t>
      </w:r>
      <w:r>
        <w:rPr/>
        <w:t>tabla</w:t>
      </w:r>
      <w:r>
        <w:rPr>
          <w:spacing w:val="-5"/>
        </w:rPr>
        <w:t> </w:t>
      </w:r>
      <w:r>
        <w:rPr/>
        <w:t>4.43.).</w:t>
      </w:r>
      <w:r>
        <w:rPr>
          <w:spacing w:val="-7"/>
        </w:rPr>
        <w:t> </w:t>
      </w:r>
      <w:r>
        <w:rPr/>
        <w:t>En</w:t>
      </w:r>
      <w:r>
        <w:rPr>
          <w:spacing w:val="-5"/>
        </w:rPr>
        <w:t> </w:t>
      </w:r>
      <w:r>
        <w:rPr/>
        <w:t>cuanto</w:t>
      </w:r>
      <w:r>
        <w:rPr>
          <w:spacing w:val="-6"/>
        </w:rPr>
        <w:t> </w:t>
      </w:r>
      <w:r>
        <w:rPr/>
        <w:t>al</w:t>
      </w:r>
      <w:r>
        <w:rPr>
          <w:spacing w:val="-8"/>
        </w:rPr>
        <w:t> </w:t>
      </w:r>
      <w:r>
        <w:rPr/>
        <w:t>análisis</w:t>
      </w:r>
      <w:r>
        <w:rPr>
          <w:spacing w:val="-6"/>
        </w:rPr>
        <w:t> </w:t>
      </w:r>
      <w:r>
        <w:rPr/>
        <w:t>por</w:t>
      </w:r>
      <w:r>
        <w:rPr>
          <w:spacing w:val="-6"/>
        </w:rPr>
        <w:t> </w:t>
      </w:r>
      <w:r>
        <w:rPr/>
        <w:t>género,</w:t>
      </w:r>
      <w:r>
        <w:rPr>
          <w:spacing w:val="-7"/>
        </w:rPr>
        <w:t> </w:t>
      </w:r>
      <w:r>
        <w:rPr/>
        <w:t>en</w:t>
      </w:r>
      <w:r>
        <w:rPr>
          <w:spacing w:val="-7"/>
        </w:rPr>
        <w:t> </w:t>
      </w:r>
      <w:r>
        <w:rPr/>
        <w:t>esta</w:t>
      </w:r>
      <w:r>
        <w:rPr>
          <w:spacing w:val="-6"/>
        </w:rPr>
        <w:t> </w:t>
      </w:r>
      <w:r>
        <w:rPr/>
        <w:t>aseveración</w:t>
      </w:r>
      <w:r>
        <w:rPr>
          <w:spacing w:val="-5"/>
        </w:rPr>
        <w:t> </w:t>
      </w:r>
      <w:r>
        <w:rPr/>
        <w:t>se</w:t>
      </w:r>
      <w:r>
        <w:rPr>
          <w:spacing w:val="-7"/>
        </w:rPr>
        <w:t> </w:t>
      </w:r>
      <w:r>
        <w:rPr/>
        <w:t>puede</w:t>
      </w:r>
      <w:r>
        <w:rPr>
          <w:spacing w:val="-5"/>
        </w:rPr>
        <w:t> </w:t>
      </w:r>
      <w:r>
        <w:rPr/>
        <w:t>ver</w:t>
      </w:r>
      <w:r>
        <w:rPr>
          <w:spacing w:val="-6"/>
        </w:rPr>
        <w:t> </w:t>
      </w:r>
      <w:r>
        <w:rPr/>
        <w:t>que en el caso de las mujeres, en un 33.3% se encuentran “muy de acuerdo” y otro 33.3% “en desacuerdo”, no obstante, un 25% se encuentra “de acuerdo”. Algo similar para con los hombres, a primera vista el porcentaje más alto se encuentra en la opción “en desacuerdo” con 41.6%, sin embargo, un 33.3% de ellos están “de acuerdo” y un 16.6% están “muy de acuerdo” lo que al sumar los porcentajes es más del 41.6% “en desacuerdo”.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8"/>
        <w:gridCol w:w="1366"/>
      </w:tblGrid>
      <w:tr>
        <w:trPr>
          <w:trHeight w:val="406"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15</w:t>
            </w:r>
          </w:p>
        </w:tc>
        <w:tc>
          <w:tcPr>
            <w:tcW w:w="1721" w:type="dxa"/>
            <w:vMerge w:val="restart"/>
          </w:tcPr>
          <w:p>
            <w:pPr>
              <w:pStyle w:val="TableParagraph"/>
              <w:spacing w:line="357" w:lineRule="auto" w:before="12"/>
              <w:ind w:left="218" w:right="220" w:firstLine="5"/>
              <w:rPr>
                <w:b/>
                <w:sz w:val="22"/>
              </w:rPr>
            </w:pPr>
            <w:r>
              <w:rPr>
                <w:sz w:val="22"/>
              </w:rPr>
              <w:t>Tipo de Aseveración: </w:t>
            </w:r>
            <w:r>
              <w:rPr>
                <w:b/>
                <w:sz w:val="22"/>
              </w:rPr>
              <w:t>Favorable</w:t>
            </w:r>
          </w:p>
        </w:tc>
        <w:tc>
          <w:tcPr>
            <w:tcW w:w="6249" w:type="dxa"/>
            <w:gridSpan w:val="5"/>
          </w:tcPr>
          <w:p>
            <w:pPr>
              <w:pStyle w:val="TableParagraph"/>
              <w:spacing w:before="5"/>
              <w:ind w:left="2517" w:right="2517"/>
              <w:rPr>
                <w:sz w:val="22"/>
              </w:rPr>
            </w:pPr>
            <w:r>
              <w:rPr>
                <w:sz w:val="22"/>
              </w:rPr>
              <w:t>Respuestas</w:t>
            </w:r>
          </w:p>
        </w:tc>
      </w:tr>
      <w:tr>
        <w:trPr>
          <w:trHeight w:val="770" w:hRule="exact"/>
        </w:trPr>
        <w:tc>
          <w:tcPr>
            <w:tcW w:w="1428" w:type="dxa"/>
            <w:vMerge/>
          </w:tcPr>
          <w:p>
            <w:pPr/>
          </w:p>
        </w:tc>
        <w:tc>
          <w:tcPr>
            <w:tcW w:w="1721" w:type="dxa"/>
            <w:vMerge/>
          </w:tcPr>
          <w:p>
            <w:pPr/>
          </w:p>
        </w:tc>
        <w:tc>
          <w:tcPr>
            <w:tcW w:w="1150" w:type="dxa"/>
          </w:tcPr>
          <w:p>
            <w:pPr>
              <w:pStyle w:val="TableParagraph"/>
              <w:spacing w:line="362" w:lineRule="auto"/>
              <w:ind w:left="170" w:right="155" w:firstLine="38"/>
              <w:jc w:val="left"/>
              <w:rPr>
                <w:sz w:val="22"/>
              </w:rPr>
            </w:pPr>
            <w:r>
              <w:rPr>
                <w:sz w:val="22"/>
              </w:rPr>
              <w:t>Muy de acuerdo</w:t>
            </w:r>
          </w:p>
        </w:tc>
        <w:tc>
          <w:tcPr>
            <w:tcW w:w="1121" w:type="dxa"/>
          </w:tcPr>
          <w:p>
            <w:pPr>
              <w:pStyle w:val="TableParagraph"/>
              <w:spacing w:line="362" w:lineRule="auto"/>
              <w:ind w:left="155" w:right="141"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2" w:lineRule="auto"/>
              <w:ind w:left="103" w:right="85" w:firstLine="439"/>
              <w:jc w:val="left"/>
              <w:rPr>
                <w:sz w:val="22"/>
              </w:rPr>
            </w:pPr>
            <w:r>
              <w:rPr>
                <w:sz w:val="22"/>
              </w:rPr>
              <w:t>En desacuerdo</w:t>
            </w:r>
          </w:p>
        </w:tc>
        <w:tc>
          <w:tcPr>
            <w:tcW w:w="1366" w:type="dxa"/>
          </w:tcPr>
          <w:p>
            <w:pPr>
              <w:pStyle w:val="TableParagraph"/>
              <w:spacing w:line="362" w:lineRule="auto"/>
              <w:ind w:left="100" w:right="86" w:firstLine="213"/>
              <w:jc w:val="left"/>
              <w:rPr>
                <w:sz w:val="22"/>
              </w:rPr>
            </w:pPr>
            <w:r>
              <w:rPr>
                <w:sz w:val="22"/>
              </w:rPr>
              <w:t>Muy en desacuerdo</w:t>
            </w:r>
          </w:p>
        </w:tc>
      </w:tr>
      <w:tr>
        <w:trPr>
          <w:trHeight w:val="413" w:hRule="exact"/>
        </w:trPr>
        <w:tc>
          <w:tcPr>
            <w:tcW w:w="3149" w:type="dxa"/>
            <w:gridSpan w:val="2"/>
          </w:tcPr>
          <w:p>
            <w:pPr>
              <w:pStyle w:val="TableParagraph"/>
              <w:spacing w:before="9"/>
              <w:ind w:left="326"/>
              <w:jc w:val="left"/>
              <w:rPr>
                <w:sz w:val="22"/>
              </w:rPr>
            </w:pPr>
            <w:r>
              <w:rPr>
                <w:sz w:val="22"/>
              </w:rPr>
              <w:t>Total de la población (24)</w:t>
            </w:r>
          </w:p>
        </w:tc>
        <w:tc>
          <w:tcPr>
            <w:tcW w:w="1150" w:type="dxa"/>
          </w:tcPr>
          <w:p>
            <w:pPr>
              <w:pStyle w:val="TableParagraph"/>
              <w:spacing w:line="265" w:lineRule="exact"/>
              <w:ind w:left="118" w:right="120"/>
              <w:rPr>
                <w:rFonts w:ascii="Calibri Light"/>
                <w:b w:val="0"/>
                <w:sz w:val="22"/>
              </w:rPr>
            </w:pPr>
            <w:r>
              <w:rPr>
                <w:sz w:val="22"/>
              </w:rPr>
              <w:t>6 </w:t>
            </w:r>
            <w:r>
              <w:rPr>
                <w:rFonts w:ascii="Calibri Light"/>
                <w:b w:val="0"/>
                <w:sz w:val="22"/>
              </w:rPr>
              <w:t>(25%)</w:t>
            </w:r>
          </w:p>
        </w:tc>
        <w:tc>
          <w:tcPr>
            <w:tcW w:w="1121" w:type="dxa"/>
          </w:tcPr>
          <w:p>
            <w:pPr>
              <w:pStyle w:val="TableParagraph"/>
              <w:spacing w:line="265" w:lineRule="exact"/>
              <w:ind w:left="85" w:right="86"/>
              <w:rPr>
                <w:rFonts w:ascii="Calibri Light"/>
                <w:b w:val="0"/>
                <w:sz w:val="22"/>
              </w:rPr>
            </w:pPr>
            <w:r>
              <w:rPr>
                <w:sz w:val="22"/>
              </w:rPr>
              <w:t>7 </w:t>
            </w:r>
            <w:r>
              <w:rPr>
                <w:rFonts w:ascii="Calibri Light"/>
                <w:b w:val="0"/>
                <w:sz w:val="22"/>
              </w:rPr>
              <w:t>(29.1%)</w:t>
            </w:r>
          </w:p>
        </w:tc>
        <w:tc>
          <w:tcPr>
            <w:tcW w:w="1244" w:type="dxa"/>
            <w:tcBorders>
              <w:right w:val="single" w:sz="41" w:space="0" w:color="2D74B5"/>
            </w:tcBorders>
          </w:tcPr>
          <w:p>
            <w:pPr>
              <w:pStyle w:val="TableParagraph"/>
              <w:spacing w:line="265" w:lineRule="exact"/>
              <w:ind w:left="165" w:right="121"/>
              <w:rPr>
                <w:rFonts w:ascii="Calibri Light"/>
                <w:b w:val="0"/>
                <w:sz w:val="22"/>
              </w:rPr>
            </w:pPr>
            <w:r>
              <w:rPr>
                <w:sz w:val="22"/>
              </w:rPr>
              <w:t>2 </w:t>
            </w:r>
            <w:r>
              <w:rPr>
                <w:rFonts w:ascii="Calibri Light"/>
                <w:b w:val="0"/>
                <w:sz w:val="22"/>
              </w:rPr>
              <w:t>(8.3%)</w:t>
            </w:r>
          </w:p>
        </w:tc>
        <w:tc>
          <w:tcPr>
            <w:tcW w:w="1368" w:type="dxa"/>
            <w:shd w:val="clear" w:color="auto" w:fill="2D74B5"/>
          </w:tcPr>
          <w:p>
            <w:pPr>
              <w:pStyle w:val="TableParagraph"/>
              <w:spacing w:line="265" w:lineRule="exact"/>
              <w:ind w:left="222" w:right="224"/>
              <w:rPr>
                <w:rFonts w:ascii="Calibri Light"/>
                <w:b w:val="0"/>
                <w:sz w:val="22"/>
              </w:rPr>
            </w:pPr>
            <w:r>
              <w:rPr>
                <w:sz w:val="22"/>
              </w:rPr>
              <w:t>9 </w:t>
            </w:r>
            <w:r>
              <w:rPr>
                <w:rFonts w:ascii="Calibri Light"/>
                <w:b w:val="0"/>
                <w:sz w:val="22"/>
              </w:rPr>
              <w:t>(37.5%)</w:t>
            </w:r>
          </w:p>
        </w:tc>
        <w:tc>
          <w:tcPr>
            <w:tcW w:w="1366" w:type="dxa"/>
            <w:tcBorders>
              <w:left w:val="thickThinMediumGap" w:sz="23" w:space="0" w:color="2D74B5"/>
            </w:tcBorders>
          </w:tcPr>
          <w:p>
            <w:pPr>
              <w:pStyle w:val="TableParagraph"/>
              <w:spacing w:before="9"/>
              <w:ind w:left="561"/>
              <w:jc w:val="left"/>
              <w:rPr>
                <w:sz w:val="22"/>
              </w:rPr>
            </w:pPr>
            <w:r>
              <w:rPr>
                <w:w w:val="100"/>
                <w:sz w:val="22"/>
              </w:rPr>
              <w:t>0</w:t>
            </w:r>
          </w:p>
        </w:tc>
      </w:tr>
      <w:tr>
        <w:trPr>
          <w:trHeight w:val="413" w:hRule="exact"/>
        </w:trPr>
        <w:tc>
          <w:tcPr>
            <w:tcW w:w="3149" w:type="dxa"/>
            <w:gridSpan w:val="2"/>
            <w:tcBorders>
              <w:right w:val="single" w:sz="45" w:space="0" w:color="9CC2E4"/>
            </w:tcBorders>
          </w:tcPr>
          <w:p>
            <w:pPr>
              <w:pStyle w:val="TableParagraph"/>
              <w:spacing w:before="9"/>
              <w:ind w:left="950"/>
              <w:jc w:val="left"/>
              <w:rPr>
                <w:sz w:val="22"/>
              </w:rPr>
            </w:pPr>
            <w:r>
              <w:rPr>
                <w:sz w:val="22"/>
              </w:rPr>
              <w:t>Mujeres (12)</w:t>
            </w:r>
          </w:p>
        </w:tc>
        <w:tc>
          <w:tcPr>
            <w:tcW w:w="1150" w:type="dxa"/>
            <w:shd w:val="clear" w:color="auto" w:fill="9CC2E4"/>
          </w:tcPr>
          <w:p>
            <w:pPr>
              <w:pStyle w:val="TableParagraph"/>
              <w:spacing w:line="265" w:lineRule="exact"/>
              <w:ind w:left="120" w:right="120"/>
              <w:rPr>
                <w:rFonts w:ascii="Calibri Light"/>
                <w:b w:val="0"/>
                <w:sz w:val="22"/>
              </w:rPr>
            </w:pPr>
            <w:r>
              <w:rPr>
                <w:sz w:val="22"/>
              </w:rPr>
              <w:t>4 </w:t>
            </w:r>
            <w:r>
              <w:rPr>
                <w:rFonts w:ascii="Calibri Light"/>
                <w:b w:val="0"/>
                <w:sz w:val="22"/>
              </w:rPr>
              <w:t>(33.3%)</w:t>
            </w:r>
          </w:p>
        </w:tc>
        <w:tc>
          <w:tcPr>
            <w:tcW w:w="1121" w:type="dxa"/>
            <w:shd w:val="clear" w:color="auto" w:fill="9CC2E4"/>
          </w:tcPr>
          <w:p>
            <w:pPr>
              <w:pStyle w:val="TableParagraph"/>
              <w:spacing w:line="265" w:lineRule="exact"/>
              <w:ind w:left="85" w:right="87"/>
              <w:rPr>
                <w:rFonts w:ascii="Calibri Light"/>
                <w:b w:val="0"/>
                <w:sz w:val="22"/>
              </w:rPr>
            </w:pPr>
            <w:r>
              <w:rPr>
                <w:sz w:val="22"/>
              </w:rPr>
              <w:t>3 </w:t>
            </w:r>
            <w:r>
              <w:rPr>
                <w:rFonts w:ascii="Calibri Light"/>
                <w:b w:val="0"/>
                <w:sz w:val="22"/>
              </w:rPr>
              <w:t>(25%)</w:t>
            </w:r>
          </w:p>
        </w:tc>
        <w:tc>
          <w:tcPr>
            <w:tcW w:w="1244" w:type="dxa"/>
            <w:tcBorders>
              <w:left w:val="single" w:sz="45" w:space="0" w:color="9CC2E4"/>
              <w:right w:val="single" w:sz="41" w:space="0" w:color="9CC2E4"/>
            </w:tcBorders>
          </w:tcPr>
          <w:p>
            <w:pPr>
              <w:pStyle w:val="TableParagraph"/>
              <w:spacing w:line="265" w:lineRule="exact"/>
              <w:ind w:left="115" w:right="119"/>
              <w:rPr>
                <w:rFonts w:ascii="Calibri Light"/>
                <w:b w:val="0"/>
                <w:sz w:val="22"/>
              </w:rPr>
            </w:pPr>
            <w:r>
              <w:rPr>
                <w:sz w:val="22"/>
              </w:rPr>
              <w:t>1 </w:t>
            </w:r>
            <w:r>
              <w:rPr>
                <w:rFonts w:ascii="Calibri Light"/>
                <w:b w:val="0"/>
                <w:sz w:val="22"/>
              </w:rPr>
              <w:t>(8%)</w:t>
            </w:r>
          </w:p>
        </w:tc>
        <w:tc>
          <w:tcPr>
            <w:tcW w:w="1368" w:type="dxa"/>
            <w:shd w:val="clear" w:color="auto" w:fill="9CC2E4"/>
          </w:tcPr>
          <w:p>
            <w:pPr>
              <w:pStyle w:val="TableParagraph"/>
              <w:spacing w:line="265" w:lineRule="exact"/>
              <w:ind w:left="222" w:right="224"/>
              <w:rPr>
                <w:rFonts w:ascii="Calibri Light"/>
                <w:b w:val="0"/>
                <w:sz w:val="22"/>
              </w:rPr>
            </w:pPr>
            <w:r>
              <w:rPr>
                <w:sz w:val="22"/>
              </w:rPr>
              <w:t>4 </w:t>
            </w:r>
            <w:r>
              <w:rPr>
                <w:rFonts w:ascii="Calibri Light"/>
                <w:b w:val="0"/>
                <w:sz w:val="22"/>
              </w:rPr>
              <w:t>(33.3%)</w:t>
            </w:r>
          </w:p>
        </w:tc>
        <w:tc>
          <w:tcPr>
            <w:tcW w:w="1366" w:type="dxa"/>
            <w:tcBorders>
              <w:left w:val="thickThinMediumGap" w:sz="23" w:space="0" w:color="9CC2E4"/>
            </w:tcBorders>
          </w:tcPr>
          <w:p>
            <w:pPr>
              <w:pStyle w:val="TableParagraph"/>
              <w:spacing w:before="9"/>
              <w:ind w:left="561"/>
              <w:jc w:val="left"/>
              <w:rPr>
                <w:sz w:val="22"/>
              </w:rPr>
            </w:pPr>
            <w:r>
              <w:rPr>
                <w:w w:val="100"/>
                <w:sz w:val="22"/>
              </w:rPr>
              <w:t>0</w:t>
            </w:r>
          </w:p>
        </w:tc>
      </w:tr>
      <w:tr>
        <w:trPr>
          <w:trHeight w:val="413" w:hRule="exact"/>
        </w:trPr>
        <w:tc>
          <w:tcPr>
            <w:tcW w:w="3149" w:type="dxa"/>
            <w:gridSpan w:val="2"/>
          </w:tcPr>
          <w:p>
            <w:pPr>
              <w:pStyle w:val="TableParagraph"/>
              <w:spacing w:before="9"/>
              <w:ind w:left="897"/>
              <w:jc w:val="left"/>
              <w:rPr>
                <w:sz w:val="22"/>
              </w:rPr>
            </w:pPr>
            <w:r>
              <w:rPr>
                <w:sz w:val="22"/>
              </w:rPr>
              <w:t>Hombres (12)</w:t>
            </w:r>
          </w:p>
        </w:tc>
        <w:tc>
          <w:tcPr>
            <w:tcW w:w="1150" w:type="dxa"/>
          </w:tcPr>
          <w:p>
            <w:pPr>
              <w:pStyle w:val="TableParagraph"/>
              <w:spacing w:line="265" w:lineRule="exact"/>
              <w:ind w:left="120" w:right="120"/>
              <w:rPr>
                <w:rFonts w:ascii="Calibri Light"/>
                <w:b w:val="0"/>
                <w:sz w:val="22"/>
              </w:rPr>
            </w:pPr>
            <w:r>
              <w:rPr>
                <w:sz w:val="22"/>
              </w:rPr>
              <w:t>2 </w:t>
            </w:r>
            <w:r>
              <w:rPr>
                <w:rFonts w:ascii="Calibri Light"/>
                <w:b w:val="0"/>
                <w:sz w:val="22"/>
              </w:rPr>
              <w:t>(16.6%)</w:t>
            </w:r>
          </w:p>
        </w:tc>
        <w:tc>
          <w:tcPr>
            <w:tcW w:w="1121" w:type="dxa"/>
          </w:tcPr>
          <w:p>
            <w:pPr>
              <w:pStyle w:val="TableParagraph"/>
              <w:spacing w:line="265" w:lineRule="exact"/>
              <w:ind w:left="85" w:right="86"/>
              <w:rPr>
                <w:rFonts w:ascii="Calibri Light"/>
                <w:b w:val="0"/>
                <w:sz w:val="22"/>
              </w:rPr>
            </w:pPr>
            <w:r>
              <w:rPr>
                <w:sz w:val="22"/>
              </w:rPr>
              <w:t>4 </w:t>
            </w:r>
            <w:r>
              <w:rPr>
                <w:rFonts w:ascii="Calibri Light"/>
                <w:b w:val="0"/>
                <w:sz w:val="22"/>
              </w:rPr>
              <w:t>(33.3%)</w:t>
            </w:r>
          </w:p>
        </w:tc>
        <w:tc>
          <w:tcPr>
            <w:tcW w:w="1244" w:type="dxa"/>
            <w:tcBorders>
              <w:right w:val="single" w:sz="41" w:space="0" w:color="2D74B5"/>
            </w:tcBorders>
          </w:tcPr>
          <w:p>
            <w:pPr>
              <w:pStyle w:val="TableParagraph"/>
              <w:spacing w:line="265" w:lineRule="exact"/>
              <w:ind w:left="165" w:right="121"/>
              <w:rPr>
                <w:rFonts w:ascii="Calibri Light"/>
                <w:b w:val="0"/>
                <w:sz w:val="22"/>
              </w:rPr>
            </w:pPr>
            <w:r>
              <w:rPr>
                <w:sz w:val="22"/>
              </w:rPr>
              <w:t>1 </w:t>
            </w:r>
            <w:r>
              <w:rPr>
                <w:rFonts w:ascii="Calibri Light"/>
                <w:b w:val="0"/>
                <w:sz w:val="22"/>
              </w:rPr>
              <w:t>(8%)</w:t>
            </w:r>
          </w:p>
        </w:tc>
        <w:tc>
          <w:tcPr>
            <w:tcW w:w="1368" w:type="dxa"/>
            <w:shd w:val="clear" w:color="auto" w:fill="2D74B5"/>
          </w:tcPr>
          <w:p>
            <w:pPr>
              <w:pStyle w:val="TableParagraph"/>
              <w:spacing w:line="265" w:lineRule="exact"/>
              <w:ind w:left="222" w:right="224"/>
              <w:rPr>
                <w:rFonts w:ascii="Calibri Light"/>
                <w:b w:val="0"/>
                <w:sz w:val="22"/>
              </w:rPr>
            </w:pPr>
            <w:r>
              <w:rPr>
                <w:sz w:val="22"/>
              </w:rPr>
              <w:t>5 </w:t>
            </w:r>
            <w:r>
              <w:rPr>
                <w:rFonts w:ascii="Calibri Light"/>
                <w:b w:val="0"/>
                <w:sz w:val="22"/>
              </w:rPr>
              <w:t>(41.6%)</w:t>
            </w:r>
          </w:p>
        </w:tc>
        <w:tc>
          <w:tcPr>
            <w:tcW w:w="1366" w:type="dxa"/>
            <w:tcBorders>
              <w:left w:val="thickThinMediumGap" w:sz="23" w:space="0" w:color="2D74B5"/>
            </w:tcBorders>
          </w:tcPr>
          <w:p>
            <w:pPr>
              <w:pStyle w:val="TableParagraph"/>
              <w:spacing w:before="9"/>
              <w:ind w:left="561"/>
              <w:jc w:val="left"/>
              <w:rPr>
                <w:sz w:val="22"/>
              </w:rPr>
            </w:pPr>
            <w:r>
              <w:rPr>
                <w:w w:val="100"/>
                <w:sz w:val="22"/>
              </w:rPr>
              <w:t>0</w:t>
            </w:r>
          </w:p>
        </w:tc>
      </w:tr>
    </w:tbl>
    <w:p>
      <w:pPr>
        <w:spacing w:line="227" w:lineRule="exact" w:before="0"/>
        <w:ind w:left="730" w:right="339" w:firstLine="0"/>
        <w:jc w:val="left"/>
        <w:rPr>
          <w:b/>
          <w:sz w:val="20"/>
        </w:rPr>
      </w:pPr>
      <w:r>
        <w:rPr>
          <w:b/>
          <w:sz w:val="20"/>
        </w:rPr>
        <w:t>Tabla 4.43. Contexto informal; respuestas en la totalidad de la población y por género</w:t>
      </w:r>
    </w:p>
    <w:p>
      <w:pPr>
        <w:pStyle w:val="BodyText"/>
        <w:spacing w:before="5"/>
        <w:rPr>
          <w:b/>
          <w:sz w:val="27"/>
        </w:rPr>
      </w:pPr>
    </w:p>
    <w:p>
      <w:pPr>
        <w:pStyle w:val="BodyText"/>
        <w:spacing w:line="360" w:lineRule="auto"/>
        <w:ind w:left="102" w:right="26" w:firstLine="707"/>
      </w:pPr>
      <w:r>
        <w:rPr/>
        <w:t>En cuanto al grupo de edad, los jóvenes de 15 a 24 años presentan el 66.6% de respuestas “muy de acuerdo” con el uso de anglicismos, el grupo de 25 a 34 años de</w:t>
      </w:r>
    </w:p>
    <w:p>
      <w:pPr>
        <w:spacing w:after="0" w:line="360" w:lineRule="auto"/>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15"/>
        <w:jc w:val="both"/>
      </w:pPr>
      <w:r>
        <w:rPr/>
        <w:t>edad</w:t>
      </w:r>
      <w:r>
        <w:rPr>
          <w:spacing w:val="-14"/>
        </w:rPr>
        <w:t> </w:t>
      </w:r>
      <w:r>
        <w:rPr/>
        <w:t>le</w:t>
      </w:r>
      <w:r>
        <w:rPr>
          <w:spacing w:val="-14"/>
        </w:rPr>
        <w:t> </w:t>
      </w:r>
      <w:r>
        <w:rPr/>
        <w:t>sigue</w:t>
      </w:r>
      <w:r>
        <w:rPr>
          <w:spacing w:val="-14"/>
        </w:rPr>
        <w:t> </w:t>
      </w:r>
      <w:r>
        <w:rPr/>
        <w:t>con</w:t>
      </w:r>
      <w:r>
        <w:rPr>
          <w:spacing w:val="-14"/>
        </w:rPr>
        <w:t> </w:t>
      </w:r>
      <w:r>
        <w:rPr/>
        <w:t>un</w:t>
      </w:r>
      <w:r>
        <w:rPr>
          <w:spacing w:val="-14"/>
        </w:rPr>
        <w:t> </w:t>
      </w:r>
      <w:r>
        <w:rPr/>
        <w:t>50%</w:t>
      </w:r>
      <w:r>
        <w:rPr>
          <w:spacing w:val="-14"/>
        </w:rPr>
        <w:t> </w:t>
      </w:r>
      <w:r>
        <w:rPr/>
        <w:t>de</w:t>
      </w:r>
      <w:r>
        <w:rPr>
          <w:spacing w:val="-14"/>
        </w:rPr>
        <w:t> </w:t>
      </w:r>
      <w:r>
        <w:rPr/>
        <w:t>respuestas</w:t>
      </w:r>
      <w:r>
        <w:rPr>
          <w:spacing w:val="-14"/>
        </w:rPr>
        <w:t> </w:t>
      </w:r>
      <w:r>
        <w:rPr/>
        <w:t>“de</w:t>
      </w:r>
      <w:r>
        <w:rPr>
          <w:spacing w:val="-16"/>
        </w:rPr>
        <w:t> </w:t>
      </w:r>
      <w:r>
        <w:rPr/>
        <w:t>acuerdo”;</w:t>
      </w:r>
      <w:r>
        <w:rPr>
          <w:spacing w:val="-14"/>
        </w:rPr>
        <w:t> </w:t>
      </w:r>
      <w:r>
        <w:rPr/>
        <w:t>y</w:t>
      </w:r>
      <w:r>
        <w:rPr>
          <w:spacing w:val="-16"/>
        </w:rPr>
        <w:t> </w:t>
      </w:r>
      <w:r>
        <w:rPr/>
        <w:t>en</w:t>
      </w:r>
      <w:r>
        <w:rPr>
          <w:spacing w:val="-14"/>
        </w:rPr>
        <w:t> </w:t>
      </w:r>
      <w:r>
        <w:rPr/>
        <w:t>oposición</w:t>
      </w:r>
      <w:r>
        <w:rPr>
          <w:spacing w:val="-14"/>
        </w:rPr>
        <w:t> </w:t>
      </w:r>
      <w:r>
        <w:rPr/>
        <w:t>a</w:t>
      </w:r>
      <w:r>
        <w:rPr>
          <w:spacing w:val="-14"/>
        </w:rPr>
        <w:t> </w:t>
      </w:r>
      <w:r>
        <w:rPr/>
        <w:t>estos</w:t>
      </w:r>
      <w:r>
        <w:rPr>
          <w:spacing w:val="-14"/>
        </w:rPr>
        <w:t> </w:t>
      </w:r>
      <w:r>
        <w:rPr/>
        <w:t>dos</w:t>
      </w:r>
      <w:r>
        <w:rPr>
          <w:spacing w:val="-14"/>
        </w:rPr>
        <w:t> </w:t>
      </w:r>
      <w:r>
        <w:rPr/>
        <w:t>grupos, el grupo 4 presenta el 50% de respuestas “en desacuerdo”, y el grupo 3 66.6% de respuestas en la misma opción como se puede ver en la tabla</w:t>
      </w:r>
      <w:r>
        <w:rPr>
          <w:spacing w:val="-20"/>
        </w:rPr>
        <w:t> </w:t>
      </w:r>
      <w:r>
        <w:rPr/>
        <w:t>4.44.</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44"/>
        <w:gridCol w:w="1678"/>
        <w:gridCol w:w="1087"/>
        <w:gridCol w:w="1061"/>
        <w:gridCol w:w="1282"/>
        <w:gridCol w:w="1409"/>
        <w:gridCol w:w="1409"/>
      </w:tblGrid>
      <w:tr>
        <w:trPr>
          <w:trHeight w:val="406" w:hRule="exact"/>
        </w:trPr>
        <w:tc>
          <w:tcPr>
            <w:tcW w:w="1471" w:type="dxa"/>
            <w:gridSpan w:val="2"/>
            <w:vMerge w:val="restart"/>
          </w:tcPr>
          <w:p>
            <w:pPr>
              <w:pStyle w:val="TableParagraph"/>
              <w:spacing w:before="3"/>
              <w:jc w:val="left"/>
              <w:rPr>
                <w:sz w:val="17"/>
              </w:rPr>
            </w:pPr>
          </w:p>
          <w:p>
            <w:pPr>
              <w:pStyle w:val="TableParagraph"/>
              <w:ind w:left="104" w:right="105"/>
              <w:rPr>
                <w:sz w:val="22"/>
              </w:rPr>
            </w:pPr>
            <w:r>
              <w:rPr>
                <w:sz w:val="22"/>
              </w:rPr>
              <w:t>Aseveración</w:t>
            </w:r>
          </w:p>
          <w:p>
            <w:pPr>
              <w:pStyle w:val="TableParagraph"/>
              <w:spacing w:before="126"/>
              <w:ind w:left="104" w:right="104"/>
              <w:rPr>
                <w:b/>
                <w:sz w:val="22"/>
              </w:rPr>
            </w:pPr>
            <w:r>
              <w:rPr>
                <w:b/>
                <w:sz w:val="22"/>
              </w:rPr>
              <w:t>15</w:t>
            </w:r>
          </w:p>
        </w:tc>
        <w:tc>
          <w:tcPr>
            <w:tcW w:w="1678" w:type="dxa"/>
            <w:vMerge w:val="restart"/>
          </w:tcPr>
          <w:p>
            <w:pPr>
              <w:pStyle w:val="TableParagraph"/>
              <w:spacing w:line="360" w:lineRule="auto" w:before="9"/>
              <w:ind w:left="196" w:right="198" w:firstLine="5"/>
              <w:rPr>
                <w:b/>
                <w:sz w:val="22"/>
              </w:rPr>
            </w:pPr>
            <w:r>
              <w:rPr>
                <w:sz w:val="22"/>
              </w:rPr>
              <w:t>Tipo de Aseveración: </w:t>
            </w:r>
            <w:r>
              <w:rPr>
                <w:b/>
                <w:sz w:val="22"/>
              </w:rPr>
              <w:t>Favorable</w:t>
            </w:r>
          </w:p>
        </w:tc>
        <w:tc>
          <w:tcPr>
            <w:tcW w:w="6249" w:type="dxa"/>
            <w:gridSpan w:val="5"/>
          </w:tcPr>
          <w:p>
            <w:pPr>
              <w:pStyle w:val="TableParagraph"/>
              <w:spacing w:before="5"/>
              <w:ind w:left="2515" w:right="2518"/>
              <w:rPr>
                <w:sz w:val="22"/>
              </w:rPr>
            </w:pPr>
            <w:r>
              <w:rPr>
                <w:sz w:val="22"/>
              </w:rPr>
              <w:t>Respuestas</w:t>
            </w:r>
          </w:p>
        </w:tc>
      </w:tr>
      <w:tr>
        <w:trPr>
          <w:trHeight w:val="770" w:hRule="exact"/>
        </w:trPr>
        <w:tc>
          <w:tcPr>
            <w:tcW w:w="1471" w:type="dxa"/>
            <w:gridSpan w:val="2"/>
            <w:vMerge/>
          </w:tcPr>
          <w:p>
            <w:pPr/>
          </w:p>
        </w:tc>
        <w:tc>
          <w:tcPr>
            <w:tcW w:w="1678" w:type="dxa"/>
            <w:vMerge/>
          </w:tcPr>
          <w:p>
            <w:pPr/>
          </w:p>
        </w:tc>
        <w:tc>
          <w:tcPr>
            <w:tcW w:w="1087" w:type="dxa"/>
          </w:tcPr>
          <w:p>
            <w:pPr>
              <w:pStyle w:val="TableParagraph"/>
              <w:spacing w:line="360" w:lineRule="auto"/>
              <w:ind w:left="139" w:right="123" w:firstLine="36"/>
              <w:jc w:val="left"/>
              <w:rPr>
                <w:sz w:val="22"/>
              </w:rPr>
            </w:pPr>
            <w:r>
              <w:rPr>
                <w:sz w:val="22"/>
              </w:rPr>
              <w:t>Muy de acuerdo</w:t>
            </w:r>
          </w:p>
        </w:tc>
        <w:tc>
          <w:tcPr>
            <w:tcW w:w="1061" w:type="dxa"/>
          </w:tcPr>
          <w:p>
            <w:pPr>
              <w:pStyle w:val="TableParagraph"/>
              <w:spacing w:line="360" w:lineRule="auto"/>
              <w:ind w:left="127" w:right="109" w:firstLine="256"/>
              <w:jc w:val="left"/>
              <w:rPr>
                <w:sz w:val="22"/>
              </w:rPr>
            </w:pPr>
            <w:r>
              <w:rPr>
                <w:sz w:val="22"/>
              </w:rPr>
              <w:t>De acuerdo</w:t>
            </w:r>
          </w:p>
        </w:tc>
        <w:tc>
          <w:tcPr>
            <w:tcW w:w="1282" w:type="dxa"/>
          </w:tcPr>
          <w:p>
            <w:pPr>
              <w:pStyle w:val="TableParagraph"/>
              <w:spacing w:before="187"/>
              <w:ind w:left="103" w:right="101"/>
              <w:rPr>
                <w:sz w:val="22"/>
              </w:rPr>
            </w:pPr>
            <w:r>
              <w:rPr>
                <w:sz w:val="22"/>
              </w:rPr>
              <w:t>indiferente</w:t>
            </w:r>
          </w:p>
        </w:tc>
        <w:tc>
          <w:tcPr>
            <w:tcW w:w="1409" w:type="dxa"/>
          </w:tcPr>
          <w:p>
            <w:pPr>
              <w:pStyle w:val="TableParagraph"/>
              <w:spacing w:line="360" w:lineRule="auto"/>
              <w:ind w:left="125" w:right="105" w:firstLine="439"/>
              <w:jc w:val="left"/>
              <w:rPr>
                <w:sz w:val="22"/>
              </w:rPr>
            </w:pPr>
            <w:r>
              <w:rPr>
                <w:sz w:val="22"/>
              </w:rPr>
              <w:t>En desacuerdo</w:t>
            </w:r>
          </w:p>
        </w:tc>
        <w:tc>
          <w:tcPr>
            <w:tcW w:w="1409" w:type="dxa"/>
          </w:tcPr>
          <w:p>
            <w:pPr>
              <w:pStyle w:val="TableParagraph"/>
              <w:spacing w:line="360" w:lineRule="auto"/>
              <w:ind w:left="122" w:right="107" w:firstLine="216"/>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right w:val="single" w:sz="44" w:space="0" w:color="2D74B5"/>
            </w:tcBorders>
          </w:tcPr>
          <w:p>
            <w:pPr>
              <w:pStyle w:val="TableParagraph"/>
              <w:spacing w:before="9"/>
              <w:ind w:left="60"/>
              <w:jc w:val="left"/>
              <w:rPr>
                <w:sz w:val="22"/>
              </w:rPr>
            </w:pPr>
            <w:r>
              <w:rPr>
                <w:sz w:val="22"/>
              </w:rPr>
              <w:t>de edad 1 (6)</w:t>
            </w:r>
          </w:p>
        </w:tc>
        <w:tc>
          <w:tcPr>
            <w:tcW w:w="1087" w:type="dxa"/>
            <w:shd w:val="clear" w:color="auto" w:fill="2D74B5"/>
          </w:tcPr>
          <w:p>
            <w:pPr>
              <w:pStyle w:val="TableParagraph"/>
              <w:spacing w:line="265" w:lineRule="exact"/>
              <w:ind w:left="87" w:right="91"/>
              <w:rPr>
                <w:rFonts w:ascii="Calibri Light"/>
                <w:b w:val="0"/>
                <w:sz w:val="22"/>
              </w:rPr>
            </w:pPr>
            <w:r>
              <w:rPr>
                <w:sz w:val="22"/>
              </w:rPr>
              <w:t>4 </w:t>
            </w:r>
            <w:r>
              <w:rPr>
                <w:rFonts w:ascii="Calibri Light"/>
                <w:b w:val="0"/>
                <w:sz w:val="22"/>
              </w:rPr>
              <w:t>(66.6%)</w:t>
            </w:r>
          </w:p>
        </w:tc>
        <w:tc>
          <w:tcPr>
            <w:tcW w:w="1061" w:type="dxa"/>
            <w:tcBorders>
              <w:left w:val="single" w:sz="41" w:space="0" w:color="2D74B5"/>
            </w:tcBorders>
          </w:tcPr>
          <w:p>
            <w:pPr>
              <w:pStyle w:val="TableParagraph"/>
              <w:spacing w:line="265" w:lineRule="exact"/>
              <w:ind w:right="124"/>
              <w:jc w:val="right"/>
              <w:rPr>
                <w:rFonts w:ascii="Calibri Light"/>
                <w:b w:val="0"/>
                <w:sz w:val="22"/>
              </w:rPr>
            </w:pPr>
            <w:r>
              <w:rPr>
                <w:sz w:val="22"/>
              </w:rPr>
              <w:t>2</w:t>
            </w:r>
            <w:r>
              <w:rPr>
                <w:rFonts w:ascii="Calibri Light"/>
                <w:b w:val="0"/>
                <w:sz w:val="22"/>
              </w:rPr>
              <w:t>(33.3%)</w:t>
            </w:r>
          </w:p>
        </w:tc>
        <w:tc>
          <w:tcPr>
            <w:tcW w:w="1282" w:type="dxa"/>
          </w:tcPr>
          <w:p>
            <w:pPr>
              <w:pStyle w:val="TableParagraph"/>
              <w:spacing w:before="9"/>
              <w:ind w:left="2"/>
              <w:rPr>
                <w:sz w:val="22"/>
              </w:rPr>
            </w:pPr>
            <w:r>
              <w:rPr>
                <w:w w:val="100"/>
                <w:sz w:val="22"/>
              </w:rPr>
              <w:t>0</w:t>
            </w:r>
          </w:p>
        </w:tc>
        <w:tc>
          <w:tcPr>
            <w:tcW w:w="1409" w:type="dxa"/>
          </w:tcPr>
          <w:p>
            <w:pPr>
              <w:pStyle w:val="TableParagraph"/>
              <w:spacing w:before="9"/>
              <w:rPr>
                <w:sz w:val="22"/>
              </w:rPr>
            </w:pPr>
            <w:r>
              <w:rPr>
                <w:w w:val="100"/>
                <w:sz w:val="22"/>
              </w:rPr>
              <w:t>0</w:t>
            </w:r>
          </w:p>
        </w:tc>
        <w:tc>
          <w:tcPr>
            <w:tcW w:w="1409"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2 (6)</w:t>
            </w:r>
          </w:p>
        </w:tc>
        <w:tc>
          <w:tcPr>
            <w:tcW w:w="1087" w:type="dxa"/>
            <w:tcBorders>
              <w:right w:val="single" w:sz="45" w:space="0" w:color="2D74B5"/>
            </w:tcBorders>
          </w:tcPr>
          <w:p>
            <w:pPr>
              <w:pStyle w:val="TableParagraph"/>
              <w:spacing w:line="265" w:lineRule="exact"/>
              <w:ind w:left="169" w:right="122"/>
              <w:rPr>
                <w:rFonts w:ascii="Calibri Light"/>
                <w:b w:val="0"/>
                <w:sz w:val="22"/>
              </w:rPr>
            </w:pPr>
            <w:r>
              <w:rPr>
                <w:sz w:val="22"/>
              </w:rPr>
              <w:t>1 </w:t>
            </w:r>
            <w:r>
              <w:rPr>
                <w:rFonts w:ascii="Calibri Light"/>
                <w:b w:val="0"/>
                <w:sz w:val="22"/>
              </w:rPr>
              <w:t>(16%)</w:t>
            </w:r>
          </w:p>
        </w:tc>
        <w:tc>
          <w:tcPr>
            <w:tcW w:w="1061" w:type="dxa"/>
            <w:shd w:val="clear" w:color="auto" w:fill="2D74B5"/>
          </w:tcPr>
          <w:p>
            <w:pPr>
              <w:pStyle w:val="TableParagraph"/>
              <w:spacing w:line="265" w:lineRule="exact"/>
              <w:ind w:right="177"/>
              <w:jc w:val="right"/>
              <w:rPr>
                <w:rFonts w:ascii="Calibri Light"/>
                <w:b w:val="0"/>
                <w:sz w:val="22"/>
              </w:rPr>
            </w:pPr>
            <w:r>
              <w:rPr>
                <w:sz w:val="22"/>
              </w:rPr>
              <w:t>3 </w:t>
            </w:r>
            <w:r>
              <w:rPr>
                <w:rFonts w:ascii="Calibri Light"/>
                <w:b w:val="0"/>
                <w:sz w:val="22"/>
              </w:rPr>
              <w:t>(50%)</w:t>
            </w:r>
          </w:p>
        </w:tc>
        <w:tc>
          <w:tcPr>
            <w:tcW w:w="1282" w:type="dxa"/>
            <w:tcBorders>
              <w:left w:val="thickThinMediumGap" w:sz="23" w:space="0" w:color="2D74B5"/>
            </w:tcBorders>
          </w:tcPr>
          <w:p>
            <w:pPr>
              <w:pStyle w:val="TableParagraph"/>
              <w:spacing w:before="9"/>
              <w:ind w:right="48"/>
              <w:rPr>
                <w:sz w:val="22"/>
              </w:rPr>
            </w:pPr>
            <w:r>
              <w:rPr>
                <w:w w:val="100"/>
                <w:sz w:val="22"/>
              </w:rPr>
              <w:t>0</w:t>
            </w:r>
          </w:p>
        </w:tc>
        <w:tc>
          <w:tcPr>
            <w:tcW w:w="1409" w:type="dxa"/>
          </w:tcPr>
          <w:p>
            <w:pPr>
              <w:pStyle w:val="TableParagraph"/>
              <w:spacing w:line="265" w:lineRule="exact"/>
              <w:ind w:left="250" w:right="251"/>
              <w:rPr>
                <w:rFonts w:ascii="Calibri Light"/>
                <w:b w:val="0"/>
                <w:sz w:val="22"/>
              </w:rPr>
            </w:pPr>
            <w:r>
              <w:rPr>
                <w:sz w:val="22"/>
              </w:rPr>
              <w:t>2 </w:t>
            </w:r>
            <w:r>
              <w:rPr>
                <w:rFonts w:ascii="Calibri Light"/>
                <w:b w:val="0"/>
                <w:sz w:val="22"/>
              </w:rPr>
              <w:t>(33.3%)</w:t>
            </w:r>
          </w:p>
        </w:tc>
        <w:tc>
          <w:tcPr>
            <w:tcW w:w="1409"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10"/>
              <w:ind w:right="58"/>
              <w:jc w:val="right"/>
              <w:rPr>
                <w:sz w:val="22"/>
              </w:rPr>
            </w:pPr>
            <w:r>
              <w:rPr>
                <w:sz w:val="22"/>
              </w:rPr>
              <w:t>Grupo</w:t>
            </w:r>
          </w:p>
        </w:tc>
        <w:tc>
          <w:tcPr>
            <w:tcW w:w="1922" w:type="dxa"/>
            <w:gridSpan w:val="2"/>
            <w:tcBorders>
              <w:left w:val="nil"/>
            </w:tcBorders>
          </w:tcPr>
          <w:p>
            <w:pPr>
              <w:pStyle w:val="TableParagraph"/>
              <w:spacing w:before="10"/>
              <w:ind w:left="60"/>
              <w:jc w:val="left"/>
              <w:rPr>
                <w:sz w:val="22"/>
              </w:rPr>
            </w:pPr>
            <w:r>
              <w:rPr>
                <w:sz w:val="22"/>
              </w:rPr>
              <w:t>de edad 3 (6)</w:t>
            </w:r>
          </w:p>
        </w:tc>
        <w:tc>
          <w:tcPr>
            <w:tcW w:w="1087" w:type="dxa"/>
          </w:tcPr>
          <w:p>
            <w:pPr>
              <w:pStyle w:val="TableParagraph"/>
              <w:spacing w:before="10"/>
              <w:ind w:right="2"/>
              <w:rPr>
                <w:sz w:val="22"/>
              </w:rPr>
            </w:pPr>
            <w:r>
              <w:rPr>
                <w:w w:val="100"/>
                <w:sz w:val="22"/>
              </w:rPr>
              <w:t>0</w:t>
            </w:r>
          </w:p>
        </w:tc>
        <w:tc>
          <w:tcPr>
            <w:tcW w:w="1061" w:type="dxa"/>
          </w:tcPr>
          <w:p>
            <w:pPr>
              <w:pStyle w:val="TableParagraph"/>
              <w:spacing w:line="266" w:lineRule="exact"/>
              <w:ind w:right="177"/>
              <w:jc w:val="right"/>
              <w:rPr>
                <w:rFonts w:ascii="Calibri Light"/>
                <w:b w:val="0"/>
                <w:sz w:val="22"/>
              </w:rPr>
            </w:pPr>
            <w:r>
              <w:rPr>
                <w:sz w:val="22"/>
              </w:rPr>
              <w:t>1 </w:t>
            </w:r>
            <w:r>
              <w:rPr>
                <w:rFonts w:ascii="Calibri Light"/>
                <w:b w:val="0"/>
                <w:sz w:val="22"/>
              </w:rPr>
              <w:t>(16%)</w:t>
            </w:r>
          </w:p>
        </w:tc>
        <w:tc>
          <w:tcPr>
            <w:tcW w:w="1282" w:type="dxa"/>
          </w:tcPr>
          <w:p>
            <w:pPr>
              <w:pStyle w:val="TableParagraph"/>
              <w:spacing w:line="266" w:lineRule="exact"/>
              <w:ind w:left="103" w:right="100"/>
              <w:rPr>
                <w:rFonts w:ascii="Calibri Light"/>
                <w:b w:val="0"/>
                <w:sz w:val="22"/>
              </w:rPr>
            </w:pPr>
            <w:r>
              <w:rPr>
                <w:sz w:val="22"/>
              </w:rPr>
              <w:t>1 </w:t>
            </w:r>
            <w:r>
              <w:rPr>
                <w:rFonts w:ascii="Calibri Light"/>
                <w:b w:val="0"/>
                <w:sz w:val="22"/>
              </w:rPr>
              <w:t>(16%)</w:t>
            </w:r>
          </w:p>
        </w:tc>
        <w:tc>
          <w:tcPr>
            <w:tcW w:w="1409" w:type="dxa"/>
            <w:shd w:val="clear" w:color="auto" w:fill="2D74B5"/>
          </w:tcPr>
          <w:p>
            <w:pPr>
              <w:pStyle w:val="TableParagraph"/>
              <w:spacing w:line="266" w:lineRule="exact"/>
              <w:ind w:left="250" w:right="251"/>
              <w:rPr>
                <w:rFonts w:ascii="Calibri Light"/>
                <w:b w:val="0"/>
                <w:sz w:val="22"/>
              </w:rPr>
            </w:pPr>
            <w:r>
              <w:rPr>
                <w:sz w:val="22"/>
              </w:rPr>
              <w:t>4 </w:t>
            </w:r>
            <w:r>
              <w:rPr>
                <w:rFonts w:ascii="Calibri Light"/>
                <w:b w:val="0"/>
                <w:sz w:val="22"/>
              </w:rPr>
              <w:t>(66.6%)</w:t>
            </w:r>
          </w:p>
        </w:tc>
        <w:tc>
          <w:tcPr>
            <w:tcW w:w="1409" w:type="dxa"/>
          </w:tcPr>
          <w:p>
            <w:pPr>
              <w:pStyle w:val="TableParagraph"/>
              <w:spacing w:before="10"/>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4 (6)</w:t>
            </w:r>
          </w:p>
        </w:tc>
        <w:tc>
          <w:tcPr>
            <w:tcW w:w="1087" w:type="dxa"/>
          </w:tcPr>
          <w:p>
            <w:pPr>
              <w:pStyle w:val="TableParagraph"/>
              <w:spacing w:line="265" w:lineRule="exact"/>
              <w:ind w:left="87" w:right="89"/>
              <w:rPr>
                <w:rFonts w:ascii="Calibri Light"/>
                <w:b w:val="0"/>
                <w:sz w:val="22"/>
              </w:rPr>
            </w:pPr>
            <w:r>
              <w:rPr>
                <w:sz w:val="22"/>
              </w:rPr>
              <w:t>1 </w:t>
            </w:r>
            <w:r>
              <w:rPr>
                <w:rFonts w:ascii="Calibri Light"/>
                <w:b w:val="0"/>
                <w:sz w:val="22"/>
              </w:rPr>
              <w:t>(16%)</w:t>
            </w:r>
          </w:p>
        </w:tc>
        <w:tc>
          <w:tcPr>
            <w:tcW w:w="1061" w:type="dxa"/>
          </w:tcPr>
          <w:p>
            <w:pPr>
              <w:pStyle w:val="TableParagraph"/>
              <w:spacing w:line="265" w:lineRule="exact"/>
              <w:ind w:right="177"/>
              <w:jc w:val="right"/>
              <w:rPr>
                <w:rFonts w:ascii="Calibri Light"/>
                <w:b w:val="0"/>
                <w:sz w:val="22"/>
              </w:rPr>
            </w:pPr>
            <w:r>
              <w:rPr>
                <w:sz w:val="22"/>
              </w:rPr>
              <w:t>1 </w:t>
            </w:r>
            <w:r>
              <w:rPr>
                <w:rFonts w:ascii="Calibri Light"/>
                <w:b w:val="0"/>
                <w:sz w:val="22"/>
              </w:rPr>
              <w:t>(16%)</w:t>
            </w:r>
          </w:p>
        </w:tc>
        <w:tc>
          <w:tcPr>
            <w:tcW w:w="1282" w:type="dxa"/>
          </w:tcPr>
          <w:p>
            <w:pPr>
              <w:pStyle w:val="TableParagraph"/>
              <w:spacing w:line="265" w:lineRule="exact"/>
              <w:ind w:left="103" w:right="100"/>
              <w:rPr>
                <w:rFonts w:ascii="Calibri Light"/>
                <w:b w:val="0"/>
                <w:sz w:val="22"/>
              </w:rPr>
            </w:pPr>
            <w:r>
              <w:rPr>
                <w:sz w:val="22"/>
              </w:rPr>
              <w:t>1 </w:t>
            </w:r>
            <w:r>
              <w:rPr>
                <w:rFonts w:ascii="Calibri Light"/>
                <w:b w:val="0"/>
                <w:sz w:val="22"/>
              </w:rPr>
              <w:t>(16%)</w:t>
            </w:r>
          </w:p>
        </w:tc>
        <w:tc>
          <w:tcPr>
            <w:tcW w:w="1409" w:type="dxa"/>
            <w:shd w:val="clear" w:color="auto" w:fill="2D74B5"/>
          </w:tcPr>
          <w:p>
            <w:pPr>
              <w:pStyle w:val="TableParagraph"/>
              <w:spacing w:line="265" w:lineRule="exact"/>
              <w:ind w:left="250" w:right="249"/>
              <w:rPr>
                <w:rFonts w:ascii="Calibri Light"/>
                <w:b w:val="0"/>
                <w:sz w:val="22"/>
              </w:rPr>
            </w:pPr>
            <w:r>
              <w:rPr>
                <w:sz w:val="22"/>
              </w:rPr>
              <w:t>3 </w:t>
            </w:r>
            <w:r>
              <w:rPr>
                <w:rFonts w:ascii="Calibri Light"/>
                <w:b w:val="0"/>
                <w:sz w:val="22"/>
              </w:rPr>
              <w:t>(50%)</w:t>
            </w:r>
          </w:p>
        </w:tc>
        <w:tc>
          <w:tcPr>
            <w:tcW w:w="1409" w:type="dxa"/>
          </w:tcPr>
          <w:p>
            <w:pPr>
              <w:pStyle w:val="TableParagraph"/>
              <w:spacing w:before="9"/>
              <w:ind w:right="2"/>
              <w:rPr>
                <w:sz w:val="22"/>
              </w:rPr>
            </w:pPr>
            <w:r>
              <w:rPr>
                <w:w w:val="100"/>
                <w:sz w:val="22"/>
              </w:rPr>
              <w:t>0</w:t>
            </w:r>
          </w:p>
        </w:tc>
      </w:tr>
    </w:tbl>
    <w:p>
      <w:pPr>
        <w:spacing w:line="227" w:lineRule="exact" w:before="0"/>
        <w:ind w:left="1913" w:right="339" w:firstLine="0"/>
        <w:jc w:val="left"/>
        <w:rPr>
          <w:b/>
          <w:sz w:val="20"/>
        </w:rPr>
      </w:pPr>
      <w:r>
        <w:rPr>
          <w:b/>
          <w:sz w:val="20"/>
        </w:rPr>
        <w:t>Tabla 4.44. Contexto informal; respuestas por grupo de edad</w:t>
      </w:r>
    </w:p>
    <w:p>
      <w:pPr>
        <w:pStyle w:val="BodyText"/>
        <w:spacing w:before="5"/>
        <w:rPr>
          <w:b/>
          <w:sz w:val="27"/>
        </w:rPr>
      </w:pPr>
    </w:p>
    <w:p>
      <w:pPr>
        <w:pStyle w:val="BodyText"/>
        <w:spacing w:line="360" w:lineRule="auto"/>
        <w:ind w:left="102" w:right="113" w:firstLine="707"/>
        <w:jc w:val="both"/>
      </w:pPr>
      <w:r>
        <w:rPr/>
        <w:t>Los niveles de estudio mostraron mayor aceptación, sin embargo, en un análisis más profundo, en el nivel básico predomina este rango con 37.5% de respuestas “de acuerdo” y 25% “muy de acuerdo” y el 25% restante “indiferente”. Le sucede el nivel superior</w:t>
      </w:r>
      <w:r>
        <w:rPr>
          <w:spacing w:val="-12"/>
        </w:rPr>
        <w:t> </w:t>
      </w:r>
      <w:r>
        <w:rPr/>
        <w:t>con</w:t>
      </w:r>
      <w:r>
        <w:rPr>
          <w:spacing w:val="-13"/>
        </w:rPr>
        <w:t> </w:t>
      </w:r>
      <w:r>
        <w:rPr/>
        <w:t>los</w:t>
      </w:r>
      <w:r>
        <w:rPr>
          <w:spacing w:val="-13"/>
        </w:rPr>
        <w:t> </w:t>
      </w:r>
      <w:r>
        <w:rPr/>
        <w:t>mismos</w:t>
      </w:r>
      <w:r>
        <w:rPr>
          <w:spacing w:val="-12"/>
        </w:rPr>
        <w:t> </w:t>
      </w:r>
      <w:r>
        <w:rPr/>
        <w:t>porcentajes</w:t>
      </w:r>
      <w:r>
        <w:rPr>
          <w:spacing w:val="-14"/>
        </w:rPr>
        <w:t> </w:t>
      </w:r>
      <w:r>
        <w:rPr/>
        <w:t>en</w:t>
      </w:r>
      <w:r>
        <w:rPr>
          <w:spacing w:val="-13"/>
        </w:rPr>
        <w:t> </w:t>
      </w:r>
      <w:r>
        <w:rPr/>
        <w:t>“muy</w:t>
      </w:r>
      <w:r>
        <w:rPr>
          <w:spacing w:val="-16"/>
        </w:rPr>
        <w:t> </w:t>
      </w:r>
      <w:r>
        <w:rPr/>
        <w:t>de</w:t>
      </w:r>
      <w:r>
        <w:rPr>
          <w:spacing w:val="-13"/>
        </w:rPr>
        <w:t> </w:t>
      </w:r>
      <w:r>
        <w:rPr/>
        <w:t>acuerdo”</w:t>
      </w:r>
      <w:r>
        <w:rPr>
          <w:spacing w:val="-12"/>
        </w:rPr>
        <w:t> </w:t>
      </w:r>
      <w:r>
        <w:rPr/>
        <w:t>y</w:t>
      </w:r>
      <w:r>
        <w:rPr>
          <w:spacing w:val="-14"/>
        </w:rPr>
        <w:t> </w:t>
      </w:r>
      <w:r>
        <w:rPr/>
        <w:t>“de</w:t>
      </w:r>
      <w:r>
        <w:rPr>
          <w:spacing w:val="-13"/>
        </w:rPr>
        <w:t> </w:t>
      </w:r>
      <w:r>
        <w:rPr/>
        <w:t>acuerdo”,</w:t>
      </w:r>
      <w:r>
        <w:rPr>
          <w:spacing w:val="-12"/>
        </w:rPr>
        <w:t> </w:t>
      </w:r>
      <w:r>
        <w:rPr/>
        <w:t>a</w:t>
      </w:r>
      <w:r>
        <w:rPr>
          <w:spacing w:val="-13"/>
        </w:rPr>
        <w:t> </w:t>
      </w:r>
      <w:r>
        <w:rPr/>
        <w:t>pesar</w:t>
      </w:r>
      <w:r>
        <w:rPr>
          <w:spacing w:val="-15"/>
        </w:rPr>
        <w:t> </w:t>
      </w:r>
      <w:r>
        <w:rPr/>
        <w:t>de</w:t>
      </w:r>
      <w:r>
        <w:rPr>
          <w:spacing w:val="-13"/>
        </w:rPr>
        <w:t> </w:t>
      </w:r>
      <w:r>
        <w:rPr/>
        <w:t>ello, otro</w:t>
      </w:r>
      <w:r>
        <w:rPr>
          <w:spacing w:val="-6"/>
        </w:rPr>
        <w:t> </w:t>
      </w:r>
      <w:r>
        <w:rPr/>
        <w:t>37.5%</w:t>
      </w:r>
      <w:r>
        <w:rPr>
          <w:spacing w:val="-7"/>
        </w:rPr>
        <w:t> </w:t>
      </w:r>
      <w:r>
        <w:rPr/>
        <w:t>se</w:t>
      </w:r>
      <w:r>
        <w:rPr>
          <w:spacing w:val="-8"/>
        </w:rPr>
        <w:t> </w:t>
      </w:r>
      <w:r>
        <w:rPr/>
        <w:t>encuentra</w:t>
      </w:r>
      <w:r>
        <w:rPr>
          <w:spacing w:val="-7"/>
        </w:rPr>
        <w:t> </w:t>
      </w:r>
      <w:r>
        <w:rPr/>
        <w:t>“en</w:t>
      </w:r>
      <w:r>
        <w:rPr>
          <w:spacing w:val="-6"/>
        </w:rPr>
        <w:t> </w:t>
      </w:r>
      <w:r>
        <w:rPr/>
        <w:t>desacuerdo”.</w:t>
      </w:r>
      <w:r>
        <w:rPr>
          <w:spacing w:val="-7"/>
        </w:rPr>
        <w:t> </w:t>
      </w:r>
      <w:r>
        <w:rPr/>
        <w:t>Contrario</w:t>
      </w:r>
      <w:r>
        <w:rPr>
          <w:spacing w:val="-6"/>
        </w:rPr>
        <w:t> </w:t>
      </w:r>
      <w:r>
        <w:rPr/>
        <w:t>a</w:t>
      </w:r>
      <w:r>
        <w:rPr>
          <w:spacing w:val="-6"/>
        </w:rPr>
        <w:t> </w:t>
      </w:r>
      <w:r>
        <w:rPr/>
        <w:t>ello</w:t>
      </w:r>
      <w:r>
        <w:rPr>
          <w:spacing w:val="-6"/>
        </w:rPr>
        <w:t> </w:t>
      </w:r>
      <w:r>
        <w:rPr/>
        <w:t>el</w:t>
      </w:r>
      <w:r>
        <w:rPr>
          <w:spacing w:val="-7"/>
        </w:rPr>
        <w:t> </w:t>
      </w:r>
      <w:r>
        <w:rPr/>
        <w:t>nivel</w:t>
      </w:r>
      <w:r>
        <w:rPr>
          <w:spacing w:val="-7"/>
        </w:rPr>
        <w:t> </w:t>
      </w:r>
      <w:r>
        <w:rPr/>
        <w:t>medio</w:t>
      </w:r>
      <w:r>
        <w:rPr>
          <w:spacing w:val="-6"/>
        </w:rPr>
        <w:t> </w:t>
      </w:r>
      <w:r>
        <w:rPr/>
        <w:t>superior</w:t>
      </w:r>
      <w:r>
        <w:rPr>
          <w:spacing w:val="-7"/>
        </w:rPr>
        <w:t> </w:t>
      </w:r>
      <w:r>
        <w:rPr/>
        <w:t>mostró 62.5% de respuestas “en desacuerdo” marcando así su preferencia por la grabación sin anglicismos (Ver tabla</w:t>
      </w:r>
      <w:r>
        <w:rPr>
          <w:spacing w:val="-7"/>
        </w:rPr>
        <w:t> </w:t>
      </w:r>
      <w:r>
        <w:rPr/>
        <w:t>4.45.).</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6" w:hRule="exact"/>
        </w:trPr>
        <w:tc>
          <w:tcPr>
            <w:tcW w:w="1428" w:type="dxa"/>
            <w:vMerge w:val="restart"/>
          </w:tcPr>
          <w:p>
            <w:pPr>
              <w:pStyle w:val="TableParagraph"/>
              <w:spacing w:before="3"/>
              <w:jc w:val="left"/>
              <w:rPr>
                <w:sz w:val="17"/>
              </w:rPr>
            </w:pPr>
          </w:p>
          <w:p>
            <w:pPr>
              <w:pStyle w:val="TableParagraph"/>
              <w:ind w:left="82" w:right="83"/>
              <w:rPr>
                <w:sz w:val="22"/>
              </w:rPr>
            </w:pPr>
            <w:r>
              <w:rPr>
                <w:sz w:val="22"/>
              </w:rPr>
              <w:t>Aseveración</w:t>
            </w:r>
          </w:p>
          <w:p>
            <w:pPr>
              <w:pStyle w:val="TableParagraph"/>
              <w:spacing w:before="126"/>
              <w:ind w:left="83" w:right="83"/>
              <w:rPr>
                <w:b/>
                <w:sz w:val="22"/>
              </w:rPr>
            </w:pPr>
            <w:r>
              <w:rPr>
                <w:b/>
                <w:sz w:val="22"/>
              </w:rPr>
              <w:t>15</w:t>
            </w:r>
          </w:p>
        </w:tc>
        <w:tc>
          <w:tcPr>
            <w:tcW w:w="1724" w:type="dxa"/>
            <w:vMerge w:val="restart"/>
          </w:tcPr>
          <w:p>
            <w:pPr>
              <w:pStyle w:val="TableParagraph"/>
              <w:spacing w:line="360" w:lineRule="auto" w:before="9"/>
              <w:ind w:left="218" w:right="222" w:firstLine="5"/>
              <w:rPr>
                <w:b/>
                <w:sz w:val="22"/>
              </w:rPr>
            </w:pPr>
            <w:r>
              <w:rPr>
                <w:sz w:val="22"/>
              </w:rPr>
              <w:t>Tipo de Aseveración: </w:t>
            </w:r>
            <w:r>
              <w:rPr>
                <w:b/>
                <w:sz w:val="22"/>
              </w:rPr>
              <w:t>Favorable</w:t>
            </w:r>
          </w:p>
        </w:tc>
        <w:tc>
          <w:tcPr>
            <w:tcW w:w="6246" w:type="dxa"/>
            <w:gridSpan w:val="5"/>
          </w:tcPr>
          <w:p>
            <w:pPr>
              <w:pStyle w:val="TableParagraph"/>
              <w:spacing w:before="5"/>
              <w:ind w:left="2516" w:right="2516"/>
              <w:rPr>
                <w:sz w:val="22"/>
              </w:rPr>
            </w:pPr>
            <w:r>
              <w:rPr>
                <w:sz w:val="22"/>
              </w:rPr>
              <w:t>Respuestas</w:t>
            </w:r>
          </w:p>
        </w:tc>
      </w:tr>
      <w:tr>
        <w:trPr>
          <w:trHeight w:val="770"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Pr>
          <w:p>
            <w:pPr>
              <w:pStyle w:val="TableParagraph"/>
              <w:spacing w:before="9"/>
              <w:ind w:left="799"/>
              <w:jc w:val="left"/>
              <w:rPr>
                <w:sz w:val="22"/>
              </w:rPr>
            </w:pPr>
            <w:r>
              <w:rPr>
                <w:sz w:val="22"/>
              </w:rPr>
              <w:t>Nivel Básico (8)</w:t>
            </w:r>
          </w:p>
        </w:tc>
        <w:tc>
          <w:tcPr>
            <w:tcW w:w="1148" w:type="dxa"/>
            <w:tcBorders>
              <w:right w:val="single" w:sz="41" w:space="0" w:color="2D74B5"/>
            </w:tcBorders>
          </w:tcPr>
          <w:p>
            <w:pPr>
              <w:pStyle w:val="TableParagraph"/>
              <w:spacing w:line="265" w:lineRule="exact"/>
              <w:ind w:left="114" w:right="75"/>
              <w:rPr>
                <w:rFonts w:ascii="Calibri Light"/>
                <w:b w:val="0"/>
                <w:sz w:val="22"/>
              </w:rPr>
            </w:pPr>
            <w:r>
              <w:rPr>
                <w:sz w:val="22"/>
              </w:rPr>
              <w:t>2 </w:t>
            </w:r>
            <w:r>
              <w:rPr>
                <w:rFonts w:ascii="Calibri Light"/>
                <w:b w:val="0"/>
                <w:sz w:val="22"/>
              </w:rPr>
              <w:t>(25%)</w:t>
            </w:r>
          </w:p>
        </w:tc>
        <w:tc>
          <w:tcPr>
            <w:tcW w:w="1121" w:type="dxa"/>
            <w:shd w:val="clear" w:color="auto" w:fill="2D74B5"/>
          </w:tcPr>
          <w:p>
            <w:pPr>
              <w:pStyle w:val="TableParagraph"/>
              <w:spacing w:line="265" w:lineRule="exact"/>
              <w:ind w:left="85" w:right="86"/>
              <w:rPr>
                <w:rFonts w:ascii="Calibri Light"/>
                <w:b w:val="0"/>
                <w:sz w:val="22"/>
              </w:rPr>
            </w:pPr>
            <w:r>
              <w:rPr>
                <w:sz w:val="22"/>
              </w:rPr>
              <w:t>3 </w:t>
            </w:r>
            <w:r>
              <w:rPr>
                <w:rFonts w:ascii="Calibri Light"/>
                <w:b w:val="0"/>
                <w:sz w:val="22"/>
              </w:rPr>
              <w:t>(37.5%)</w:t>
            </w:r>
          </w:p>
        </w:tc>
        <w:tc>
          <w:tcPr>
            <w:tcW w:w="1244" w:type="dxa"/>
            <w:tcBorders>
              <w:left w:val="single" w:sz="45" w:space="0" w:color="2D74B5"/>
            </w:tcBorders>
          </w:tcPr>
          <w:p>
            <w:pPr>
              <w:pStyle w:val="TableParagraph"/>
              <w:spacing w:line="265" w:lineRule="exact"/>
              <w:ind w:left="110" w:right="161"/>
              <w:rPr>
                <w:rFonts w:ascii="Calibri Light"/>
                <w:b w:val="0"/>
                <w:sz w:val="22"/>
              </w:rPr>
            </w:pPr>
            <w:r>
              <w:rPr>
                <w:sz w:val="22"/>
              </w:rPr>
              <w:t>2 </w:t>
            </w:r>
            <w:r>
              <w:rPr>
                <w:rFonts w:ascii="Calibri Light"/>
                <w:b w:val="0"/>
                <w:sz w:val="22"/>
              </w:rPr>
              <w:t>(25%)</w:t>
            </w:r>
          </w:p>
        </w:tc>
        <w:tc>
          <w:tcPr>
            <w:tcW w:w="1368" w:type="dxa"/>
          </w:tcPr>
          <w:p>
            <w:pPr>
              <w:pStyle w:val="TableParagraph"/>
              <w:spacing w:line="265" w:lineRule="exact"/>
              <w:ind w:left="222" w:right="224"/>
              <w:rPr>
                <w:rFonts w:ascii="Calibri Light"/>
                <w:b w:val="0"/>
                <w:sz w:val="22"/>
              </w:rPr>
            </w:pPr>
            <w:r>
              <w:rPr>
                <w:sz w:val="22"/>
              </w:rPr>
              <w:t>1 </w:t>
            </w:r>
            <w:r>
              <w:rPr>
                <w:rFonts w:ascii="Calibri Light"/>
                <w:b w:val="0"/>
                <w:sz w:val="22"/>
              </w:rPr>
              <w:t>(12.5%)</w:t>
            </w:r>
          </w:p>
        </w:tc>
        <w:tc>
          <w:tcPr>
            <w:tcW w:w="1366" w:type="dxa"/>
          </w:tcPr>
          <w:p>
            <w:pPr>
              <w:pStyle w:val="TableParagraph"/>
              <w:spacing w:before="9"/>
              <w:ind w:left="614"/>
              <w:jc w:val="left"/>
              <w:rPr>
                <w:sz w:val="22"/>
              </w:rPr>
            </w:pPr>
            <w:r>
              <w:rPr>
                <w:w w:val="100"/>
                <w:sz w:val="22"/>
              </w:rPr>
              <w:t>0</w:t>
            </w:r>
          </w:p>
        </w:tc>
      </w:tr>
      <w:tr>
        <w:trPr>
          <w:trHeight w:val="413" w:hRule="exact"/>
        </w:trPr>
        <w:tc>
          <w:tcPr>
            <w:tcW w:w="3152" w:type="dxa"/>
            <w:gridSpan w:val="2"/>
          </w:tcPr>
          <w:p>
            <w:pPr>
              <w:pStyle w:val="TableParagraph"/>
              <w:spacing w:before="9"/>
              <w:ind w:left="383"/>
              <w:jc w:val="left"/>
              <w:rPr>
                <w:sz w:val="22"/>
              </w:rPr>
            </w:pPr>
            <w:r>
              <w:rPr>
                <w:sz w:val="22"/>
              </w:rPr>
              <w:t>Nivel Medio Superior (8)</w:t>
            </w:r>
          </w:p>
        </w:tc>
        <w:tc>
          <w:tcPr>
            <w:tcW w:w="1148" w:type="dxa"/>
          </w:tcPr>
          <w:p>
            <w:pPr>
              <w:pStyle w:val="TableParagraph"/>
              <w:spacing w:line="265" w:lineRule="exact"/>
              <w:ind w:left="115" w:right="119"/>
              <w:rPr>
                <w:rFonts w:ascii="Calibri Light"/>
                <w:b w:val="0"/>
                <w:sz w:val="22"/>
              </w:rPr>
            </w:pPr>
            <w:r>
              <w:rPr>
                <w:sz w:val="22"/>
              </w:rPr>
              <w:t>2 </w:t>
            </w:r>
            <w:r>
              <w:rPr>
                <w:rFonts w:ascii="Calibri Light"/>
                <w:b w:val="0"/>
                <w:sz w:val="22"/>
              </w:rPr>
              <w:t>(25%)</w:t>
            </w:r>
          </w:p>
        </w:tc>
        <w:tc>
          <w:tcPr>
            <w:tcW w:w="1121" w:type="dxa"/>
          </w:tcPr>
          <w:p>
            <w:pPr>
              <w:pStyle w:val="TableParagraph"/>
              <w:spacing w:line="265" w:lineRule="exact"/>
              <w:ind w:left="85" w:right="86"/>
              <w:rPr>
                <w:rFonts w:ascii="Calibri Light"/>
                <w:b w:val="0"/>
                <w:sz w:val="22"/>
              </w:rPr>
            </w:pPr>
            <w:r>
              <w:rPr>
                <w:sz w:val="22"/>
              </w:rPr>
              <w:t>1 </w:t>
            </w:r>
            <w:r>
              <w:rPr>
                <w:rFonts w:ascii="Calibri Light"/>
                <w:b w:val="0"/>
                <w:sz w:val="22"/>
              </w:rPr>
              <w:t>(12.5%)</w:t>
            </w:r>
          </w:p>
        </w:tc>
        <w:tc>
          <w:tcPr>
            <w:tcW w:w="1244" w:type="dxa"/>
            <w:tcBorders>
              <w:right w:val="single" w:sz="41" w:space="0" w:color="2D74B5"/>
            </w:tcBorders>
          </w:tcPr>
          <w:p>
            <w:pPr>
              <w:pStyle w:val="TableParagraph"/>
              <w:spacing w:before="9"/>
              <w:ind w:left="44"/>
              <w:rPr>
                <w:sz w:val="22"/>
              </w:rPr>
            </w:pPr>
            <w:r>
              <w:rPr>
                <w:w w:val="100"/>
                <w:sz w:val="22"/>
              </w:rPr>
              <w:t>0</w:t>
            </w:r>
          </w:p>
        </w:tc>
        <w:tc>
          <w:tcPr>
            <w:tcW w:w="1368" w:type="dxa"/>
            <w:shd w:val="clear" w:color="auto" w:fill="2D74B5"/>
          </w:tcPr>
          <w:p>
            <w:pPr>
              <w:pStyle w:val="TableParagraph"/>
              <w:spacing w:line="265" w:lineRule="exact"/>
              <w:ind w:left="222" w:right="224"/>
              <w:rPr>
                <w:rFonts w:ascii="Calibri Light"/>
                <w:b w:val="0"/>
                <w:sz w:val="22"/>
              </w:rPr>
            </w:pPr>
            <w:r>
              <w:rPr>
                <w:sz w:val="22"/>
              </w:rPr>
              <w:t>5 </w:t>
            </w:r>
            <w:r>
              <w:rPr>
                <w:rFonts w:ascii="Calibri Light"/>
                <w:b w:val="0"/>
                <w:sz w:val="22"/>
              </w:rPr>
              <w:t>(62.5%)</w:t>
            </w:r>
          </w:p>
        </w:tc>
        <w:tc>
          <w:tcPr>
            <w:tcW w:w="1366" w:type="dxa"/>
            <w:tcBorders>
              <w:left w:val="thickThinMediumGap" w:sz="23" w:space="0" w:color="2D74B5"/>
            </w:tcBorders>
          </w:tcPr>
          <w:p>
            <w:pPr>
              <w:pStyle w:val="TableParagraph"/>
              <w:spacing w:before="9"/>
              <w:ind w:left="561"/>
              <w:jc w:val="left"/>
              <w:rPr>
                <w:sz w:val="22"/>
              </w:rPr>
            </w:pPr>
            <w:r>
              <w:rPr>
                <w:w w:val="100"/>
                <w:sz w:val="22"/>
              </w:rPr>
              <w:t>0</w:t>
            </w:r>
          </w:p>
        </w:tc>
      </w:tr>
      <w:tr>
        <w:trPr>
          <w:trHeight w:val="413" w:hRule="exact"/>
        </w:trPr>
        <w:tc>
          <w:tcPr>
            <w:tcW w:w="3152" w:type="dxa"/>
            <w:gridSpan w:val="2"/>
            <w:tcBorders>
              <w:right w:val="single" w:sz="41" w:space="0" w:color="9CC2E4"/>
            </w:tcBorders>
          </w:tcPr>
          <w:p>
            <w:pPr>
              <w:pStyle w:val="TableParagraph"/>
              <w:spacing w:before="9"/>
              <w:ind w:left="712"/>
              <w:jc w:val="left"/>
              <w:rPr>
                <w:sz w:val="22"/>
              </w:rPr>
            </w:pPr>
            <w:r>
              <w:rPr>
                <w:sz w:val="22"/>
              </w:rPr>
              <w:t>Nivel Superior (8)</w:t>
            </w:r>
          </w:p>
        </w:tc>
        <w:tc>
          <w:tcPr>
            <w:tcW w:w="1148" w:type="dxa"/>
            <w:shd w:val="clear" w:color="auto" w:fill="9CC2E4"/>
          </w:tcPr>
          <w:p>
            <w:pPr>
              <w:pStyle w:val="TableParagraph"/>
              <w:spacing w:line="265" w:lineRule="exact"/>
              <w:ind w:left="115" w:right="119"/>
              <w:rPr>
                <w:rFonts w:ascii="Calibri Light"/>
                <w:b w:val="0"/>
                <w:sz w:val="22"/>
              </w:rPr>
            </w:pPr>
            <w:r>
              <w:rPr>
                <w:sz w:val="22"/>
              </w:rPr>
              <w:t>2 </w:t>
            </w:r>
            <w:r>
              <w:rPr>
                <w:rFonts w:ascii="Calibri Light"/>
                <w:b w:val="0"/>
                <w:sz w:val="22"/>
              </w:rPr>
              <w:t>(25%)</w:t>
            </w:r>
          </w:p>
        </w:tc>
        <w:tc>
          <w:tcPr>
            <w:tcW w:w="1121" w:type="dxa"/>
            <w:shd w:val="clear" w:color="auto" w:fill="9CC2E4"/>
          </w:tcPr>
          <w:p>
            <w:pPr>
              <w:pStyle w:val="TableParagraph"/>
              <w:spacing w:line="265" w:lineRule="exact"/>
              <w:ind w:left="85" w:right="86"/>
              <w:rPr>
                <w:rFonts w:ascii="Calibri Light"/>
                <w:b w:val="0"/>
                <w:sz w:val="22"/>
              </w:rPr>
            </w:pPr>
            <w:r>
              <w:rPr>
                <w:sz w:val="22"/>
              </w:rPr>
              <w:t>3 </w:t>
            </w:r>
            <w:r>
              <w:rPr>
                <w:rFonts w:ascii="Calibri Light"/>
                <w:b w:val="0"/>
                <w:sz w:val="22"/>
              </w:rPr>
              <w:t>(37.5%)</w:t>
            </w:r>
          </w:p>
        </w:tc>
        <w:tc>
          <w:tcPr>
            <w:tcW w:w="1244" w:type="dxa"/>
            <w:tcBorders>
              <w:left w:val="single" w:sz="45" w:space="0" w:color="9CC2E4"/>
              <w:right w:val="single" w:sz="41" w:space="0" w:color="9CC2E4"/>
            </w:tcBorders>
          </w:tcPr>
          <w:p>
            <w:pPr>
              <w:pStyle w:val="TableParagraph"/>
              <w:spacing w:before="9"/>
              <w:ind w:right="5"/>
              <w:rPr>
                <w:sz w:val="22"/>
              </w:rPr>
            </w:pPr>
            <w:r>
              <w:rPr>
                <w:w w:val="100"/>
                <w:sz w:val="22"/>
              </w:rPr>
              <w:t>0</w:t>
            </w:r>
          </w:p>
        </w:tc>
        <w:tc>
          <w:tcPr>
            <w:tcW w:w="1368" w:type="dxa"/>
            <w:shd w:val="clear" w:color="auto" w:fill="9CC2E4"/>
          </w:tcPr>
          <w:p>
            <w:pPr>
              <w:pStyle w:val="TableParagraph"/>
              <w:spacing w:line="265" w:lineRule="exact"/>
              <w:ind w:left="222" w:right="224"/>
              <w:rPr>
                <w:rFonts w:ascii="Calibri Light"/>
                <w:b w:val="0"/>
                <w:sz w:val="22"/>
              </w:rPr>
            </w:pPr>
            <w:r>
              <w:rPr>
                <w:sz w:val="22"/>
              </w:rPr>
              <w:t>3 </w:t>
            </w:r>
            <w:r>
              <w:rPr>
                <w:rFonts w:ascii="Calibri Light"/>
                <w:b w:val="0"/>
                <w:sz w:val="22"/>
              </w:rPr>
              <w:t>(37.5%)</w:t>
            </w:r>
          </w:p>
        </w:tc>
        <w:tc>
          <w:tcPr>
            <w:tcW w:w="1366" w:type="dxa"/>
            <w:tcBorders>
              <w:left w:val="thickThinMediumGap" w:sz="23" w:space="0" w:color="9CC2E4"/>
            </w:tcBorders>
          </w:tcPr>
          <w:p>
            <w:pPr>
              <w:pStyle w:val="TableParagraph"/>
              <w:spacing w:before="9"/>
              <w:ind w:left="561"/>
              <w:jc w:val="left"/>
              <w:rPr>
                <w:sz w:val="22"/>
              </w:rPr>
            </w:pPr>
            <w:r>
              <w:rPr>
                <w:w w:val="100"/>
                <w:sz w:val="22"/>
              </w:rPr>
              <w:t>0</w:t>
            </w:r>
          </w:p>
        </w:tc>
      </w:tr>
    </w:tbl>
    <w:p>
      <w:pPr>
        <w:spacing w:line="228" w:lineRule="exact" w:before="0"/>
        <w:ind w:left="1791" w:right="339" w:firstLine="0"/>
        <w:jc w:val="left"/>
        <w:rPr>
          <w:b/>
          <w:sz w:val="20"/>
        </w:rPr>
      </w:pPr>
      <w:r>
        <w:rPr>
          <w:b/>
          <w:sz w:val="20"/>
        </w:rPr>
        <w:t>Tabla 4.45. Contexto informal; respuestas por nivel de estudios</w:t>
      </w:r>
    </w:p>
    <w:p>
      <w:pPr>
        <w:pStyle w:val="BodyText"/>
        <w:spacing w:before="5"/>
        <w:rPr>
          <w:b/>
          <w:sz w:val="27"/>
        </w:rPr>
      </w:pPr>
    </w:p>
    <w:p>
      <w:pPr>
        <w:spacing w:line="360" w:lineRule="auto" w:before="0"/>
        <w:ind w:left="102" w:right="109" w:firstLine="707"/>
        <w:jc w:val="both"/>
        <w:rPr>
          <w:sz w:val="24"/>
        </w:rPr>
      </w:pPr>
      <w:r>
        <w:rPr>
          <w:sz w:val="24"/>
        </w:rPr>
        <w:t>El análisis de la aseveración 16 presentada en la tabla 4.46. es del tipo favorable y dicta de la siguiente manera: “</w:t>
      </w:r>
      <w:r>
        <w:rPr>
          <w:b/>
          <w:sz w:val="24"/>
        </w:rPr>
        <w:t>En la grabación se incluyen términos que podría dominar cualquier obrero de una empresa</w:t>
      </w:r>
      <w:r>
        <w:rPr>
          <w:sz w:val="24"/>
        </w:rPr>
        <w:t>”, los resultados en la totalidad de la población indican que la mayoría de los sujetos se encuentran a favor de la aseveración</w:t>
      </w:r>
    </w:p>
    <w:p>
      <w:pPr>
        <w:spacing w:after="0" w:line="360" w:lineRule="auto"/>
        <w:jc w:val="both"/>
        <w:rPr>
          <w:sz w:val="24"/>
        </w:rPr>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9"/>
        <w:jc w:val="both"/>
      </w:pPr>
      <w:r>
        <w:rPr/>
        <w:t>con 14 de 24 respuestas “de acuerdo”. De esas catorce respuestas 6 eran de mujeres que en su análisis eran el 50%; y ocho eran de hombres que en su análisis representan el 66.6% en su clasificación.</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14"/>
        <w:gridCol w:w="1140"/>
        <w:gridCol w:w="1138"/>
        <w:gridCol w:w="1244"/>
        <w:gridCol w:w="1368"/>
        <w:gridCol w:w="1366"/>
      </w:tblGrid>
      <w:tr>
        <w:trPr>
          <w:trHeight w:val="406" w:hRule="exact"/>
        </w:trPr>
        <w:tc>
          <w:tcPr>
            <w:tcW w:w="1428" w:type="dxa"/>
            <w:vMerge w:val="restart"/>
          </w:tcPr>
          <w:p>
            <w:pPr>
              <w:pStyle w:val="TableParagraph"/>
              <w:spacing w:before="3"/>
              <w:jc w:val="left"/>
              <w:rPr>
                <w:sz w:val="17"/>
              </w:rPr>
            </w:pPr>
          </w:p>
          <w:p>
            <w:pPr>
              <w:pStyle w:val="TableParagraph"/>
              <w:ind w:left="82" w:right="83"/>
              <w:rPr>
                <w:sz w:val="22"/>
              </w:rPr>
            </w:pPr>
            <w:r>
              <w:rPr>
                <w:sz w:val="22"/>
              </w:rPr>
              <w:t>Aseveración</w:t>
            </w:r>
          </w:p>
          <w:p>
            <w:pPr>
              <w:pStyle w:val="TableParagraph"/>
              <w:spacing w:before="126"/>
              <w:ind w:left="83" w:right="83"/>
              <w:rPr>
                <w:b/>
                <w:sz w:val="22"/>
              </w:rPr>
            </w:pPr>
            <w:r>
              <w:rPr>
                <w:b/>
                <w:sz w:val="22"/>
              </w:rPr>
              <w:t>16</w:t>
            </w:r>
          </w:p>
        </w:tc>
        <w:tc>
          <w:tcPr>
            <w:tcW w:w="1714" w:type="dxa"/>
            <w:vMerge w:val="restart"/>
          </w:tcPr>
          <w:p>
            <w:pPr>
              <w:pStyle w:val="TableParagraph"/>
              <w:spacing w:line="360" w:lineRule="auto" w:before="9"/>
              <w:ind w:left="213" w:right="218" w:firstLine="5"/>
              <w:rPr>
                <w:b/>
                <w:sz w:val="22"/>
              </w:rPr>
            </w:pPr>
            <w:r>
              <w:rPr>
                <w:sz w:val="22"/>
              </w:rPr>
              <w:t>Tipo de Aseveración: </w:t>
            </w:r>
            <w:r>
              <w:rPr>
                <w:b/>
                <w:sz w:val="22"/>
              </w:rPr>
              <w:t>Favorable</w:t>
            </w:r>
          </w:p>
        </w:tc>
        <w:tc>
          <w:tcPr>
            <w:tcW w:w="6256" w:type="dxa"/>
            <w:gridSpan w:val="5"/>
          </w:tcPr>
          <w:p>
            <w:pPr>
              <w:pStyle w:val="TableParagraph"/>
              <w:spacing w:before="5"/>
              <w:ind w:left="2521" w:right="2521"/>
              <w:rPr>
                <w:sz w:val="22"/>
              </w:rPr>
            </w:pPr>
            <w:r>
              <w:rPr>
                <w:sz w:val="22"/>
              </w:rPr>
              <w:t>Respuestas</w:t>
            </w:r>
          </w:p>
        </w:tc>
      </w:tr>
      <w:tr>
        <w:trPr>
          <w:trHeight w:val="770" w:hRule="exact"/>
        </w:trPr>
        <w:tc>
          <w:tcPr>
            <w:tcW w:w="1428" w:type="dxa"/>
            <w:vMerge/>
          </w:tcPr>
          <w:p>
            <w:pPr/>
          </w:p>
        </w:tc>
        <w:tc>
          <w:tcPr>
            <w:tcW w:w="1714" w:type="dxa"/>
            <w:vMerge/>
          </w:tcPr>
          <w:p>
            <w:pPr/>
          </w:p>
        </w:tc>
        <w:tc>
          <w:tcPr>
            <w:tcW w:w="1140" w:type="dxa"/>
          </w:tcPr>
          <w:p>
            <w:pPr>
              <w:pStyle w:val="TableParagraph"/>
              <w:spacing w:line="360" w:lineRule="auto"/>
              <w:ind w:left="168" w:right="147" w:firstLine="36"/>
              <w:jc w:val="left"/>
              <w:rPr>
                <w:sz w:val="22"/>
              </w:rPr>
            </w:pPr>
            <w:r>
              <w:rPr>
                <w:sz w:val="22"/>
              </w:rPr>
              <w:t>Muy de acuerdo</w:t>
            </w:r>
          </w:p>
        </w:tc>
        <w:tc>
          <w:tcPr>
            <w:tcW w:w="1138" w:type="dxa"/>
          </w:tcPr>
          <w:p>
            <w:pPr>
              <w:pStyle w:val="TableParagraph"/>
              <w:spacing w:line="360" w:lineRule="auto"/>
              <w:ind w:left="165" w:right="147"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2" w:type="dxa"/>
            <w:gridSpan w:val="2"/>
          </w:tcPr>
          <w:p>
            <w:pPr>
              <w:pStyle w:val="TableParagraph"/>
              <w:spacing w:before="9"/>
              <w:ind w:left="323"/>
              <w:jc w:val="left"/>
              <w:rPr>
                <w:sz w:val="22"/>
              </w:rPr>
            </w:pPr>
            <w:r>
              <w:rPr>
                <w:sz w:val="22"/>
              </w:rPr>
              <w:t>Total de la población (24)</w:t>
            </w:r>
          </w:p>
        </w:tc>
        <w:tc>
          <w:tcPr>
            <w:tcW w:w="1140" w:type="dxa"/>
          </w:tcPr>
          <w:p>
            <w:pPr>
              <w:pStyle w:val="TableParagraph"/>
              <w:spacing w:line="265" w:lineRule="exact"/>
              <w:ind w:left="116" w:right="116"/>
              <w:rPr>
                <w:rFonts w:ascii="Calibri Light"/>
                <w:b w:val="0"/>
                <w:sz w:val="22"/>
              </w:rPr>
            </w:pPr>
            <w:r>
              <w:rPr>
                <w:sz w:val="22"/>
              </w:rPr>
              <w:t>3 </w:t>
            </w:r>
            <w:r>
              <w:rPr>
                <w:rFonts w:ascii="Calibri Light"/>
                <w:b w:val="0"/>
                <w:sz w:val="22"/>
              </w:rPr>
              <w:t>(12.5%)</w:t>
            </w:r>
          </w:p>
        </w:tc>
        <w:tc>
          <w:tcPr>
            <w:tcW w:w="1138" w:type="dxa"/>
            <w:shd w:val="clear" w:color="auto" w:fill="2D74B5"/>
          </w:tcPr>
          <w:p>
            <w:pPr>
              <w:pStyle w:val="TableParagraph"/>
              <w:spacing w:line="265" w:lineRule="exact"/>
              <w:ind w:left="83" w:right="84"/>
              <w:rPr>
                <w:rFonts w:ascii="Calibri Light"/>
                <w:b w:val="0"/>
                <w:sz w:val="22"/>
              </w:rPr>
            </w:pPr>
            <w:r>
              <w:rPr>
                <w:sz w:val="22"/>
              </w:rPr>
              <w:t>14</w:t>
            </w:r>
            <w:r>
              <w:rPr>
                <w:rFonts w:ascii="Calibri Light"/>
                <w:b w:val="0"/>
                <w:sz w:val="22"/>
              </w:rPr>
              <w:t>(58.3%)</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(4.1%)</w:t>
            </w:r>
          </w:p>
        </w:tc>
        <w:tc>
          <w:tcPr>
            <w:tcW w:w="1368" w:type="dxa"/>
          </w:tcPr>
          <w:p>
            <w:pPr>
              <w:pStyle w:val="TableParagraph"/>
              <w:spacing w:line="265" w:lineRule="exact"/>
              <w:ind w:left="222" w:right="224"/>
              <w:rPr>
                <w:rFonts w:ascii="Calibri Light"/>
                <w:b w:val="0"/>
                <w:sz w:val="22"/>
              </w:rPr>
            </w:pPr>
            <w:r>
              <w:rPr>
                <w:sz w:val="22"/>
              </w:rPr>
              <w:t>4 </w:t>
            </w:r>
            <w:r>
              <w:rPr>
                <w:rFonts w:ascii="Calibri Light"/>
                <w:b w:val="0"/>
                <w:sz w:val="22"/>
              </w:rPr>
              <w:t>(16.6%)</w:t>
            </w:r>
          </w:p>
        </w:tc>
        <w:tc>
          <w:tcPr>
            <w:tcW w:w="1366" w:type="dxa"/>
          </w:tcPr>
          <w:p>
            <w:pPr>
              <w:pStyle w:val="TableParagraph"/>
              <w:spacing w:line="265" w:lineRule="exact"/>
              <w:ind w:left="226" w:right="230"/>
              <w:rPr>
                <w:rFonts w:ascii="Calibri Light"/>
                <w:b w:val="0"/>
                <w:sz w:val="22"/>
              </w:rPr>
            </w:pPr>
            <w:r>
              <w:rPr>
                <w:sz w:val="22"/>
              </w:rPr>
              <w:t>2 </w:t>
            </w:r>
            <w:r>
              <w:rPr>
                <w:rFonts w:ascii="Calibri Light"/>
                <w:b w:val="0"/>
                <w:sz w:val="22"/>
              </w:rPr>
              <w:t>(8.3%)</w:t>
            </w:r>
          </w:p>
        </w:tc>
      </w:tr>
      <w:tr>
        <w:trPr>
          <w:trHeight w:val="413" w:hRule="exact"/>
        </w:trPr>
        <w:tc>
          <w:tcPr>
            <w:tcW w:w="3142" w:type="dxa"/>
            <w:gridSpan w:val="2"/>
          </w:tcPr>
          <w:p>
            <w:pPr>
              <w:pStyle w:val="TableParagraph"/>
              <w:spacing w:before="9"/>
              <w:ind w:left="947"/>
              <w:jc w:val="left"/>
              <w:rPr>
                <w:sz w:val="22"/>
              </w:rPr>
            </w:pPr>
            <w:r>
              <w:rPr>
                <w:sz w:val="22"/>
              </w:rPr>
              <w:t>Mujeres (12)</w:t>
            </w:r>
          </w:p>
        </w:tc>
        <w:tc>
          <w:tcPr>
            <w:tcW w:w="1140" w:type="dxa"/>
          </w:tcPr>
          <w:p>
            <w:pPr>
              <w:pStyle w:val="TableParagraph"/>
              <w:spacing w:line="265" w:lineRule="exact"/>
              <w:ind w:left="116" w:right="116"/>
              <w:rPr>
                <w:rFonts w:ascii="Calibri Light"/>
                <w:b w:val="0"/>
                <w:sz w:val="22"/>
              </w:rPr>
            </w:pPr>
            <w:r>
              <w:rPr>
                <w:sz w:val="22"/>
              </w:rPr>
              <w:t>1 </w:t>
            </w:r>
            <w:r>
              <w:rPr>
                <w:rFonts w:ascii="Calibri Light"/>
                <w:b w:val="0"/>
                <w:sz w:val="22"/>
              </w:rPr>
              <w:t>(8%)</w:t>
            </w:r>
          </w:p>
        </w:tc>
        <w:tc>
          <w:tcPr>
            <w:tcW w:w="1138" w:type="dxa"/>
            <w:shd w:val="clear" w:color="auto" w:fill="2D74B5"/>
          </w:tcPr>
          <w:p>
            <w:pPr>
              <w:pStyle w:val="TableParagraph"/>
              <w:spacing w:line="265" w:lineRule="exact"/>
              <w:ind w:left="83" w:right="84"/>
              <w:rPr>
                <w:rFonts w:ascii="Calibri Light"/>
                <w:b w:val="0"/>
                <w:sz w:val="22"/>
              </w:rPr>
            </w:pPr>
            <w:r>
              <w:rPr>
                <w:sz w:val="22"/>
              </w:rPr>
              <w:t>6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(8%)</w:t>
            </w:r>
          </w:p>
        </w:tc>
        <w:tc>
          <w:tcPr>
            <w:tcW w:w="1368" w:type="dxa"/>
          </w:tcPr>
          <w:p>
            <w:pPr>
              <w:pStyle w:val="TableParagraph"/>
              <w:spacing w:line="265" w:lineRule="exact"/>
              <w:ind w:left="223" w:right="224"/>
              <w:rPr>
                <w:rFonts w:ascii="Calibri Light"/>
                <w:b w:val="0"/>
                <w:sz w:val="22"/>
              </w:rPr>
            </w:pPr>
            <w:r>
              <w:rPr>
                <w:sz w:val="22"/>
              </w:rPr>
              <w:t>3 </w:t>
            </w:r>
            <w:r>
              <w:rPr>
                <w:rFonts w:ascii="Calibri Light"/>
                <w:b w:val="0"/>
                <w:sz w:val="22"/>
              </w:rPr>
              <w:t>(25%)</w:t>
            </w:r>
          </w:p>
        </w:tc>
        <w:tc>
          <w:tcPr>
            <w:tcW w:w="1366" w:type="dxa"/>
          </w:tcPr>
          <w:p>
            <w:pPr>
              <w:pStyle w:val="TableParagraph"/>
              <w:spacing w:line="265" w:lineRule="exact"/>
              <w:ind w:left="226" w:right="228"/>
              <w:rPr>
                <w:rFonts w:ascii="Calibri Light"/>
                <w:b w:val="0"/>
                <w:sz w:val="22"/>
              </w:rPr>
            </w:pPr>
            <w:r>
              <w:rPr>
                <w:sz w:val="22"/>
              </w:rPr>
              <w:t>1 </w:t>
            </w:r>
            <w:r>
              <w:rPr>
                <w:rFonts w:ascii="Calibri Light"/>
                <w:b w:val="0"/>
                <w:sz w:val="22"/>
              </w:rPr>
              <w:t>(8%)</w:t>
            </w:r>
          </w:p>
        </w:tc>
      </w:tr>
      <w:tr>
        <w:trPr>
          <w:trHeight w:val="413" w:hRule="exact"/>
        </w:trPr>
        <w:tc>
          <w:tcPr>
            <w:tcW w:w="3142" w:type="dxa"/>
            <w:gridSpan w:val="2"/>
          </w:tcPr>
          <w:p>
            <w:pPr>
              <w:pStyle w:val="TableParagraph"/>
              <w:spacing w:before="10"/>
              <w:ind w:left="892"/>
              <w:jc w:val="left"/>
              <w:rPr>
                <w:sz w:val="22"/>
              </w:rPr>
            </w:pPr>
            <w:r>
              <w:rPr>
                <w:sz w:val="22"/>
              </w:rPr>
              <w:t>Hombres (12)</w:t>
            </w:r>
          </w:p>
        </w:tc>
        <w:tc>
          <w:tcPr>
            <w:tcW w:w="1140" w:type="dxa"/>
          </w:tcPr>
          <w:p>
            <w:pPr>
              <w:pStyle w:val="TableParagraph"/>
              <w:spacing w:line="266" w:lineRule="exact"/>
              <w:ind w:left="116" w:right="116"/>
              <w:rPr>
                <w:rFonts w:ascii="Calibri Light"/>
                <w:b w:val="0"/>
                <w:sz w:val="22"/>
              </w:rPr>
            </w:pPr>
            <w:r>
              <w:rPr>
                <w:sz w:val="22"/>
              </w:rPr>
              <w:t>2 </w:t>
            </w:r>
            <w:r>
              <w:rPr>
                <w:rFonts w:ascii="Calibri Light"/>
                <w:b w:val="0"/>
                <w:sz w:val="22"/>
              </w:rPr>
              <w:t>(16.6%)</w:t>
            </w:r>
          </w:p>
        </w:tc>
        <w:tc>
          <w:tcPr>
            <w:tcW w:w="1138" w:type="dxa"/>
            <w:shd w:val="clear" w:color="auto" w:fill="2D74B5"/>
          </w:tcPr>
          <w:p>
            <w:pPr>
              <w:pStyle w:val="TableParagraph"/>
              <w:spacing w:line="266" w:lineRule="exact"/>
              <w:ind w:left="83" w:right="83"/>
              <w:rPr>
                <w:rFonts w:ascii="Calibri Light"/>
                <w:b w:val="0"/>
                <w:sz w:val="22"/>
              </w:rPr>
            </w:pPr>
            <w:r>
              <w:rPr>
                <w:sz w:val="22"/>
              </w:rPr>
              <w:t>8 </w:t>
            </w:r>
            <w:r>
              <w:rPr>
                <w:rFonts w:ascii="Calibri Light"/>
                <w:b w:val="0"/>
                <w:sz w:val="22"/>
              </w:rPr>
              <w:t>(66.6%)</w:t>
            </w:r>
          </w:p>
        </w:tc>
        <w:tc>
          <w:tcPr>
            <w:tcW w:w="1244" w:type="dxa"/>
          </w:tcPr>
          <w:p>
            <w:pPr>
              <w:pStyle w:val="TableParagraph"/>
              <w:spacing w:before="10"/>
              <w:rPr>
                <w:sz w:val="22"/>
              </w:rPr>
            </w:pPr>
            <w:r>
              <w:rPr>
                <w:w w:val="100"/>
                <w:sz w:val="22"/>
              </w:rPr>
              <w:t>0</w:t>
            </w:r>
          </w:p>
        </w:tc>
        <w:tc>
          <w:tcPr>
            <w:tcW w:w="1368" w:type="dxa"/>
          </w:tcPr>
          <w:p>
            <w:pPr>
              <w:pStyle w:val="TableParagraph"/>
              <w:spacing w:line="266" w:lineRule="exact"/>
              <w:ind w:left="223" w:right="224"/>
              <w:rPr>
                <w:rFonts w:ascii="Calibri Light"/>
                <w:b w:val="0"/>
                <w:sz w:val="22"/>
              </w:rPr>
            </w:pPr>
            <w:r>
              <w:rPr>
                <w:sz w:val="22"/>
              </w:rPr>
              <w:t>1 </w:t>
            </w:r>
            <w:r>
              <w:rPr>
                <w:rFonts w:ascii="Calibri Light"/>
                <w:b w:val="0"/>
                <w:sz w:val="22"/>
              </w:rPr>
              <w:t>(8%)</w:t>
            </w:r>
          </w:p>
        </w:tc>
        <w:tc>
          <w:tcPr>
            <w:tcW w:w="1366" w:type="dxa"/>
          </w:tcPr>
          <w:p>
            <w:pPr>
              <w:pStyle w:val="TableParagraph"/>
              <w:spacing w:line="266" w:lineRule="exact"/>
              <w:ind w:left="226" w:right="228"/>
              <w:rPr>
                <w:rFonts w:ascii="Calibri Light"/>
                <w:b w:val="0"/>
                <w:sz w:val="22"/>
              </w:rPr>
            </w:pPr>
            <w:r>
              <w:rPr>
                <w:sz w:val="22"/>
              </w:rPr>
              <w:t>1 </w:t>
            </w:r>
            <w:r>
              <w:rPr>
                <w:rFonts w:ascii="Calibri Light"/>
                <w:b w:val="0"/>
                <w:sz w:val="22"/>
              </w:rPr>
              <w:t>(8%)</w:t>
            </w:r>
          </w:p>
        </w:tc>
      </w:tr>
    </w:tbl>
    <w:p>
      <w:pPr>
        <w:spacing w:line="227" w:lineRule="exact" w:before="0"/>
        <w:ind w:left="519" w:right="339" w:firstLine="0"/>
        <w:jc w:val="left"/>
        <w:rPr>
          <w:b/>
          <w:sz w:val="20"/>
        </w:rPr>
      </w:pPr>
      <w:r>
        <w:rPr>
          <w:b/>
          <w:sz w:val="20"/>
        </w:rPr>
        <w:t>Tabla 4.46. Discurso de un obrero; respuestas en la totalidad de la población y por género</w:t>
      </w:r>
    </w:p>
    <w:p>
      <w:pPr>
        <w:pStyle w:val="BodyText"/>
        <w:spacing w:before="5"/>
        <w:rPr>
          <w:b/>
          <w:sz w:val="27"/>
        </w:rPr>
      </w:pPr>
    </w:p>
    <w:p>
      <w:pPr>
        <w:pStyle w:val="BodyText"/>
        <w:spacing w:line="360" w:lineRule="auto"/>
        <w:ind w:left="102" w:right="111" w:firstLine="707"/>
        <w:jc w:val="both"/>
      </w:pPr>
      <w:r>
        <w:rPr/>
        <w:t>Por grupo de edad, la tendencia es hacia la aceptación de los anglicismos mostrando un 66.6% de respuestas “de acuerdo” en los grupos 2 y 4; y un 50% de respuestas “de acuerdo” en los grupos 1 y 3 (ver tabla 4.47.).</w:t>
      </w:r>
    </w:p>
    <w:p>
      <w:pPr>
        <w:pStyle w:val="BodyText"/>
        <w:rPr>
          <w:sz w:val="20"/>
        </w:rPr>
      </w:pPr>
    </w:p>
    <w:p>
      <w:pPr>
        <w:pStyle w:val="BodyText"/>
        <w:rPr>
          <w:sz w:val="20"/>
        </w:rPr>
      </w:pPr>
    </w:p>
    <w:p>
      <w:pPr>
        <w:pStyle w:val="BodyText"/>
        <w:rPr>
          <w:sz w:val="20"/>
        </w:rPr>
      </w:pPr>
    </w:p>
    <w:p>
      <w:pPr>
        <w:pStyle w:val="BodyText"/>
        <w:spacing w:before="1" w:after="1"/>
        <w:rPr>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1"/>
        <w:gridCol w:w="1150"/>
        <w:gridCol w:w="1121"/>
        <w:gridCol w:w="1244"/>
        <w:gridCol w:w="1368"/>
        <w:gridCol w:w="1366"/>
      </w:tblGrid>
      <w:tr>
        <w:trPr>
          <w:trHeight w:val="408"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16</w:t>
            </w:r>
          </w:p>
        </w:tc>
        <w:tc>
          <w:tcPr>
            <w:tcW w:w="1721" w:type="dxa"/>
            <w:vMerge w:val="restart"/>
          </w:tcPr>
          <w:p>
            <w:pPr>
              <w:pStyle w:val="TableParagraph"/>
              <w:spacing w:line="360" w:lineRule="auto" w:before="12"/>
              <w:ind w:left="218" w:right="220" w:firstLine="5"/>
              <w:rPr>
                <w:b/>
                <w:sz w:val="22"/>
              </w:rPr>
            </w:pPr>
            <w:r>
              <w:rPr>
                <w:sz w:val="22"/>
              </w:rPr>
              <w:t>Tipo de Aseveración: </w:t>
            </w:r>
            <w:r>
              <w:rPr>
                <w:b/>
                <w:sz w:val="22"/>
              </w:rPr>
              <w:t>Favorable</w:t>
            </w:r>
          </w:p>
        </w:tc>
        <w:tc>
          <w:tcPr>
            <w:tcW w:w="6249" w:type="dxa"/>
            <w:gridSpan w:val="5"/>
          </w:tcPr>
          <w:p>
            <w:pPr>
              <w:pStyle w:val="TableParagraph"/>
              <w:spacing w:before="7"/>
              <w:ind w:left="2517" w:right="2517"/>
              <w:rPr>
                <w:sz w:val="22"/>
              </w:rPr>
            </w:pPr>
            <w:r>
              <w:rPr>
                <w:sz w:val="22"/>
              </w:rPr>
              <w:t>Respuestas</w:t>
            </w:r>
          </w:p>
        </w:tc>
      </w:tr>
      <w:tr>
        <w:trPr>
          <w:trHeight w:val="768" w:hRule="exact"/>
        </w:trPr>
        <w:tc>
          <w:tcPr>
            <w:tcW w:w="1428" w:type="dxa"/>
            <w:gridSpan w:val="2"/>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1 (6)</w:t>
            </w:r>
          </w:p>
        </w:tc>
        <w:tc>
          <w:tcPr>
            <w:tcW w:w="1150" w:type="dxa"/>
          </w:tcPr>
          <w:p>
            <w:pPr>
              <w:pStyle w:val="TableParagraph"/>
              <w:spacing w:line="268" w:lineRule="exact"/>
              <w:ind w:left="120" w:right="120"/>
              <w:rPr>
                <w:rFonts w:ascii="Calibri Light"/>
                <w:b w:val="0"/>
                <w:sz w:val="22"/>
              </w:rPr>
            </w:pPr>
            <w:r>
              <w:rPr>
                <w:sz w:val="22"/>
              </w:rPr>
              <w:t>2 </w:t>
            </w:r>
            <w:r>
              <w:rPr>
                <w:rFonts w:ascii="Calibri Light"/>
                <w:b w:val="0"/>
                <w:sz w:val="22"/>
              </w:rPr>
              <w:t>(33.3%)</w:t>
            </w:r>
          </w:p>
        </w:tc>
        <w:tc>
          <w:tcPr>
            <w:tcW w:w="1121" w:type="dxa"/>
            <w:shd w:val="clear" w:color="auto" w:fill="2D74B5"/>
          </w:tcPr>
          <w:p>
            <w:pPr>
              <w:pStyle w:val="TableParagraph"/>
              <w:spacing w:line="268" w:lineRule="exact"/>
              <w:ind w:left="85" w:right="87"/>
              <w:rPr>
                <w:rFonts w:ascii="Calibri Light"/>
                <w:b w:val="0"/>
                <w:sz w:val="22"/>
              </w:rPr>
            </w:pPr>
            <w:r>
              <w:rPr>
                <w:sz w:val="22"/>
              </w:rPr>
              <w:t>3 </w:t>
            </w:r>
            <w:r>
              <w:rPr>
                <w:rFonts w:ascii="Calibri Light"/>
                <w:b w:val="0"/>
                <w:sz w:val="22"/>
              </w:rPr>
              <w:t>(50%)</w:t>
            </w:r>
          </w:p>
        </w:tc>
        <w:tc>
          <w:tcPr>
            <w:tcW w:w="1244" w:type="dxa"/>
          </w:tcPr>
          <w:p>
            <w:pPr>
              <w:pStyle w:val="TableParagraph"/>
              <w:spacing w:before="9"/>
              <w:rPr>
                <w:sz w:val="22"/>
              </w:rPr>
            </w:pPr>
            <w:r>
              <w:rPr>
                <w:w w:val="100"/>
                <w:sz w:val="22"/>
              </w:rPr>
              <w:t>0</w:t>
            </w:r>
          </w:p>
        </w:tc>
        <w:tc>
          <w:tcPr>
            <w:tcW w:w="1368" w:type="dxa"/>
          </w:tcPr>
          <w:p>
            <w:pPr>
              <w:pStyle w:val="TableParagraph"/>
              <w:spacing w:line="268" w:lineRule="exact"/>
              <w:ind w:left="223" w:right="224"/>
              <w:rPr>
                <w:rFonts w:ascii="Calibri Light"/>
                <w:b w:val="0"/>
                <w:sz w:val="22"/>
              </w:rPr>
            </w:pPr>
            <w:r>
              <w:rPr>
                <w:sz w:val="22"/>
              </w:rPr>
              <w:t>1 </w:t>
            </w:r>
            <w:r>
              <w:rPr>
                <w:rFonts w:ascii="Calibri Light"/>
                <w:b w:val="0"/>
                <w:sz w:val="22"/>
              </w:rPr>
              <w:t>(16%)</w:t>
            </w:r>
          </w:p>
        </w:tc>
        <w:tc>
          <w:tcPr>
            <w:tcW w:w="1366"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2 (6)</w:t>
            </w:r>
          </w:p>
        </w:tc>
        <w:tc>
          <w:tcPr>
            <w:tcW w:w="1150" w:type="dxa"/>
          </w:tcPr>
          <w:p>
            <w:pPr>
              <w:pStyle w:val="TableParagraph"/>
              <w:spacing w:before="9"/>
              <w:ind w:right="2"/>
              <w:rPr>
                <w:sz w:val="22"/>
              </w:rPr>
            </w:pPr>
            <w:r>
              <w:rPr>
                <w:w w:val="100"/>
                <w:sz w:val="22"/>
              </w:rPr>
              <w:t>0</w:t>
            </w:r>
          </w:p>
        </w:tc>
        <w:tc>
          <w:tcPr>
            <w:tcW w:w="1121" w:type="dxa"/>
            <w:shd w:val="clear" w:color="auto" w:fill="2D74B5"/>
          </w:tcPr>
          <w:p>
            <w:pPr>
              <w:pStyle w:val="TableParagraph"/>
              <w:spacing w:line="268" w:lineRule="exact"/>
              <w:ind w:left="85" w:right="86"/>
              <w:rPr>
                <w:rFonts w:ascii="Calibri Light"/>
                <w:b w:val="0"/>
                <w:sz w:val="22"/>
              </w:rPr>
            </w:pPr>
            <w:r>
              <w:rPr>
                <w:sz w:val="22"/>
              </w:rPr>
              <w:t>4 </w:t>
            </w:r>
            <w:r>
              <w:rPr>
                <w:rFonts w:ascii="Calibri Light"/>
                <w:b w:val="0"/>
                <w:sz w:val="22"/>
              </w:rPr>
              <w:t>(66.6%)</w:t>
            </w:r>
          </w:p>
        </w:tc>
        <w:tc>
          <w:tcPr>
            <w:tcW w:w="1244" w:type="dxa"/>
          </w:tcPr>
          <w:p>
            <w:pPr>
              <w:pStyle w:val="TableParagraph"/>
              <w:spacing w:before="9"/>
              <w:rPr>
                <w:sz w:val="22"/>
              </w:rPr>
            </w:pPr>
            <w:r>
              <w:rPr>
                <w:w w:val="100"/>
                <w:sz w:val="22"/>
              </w:rPr>
              <w:t>0</w:t>
            </w:r>
          </w:p>
        </w:tc>
        <w:tc>
          <w:tcPr>
            <w:tcW w:w="1368" w:type="dxa"/>
          </w:tcPr>
          <w:p>
            <w:pPr>
              <w:pStyle w:val="TableParagraph"/>
              <w:spacing w:line="268" w:lineRule="exact"/>
              <w:ind w:left="223" w:right="224"/>
              <w:rPr>
                <w:rFonts w:ascii="Calibri Light"/>
                <w:b w:val="0"/>
                <w:sz w:val="22"/>
              </w:rPr>
            </w:pPr>
            <w:r>
              <w:rPr>
                <w:sz w:val="22"/>
              </w:rPr>
              <w:t>1 </w:t>
            </w:r>
            <w:r>
              <w:rPr>
                <w:rFonts w:ascii="Calibri Light"/>
                <w:b w:val="0"/>
                <w:sz w:val="22"/>
              </w:rPr>
              <w:t>(16%)</w:t>
            </w:r>
          </w:p>
        </w:tc>
        <w:tc>
          <w:tcPr>
            <w:tcW w:w="1366" w:type="dxa"/>
          </w:tcPr>
          <w:p>
            <w:pPr>
              <w:pStyle w:val="TableParagraph"/>
              <w:spacing w:line="268" w:lineRule="exact"/>
              <w:ind w:left="226" w:right="228"/>
              <w:rPr>
                <w:rFonts w:ascii="Calibri Light"/>
                <w:b w:val="0"/>
                <w:sz w:val="22"/>
              </w:rPr>
            </w:pPr>
            <w:r>
              <w:rPr>
                <w:sz w:val="22"/>
              </w:rPr>
              <w:t>1 </w:t>
            </w:r>
            <w:r>
              <w:rPr>
                <w:rFonts w:ascii="Calibri Light"/>
                <w:b w:val="0"/>
                <w:sz w:val="22"/>
              </w:rPr>
              <w:t>(16%)</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3 (6)</w:t>
            </w:r>
          </w:p>
        </w:tc>
        <w:tc>
          <w:tcPr>
            <w:tcW w:w="1150" w:type="dxa"/>
          </w:tcPr>
          <w:p>
            <w:pPr>
              <w:pStyle w:val="TableParagraph"/>
              <w:spacing w:before="9"/>
              <w:ind w:right="2"/>
              <w:rPr>
                <w:sz w:val="22"/>
              </w:rPr>
            </w:pPr>
            <w:r>
              <w:rPr>
                <w:w w:val="100"/>
                <w:sz w:val="22"/>
              </w:rPr>
              <w:t>0</w:t>
            </w:r>
          </w:p>
        </w:tc>
        <w:tc>
          <w:tcPr>
            <w:tcW w:w="1121" w:type="dxa"/>
            <w:shd w:val="clear" w:color="auto" w:fill="2D74B5"/>
          </w:tcPr>
          <w:p>
            <w:pPr>
              <w:pStyle w:val="TableParagraph"/>
              <w:spacing w:line="268" w:lineRule="exact"/>
              <w:ind w:left="85" w:right="87"/>
              <w:rPr>
                <w:rFonts w:ascii="Calibri Light"/>
                <w:b w:val="0"/>
                <w:sz w:val="22"/>
              </w:rPr>
            </w:pPr>
            <w:r>
              <w:rPr>
                <w:sz w:val="22"/>
              </w:rPr>
              <w:t>3 </w:t>
            </w:r>
            <w:r>
              <w:rPr>
                <w:rFonts w:ascii="Calibri Light"/>
                <w:b w:val="0"/>
                <w:sz w:val="22"/>
              </w:rPr>
              <w:t>(50%)</w:t>
            </w:r>
          </w:p>
        </w:tc>
        <w:tc>
          <w:tcPr>
            <w:tcW w:w="1244" w:type="dxa"/>
          </w:tcPr>
          <w:p>
            <w:pPr>
              <w:pStyle w:val="TableParagraph"/>
              <w:spacing w:line="268" w:lineRule="exact"/>
              <w:ind w:left="82" w:right="82"/>
              <w:rPr>
                <w:rFonts w:ascii="Calibri Light"/>
                <w:b w:val="0"/>
                <w:sz w:val="22"/>
              </w:rPr>
            </w:pPr>
            <w:r>
              <w:rPr>
                <w:sz w:val="22"/>
              </w:rPr>
              <w:t>1 </w:t>
            </w:r>
            <w:r>
              <w:rPr>
                <w:rFonts w:ascii="Calibri Light"/>
                <w:b w:val="0"/>
                <w:sz w:val="22"/>
              </w:rPr>
              <w:t>(16%)</w:t>
            </w:r>
          </w:p>
        </w:tc>
        <w:tc>
          <w:tcPr>
            <w:tcW w:w="1368" w:type="dxa"/>
          </w:tcPr>
          <w:p>
            <w:pPr>
              <w:pStyle w:val="TableParagraph"/>
              <w:spacing w:line="268"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9"/>
              <w:ind w:right="2"/>
              <w:rPr>
                <w:sz w:val="22"/>
              </w:rPr>
            </w:pPr>
            <w:r>
              <w:rPr>
                <w:w w:val="100"/>
                <w:sz w:val="22"/>
              </w:rPr>
              <w:t>0</w:t>
            </w:r>
          </w:p>
        </w:tc>
      </w:tr>
      <w:tr>
        <w:trPr>
          <w:trHeight w:val="415"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4 (6)</w:t>
            </w:r>
          </w:p>
        </w:tc>
        <w:tc>
          <w:tcPr>
            <w:tcW w:w="1150" w:type="dxa"/>
          </w:tcPr>
          <w:p>
            <w:pPr>
              <w:pStyle w:val="TableParagraph"/>
              <w:spacing w:line="268" w:lineRule="exact"/>
              <w:ind w:left="118" w:right="120"/>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8" w:lineRule="exact"/>
              <w:ind w:left="85" w:right="86"/>
              <w:rPr>
                <w:rFonts w:ascii="Calibri Light"/>
                <w:b w:val="0"/>
                <w:sz w:val="22"/>
              </w:rPr>
            </w:pPr>
            <w:r>
              <w:rPr>
                <w:sz w:val="22"/>
              </w:rPr>
              <w:t>4 </w:t>
            </w:r>
            <w:r>
              <w:rPr>
                <w:rFonts w:ascii="Calibri Light"/>
                <w:b w:val="0"/>
                <w:sz w:val="22"/>
              </w:rPr>
              <w:t>(66.6%)</w:t>
            </w:r>
          </w:p>
        </w:tc>
        <w:tc>
          <w:tcPr>
            <w:tcW w:w="1244" w:type="dxa"/>
          </w:tcPr>
          <w:p>
            <w:pPr>
              <w:pStyle w:val="TableParagraph"/>
              <w:spacing w:before="9"/>
              <w:rPr>
                <w:sz w:val="22"/>
              </w:rPr>
            </w:pPr>
            <w:r>
              <w:rPr>
                <w:w w:val="100"/>
                <w:sz w:val="22"/>
              </w:rPr>
              <w:t>0</w:t>
            </w:r>
          </w:p>
        </w:tc>
        <w:tc>
          <w:tcPr>
            <w:tcW w:w="1368" w:type="dxa"/>
          </w:tcPr>
          <w:p>
            <w:pPr>
              <w:pStyle w:val="TableParagraph"/>
              <w:spacing w:before="9"/>
              <w:rPr>
                <w:sz w:val="22"/>
              </w:rPr>
            </w:pPr>
            <w:r>
              <w:rPr>
                <w:w w:val="100"/>
                <w:sz w:val="22"/>
              </w:rPr>
              <w:t>0</w:t>
            </w:r>
          </w:p>
        </w:tc>
        <w:tc>
          <w:tcPr>
            <w:tcW w:w="1366" w:type="dxa"/>
          </w:tcPr>
          <w:p>
            <w:pPr>
              <w:pStyle w:val="TableParagraph"/>
              <w:spacing w:line="268" w:lineRule="exact"/>
              <w:ind w:left="226" w:right="228"/>
              <w:rPr>
                <w:rFonts w:ascii="Calibri Light"/>
                <w:b w:val="0"/>
                <w:sz w:val="22"/>
              </w:rPr>
            </w:pPr>
            <w:r>
              <w:rPr>
                <w:sz w:val="22"/>
              </w:rPr>
              <w:t>1 </w:t>
            </w:r>
            <w:r>
              <w:rPr>
                <w:rFonts w:ascii="Calibri Light"/>
                <w:b w:val="0"/>
                <w:sz w:val="22"/>
              </w:rPr>
              <w:t>(16%)</w:t>
            </w:r>
          </w:p>
        </w:tc>
      </w:tr>
    </w:tbl>
    <w:p>
      <w:pPr>
        <w:spacing w:line="227" w:lineRule="exact" w:before="0"/>
        <w:ind w:left="1702" w:right="339" w:firstLine="0"/>
        <w:jc w:val="left"/>
        <w:rPr>
          <w:b/>
          <w:sz w:val="20"/>
        </w:rPr>
      </w:pPr>
      <w:r>
        <w:rPr>
          <w:b/>
          <w:sz w:val="20"/>
        </w:rPr>
        <w:t>Tabla 4.47. Discurso de un obrero; respuestas por grupo de edad</w:t>
      </w:r>
    </w:p>
    <w:p>
      <w:pPr>
        <w:pStyle w:val="BodyText"/>
        <w:spacing w:before="5"/>
        <w:rPr>
          <w:b/>
          <w:sz w:val="27"/>
        </w:rPr>
      </w:pPr>
    </w:p>
    <w:p>
      <w:pPr>
        <w:pStyle w:val="BodyText"/>
        <w:spacing w:line="360" w:lineRule="auto"/>
        <w:ind w:left="102" w:right="109" w:firstLine="707"/>
        <w:jc w:val="both"/>
      </w:pPr>
      <w:r>
        <w:rPr/>
        <w:t>El análisis por nivel de estudios en la tabla 4.48. mostró que el nivel superior es</w:t>
      </w:r>
      <w:r>
        <w:rPr>
          <w:spacing w:val="-38"/>
        </w:rPr>
        <w:t> </w:t>
      </w:r>
      <w:r>
        <w:rPr/>
        <w:t>el que tiene mayor afinidad con la aseveración al presentar un 100% de respuestas “de acuerdo”; seguido por el nivel medio superior con un 37.5% de respuestas “de acuerdo” frente</w:t>
      </w:r>
      <w:r>
        <w:rPr>
          <w:spacing w:val="-18"/>
        </w:rPr>
        <w:t> </w:t>
      </w:r>
      <w:r>
        <w:rPr/>
        <w:t>a</w:t>
      </w:r>
      <w:r>
        <w:rPr>
          <w:spacing w:val="-16"/>
        </w:rPr>
        <w:t> </w:t>
      </w:r>
      <w:r>
        <w:rPr/>
        <w:t>un</w:t>
      </w:r>
      <w:r>
        <w:rPr>
          <w:spacing w:val="-16"/>
        </w:rPr>
        <w:t> </w:t>
      </w:r>
      <w:r>
        <w:rPr/>
        <w:t>25%</w:t>
      </w:r>
      <w:r>
        <w:rPr>
          <w:spacing w:val="-16"/>
        </w:rPr>
        <w:t> </w:t>
      </w:r>
      <w:r>
        <w:rPr/>
        <w:t>“muy</w:t>
      </w:r>
      <w:r>
        <w:rPr>
          <w:spacing w:val="-19"/>
        </w:rPr>
        <w:t> </w:t>
      </w:r>
      <w:r>
        <w:rPr/>
        <w:t>en</w:t>
      </w:r>
      <w:r>
        <w:rPr>
          <w:spacing w:val="-16"/>
        </w:rPr>
        <w:t> </w:t>
      </w:r>
      <w:r>
        <w:rPr/>
        <w:t>desacuerdo”.</w:t>
      </w:r>
      <w:r>
        <w:rPr>
          <w:spacing w:val="-17"/>
        </w:rPr>
        <w:t> </w:t>
      </w:r>
      <w:r>
        <w:rPr/>
        <w:t>En</w:t>
      </w:r>
      <w:r>
        <w:rPr>
          <w:spacing w:val="-16"/>
        </w:rPr>
        <w:t> </w:t>
      </w:r>
      <w:r>
        <w:rPr/>
        <w:t>cuanto</w:t>
      </w:r>
      <w:r>
        <w:rPr>
          <w:spacing w:val="-15"/>
        </w:rPr>
        <w:t> </w:t>
      </w:r>
      <w:r>
        <w:rPr/>
        <w:t>al</w:t>
      </w:r>
      <w:r>
        <w:rPr>
          <w:spacing w:val="-19"/>
        </w:rPr>
        <w:t> </w:t>
      </w:r>
      <w:r>
        <w:rPr/>
        <w:t>nivel</w:t>
      </w:r>
      <w:r>
        <w:rPr>
          <w:spacing w:val="-17"/>
        </w:rPr>
        <w:t> </w:t>
      </w:r>
      <w:r>
        <w:rPr/>
        <w:t>básico,</w:t>
      </w:r>
      <w:r>
        <w:rPr>
          <w:spacing w:val="-18"/>
        </w:rPr>
        <w:t> </w:t>
      </w:r>
      <w:r>
        <w:rPr/>
        <w:t>el</w:t>
      </w:r>
      <w:r>
        <w:rPr>
          <w:spacing w:val="-17"/>
        </w:rPr>
        <w:t> </w:t>
      </w:r>
      <w:r>
        <w:rPr/>
        <w:t>50%</w:t>
      </w:r>
      <w:r>
        <w:rPr>
          <w:spacing w:val="-16"/>
        </w:rPr>
        <w:t> </w:t>
      </w:r>
      <w:r>
        <w:rPr/>
        <w:t>de</w:t>
      </w:r>
      <w:r>
        <w:rPr>
          <w:spacing w:val="-16"/>
        </w:rPr>
        <w:t> </w:t>
      </w:r>
      <w:r>
        <w:rPr/>
        <w:t>las</w:t>
      </w:r>
      <w:r>
        <w:rPr>
          <w:spacing w:val="-16"/>
        </w:rPr>
        <w:t> </w:t>
      </w:r>
      <w:r>
        <w:rPr/>
        <w:t>respuestas se</w:t>
      </w:r>
      <w:r>
        <w:rPr>
          <w:spacing w:val="55"/>
        </w:rPr>
        <w:t> </w:t>
      </w:r>
      <w:r>
        <w:rPr/>
        <w:t>concentran</w:t>
      </w:r>
      <w:r>
        <w:rPr>
          <w:spacing w:val="53"/>
        </w:rPr>
        <w:t> </w:t>
      </w:r>
      <w:r>
        <w:rPr/>
        <w:t>en</w:t>
      </w:r>
      <w:r>
        <w:rPr>
          <w:spacing w:val="53"/>
        </w:rPr>
        <w:t> </w:t>
      </w:r>
      <w:r>
        <w:rPr/>
        <w:t>la</w:t>
      </w:r>
      <w:r>
        <w:rPr>
          <w:spacing w:val="53"/>
        </w:rPr>
        <w:t> </w:t>
      </w:r>
      <w:r>
        <w:rPr/>
        <w:t>opción</w:t>
      </w:r>
      <w:r>
        <w:rPr>
          <w:spacing w:val="54"/>
        </w:rPr>
        <w:t> </w:t>
      </w:r>
      <w:r>
        <w:rPr/>
        <w:t>“en</w:t>
      </w:r>
      <w:r>
        <w:rPr>
          <w:spacing w:val="54"/>
        </w:rPr>
        <w:t> </w:t>
      </w:r>
      <w:r>
        <w:rPr/>
        <w:t>desacuerdo”,</w:t>
      </w:r>
      <w:r>
        <w:rPr>
          <w:spacing w:val="54"/>
        </w:rPr>
        <w:t> </w:t>
      </w:r>
      <w:r>
        <w:rPr/>
        <w:t>no</w:t>
      </w:r>
      <w:r>
        <w:rPr>
          <w:spacing w:val="53"/>
        </w:rPr>
        <w:t> </w:t>
      </w:r>
      <w:r>
        <w:rPr/>
        <w:t>obstante,</w:t>
      </w:r>
      <w:r>
        <w:rPr>
          <w:spacing w:val="53"/>
        </w:rPr>
        <w:t> </w:t>
      </w:r>
      <w:r>
        <w:rPr/>
        <w:t>un</w:t>
      </w:r>
      <w:r>
        <w:rPr>
          <w:spacing w:val="55"/>
        </w:rPr>
        <w:t> </w:t>
      </w:r>
      <w:r>
        <w:rPr/>
        <w:t>37%</w:t>
      </w:r>
      <w:r>
        <w:rPr>
          <w:spacing w:val="55"/>
        </w:rPr>
        <w:t> </w:t>
      </w:r>
      <w:r>
        <w:rPr/>
        <w:t>y</w:t>
      </w:r>
      <w:r>
        <w:rPr>
          <w:spacing w:val="52"/>
        </w:rPr>
        <w:t> </w:t>
      </w:r>
      <w:r>
        <w:rPr/>
        <w:t>un</w:t>
      </w:r>
      <w:r>
        <w:rPr>
          <w:spacing w:val="53"/>
        </w:rPr>
        <w:t> </w:t>
      </w:r>
      <w:r>
        <w:rPr/>
        <w:t>16.6%</w:t>
      </w:r>
      <w:r>
        <w:rPr>
          <w:spacing w:val="55"/>
        </w:rPr>
        <w:t> </w:t>
      </w:r>
      <w:r>
        <w:rPr/>
        <w:t>se</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339"/>
      </w:pPr>
      <w:r>
        <w:rPr/>
        <w:t>encuentran en las opciones “muy de acuerdo” y “de acuerdo” lo que contrarrestaría el 50% de la opción “en desacuerdo”, mostrando un balance sin ninguna inclinación.</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8"/>
        <w:gridCol w:w="1366"/>
      </w:tblGrid>
      <w:tr>
        <w:trPr>
          <w:trHeight w:val="408"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16</w:t>
            </w:r>
          </w:p>
        </w:tc>
        <w:tc>
          <w:tcPr>
            <w:tcW w:w="1721" w:type="dxa"/>
            <w:vMerge w:val="restart"/>
          </w:tcPr>
          <w:p>
            <w:pPr>
              <w:pStyle w:val="TableParagraph"/>
              <w:spacing w:line="357" w:lineRule="auto" w:before="12"/>
              <w:ind w:left="218" w:right="220" w:firstLine="5"/>
              <w:rPr>
                <w:b/>
                <w:sz w:val="22"/>
              </w:rPr>
            </w:pPr>
            <w:r>
              <w:rPr>
                <w:sz w:val="22"/>
              </w:rPr>
              <w:t>Tipo de Aseveración: </w:t>
            </w:r>
            <w:r>
              <w:rPr>
                <w:b/>
                <w:sz w:val="22"/>
              </w:rPr>
              <w:t>Favorable</w:t>
            </w:r>
          </w:p>
        </w:tc>
        <w:tc>
          <w:tcPr>
            <w:tcW w:w="6249" w:type="dxa"/>
            <w:gridSpan w:val="5"/>
          </w:tcPr>
          <w:p>
            <w:pPr>
              <w:pStyle w:val="TableParagraph"/>
              <w:spacing w:before="7"/>
              <w:ind w:left="2517" w:right="2517"/>
              <w:rPr>
                <w:sz w:val="22"/>
              </w:rPr>
            </w:pPr>
            <w:r>
              <w:rPr>
                <w:sz w:val="22"/>
              </w:rPr>
              <w:t>Respuestas</w:t>
            </w:r>
          </w:p>
        </w:tc>
      </w:tr>
      <w:tr>
        <w:trPr>
          <w:trHeight w:val="768" w:hRule="exact"/>
        </w:trPr>
        <w:tc>
          <w:tcPr>
            <w:tcW w:w="1428" w:type="dxa"/>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9" w:type="dxa"/>
            <w:gridSpan w:val="2"/>
            <w:tcBorders>
              <w:right w:val="single" w:sz="45" w:space="0" w:color="9CC2E4"/>
            </w:tcBorders>
          </w:tcPr>
          <w:p>
            <w:pPr>
              <w:pStyle w:val="TableParagraph"/>
              <w:spacing w:before="9"/>
              <w:ind w:left="799"/>
              <w:jc w:val="left"/>
              <w:rPr>
                <w:sz w:val="22"/>
              </w:rPr>
            </w:pPr>
            <w:r>
              <w:rPr>
                <w:sz w:val="22"/>
              </w:rPr>
              <w:t>Nivel Básico (8)</w:t>
            </w:r>
          </w:p>
        </w:tc>
        <w:tc>
          <w:tcPr>
            <w:tcW w:w="1150" w:type="dxa"/>
            <w:shd w:val="clear" w:color="auto" w:fill="9CC2E4"/>
          </w:tcPr>
          <w:p>
            <w:pPr>
              <w:pStyle w:val="TableParagraph"/>
              <w:spacing w:line="265" w:lineRule="exact"/>
              <w:ind w:left="120" w:right="120"/>
              <w:rPr>
                <w:rFonts w:ascii="Calibri Light"/>
                <w:b w:val="0"/>
                <w:sz w:val="22"/>
              </w:rPr>
            </w:pPr>
            <w:r>
              <w:rPr>
                <w:sz w:val="22"/>
              </w:rPr>
              <w:t>1 </w:t>
            </w:r>
            <w:r>
              <w:rPr>
                <w:rFonts w:ascii="Calibri Light"/>
                <w:b w:val="0"/>
                <w:sz w:val="22"/>
              </w:rPr>
              <w:t>(12.5%)</w:t>
            </w:r>
          </w:p>
        </w:tc>
        <w:tc>
          <w:tcPr>
            <w:tcW w:w="1121" w:type="dxa"/>
            <w:shd w:val="clear" w:color="auto" w:fill="9CC2E4"/>
          </w:tcPr>
          <w:p>
            <w:pPr>
              <w:pStyle w:val="TableParagraph"/>
              <w:spacing w:line="265" w:lineRule="exact"/>
              <w:ind w:left="85" w:right="86"/>
              <w:rPr>
                <w:rFonts w:ascii="Calibri Light"/>
                <w:b w:val="0"/>
                <w:sz w:val="22"/>
              </w:rPr>
            </w:pPr>
            <w:r>
              <w:rPr>
                <w:sz w:val="22"/>
              </w:rPr>
              <w:t>3 </w:t>
            </w:r>
            <w:r>
              <w:rPr>
                <w:rFonts w:ascii="Calibri Light"/>
                <w:b w:val="0"/>
                <w:sz w:val="22"/>
              </w:rPr>
              <w:t>(37.5%)</w:t>
            </w:r>
          </w:p>
        </w:tc>
        <w:tc>
          <w:tcPr>
            <w:tcW w:w="1244" w:type="dxa"/>
            <w:tcBorders>
              <w:left w:val="single" w:sz="45" w:space="0" w:color="9CC2E4"/>
              <w:right w:val="single" w:sz="41" w:space="0" w:color="2D74B5"/>
            </w:tcBorders>
          </w:tcPr>
          <w:p>
            <w:pPr>
              <w:pStyle w:val="TableParagraph"/>
              <w:spacing w:before="9"/>
              <w:ind w:right="5"/>
              <w:rPr>
                <w:sz w:val="22"/>
              </w:rPr>
            </w:pPr>
            <w:r>
              <w:rPr>
                <w:w w:val="100"/>
                <w:sz w:val="22"/>
              </w:rPr>
              <w:t>0</w:t>
            </w:r>
          </w:p>
        </w:tc>
        <w:tc>
          <w:tcPr>
            <w:tcW w:w="1368" w:type="dxa"/>
            <w:shd w:val="clear" w:color="auto" w:fill="2D74B5"/>
          </w:tcPr>
          <w:p>
            <w:pPr>
              <w:pStyle w:val="TableParagraph"/>
              <w:spacing w:line="265" w:lineRule="exact"/>
              <w:ind w:left="223" w:right="224"/>
              <w:rPr>
                <w:rFonts w:ascii="Calibri Light"/>
                <w:b w:val="0"/>
                <w:sz w:val="22"/>
              </w:rPr>
            </w:pPr>
            <w:r>
              <w:rPr>
                <w:sz w:val="22"/>
              </w:rPr>
              <w:t>4 </w:t>
            </w:r>
            <w:r>
              <w:rPr>
                <w:rFonts w:ascii="Calibri Light"/>
                <w:b w:val="0"/>
                <w:sz w:val="22"/>
              </w:rPr>
              <w:t>(50%)</w:t>
            </w:r>
          </w:p>
        </w:tc>
        <w:tc>
          <w:tcPr>
            <w:tcW w:w="1366" w:type="dxa"/>
            <w:tcBorders>
              <w:left w:val="thickThinMediumGap" w:sz="23" w:space="0" w:color="2D74B5"/>
            </w:tcBorders>
          </w:tcPr>
          <w:p>
            <w:pPr>
              <w:pStyle w:val="TableParagraph"/>
              <w:spacing w:before="9"/>
              <w:ind w:right="55"/>
              <w:rPr>
                <w:sz w:val="22"/>
              </w:rPr>
            </w:pPr>
            <w:r>
              <w:rPr>
                <w:w w:val="100"/>
                <w:sz w:val="22"/>
              </w:rPr>
              <w:t>0</w:t>
            </w:r>
          </w:p>
        </w:tc>
      </w:tr>
      <w:tr>
        <w:trPr>
          <w:trHeight w:val="413" w:hRule="exact"/>
        </w:trPr>
        <w:tc>
          <w:tcPr>
            <w:tcW w:w="3149" w:type="dxa"/>
            <w:gridSpan w:val="2"/>
          </w:tcPr>
          <w:p>
            <w:pPr>
              <w:pStyle w:val="TableParagraph"/>
              <w:spacing w:before="9"/>
              <w:ind w:left="383"/>
              <w:jc w:val="left"/>
              <w:rPr>
                <w:sz w:val="22"/>
              </w:rPr>
            </w:pPr>
            <w:r>
              <w:rPr>
                <w:sz w:val="22"/>
              </w:rPr>
              <w:t>Nivel Medio Superior (8)</w:t>
            </w:r>
          </w:p>
        </w:tc>
        <w:tc>
          <w:tcPr>
            <w:tcW w:w="1150" w:type="dxa"/>
          </w:tcPr>
          <w:p>
            <w:pPr>
              <w:pStyle w:val="TableParagraph"/>
              <w:spacing w:line="265" w:lineRule="exact"/>
              <w:ind w:left="118" w:right="120"/>
              <w:rPr>
                <w:rFonts w:ascii="Calibri Light"/>
                <w:b w:val="0"/>
                <w:sz w:val="22"/>
              </w:rPr>
            </w:pPr>
            <w:r>
              <w:rPr>
                <w:sz w:val="22"/>
              </w:rPr>
              <w:t>2 </w:t>
            </w:r>
            <w:r>
              <w:rPr>
                <w:rFonts w:ascii="Calibri Light"/>
                <w:b w:val="0"/>
                <w:sz w:val="22"/>
              </w:rPr>
              <w:t>(25%)</w:t>
            </w:r>
          </w:p>
        </w:tc>
        <w:tc>
          <w:tcPr>
            <w:tcW w:w="1121" w:type="dxa"/>
            <w:shd w:val="clear" w:color="auto" w:fill="2D74B5"/>
          </w:tcPr>
          <w:p>
            <w:pPr>
              <w:pStyle w:val="TableParagraph"/>
              <w:spacing w:line="265" w:lineRule="exact"/>
              <w:ind w:left="85" w:right="86"/>
              <w:rPr>
                <w:rFonts w:ascii="Calibri Light"/>
                <w:b w:val="0"/>
                <w:sz w:val="22"/>
              </w:rPr>
            </w:pPr>
            <w:r>
              <w:rPr>
                <w:sz w:val="22"/>
              </w:rPr>
              <w:t>3 </w:t>
            </w:r>
            <w:r>
              <w:rPr>
                <w:rFonts w:ascii="Calibri Light"/>
                <w:b w:val="0"/>
                <w:sz w:val="22"/>
              </w:rPr>
              <w:t>(37.5%)</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(12.5%)</w:t>
            </w:r>
          </w:p>
        </w:tc>
        <w:tc>
          <w:tcPr>
            <w:tcW w:w="1368" w:type="dxa"/>
          </w:tcPr>
          <w:p>
            <w:pPr>
              <w:pStyle w:val="TableParagraph"/>
              <w:spacing w:before="9"/>
              <w:rPr>
                <w:sz w:val="22"/>
              </w:rPr>
            </w:pPr>
            <w:r>
              <w:rPr>
                <w:w w:val="100"/>
                <w:sz w:val="22"/>
              </w:rPr>
              <w:t>0</w:t>
            </w:r>
          </w:p>
        </w:tc>
        <w:tc>
          <w:tcPr>
            <w:tcW w:w="1366" w:type="dxa"/>
          </w:tcPr>
          <w:p>
            <w:pPr>
              <w:pStyle w:val="TableParagraph"/>
              <w:spacing w:line="265" w:lineRule="exact"/>
              <w:ind w:left="226" w:right="228"/>
              <w:rPr>
                <w:rFonts w:ascii="Calibri Light"/>
                <w:b w:val="0"/>
                <w:sz w:val="22"/>
              </w:rPr>
            </w:pPr>
            <w:r>
              <w:rPr>
                <w:sz w:val="22"/>
              </w:rPr>
              <w:t>2 </w:t>
            </w:r>
            <w:r>
              <w:rPr>
                <w:rFonts w:ascii="Calibri Light"/>
                <w:b w:val="0"/>
                <w:sz w:val="22"/>
              </w:rPr>
              <w:t>(25%)</w:t>
            </w:r>
          </w:p>
        </w:tc>
      </w:tr>
      <w:tr>
        <w:trPr>
          <w:trHeight w:val="413" w:hRule="exact"/>
        </w:trPr>
        <w:tc>
          <w:tcPr>
            <w:tcW w:w="3149" w:type="dxa"/>
            <w:gridSpan w:val="2"/>
          </w:tcPr>
          <w:p>
            <w:pPr>
              <w:pStyle w:val="TableParagraph"/>
              <w:spacing w:before="9"/>
              <w:ind w:left="712"/>
              <w:jc w:val="left"/>
              <w:rPr>
                <w:sz w:val="22"/>
              </w:rPr>
            </w:pPr>
            <w:r>
              <w:rPr>
                <w:sz w:val="22"/>
              </w:rPr>
              <w:t>Nivel Superior (8)</w:t>
            </w:r>
          </w:p>
        </w:tc>
        <w:tc>
          <w:tcPr>
            <w:tcW w:w="1150" w:type="dxa"/>
          </w:tcPr>
          <w:p>
            <w:pPr>
              <w:pStyle w:val="TableParagraph"/>
              <w:spacing w:before="9"/>
              <w:ind w:right="2"/>
              <w:rPr>
                <w:sz w:val="22"/>
              </w:rPr>
            </w:pPr>
            <w:r>
              <w:rPr>
                <w:w w:val="100"/>
                <w:sz w:val="22"/>
              </w:rPr>
              <w:t>0</w:t>
            </w:r>
          </w:p>
        </w:tc>
        <w:tc>
          <w:tcPr>
            <w:tcW w:w="1121" w:type="dxa"/>
            <w:shd w:val="clear" w:color="auto" w:fill="2D74B5"/>
          </w:tcPr>
          <w:p>
            <w:pPr>
              <w:pStyle w:val="TableParagraph"/>
              <w:spacing w:line="265" w:lineRule="exact"/>
              <w:ind w:left="85" w:right="87"/>
              <w:rPr>
                <w:rFonts w:ascii="Calibri Light"/>
                <w:b w:val="0"/>
                <w:sz w:val="22"/>
              </w:rPr>
            </w:pPr>
            <w:r>
              <w:rPr>
                <w:sz w:val="22"/>
              </w:rPr>
              <w:t>8 </w:t>
            </w:r>
            <w:r>
              <w:rPr>
                <w:rFonts w:ascii="Calibri Light"/>
                <w:b w:val="0"/>
                <w:sz w:val="22"/>
              </w:rPr>
              <w:t>(100%)</w:t>
            </w:r>
          </w:p>
        </w:tc>
        <w:tc>
          <w:tcPr>
            <w:tcW w:w="1244" w:type="dxa"/>
          </w:tcPr>
          <w:p>
            <w:pPr>
              <w:pStyle w:val="TableParagraph"/>
              <w:spacing w:before="9"/>
              <w:rPr>
                <w:sz w:val="22"/>
              </w:rPr>
            </w:pPr>
            <w:r>
              <w:rPr>
                <w:w w:val="100"/>
                <w:sz w:val="22"/>
              </w:rPr>
              <w:t>0</w:t>
            </w:r>
          </w:p>
        </w:tc>
        <w:tc>
          <w:tcPr>
            <w:tcW w:w="1368" w:type="dxa"/>
          </w:tcPr>
          <w:p>
            <w:pPr>
              <w:pStyle w:val="TableParagraph"/>
              <w:spacing w:before="9"/>
              <w:rPr>
                <w:sz w:val="22"/>
              </w:rPr>
            </w:pPr>
            <w:r>
              <w:rPr>
                <w:w w:val="100"/>
                <w:sz w:val="22"/>
              </w:rPr>
              <w:t>0</w:t>
            </w:r>
          </w:p>
        </w:tc>
        <w:tc>
          <w:tcPr>
            <w:tcW w:w="1366" w:type="dxa"/>
          </w:tcPr>
          <w:p>
            <w:pPr>
              <w:pStyle w:val="TableParagraph"/>
              <w:spacing w:before="9"/>
              <w:ind w:right="2"/>
              <w:rPr>
                <w:sz w:val="22"/>
              </w:rPr>
            </w:pPr>
            <w:r>
              <w:rPr>
                <w:w w:val="100"/>
                <w:sz w:val="22"/>
              </w:rPr>
              <w:t>0</w:t>
            </w:r>
          </w:p>
        </w:tc>
      </w:tr>
    </w:tbl>
    <w:p>
      <w:pPr>
        <w:spacing w:line="228" w:lineRule="exact" w:before="0"/>
        <w:ind w:left="1580" w:right="339" w:firstLine="0"/>
        <w:jc w:val="left"/>
        <w:rPr>
          <w:b/>
          <w:sz w:val="20"/>
        </w:rPr>
      </w:pPr>
      <w:r>
        <w:rPr>
          <w:b/>
          <w:sz w:val="20"/>
        </w:rPr>
        <w:t>Tabla 4.48. Discurso de un obrero; respuestas por nivel de estudios</w:t>
      </w:r>
    </w:p>
    <w:p>
      <w:pPr>
        <w:pStyle w:val="BodyText"/>
        <w:spacing w:before="5"/>
        <w:rPr>
          <w:b/>
          <w:sz w:val="27"/>
        </w:rPr>
      </w:pPr>
    </w:p>
    <w:p>
      <w:pPr>
        <w:pStyle w:val="BodyText"/>
        <w:spacing w:line="360" w:lineRule="auto"/>
        <w:ind w:left="102" w:right="110" w:firstLine="707"/>
        <w:jc w:val="both"/>
      </w:pPr>
      <w:r>
        <w:rPr/>
        <w:t>Para la aseveración 17: “</w:t>
      </w:r>
      <w:r>
        <w:rPr>
          <w:b/>
        </w:rPr>
        <w:t>El vocabulario en la grabación es apropiado para un ingeniero en computación</w:t>
      </w:r>
      <w:r>
        <w:rPr/>
        <w:t>”, en la totalidad de la población la se muestra se mostró un 33.3%</w:t>
      </w:r>
      <w:r>
        <w:rPr>
          <w:spacing w:val="-14"/>
        </w:rPr>
        <w:t> </w:t>
      </w:r>
      <w:r>
        <w:rPr/>
        <w:t>de</w:t>
      </w:r>
      <w:r>
        <w:rPr>
          <w:spacing w:val="-13"/>
        </w:rPr>
        <w:t> </w:t>
      </w:r>
      <w:r>
        <w:rPr/>
        <w:t>respuestas</w:t>
      </w:r>
      <w:r>
        <w:rPr>
          <w:spacing w:val="-14"/>
        </w:rPr>
        <w:t> </w:t>
      </w:r>
      <w:r>
        <w:rPr/>
        <w:t>tanto</w:t>
      </w:r>
      <w:r>
        <w:rPr>
          <w:spacing w:val="-13"/>
        </w:rPr>
        <w:t> </w:t>
      </w:r>
      <w:r>
        <w:rPr/>
        <w:t>en</w:t>
      </w:r>
      <w:r>
        <w:rPr>
          <w:spacing w:val="-13"/>
        </w:rPr>
        <w:t> </w:t>
      </w:r>
      <w:r>
        <w:rPr/>
        <w:t>la</w:t>
      </w:r>
      <w:r>
        <w:rPr>
          <w:spacing w:val="-11"/>
        </w:rPr>
        <w:t> </w:t>
      </w:r>
      <w:r>
        <w:rPr/>
        <w:t>opción</w:t>
      </w:r>
      <w:r>
        <w:rPr>
          <w:spacing w:val="-10"/>
        </w:rPr>
        <w:t> </w:t>
      </w:r>
      <w:r>
        <w:rPr/>
        <w:t>“de</w:t>
      </w:r>
      <w:r>
        <w:rPr>
          <w:spacing w:val="-11"/>
        </w:rPr>
        <w:t> </w:t>
      </w:r>
      <w:r>
        <w:rPr/>
        <w:t>acuerdo”</w:t>
      </w:r>
      <w:r>
        <w:rPr>
          <w:spacing w:val="-12"/>
        </w:rPr>
        <w:t> </w:t>
      </w:r>
      <w:r>
        <w:rPr/>
        <w:t>como</w:t>
      </w:r>
      <w:r>
        <w:rPr>
          <w:spacing w:val="-11"/>
        </w:rPr>
        <w:t> </w:t>
      </w:r>
      <w:r>
        <w:rPr/>
        <w:t>en</w:t>
      </w:r>
      <w:r>
        <w:rPr>
          <w:spacing w:val="-11"/>
        </w:rPr>
        <w:t> </w:t>
      </w:r>
      <w:r>
        <w:rPr/>
        <w:t>la</w:t>
      </w:r>
      <w:r>
        <w:rPr>
          <w:spacing w:val="-13"/>
        </w:rPr>
        <w:t> </w:t>
      </w:r>
      <w:r>
        <w:rPr/>
        <w:t>opción</w:t>
      </w:r>
      <w:r>
        <w:rPr>
          <w:spacing w:val="-10"/>
        </w:rPr>
        <w:t> </w:t>
      </w:r>
      <w:r>
        <w:rPr/>
        <w:t>“en</w:t>
      </w:r>
      <w:r>
        <w:rPr>
          <w:spacing w:val="-13"/>
        </w:rPr>
        <w:t> </w:t>
      </w:r>
      <w:r>
        <w:rPr/>
        <w:t>desacuerdo”, sin embargo, un 8.3% en la opción “muy de acuerdo” podría estar inclinando la balanza a favorecer la grabación sin anglicismos. En cuanto a hombres y mujeres, ambos se posicionan en opiniones totalmente diferentes, las mujeres desaprueban la aseveración con un 50% de opiniones “en desacuerdo” y los hombres la favorecen con un 41.6% de respuestas en “de acuerdo” (ver tabla</w:t>
      </w:r>
      <w:r>
        <w:rPr>
          <w:spacing w:val="-11"/>
        </w:rPr>
        <w:t> </w:t>
      </w:r>
      <w:r>
        <w:rPr/>
        <w:t>4.49.).</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6" w:hRule="exact"/>
        </w:trPr>
        <w:tc>
          <w:tcPr>
            <w:tcW w:w="1428" w:type="dxa"/>
            <w:vMerge w:val="restart"/>
          </w:tcPr>
          <w:p>
            <w:pPr>
              <w:pStyle w:val="TableParagraph"/>
              <w:spacing w:before="3"/>
              <w:jc w:val="left"/>
              <w:rPr>
                <w:sz w:val="17"/>
              </w:rPr>
            </w:pPr>
          </w:p>
          <w:p>
            <w:pPr>
              <w:pStyle w:val="TableParagraph"/>
              <w:ind w:left="82" w:right="83"/>
              <w:rPr>
                <w:sz w:val="22"/>
              </w:rPr>
            </w:pPr>
            <w:r>
              <w:rPr>
                <w:sz w:val="22"/>
              </w:rPr>
              <w:t>Aseveración</w:t>
            </w:r>
          </w:p>
          <w:p>
            <w:pPr>
              <w:pStyle w:val="TableParagraph"/>
              <w:spacing w:before="126"/>
              <w:ind w:left="83" w:right="83"/>
              <w:rPr>
                <w:b/>
                <w:sz w:val="22"/>
              </w:rPr>
            </w:pPr>
            <w:r>
              <w:rPr>
                <w:b/>
                <w:sz w:val="22"/>
              </w:rPr>
              <w:t>17</w:t>
            </w:r>
          </w:p>
        </w:tc>
        <w:tc>
          <w:tcPr>
            <w:tcW w:w="1724" w:type="dxa"/>
            <w:vMerge w:val="restart"/>
          </w:tcPr>
          <w:p>
            <w:pPr>
              <w:pStyle w:val="TableParagraph"/>
              <w:spacing w:line="360" w:lineRule="auto" w:before="9"/>
              <w:ind w:left="163" w:right="166" w:firstLine="4"/>
              <w:rPr>
                <w:b/>
                <w:sz w:val="22"/>
              </w:rPr>
            </w:pPr>
            <w:r>
              <w:rPr>
                <w:sz w:val="22"/>
              </w:rPr>
              <w:t>Tipo de Aseveración: </w:t>
            </w:r>
            <w:r>
              <w:rPr>
                <w:b/>
                <w:sz w:val="22"/>
              </w:rPr>
              <w:t>Desfavorable</w:t>
            </w:r>
          </w:p>
        </w:tc>
        <w:tc>
          <w:tcPr>
            <w:tcW w:w="6246" w:type="dxa"/>
            <w:gridSpan w:val="5"/>
          </w:tcPr>
          <w:p>
            <w:pPr>
              <w:pStyle w:val="TableParagraph"/>
              <w:spacing w:before="5"/>
              <w:ind w:left="2516" w:right="2516"/>
              <w:rPr>
                <w:sz w:val="22"/>
              </w:rPr>
            </w:pPr>
            <w:r>
              <w:rPr>
                <w:sz w:val="22"/>
              </w:rPr>
              <w:t>Respuestas</w:t>
            </w:r>
          </w:p>
        </w:tc>
      </w:tr>
      <w:tr>
        <w:trPr>
          <w:trHeight w:val="768"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5" w:hRule="exact"/>
        </w:trPr>
        <w:tc>
          <w:tcPr>
            <w:tcW w:w="3152" w:type="dxa"/>
            <w:gridSpan w:val="2"/>
          </w:tcPr>
          <w:p>
            <w:pPr>
              <w:pStyle w:val="TableParagraph"/>
              <w:spacing w:before="12"/>
              <w:ind w:left="326"/>
              <w:jc w:val="left"/>
              <w:rPr>
                <w:sz w:val="22"/>
              </w:rPr>
            </w:pPr>
            <w:r>
              <w:rPr>
                <w:sz w:val="22"/>
              </w:rPr>
              <w:t>Total de la población (24)</w:t>
            </w:r>
          </w:p>
        </w:tc>
        <w:tc>
          <w:tcPr>
            <w:tcW w:w="1148" w:type="dxa"/>
            <w:tcBorders>
              <w:right w:val="single" w:sz="41" w:space="0" w:color="9CC2E4"/>
            </w:tcBorders>
          </w:tcPr>
          <w:p>
            <w:pPr>
              <w:pStyle w:val="TableParagraph"/>
              <w:spacing w:line="268" w:lineRule="exact"/>
              <w:ind w:left="114" w:right="75"/>
              <w:rPr>
                <w:rFonts w:ascii="Calibri Light"/>
                <w:b w:val="0"/>
                <w:sz w:val="22"/>
              </w:rPr>
            </w:pPr>
            <w:r>
              <w:rPr>
                <w:sz w:val="22"/>
              </w:rPr>
              <w:t>2 </w:t>
            </w:r>
            <w:r>
              <w:rPr>
                <w:rFonts w:ascii="Calibri Light"/>
                <w:b w:val="0"/>
                <w:sz w:val="22"/>
              </w:rPr>
              <w:t>(8.3%)</w:t>
            </w:r>
          </w:p>
        </w:tc>
        <w:tc>
          <w:tcPr>
            <w:tcW w:w="1121" w:type="dxa"/>
            <w:shd w:val="clear" w:color="auto" w:fill="9CC2E4"/>
          </w:tcPr>
          <w:p>
            <w:pPr>
              <w:pStyle w:val="TableParagraph"/>
              <w:spacing w:line="268" w:lineRule="exact"/>
              <w:ind w:left="85" w:right="86"/>
              <w:rPr>
                <w:rFonts w:ascii="Calibri Light"/>
                <w:b w:val="0"/>
                <w:sz w:val="22"/>
              </w:rPr>
            </w:pPr>
            <w:r>
              <w:rPr>
                <w:sz w:val="22"/>
              </w:rPr>
              <w:t>8 </w:t>
            </w:r>
            <w:r>
              <w:rPr>
                <w:rFonts w:ascii="Calibri Light"/>
                <w:b w:val="0"/>
                <w:sz w:val="22"/>
              </w:rPr>
              <w:t>(33.3%)</w:t>
            </w:r>
          </w:p>
        </w:tc>
        <w:tc>
          <w:tcPr>
            <w:tcW w:w="1244" w:type="dxa"/>
            <w:tcBorders>
              <w:left w:val="single" w:sz="45" w:space="0" w:color="9CC2E4"/>
              <w:right w:val="single" w:sz="41" w:space="0" w:color="9CC2E4"/>
            </w:tcBorders>
          </w:tcPr>
          <w:p>
            <w:pPr>
              <w:pStyle w:val="TableParagraph"/>
              <w:spacing w:line="268" w:lineRule="exact"/>
              <w:ind w:left="114" w:right="119"/>
              <w:rPr>
                <w:rFonts w:ascii="Calibri Light"/>
                <w:b w:val="0"/>
                <w:sz w:val="22"/>
              </w:rPr>
            </w:pPr>
            <w:r>
              <w:rPr>
                <w:sz w:val="22"/>
              </w:rPr>
              <w:t>6 </w:t>
            </w:r>
            <w:r>
              <w:rPr>
                <w:rFonts w:ascii="Calibri Light"/>
                <w:b w:val="0"/>
                <w:sz w:val="22"/>
              </w:rPr>
              <w:t>(25%)</w:t>
            </w:r>
          </w:p>
        </w:tc>
        <w:tc>
          <w:tcPr>
            <w:tcW w:w="1368" w:type="dxa"/>
            <w:shd w:val="clear" w:color="auto" w:fill="9CC2E4"/>
          </w:tcPr>
          <w:p>
            <w:pPr>
              <w:pStyle w:val="TableParagraph"/>
              <w:spacing w:line="268" w:lineRule="exact"/>
              <w:ind w:left="222" w:right="224"/>
              <w:rPr>
                <w:rFonts w:ascii="Calibri Light"/>
                <w:b w:val="0"/>
                <w:sz w:val="22"/>
              </w:rPr>
            </w:pPr>
            <w:r>
              <w:rPr>
                <w:sz w:val="22"/>
              </w:rPr>
              <w:t>8 </w:t>
            </w:r>
            <w:r>
              <w:rPr>
                <w:rFonts w:ascii="Calibri Light"/>
                <w:b w:val="0"/>
                <w:sz w:val="22"/>
              </w:rPr>
              <w:t>(33.3%)</w:t>
            </w:r>
          </w:p>
        </w:tc>
        <w:tc>
          <w:tcPr>
            <w:tcW w:w="1366" w:type="dxa"/>
            <w:tcBorders>
              <w:left w:val="thickThinMediumGap" w:sz="23" w:space="0" w:color="9CC2E4"/>
            </w:tcBorders>
          </w:tcPr>
          <w:p>
            <w:pPr>
              <w:pStyle w:val="TableParagraph"/>
              <w:spacing w:before="12"/>
              <w:ind w:left="561"/>
              <w:jc w:val="left"/>
              <w:rPr>
                <w:sz w:val="22"/>
              </w:rPr>
            </w:pPr>
            <w:r>
              <w:rPr>
                <w:w w:val="100"/>
                <w:sz w:val="22"/>
              </w:rPr>
              <w:t>0</w:t>
            </w:r>
          </w:p>
        </w:tc>
      </w:tr>
      <w:tr>
        <w:trPr>
          <w:trHeight w:val="413" w:hRule="exact"/>
        </w:trPr>
        <w:tc>
          <w:tcPr>
            <w:tcW w:w="3152" w:type="dxa"/>
            <w:gridSpan w:val="2"/>
          </w:tcPr>
          <w:p>
            <w:pPr>
              <w:pStyle w:val="TableParagraph"/>
              <w:spacing w:before="9"/>
              <w:ind w:left="950"/>
              <w:jc w:val="left"/>
              <w:rPr>
                <w:sz w:val="22"/>
              </w:rPr>
            </w:pPr>
            <w:r>
              <w:rPr>
                <w:sz w:val="22"/>
              </w:rPr>
              <w:t>Mujeres (12)</w:t>
            </w:r>
          </w:p>
        </w:tc>
        <w:tc>
          <w:tcPr>
            <w:tcW w:w="1148" w:type="dxa"/>
          </w:tcPr>
          <w:p>
            <w:pPr>
              <w:pStyle w:val="TableParagraph"/>
              <w:spacing w:line="265" w:lineRule="exact"/>
              <w:ind w:left="115" w:right="119"/>
              <w:rPr>
                <w:rFonts w:ascii="Calibri Light"/>
                <w:b w:val="0"/>
                <w:sz w:val="22"/>
              </w:rPr>
            </w:pPr>
            <w:r>
              <w:rPr>
                <w:sz w:val="22"/>
              </w:rPr>
              <w:t>1 </w:t>
            </w:r>
            <w:r>
              <w:rPr>
                <w:rFonts w:ascii="Calibri Light"/>
                <w:b w:val="0"/>
                <w:sz w:val="22"/>
              </w:rPr>
              <w:t>(8%)</w:t>
            </w:r>
          </w:p>
        </w:tc>
        <w:tc>
          <w:tcPr>
            <w:tcW w:w="1121" w:type="dxa"/>
          </w:tcPr>
          <w:p>
            <w:pPr>
              <w:pStyle w:val="TableParagraph"/>
              <w:spacing w:line="265" w:lineRule="exact"/>
              <w:ind w:left="85" w:right="85"/>
              <w:rPr>
                <w:rFonts w:ascii="Calibri Light"/>
                <w:b w:val="0"/>
                <w:sz w:val="22"/>
              </w:rPr>
            </w:pPr>
            <w:r>
              <w:rPr>
                <w:sz w:val="22"/>
              </w:rPr>
              <w:t>3 </w:t>
            </w:r>
            <w:r>
              <w:rPr>
                <w:rFonts w:ascii="Calibri Light"/>
                <w:b w:val="0"/>
                <w:sz w:val="22"/>
              </w:rPr>
              <w:t>(25%)</w:t>
            </w:r>
          </w:p>
        </w:tc>
        <w:tc>
          <w:tcPr>
            <w:tcW w:w="1244" w:type="dxa"/>
            <w:tcBorders>
              <w:right w:val="single" w:sz="41" w:space="0" w:color="2D74B5"/>
            </w:tcBorders>
          </w:tcPr>
          <w:p>
            <w:pPr>
              <w:pStyle w:val="TableParagraph"/>
              <w:spacing w:line="265" w:lineRule="exact"/>
              <w:ind w:left="167" w:right="121"/>
              <w:rPr>
                <w:rFonts w:ascii="Calibri Light"/>
                <w:b w:val="0"/>
                <w:sz w:val="22"/>
              </w:rPr>
            </w:pPr>
            <w:r>
              <w:rPr>
                <w:sz w:val="22"/>
              </w:rPr>
              <w:t>2 </w:t>
            </w:r>
            <w:r>
              <w:rPr>
                <w:rFonts w:ascii="Calibri Light"/>
                <w:b w:val="0"/>
                <w:sz w:val="22"/>
              </w:rPr>
              <w:t>(16.6%)</w:t>
            </w:r>
          </w:p>
        </w:tc>
        <w:tc>
          <w:tcPr>
            <w:tcW w:w="1368" w:type="dxa"/>
            <w:shd w:val="clear" w:color="auto" w:fill="2D74B5"/>
          </w:tcPr>
          <w:p>
            <w:pPr>
              <w:pStyle w:val="TableParagraph"/>
              <w:spacing w:line="265" w:lineRule="exact"/>
              <w:ind w:left="223" w:right="224"/>
              <w:rPr>
                <w:rFonts w:ascii="Calibri Light"/>
                <w:b w:val="0"/>
                <w:sz w:val="22"/>
              </w:rPr>
            </w:pPr>
            <w:r>
              <w:rPr>
                <w:sz w:val="22"/>
              </w:rPr>
              <w:t>6 </w:t>
            </w:r>
            <w:r>
              <w:rPr>
                <w:rFonts w:ascii="Calibri Light"/>
                <w:b w:val="0"/>
                <w:sz w:val="22"/>
              </w:rPr>
              <w:t>(50%)</w:t>
            </w:r>
          </w:p>
        </w:tc>
        <w:tc>
          <w:tcPr>
            <w:tcW w:w="1366" w:type="dxa"/>
            <w:tcBorders>
              <w:left w:val="thickThinMediumGap" w:sz="23" w:space="0" w:color="2D74B5"/>
            </w:tcBorders>
          </w:tcPr>
          <w:p>
            <w:pPr>
              <w:pStyle w:val="TableParagraph"/>
              <w:spacing w:before="9"/>
              <w:ind w:left="561"/>
              <w:jc w:val="left"/>
              <w:rPr>
                <w:sz w:val="22"/>
              </w:rPr>
            </w:pPr>
            <w:r>
              <w:rPr>
                <w:w w:val="100"/>
                <w:sz w:val="22"/>
              </w:rPr>
              <w:t>0</w:t>
            </w:r>
          </w:p>
        </w:tc>
      </w:tr>
      <w:tr>
        <w:trPr>
          <w:trHeight w:val="413" w:hRule="exact"/>
        </w:trPr>
        <w:tc>
          <w:tcPr>
            <w:tcW w:w="3152" w:type="dxa"/>
            <w:gridSpan w:val="2"/>
          </w:tcPr>
          <w:p>
            <w:pPr>
              <w:pStyle w:val="TableParagraph"/>
              <w:spacing w:before="9"/>
              <w:ind w:left="897"/>
              <w:jc w:val="left"/>
              <w:rPr>
                <w:sz w:val="22"/>
              </w:rPr>
            </w:pPr>
            <w:r>
              <w:rPr>
                <w:sz w:val="22"/>
              </w:rPr>
              <w:t>Hombres (12)</w:t>
            </w:r>
          </w:p>
        </w:tc>
        <w:tc>
          <w:tcPr>
            <w:tcW w:w="1148" w:type="dxa"/>
            <w:tcBorders>
              <w:right w:val="single" w:sz="41" w:space="0" w:color="2D74B5"/>
            </w:tcBorders>
          </w:tcPr>
          <w:p>
            <w:pPr>
              <w:pStyle w:val="TableParagraph"/>
              <w:spacing w:line="265" w:lineRule="exact"/>
              <w:ind w:left="115" w:right="75"/>
              <w:rPr>
                <w:rFonts w:ascii="Calibri Light"/>
                <w:b w:val="0"/>
                <w:sz w:val="22"/>
              </w:rPr>
            </w:pPr>
            <w:r>
              <w:rPr>
                <w:sz w:val="22"/>
              </w:rPr>
              <w:t>1 </w:t>
            </w:r>
            <w:r>
              <w:rPr>
                <w:rFonts w:ascii="Calibri Light"/>
                <w:b w:val="0"/>
                <w:sz w:val="22"/>
              </w:rPr>
              <w:t>(8%)</w:t>
            </w:r>
          </w:p>
        </w:tc>
        <w:tc>
          <w:tcPr>
            <w:tcW w:w="1121" w:type="dxa"/>
            <w:shd w:val="clear" w:color="auto" w:fill="2D74B5"/>
          </w:tcPr>
          <w:p>
            <w:pPr>
              <w:pStyle w:val="TableParagraph"/>
              <w:spacing w:line="265" w:lineRule="exact"/>
              <w:ind w:left="85" w:right="86"/>
              <w:rPr>
                <w:rFonts w:ascii="Calibri Light"/>
                <w:b w:val="0"/>
                <w:sz w:val="22"/>
              </w:rPr>
            </w:pPr>
            <w:r>
              <w:rPr>
                <w:sz w:val="22"/>
              </w:rPr>
              <w:t>5 </w:t>
            </w:r>
            <w:r>
              <w:rPr>
                <w:rFonts w:ascii="Calibri Light"/>
                <w:b w:val="0"/>
                <w:sz w:val="22"/>
              </w:rPr>
              <w:t>(41.6%)</w:t>
            </w:r>
          </w:p>
        </w:tc>
        <w:tc>
          <w:tcPr>
            <w:tcW w:w="1244" w:type="dxa"/>
            <w:tcBorders>
              <w:left w:val="single" w:sz="45" w:space="0" w:color="2D74B5"/>
            </w:tcBorders>
          </w:tcPr>
          <w:p>
            <w:pPr>
              <w:pStyle w:val="TableParagraph"/>
              <w:spacing w:line="265" w:lineRule="exact"/>
              <w:ind w:left="110" w:right="159"/>
              <w:rPr>
                <w:rFonts w:ascii="Calibri Light"/>
                <w:b w:val="0"/>
                <w:sz w:val="22"/>
              </w:rPr>
            </w:pPr>
            <w:r>
              <w:rPr>
                <w:sz w:val="22"/>
              </w:rPr>
              <w:t>4 </w:t>
            </w:r>
            <w:r>
              <w:rPr>
                <w:rFonts w:ascii="Calibri Light"/>
                <w:b w:val="0"/>
                <w:sz w:val="22"/>
              </w:rPr>
              <w:t>(33.3%)</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(16.6%)</w:t>
            </w:r>
          </w:p>
        </w:tc>
        <w:tc>
          <w:tcPr>
            <w:tcW w:w="1366" w:type="dxa"/>
          </w:tcPr>
          <w:p>
            <w:pPr>
              <w:pStyle w:val="TableParagraph"/>
              <w:spacing w:before="9"/>
              <w:ind w:left="614"/>
              <w:jc w:val="left"/>
              <w:rPr>
                <w:sz w:val="22"/>
              </w:rPr>
            </w:pPr>
            <w:r>
              <w:rPr>
                <w:w w:val="100"/>
                <w:sz w:val="22"/>
              </w:rPr>
              <w:t>0</w:t>
            </w:r>
          </w:p>
        </w:tc>
      </w:tr>
    </w:tbl>
    <w:p>
      <w:pPr>
        <w:spacing w:line="362" w:lineRule="auto" w:before="0"/>
        <w:ind w:left="4473" w:right="26" w:hanging="4281"/>
        <w:jc w:val="left"/>
        <w:rPr>
          <w:b/>
          <w:sz w:val="20"/>
        </w:rPr>
      </w:pPr>
      <w:r>
        <w:rPr>
          <w:b/>
          <w:sz w:val="20"/>
        </w:rPr>
        <w:t>Tabla 4.49. Ingeniero en computación apropiado; respuestas en la totalidad de la población y por género</w:t>
      </w:r>
    </w:p>
    <w:p>
      <w:pPr>
        <w:pStyle w:val="BodyText"/>
        <w:spacing w:before="8"/>
        <w:rPr>
          <w:b/>
          <w:sz w:val="17"/>
        </w:rPr>
      </w:pPr>
    </w:p>
    <w:p>
      <w:pPr>
        <w:pStyle w:val="BodyText"/>
        <w:spacing w:line="360" w:lineRule="auto"/>
        <w:ind w:left="102" w:right="107" w:firstLine="707"/>
        <w:jc w:val="both"/>
      </w:pPr>
      <w:r>
        <w:rPr/>
        <w:t>Por grupo de edad, se puede decir que el grupo 2, de 25 a 34 años, favorecen la grabación</w:t>
      </w:r>
      <w:r>
        <w:rPr>
          <w:spacing w:val="-6"/>
        </w:rPr>
        <w:t> </w:t>
      </w:r>
      <w:r>
        <w:rPr/>
        <w:t>con</w:t>
      </w:r>
      <w:r>
        <w:rPr>
          <w:spacing w:val="-6"/>
        </w:rPr>
        <w:t> </w:t>
      </w:r>
      <w:r>
        <w:rPr/>
        <w:t>anglicismos</w:t>
      </w:r>
      <w:r>
        <w:rPr>
          <w:spacing w:val="-9"/>
        </w:rPr>
        <w:t> </w:t>
      </w:r>
      <w:r>
        <w:rPr/>
        <w:t>al</w:t>
      </w:r>
      <w:r>
        <w:rPr>
          <w:spacing w:val="-7"/>
        </w:rPr>
        <w:t> </w:t>
      </w:r>
      <w:r>
        <w:rPr/>
        <w:t>mostrar</w:t>
      </w:r>
      <w:r>
        <w:rPr>
          <w:spacing w:val="-7"/>
        </w:rPr>
        <w:t> </w:t>
      </w:r>
      <w:r>
        <w:rPr/>
        <w:t>un</w:t>
      </w:r>
      <w:r>
        <w:rPr>
          <w:spacing w:val="-8"/>
        </w:rPr>
        <w:t> </w:t>
      </w:r>
      <w:r>
        <w:rPr/>
        <w:t>66.6%</w:t>
      </w:r>
      <w:r>
        <w:rPr>
          <w:spacing w:val="-7"/>
        </w:rPr>
        <w:t> </w:t>
      </w:r>
      <w:r>
        <w:rPr/>
        <w:t>de</w:t>
      </w:r>
      <w:r>
        <w:rPr>
          <w:spacing w:val="-6"/>
        </w:rPr>
        <w:t> </w:t>
      </w:r>
      <w:r>
        <w:rPr/>
        <w:t>respuestas</w:t>
      </w:r>
      <w:r>
        <w:rPr>
          <w:spacing w:val="-7"/>
        </w:rPr>
        <w:t> </w:t>
      </w:r>
      <w:r>
        <w:rPr/>
        <w:t>“en</w:t>
      </w:r>
      <w:r>
        <w:rPr>
          <w:spacing w:val="-8"/>
        </w:rPr>
        <w:t> </w:t>
      </w:r>
      <w:r>
        <w:rPr/>
        <w:t>desacuerdo”.</w:t>
      </w:r>
      <w:r>
        <w:rPr>
          <w:spacing w:val="-7"/>
        </w:rPr>
        <w:t> </w:t>
      </w:r>
      <w:r>
        <w:rPr/>
        <w:t>El</w:t>
      </w:r>
      <w:r>
        <w:rPr>
          <w:spacing w:val="-7"/>
        </w:rPr>
        <w:t> </w:t>
      </w:r>
      <w:r>
        <w:rPr/>
        <w:t>grupo 1 muestra en su mayoría indiferencia. El grupo 3 presenta un 33.3% de respuestas “de acuerdo”</w:t>
      </w:r>
      <w:r>
        <w:rPr>
          <w:spacing w:val="-12"/>
        </w:rPr>
        <w:t> </w:t>
      </w:r>
      <w:r>
        <w:rPr/>
        <w:t>y</w:t>
      </w:r>
      <w:r>
        <w:rPr>
          <w:spacing w:val="-13"/>
        </w:rPr>
        <w:t> </w:t>
      </w:r>
      <w:r>
        <w:rPr/>
        <w:t>33.3%</w:t>
      </w:r>
      <w:r>
        <w:rPr>
          <w:spacing w:val="-11"/>
        </w:rPr>
        <w:t> </w:t>
      </w:r>
      <w:r>
        <w:rPr/>
        <w:t>“en</w:t>
      </w:r>
      <w:r>
        <w:rPr>
          <w:spacing w:val="-13"/>
        </w:rPr>
        <w:t> </w:t>
      </w:r>
      <w:r>
        <w:rPr/>
        <w:t>desacuerdo”,</w:t>
      </w:r>
      <w:r>
        <w:rPr>
          <w:spacing w:val="-13"/>
        </w:rPr>
        <w:t> </w:t>
      </w:r>
      <w:r>
        <w:rPr/>
        <w:t>no</w:t>
      </w:r>
      <w:r>
        <w:rPr>
          <w:spacing w:val="-13"/>
        </w:rPr>
        <w:t> </w:t>
      </w:r>
      <w:r>
        <w:rPr/>
        <w:t>obstante,</w:t>
      </w:r>
      <w:r>
        <w:rPr>
          <w:spacing w:val="-13"/>
        </w:rPr>
        <w:t> </w:t>
      </w:r>
      <w:r>
        <w:rPr/>
        <w:t>un</w:t>
      </w:r>
      <w:r>
        <w:rPr>
          <w:spacing w:val="-13"/>
        </w:rPr>
        <w:t> </w:t>
      </w:r>
      <w:r>
        <w:rPr/>
        <w:t>16.6%</w:t>
      </w:r>
      <w:r>
        <w:rPr>
          <w:spacing w:val="-11"/>
        </w:rPr>
        <w:t> </w:t>
      </w:r>
      <w:r>
        <w:rPr/>
        <w:t>en</w:t>
      </w:r>
      <w:r>
        <w:rPr>
          <w:spacing w:val="-11"/>
        </w:rPr>
        <w:t> </w:t>
      </w:r>
      <w:r>
        <w:rPr/>
        <w:t>la</w:t>
      </w:r>
      <w:r>
        <w:rPr>
          <w:spacing w:val="-13"/>
        </w:rPr>
        <w:t> </w:t>
      </w:r>
      <w:r>
        <w:rPr/>
        <w:t>opción</w:t>
      </w:r>
      <w:r>
        <w:rPr>
          <w:spacing w:val="-10"/>
        </w:rPr>
        <w:t> </w:t>
      </w:r>
      <w:r>
        <w:rPr/>
        <w:t>“muy</w:t>
      </w:r>
      <w:r>
        <w:rPr>
          <w:spacing w:val="-13"/>
        </w:rPr>
        <w:t> </w:t>
      </w:r>
      <w:r>
        <w:rPr/>
        <w:t>de</w:t>
      </w:r>
      <w:r>
        <w:rPr>
          <w:spacing w:val="-11"/>
        </w:rPr>
        <w:t> </w:t>
      </w:r>
      <w:r>
        <w:rPr/>
        <w:t>acuerdo”</w:t>
      </w:r>
    </w:p>
    <w:p>
      <w:pPr>
        <w:spacing w:after="0" w:line="360" w:lineRule="auto"/>
        <w:jc w:val="both"/>
        <w:sectPr>
          <w:footerReference w:type="default" r:id="rId40"/>
          <w:pgSz w:w="12240" w:h="15840"/>
          <w:pgMar w:footer="1003" w:header="749"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before="70"/>
        <w:ind w:left="102" w:right="339"/>
      </w:pPr>
      <w:r>
        <w:rPr/>
        <w:t>inclina sus actitudes a favorecer la grabación sin anglicismos. Finalmente, en la tabla</w:t>
      </w:r>
    </w:p>
    <w:p>
      <w:pPr>
        <w:pStyle w:val="BodyText"/>
        <w:spacing w:line="360" w:lineRule="auto" w:before="137"/>
        <w:ind w:left="102" w:right="339"/>
      </w:pPr>
      <w:r>
        <w:rPr/>
        <w:t>4.50. se aprecia que el grupo 4 muestra estar “de acuerdo” con la aseveración en un 50%.</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4"/>
        <w:gridCol w:w="1148"/>
        <w:gridCol w:w="1121"/>
        <w:gridCol w:w="1244"/>
        <w:gridCol w:w="1368"/>
        <w:gridCol w:w="1366"/>
      </w:tblGrid>
      <w:tr>
        <w:trPr>
          <w:trHeight w:val="406" w:hRule="exact"/>
        </w:trPr>
        <w:tc>
          <w:tcPr>
            <w:tcW w:w="1428" w:type="dxa"/>
            <w:gridSpan w:val="2"/>
            <w:vMerge w:val="restart"/>
          </w:tcPr>
          <w:p>
            <w:pPr>
              <w:pStyle w:val="TableParagraph"/>
              <w:spacing w:before="3"/>
              <w:jc w:val="left"/>
              <w:rPr>
                <w:sz w:val="17"/>
              </w:rPr>
            </w:pPr>
          </w:p>
          <w:p>
            <w:pPr>
              <w:pStyle w:val="TableParagraph"/>
              <w:ind w:left="82" w:right="83"/>
              <w:rPr>
                <w:sz w:val="22"/>
              </w:rPr>
            </w:pPr>
            <w:r>
              <w:rPr>
                <w:sz w:val="22"/>
              </w:rPr>
              <w:t>Aseveración</w:t>
            </w:r>
          </w:p>
          <w:p>
            <w:pPr>
              <w:pStyle w:val="TableParagraph"/>
              <w:spacing w:before="126"/>
              <w:ind w:left="83" w:right="83"/>
              <w:rPr>
                <w:b/>
                <w:sz w:val="22"/>
              </w:rPr>
            </w:pPr>
            <w:r>
              <w:rPr>
                <w:b/>
                <w:sz w:val="22"/>
              </w:rPr>
              <w:t>17</w:t>
            </w:r>
          </w:p>
        </w:tc>
        <w:tc>
          <w:tcPr>
            <w:tcW w:w="1724" w:type="dxa"/>
            <w:vMerge w:val="restart"/>
          </w:tcPr>
          <w:p>
            <w:pPr>
              <w:pStyle w:val="TableParagraph"/>
              <w:spacing w:line="360" w:lineRule="auto" w:before="9"/>
              <w:ind w:left="163" w:right="166" w:firstLine="3"/>
              <w:rPr>
                <w:b/>
                <w:sz w:val="22"/>
              </w:rPr>
            </w:pPr>
            <w:r>
              <w:rPr>
                <w:sz w:val="22"/>
              </w:rPr>
              <w:t>Tipo de Aseveración: </w:t>
            </w:r>
            <w:r>
              <w:rPr>
                <w:b/>
                <w:sz w:val="22"/>
              </w:rPr>
              <w:t>Desfavorable</w:t>
            </w:r>
          </w:p>
        </w:tc>
        <w:tc>
          <w:tcPr>
            <w:tcW w:w="6246" w:type="dxa"/>
            <w:gridSpan w:val="5"/>
          </w:tcPr>
          <w:p>
            <w:pPr>
              <w:pStyle w:val="TableParagraph"/>
              <w:spacing w:before="5"/>
              <w:ind w:left="2516" w:right="2516"/>
              <w:rPr>
                <w:sz w:val="22"/>
              </w:rPr>
            </w:pPr>
            <w:r>
              <w:rPr>
                <w:sz w:val="22"/>
              </w:rPr>
              <w:t>Respuestas</w:t>
            </w:r>
          </w:p>
        </w:tc>
      </w:tr>
      <w:tr>
        <w:trPr>
          <w:trHeight w:val="770" w:hRule="exact"/>
        </w:trPr>
        <w:tc>
          <w:tcPr>
            <w:tcW w:w="1428" w:type="dxa"/>
            <w:gridSpan w:val="2"/>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1 (6)</w:t>
            </w:r>
          </w:p>
        </w:tc>
        <w:tc>
          <w:tcPr>
            <w:tcW w:w="1148" w:type="dxa"/>
          </w:tcPr>
          <w:p>
            <w:pPr>
              <w:pStyle w:val="TableParagraph"/>
              <w:spacing w:before="9"/>
              <w:ind w:right="5"/>
              <w:rPr>
                <w:sz w:val="22"/>
              </w:rPr>
            </w:pPr>
            <w:r>
              <w:rPr>
                <w:w w:val="100"/>
                <w:sz w:val="22"/>
              </w:rPr>
              <w:t>0</w:t>
            </w:r>
          </w:p>
        </w:tc>
        <w:tc>
          <w:tcPr>
            <w:tcW w:w="1121" w:type="dxa"/>
            <w:tcBorders>
              <w:right w:val="single" w:sz="41" w:space="0" w:color="2D74B5"/>
            </w:tcBorders>
          </w:tcPr>
          <w:p>
            <w:pPr>
              <w:pStyle w:val="TableParagraph"/>
              <w:spacing w:line="265" w:lineRule="exact"/>
              <w:ind w:left="105" w:right="58"/>
              <w:rPr>
                <w:rFonts w:ascii="Calibri Light"/>
                <w:b w:val="0"/>
                <w:sz w:val="22"/>
              </w:rPr>
            </w:pPr>
            <w:r>
              <w:rPr>
                <w:sz w:val="22"/>
              </w:rPr>
              <w:t>1 </w:t>
            </w:r>
            <w:r>
              <w:rPr>
                <w:rFonts w:ascii="Calibri Light"/>
                <w:b w:val="0"/>
                <w:sz w:val="22"/>
              </w:rPr>
              <w:t>(16%)</w:t>
            </w:r>
          </w:p>
        </w:tc>
        <w:tc>
          <w:tcPr>
            <w:tcW w:w="1244" w:type="dxa"/>
            <w:shd w:val="clear" w:color="auto" w:fill="2D74B5"/>
          </w:tcPr>
          <w:p>
            <w:pPr>
              <w:pStyle w:val="TableParagraph"/>
              <w:spacing w:line="265" w:lineRule="exact"/>
              <w:ind w:left="82" w:right="82"/>
              <w:rPr>
                <w:rFonts w:ascii="Calibri Light"/>
                <w:b w:val="0"/>
                <w:sz w:val="22"/>
              </w:rPr>
            </w:pPr>
            <w:r>
              <w:rPr>
                <w:sz w:val="22"/>
              </w:rPr>
              <w:t>4 </w:t>
            </w:r>
            <w:r>
              <w:rPr>
                <w:rFonts w:ascii="Calibri Light"/>
                <w:b w:val="0"/>
                <w:sz w:val="22"/>
              </w:rPr>
              <w:t>(66.6%)</w:t>
            </w:r>
          </w:p>
        </w:tc>
        <w:tc>
          <w:tcPr>
            <w:tcW w:w="1368" w:type="dxa"/>
            <w:tcBorders>
              <w:left w:val="single" w:sz="45" w:space="0" w:color="2D74B5"/>
            </w:tcBorders>
          </w:tcPr>
          <w:p>
            <w:pPr>
              <w:pStyle w:val="TableParagraph"/>
              <w:spacing w:line="265" w:lineRule="exact"/>
              <w:ind w:left="177" w:right="228"/>
              <w:rPr>
                <w:rFonts w:ascii="Calibri Light"/>
                <w:b w:val="0"/>
                <w:sz w:val="22"/>
              </w:rPr>
            </w:pPr>
            <w:r>
              <w:rPr>
                <w:sz w:val="22"/>
              </w:rPr>
              <w:t>1 </w:t>
            </w:r>
            <w:r>
              <w:rPr>
                <w:rFonts w:ascii="Calibri Light"/>
                <w:b w:val="0"/>
                <w:sz w:val="22"/>
              </w:rPr>
              <w:t>(16%)</w:t>
            </w:r>
          </w:p>
        </w:tc>
        <w:tc>
          <w:tcPr>
            <w:tcW w:w="1366" w:type="dxa"/>
          </w:tcPr>
          <w:p>
            <w:pPr>
              <w:pStyle w:val="TableParagraph"/>
              <w:spacing w:before="9"/>
              <w:ind w:left="614"/>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2 (6)</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6"/>
              <w:rPr>
                <w:rFonts w:ascii="Calibri Light"/>
                <w:b w:val="0"/>
                <w:sz w:val="22"/>
              </w:rPr>
            </w:pPr>
            <w:r>
              <w:rPr>
                <w:sz w:val="22"/>
              </w:rPr>
              <w:t>2 </w:t>
            </w:r>
            <w:r>
              <w:rPr>
                <w:rFonts w:ascii="Calibri Light"/>
                <w:b w:val="0"/>
                <w:sz w:val="22"/>
              </w:rPr>
              <w:t>(33.3%)</w:t>
            </w:r>
          </w:p>
        </w:tc>
        <w:tc>
          <w:tcPr>
            <w:tcW w:w="1244" w:type="dxa"/>
            <w:tcBorders>
              <w:right w:val="single" w:sz="41" w:space="0" w:color="2D74B5"/>
            </w:tcBorders>
          </w:tcPr>
          <w:p>
            <w:pPr>
              <w:pStyle w:val="TableParagraph"/>
              <w:spacing w:before="9"/>
              <w:ind w:left="44"/>
              <w:rPr>
                <w:sz w:val="22"/>
              </w:rPr>
            </w:pPr>
            <w:r>
              <w:rPr>
                <w:w w:val="100"/>
                <w:sz w:val="22"/>
              </w:rPr>
              <w:t>0</w:t>
            </w:r>
          </w:p>
        </w:tc>
        <w:tc>
          <w:tcPr>
            <w:tcW w:w="1368" w:type="dxa"/>
            <w:shd w:val="clear" w:color="auto" w:fill="2D74B5"/>
          </w:tcPr>
          <w:p>
            <w:pPr>
              <w:pStyle w:val="TableParagraph"/>
              <w:spacing w:line="265" w:lineRule="exact"/>
              <w:ind w:left="222" w:right="224"/>
              <w:rPr>
                <w:rFonts w:ascii="Calibri Light"/>
                <w:b w:val="0"/>
                <w:sz w:val="22"/>
              </w:rPr>
            </w:pPr>
            <w:r>
              <w:rPr>
                <w:sz w:val="22"/>
              </w:rPr>
              <w:t>4 </w:t>
            </w:r>
            <w:r>
              <w:rPr>
                <w:rFonts w:ascii="Calibri Light"/>
                <w:b w:val="0"/>
                <w:sz w:val="22"/>
              </w:rPr>
              <w:t>(66.6%)</w:t>
            </w:r>
          </w:p>
        </w:tc>
        <w:tc>
          <w:tcPr>
            <w:tcW w:w="1366" w:type="dxa"/>
            <w:tcBorders>
              <w:left w:val="thickThinMediumGap" w:sz="23" w:space="0" w:color="2D74B5"/>
            </w:tcBorders>
          </w:tcPr>
          <w:p>
            <w:pPr>
              <w:pStyle w:val="TableParagraph"/>
              <w:spacing w:before="9"/>
              <w:ind w:left="561"/>
              <w:jc w:val="left"/>
              <w:rPr>
                <w:sz w:val="22"/>
              </w:rPr>
            </w:pPr>
            <w:r>
              <w:rPr>
                <w:w w:val="100"/>
                <w:sz w:val="22"/>
              </w:rPr>
              <w:t>0</w:t>
            </w:r>
          </w:p>
        </w:tc>
      </w:tr>
      <w:tr>
        <w:trPr>
          <w:trHeight w:val="413" w:hRule="exact"/>
        </w:trPr>
        <w:tc>
          <w:tcPr>
            <w:tcW w:w="1227" w:type="dxa"/>
            <w:tcBorders>
              <w:right w:val="nil"/>
            </w:tcBorders>
          </w:tcPr>
          <w:p>
            <w:pPr>
              <w:pStyle w:val="TableParagraph"/>
              <w:spacing w:before="10"/>
              <w:ind w:right="58"/>
              <w:jc w:val="right"/>
              <w:rPr>
                <w:sz w:val="22"/>
              </w:rPr>
            </w:pPr>
            <w:r>
              <w:rPr>
                <w:sz w:val="22"/>
              </w:rPr>
              <w:t>Grupo</w:t>
            </w:r>
          </w:p>
        </w:tc>
        <w:tc>
          <w:tcPr>
            <w:tcW w:w="1924" w:type="dxa"/>
            <w:gridSpan w:val="2"/>
            <w:tcBorders>
              <w:left w:val="nil"/>
              <w:right w:val="single" w:sz="41" w:space="0" w:color="9CC2E4"/>
            </w:tcBorders>
          </w:tcPr>
          <w:p>
            <w:pPr>
              <w:pStyle w:val="TableParagraph"/>
              <w:spacing w:before="10"/>
              <w:ind w:left="60"/>
              <w:jc w:val="left"/>
              <w:rPr>
                <w:sz w:val="22"/>
              </w:rPr>
            </w:pPr>
            <w:r>
              <w:rPr>
                <w:sz w:val="22"/>
              </w:rPr>
              <w:t>de edad 3 (6)</w:t>
            </w:r>
          </w:p>
        </w:tc>
        <w:tc>
          <w:tcPr>
            <w:tcW w:w="1148" w:type="dxa"/>
            <w:shd w:val="clear" w:color="auto" w:fill="9CC2E4"/>
          </w:tcPr>
          <w:p>
            <w:pPr>
              <w:pStyle w:val="TableParagraph"/>
              <w:spacing w:line="266" w:lineRule="exact"/>
              <w:ind w:left="115" w:right="119"/>
              <w:rPr>
                <w:rFonts w:ascii="Calibri Light"/>
                <w:b w:val="0"/>
                <w:sz w:val="22"/>
              </w:rPr>
            </w:pPr>
            <w:r>
              <w:rPr>
                <w:sz w:val="22"/>
              </w:rPr>
              <w:t>1 </w:t>
            </w:r>
            <w:r>
              <w:rPr>
                <w:rFonts w:ascii="Calibri Light"/>
                <w:b w:val="0"/>
                <w:sz w:val="22"/>
              </w:rPr>
              <w:t>(16%)</w:t>
            </w:r>
          </w:p>
        </w:tc>
        <w:tc>
          <w:tcPr>
            <w:tcW w:w="1121" w:type="dxa"/>
            <w:shd w:val="clear" w:color="auto" w:fill="9CC2E4"/>
          </w:tcPr>
          <w:p>
            <w:pPr>
              <w:pStyle w:val="TableParagraph"/>
              <w:spacing w:line="266" w:lineRule="exact"/>
              <w:ind w:left="85" w:right="86"/>
              <w:rPr>
                <w:rFonts w:ascii="Calibri Light"/>
                <w:b w:val="0"/>
                <w:sz w:val="22"/>
              </w:rPr>
            </w:pPr>
            <w:r>
              <w:rPr>
                <w:sz w:val="22"/>
              </w:rPr>
              <w:t>2 </w:t>
            </w:r>
            <w:r>
              <w:rPr>
                <w:rFonts w:ascii="Calibri Light"/>
                <w:b w:val="0"/>
                <w:sz w:val="22"/>
              </w:rPr>
              <w:t>(33.3%)</w:t>
            </w:r>
          </w:p>
        </w:tc>
        <w:tc>
          <w:tcPr>
            <w:tcW w:w="1244" w:type="dxa"/>
            <w:tcBorders>
              <w:left w:val="single" w:sz="45" w:space="0" w:color="9CC2E4"/>
              <w:right w:val="single" w:sz="41" w:space="0" w:color="9CC2E4"/>
            </w:tcBorders>
          </w:tcPr>
          <w:p>
            <w:pPr>
              <w:pStyle w:val="TableParagraph"/>
              <w:spacing w:line="266" w:lineRule="exact"/>
              <w:ind w:left="114" w:right="119"/>
              <w:rPr>
                <w:rFonts w:ascii="Calibri Light"/>
                <w:b w:val="0"/>
                <w:sz w:val="22"/>
              </w:rPr>
            </w:pPr>
            <w:r>
              <w:rPr>
                <w:sz w:val="22"/>
              </w:rPr>
              <w:t>1 </w:t>
            </w:r>
            <w:r>
              <w:rPr>
                <w:rFonts w:ascii="Calibri Light"/>
                <w:b w:val="0"/>
                <w:sz w:val="22"/>
              </w:rPr>
              <w:t>(16%)</w:t>
            </w:r>
          </w:p>
        </w:tc>
        <w:tc>
          <w:tcPr>
            <w:tcW w:w="1368" w:type="dxa"/>
            <w:shd w:val="clear" w:color="auto" w:fill="9CC2E4"/>
          </w:tcPr>
          <w:p>
            <w:pPr>
              <w:pStyle w:val="TableParagraph"/>
              <w:spacing w:line="266" w:lineRule="exact"/>
              <w:ind w:left="222" w:right="224"/>
              <w:rPr>
                <w:rFonts w:ascii="Calibri Light"/>
                <w:b w:val="0"/>
                <w:sz w:val="22"/>
              </w:rPr>
            </w:pPr>
            <w:r>
              <w:rPr>
                <w:sz w:val="22"/>
              </w:rPr>
              <w:t>2 </w:t>
            </w:r>
            <w:r>
              <w:rPr>
                <w:rFonts w:ascii="Calibri Light"/>
                <w:b w:val="0"/>
                <w:sz w:val="22"/>
              </w:rPr>
              <w:t>(33.3%)</w:t>
            </w:r>
          </w:p>
        </w:tc>
        <w:tc>
          <w:tcPr>
            <w:tcW w:w="1366" w:type="dxa"/>
            <w:tcBorders>
              <w:left w:val="thickThinMediumGap" w:sz="23" w:space="0" w:color="9CC2E4"/>
            </w:tcBorders>
          </w:tcPr>
          <w:p>
            <w:pPr>
              <w:pStyle w:val="TableParagraph"/>
              <w:spacing w:before="10"/>
              <w:ind w:left="561"/>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4 (6)</w:t>
            </w:r>
          </w:p>
        </w:tc>
        <w:tc>
          <w:tcPr>
            <w:tcW w:w="1148" w:type="dxa"/>
            <w:tcBorders>
              <w:right w:val="single" w:sz="41" w:space="0" w:color="2D74B5"/>
            </w:tcBorders>
          </w:tcPr>
          <w:p>
            <w:pPr>
              <w:pStyle w:val="TableParagraph"/>
              <w:spacing w:line="265" w:lineRule="exact"/>
              <w:ind w:left="114" w:right="75"/>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5" w:lineRule="exact"/>
              <w:ind w:left="85" w:right="85"/>
              <w:rPr>
                <w:rFonts w:ascii="Calibri Light"/>
                <w:b w:val="0"/>
                <w:sz w:val="22"/>
              </w:rPr>
            </w:pPr>
            <w:r>
              <w:rPr>
                <w:sz w:val="22"/>
              </w:rPr>
              <w:t>3 </w:t>
            </w:r>
            <w:r>
              <w:rPr>
                <w:rFonts w:ascii="Calibri Light"/>
                <w:b w:val="0"/>
                <w:sz w:val="22"/>
              </w:rPr>
              <w:t>(50%)</w:t>
            </w:r>
          </w:p>
        </w:tc>
        <w:tc>
          <w:tcPr>
            <w:tcW w:w="1244" w:type="dxa"/>
            <w:tcBorders>
              <w:left w:val="single" w:sz="45" w:space="0" w:color="2D74B5"/>
            </w:tcBorders>
          </w:tcPr>
          <w:p>
            <w:pPr>
              <w:pStyle w:val="TableParagraph"/>
              <w:spacing w:line="265" w:lineRule="exact"/>
              <w:ind w:left="110" w:right="161"/>
              <w:rPr>
                <w:rFonts w:ascii="Calibri Light"/>
                <w:b w:val="0"/>
                <w:sz w:val="22"/>
              </w:rPr>
            </w:pPr>
            <w:r>
              <w:rPr>
                <w:sz w:val="22"/>
              </w:rPr>
              <w:t>1 </w:t>
            </w:r>
            <w:r>
              <w:rPr>
                <w:rFonts w:ascii="Calibri Light"/>
                <w:b w:val="0"/>
                <w:sz w:val="22"/>
              </w:rPr>
              <w:t>(16%)</w:t>
            </w:r>
          </w:p>
        </w:tc>
        <w:tc>
          <w:tcPr>
            <w:tcW w:w="1368" w:type="dxa"/>
          </w:tcPr>
          <w:p>
            <w:pPr>
              <w:pStyle w:val="TableParagraph"/>
              <w:spacing w:line="265" w:lineRule="exact"/>
              <w:ind w:left="223" w:right="224"/>
              <w:rPr>
                <w:rFonts w:ascii="Calibri Light"/>
                <w:b w:val="0"/>
                <w:sz w:val="22"/>
              </w:rPr>
            </w:pPr>
            <w:r>
              <w:rPr>
                <w:sz w:val="22"/>
              </w:rPr>
              <w:t>1 </w:t>
            </w:r>
            <w:r>
              <w:rPr>
                <w:rFonts w:ascii="Calibri Light"/>
                <w:b w:val="0"/>
                <w:sz w:val="22"/>
              </w:rPr>
              <w:t>(16%)</w:t>
            </w:r>
          </w:p>
        </w:tc>
        <w:tc>
          <w:tcPr>
            <w:tcW w:w="1366" w:type="dxa"/>
          </w:tcPr>
          <w:p>
            <w:pPr>
              <w:pStyle w:val="TableParagraph"/>
              <w:spacing w:before="9"/>
              <w:ind w:left="614"/>
              <w:jc w:val="left"/>
              <w:rPr>
                <w:sz w:val="22"/>
              </w:rPr>
            </w:pPr>
            <w:r>
              <w:rPr>
                <w:w w:val="100"/>
                <w:sz w:val="22"/>
              </w:rPr>
              <w:t>0</w:t>
            </w:r>
          </w:p>
        </w:tc>
      </w:tr>
    </w:tbl>
    <w:p>
      <w:pPr>
        <w:spacing w:line="227" w:lineRule="exact" w:before="0"/>
        <w:ind w:left="1013" w:right="339" w:firstLine="0"/>
        <w:jc w:val="left"/>
        <w:rPr>
          <w:b/>
          <w:sz w:val="20"/>
        </w:rPr>
      </w:pPr>
      <w:r>
        <w:rPr>
          <w:b/>
          <w:sz w:val="20"/>
        </w:rPr>
        <w:t>Tabla 4.50. Ingeniero en computación apropiado; respuestas por grupo de edad</w:t>
      </w:r>
    </w:p>
    <w:p>
      <w:pPr>
        <w:pStyle w:val="BodyText"/>
        <w:spacing w:before="5"/>
        <w:rPr>
          <w:b/>
          <w:sz w:val="27"/>
        </w:rPr>
      </w:pPr>
    </w:p>
    <w:p>
      <w:pPr>
        <w:pStyle w:val="BodyText"/>
        <w:spacing w:line="360" w:lineRule="auto"/>
        <w:ind w:left="102" w:right="113" w:firstLine="707"/>
        <w:jc w:val="both"/>
      </w:pPr>
      <w:r>
        <w:rPr/>
        <w:t>Por nivel de estudios (tabla 4.51.), el nivel superior está “en desacuerdo” con la aseveración</w:t>
      </w:r>
      <w:r>
        <w:rPr>
          <w:spacing w:val="-6"/>
        </w:rPr>
        <w:t> </w:t>
      </w:r>
      <w:r>
        <w:rPr/>
        <w:t>en</w:t>
      </w:r>
      <w:r>
        <w:rPr>
          <w:spacing w:val="-8"/>
        </w:rPr>
        <w:t> </w:t>
      </w:r>
      <w:r>
        <w:rPr/>
        <w:t>un</w:t>
      </w:r>
      <w:r>
        <w:rPr>
          <w:spacing w:val="-6"/>
        </w:rPr>
        <w:t> </w:t>
      </w:r>
      <w:r>
        <w:rPr/>
        <w:t>62.5%,</w:t>
      </w:r>
      <w:r>
        <w:rPr>
          <w:spacing w:val="-6"/>
        </w:rPr>
        <w:t> </w:t>
      </w:r>
      <w:r>
        <w:rPr/>
        <w:t>seguido</w:t>
      </w:r>
      <w:r>
        <w:rPr>
          <w:spacing w:val="-6"/>
        </w:rPr>
        <w:t> </w:t>
      </w:r>
      <w:r>
        <w:rPr/>
        <w:t>del</w:t>
      </w:r>
      <w:r>
        <w:rPr>
          <w:spacing w:val="-7"/>
        </w:rPr>
        <w:t> </w:t>
      </w:r>
      <w:r>
        <w:rPr/>
        <w:t>nivel</w:t>
      </w:r>
      <w:r>
        <w:rPr>
          <w:spacing w:val="-7"/>
        </w:rPr>
        <w:t> </w:t>
      </w:r>
      <w:r>
        <w:rPr/>
        <w:t>medio</w:t>
      </w:r>
      <w:r>
        <w:rPr>
          <w:spacing w:val="-6"/>
        </w:rPr>
        <w:t> </w:t>
      </w:r>
      <w:r>
        <w:rPr/>
        <w:t>superior</w:t>
      </w:r>
      <w:r>
        <w:rPr>
          <w:spacing w:val="-7"/>
        </w:rPr>
        <w:t> </w:t>
      </w:r>
      <w:r>
        <w:rPr/>
        <w:t>con</w:t>
      </w:r>
      <w:r>
        <w:rPr>
          <w:spacing w:val="-6"/>
        </w:rPr>
        <w:t> </w:t>
      </w:r>
      <w:r>
        <w:rPr/>
        <w:t>37.5</w:t>
      </w:r>
      <w:r>
        <w:rPr>
          <w:spacing w:val="-6"/>
        </w:rPr>
        <w:t> </w:t>
      </w:r>
      <w:r>
        <w:rPr/>
        <w:t>%</w:t>
      </w:r>
      <w:r>
        <w:rPr>
          <w:spacing w:val="-7"/>
        </w:rPr>
        <w:t> </w:t>
      </w:r>
      <w:r>
        <w:rPr/>
        <w:t>de</w:t>
      </w:r>
      <w:r>
        <w:rPr>
          <w:spacing w:val="-6"/>
        </w:rPr>
        <w:t> </w:t>
      </w:r>
      <w:r>
        <w:rPr/>
        <w:t>respuestas</w:t>
      </w:r>
      <w:r>
        <w:rPr>
          <w:spacing w:val="-7"/>
        </w:rPr>
        <w:t> </w:t>
      </w:r>
      <w:r>
        <w:rPr/>
        <w:t>en “indiferente” y otro 37.5% en “de acuerdo”, sin embargo, un 12.5% en “muy de acuerdo” podría</w:t>
      </w:r>
      <w:r>
        <w:rPr>
          <w:spacing w:val="-4"/>
        </w:rPr>
        <w:t> </w:t>
      </w:r>
      <w:r>
        <w:rPr/>
        <w:t>afectar</w:t>
      </w:r>
      <w:r>
        <w:rPr>
          <w:spacing w:val="-7"/>
        </w:rPr>
        <w:t> </w:t>
      </w:r>
      <w:r>
        <w:rPr/>
        <w:t>al</w:t>
      </w:r>
      <w:r>
        <w:rPr>
          <w:spacing w:val="-7"/>
        </w:rPr>
        <w:t> </w:t>
      </w:r>
      <w:r>
        <w:rPr/>
        <w:t>favorecer</w:t>
      </w:r>
      <w:r>
        <w:rPr>
          <w:spacing w:val="-5"/>
        </w:rPr>
        <w:t> </w:t>
      </w:r>
      <w:r>
        <w:rPr/>
        <w:t>la</w:t>
      </w:r>
      <w:r>
        <w:rPr>
          <w:spacing w:val="-6"/>
        </w:rPr>
        <w:t> </w:t>
      </w:r>
      <w:r>
        <w:rPr/>
        <w:t>aseveración.</w:t>
      </w:r>
      <w:r>
        <w:rPr>
          <w:spacing w:val="-6"/>
        </w:rPr>
        <w:t> </w:t>
      </w:r>
      <w:r>
        <w:rPr/>
        <w:t>Por</w:t>
      </w:r>
      <w:r>
        <w:rPr>
          <w:spacing w:val="-5"/>
        </w:rPr>
        <w:t> </w:t>
      </w:r>
      <w:r>
        <w:rPr/>
        <w:t>último,</w:t>
      </w:r>
      <w:r>
        <w:rPr>
          <w:spacing w:val="-6"/>
        </w:rPr>
        <w:t> </w:t>
      </w:r>
      <w:r>
        <w:rPr/>
        <w:t>en</w:t>
      </w:r>
      <w:r>
        <w:rPr>
          <w:spacing w:val="-6"/>
        </w:rPr>
        <w:t> </w:t>
      </w:r>
      <w:r>
        <w:rPr/>
        <w:t>el</w:t>
      </w:r>
      <w:r>
        <w:rPr>
          <w:spacing w:val="-5"/>
        </w:rPr>
        <w:t> </w:t>
      </w:r>
      <w:r>
        <w:rPr/>
        <w:t>nivel</w:t>
      </w:r>
      <w:r>
        <w:rPr>
          <w:spacing w:val="-5"/>
        </w:rPr>
        <w:t> </w:t>
      </w:r>
      <w:r>
        <w:rPr/>
        <w:t>básico,</w:t>
      </w:r>
      <w:r>
        <w:rPr>
          <w:spacing w:val="-4"/>
        </w:rPr>
        <w:t> </w:t>
      </w:r>
      <w:r>
        <w:rPr/>
        <w:t>la</w:t>
      </w:r>
      <w:r>
        <w:rPr>
          <w:spacing w:val="-6"/>
        </w:rPr>
        <w:t> </w:t>
      </w:r>
      <w:r>
        <w:rPr/>
        <w:t>mayoría</w:t>
      </w:r>
      <w:r>
        <w:rPr>
          <w:spacing w:val="-4"/>
        </w:rPr>
        <w:t> </w:t>
      </w:r>
      <w:r>
        <w:rPr/>
        <w:t>de</w:t>
      </w:r>
      <w:r>
        <w:rPr>
          <w:spacing w:val="-4"/>
        </w:rPr>
        <w:t> </w:t>
      </w:r>
      <w:r>
        <w:rPr/>
        <w:t>la población se muestra  “indiferente” con el</w:t>
      </w:r>
      <w:r>
        <w:rPr>
          <w:spacing w:val="-17"/>
        </w:rPr>
        <w:t> </w:t>
      </w:r>
      <w:r>
        <w:rPr/>
        <w:t>37.5%.</w:t>
      </w:r>
    </w:p>
    <w:p>
      <w:pPr>
        <w:pStyle w:val="BodyText"/>
        <w:spacing w:before="11"/>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8"/>
        <w:gridCol w:w="1366"/>
      </w:tblGrid>
      <w:tr>
        <w:trPr>
          <w:trHeight w:val="406"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17</w:t>
            </w:r>
          </w:p>
        </w:tc>
        <w:tc>
          <w:tcPr>
            <w:tcW w:w="1721" w:type="dxa"/>
            <w:vMerge w:val="restart"/>
          </w:tcPr>
          <w:p>
            <w:pPr>
              <w:pStyle w:val="TableParagraph"/>
              <w:spacing w:line="360" w:lineRule="auto" w:before="9"/>
              <w:ind w:left="163" w:right="164" w:firstLine="4"/>
              <w:rPr>
                <w:b/>
                <w:sz w:val="22"/>
              </w:rPr>
            </w:pPr>
            <w:r>
              <w:rPr>
                <w:sz w:val="22"/>
              </w:rPr>
              <w:t>Tipo de Aseveración: </w:t>
            </w:r>
            <w:r>
              <w:rPr>
                <w:b/>
                <w:sz w:val="22"/>
              </w:rPr>
              <w:t>Desfavorable</w:t>
            </w:r>
          </w:p>
        </w:tc>
        <w:tc>
          <w:tcPr>
            <w:tcW w:w="6249" w:type="dxa"/>
            <w:gridSpan w:val="5"/>
          </w:tcPr>
          <w:p>
            <w:pPr>
              <w:pStyle w:val="TableParagraph"/>
              <w:spacing w:before="5"/>
              <w:ind w:left="2517" w:right="2517"/>
              <w:rPr>
                <w:sz w:val="22"/>
              </w:rPr>
            </w:pPr>
            <w:r>
              <w:rPr>
                <w:sz w:val="22"/>
              </w:rPr>
              <w:t>Respuestas</w:t>
            </w:r>
          </w:p>
        </w:tc>
      </w:tr>
      <w:tr>
        <w:trPr>
          <w:trHeight w:val="770" w:hRule="exact"/>
        </w:trPr>
        <w:tc>
          <w:tcPr>
            <w:tcW w:w="1428" w:type="dxa"/>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9" w:type="dxa"/>
            <w:gridSpan w:val="2"/>
          </w:tcPr>
          <w:p>
            <w:pPr>
              <w:pStyle w:val="TableParagraph"/>
              <w:spacing w:before="9"/>
              <w:ind w:left="799"/>
              <w:jc w:val="left"/>
              <w:rPr>
                <w:sz w:val="22"/>
              </w:rPr>
            </w:pPr>
            <w:r>
              <w:rPr>
                <w:sz w:val="22"/>
              </w:rPr>
              <w:t>Nivel Básico (8)</w:t>
            </w:r>
          </w:p>
        </w:tc>
        <w:tc>
          <w:tcPr>
            <w:tcW w:w="1150" w:type="dxa"/>
          </w:tcPr>
          <w:p>
            <w:pPr>
              <w:pStyle w:val="TableParagraph"/>
              <w:spacing w:line="265" w:lineRule="exact"/>
              <w:ind w:left="120" w:right="120"/>
              <w:rPr>
                <w:rFonts w:ascii="Calibri Light"/>
                <w:b w:val="0"/>
                <w:sz w:val="22"/>
              </w:rPr>
            </w:pPr>
            <w:r>
              <w:rPr>
                <w:sz w:val="22"/>
              </w:rPr>
              <w:t>1 </w:t>
            </w:r>
            <w:r>
              <w:rPr>
                <w:rFonts w:ascii="Calibri Light"/>
                <w:b w:val="0"/>
                <w:sz w:val="22"/>
              </w:rPr>
              <w:t>(12.5%)</w:t>
            </w:r>
          </w:p>
        </w:tc>
        <w:tc>
          <w:tcPr>
            <w:tcW w:w="1121" w:type="dxa"/>
            <w:tcBorders>
              <w:right w:val="single" w:sz="41" w:space="0" w:color="9CC2E4"/>
            </w:tcBorders>
          </w:tcPr>
          <w:p>
            <w:pPr>
              <w:pStyle w:val="TableParagraph"/>
              <w:spacing w:line="265" w:lineRule="exact"/>
              <w:ind w:left="102" w:right="60"/>
              <w:rPr>
                <w:rFonts w:ascii="Calibri Light"/>
                <w:b w:val="0"/>
                <w:sz w:val="22"/>
              </w:rPr>
            </w:pPr>
            <w:r>
              <w:rPr>
                <w:sz w:val="22"/>
              </w:rPr>
              <w:t>2 </w:t>
            </w:r>
            <w:r>
              <w:rPr>
                <w:rFonts w:ascii="Calibri Light"/>
                <w:b w:val="0"/>
                <w:sz w:val="22"/>
              </w:rPr>
              <w:t>(25%)</w:t>
            </w:r>
          </w:p>
        </w:tc>
        <w:tc>
          <w:tcPr>
            <w:tcW w:w="1244" w:type="dxa"/>
            <w:shd w:val="clear" w:color="auto" w:fill="9CC2E4"/>
          </w:tcPr>
          <w:p>
            <w:pPr>
              <w:pStyle w:val="TableParagraph"/>
              <w:spacing w:line="265" w:lineRule="exact"/>
              <w:ind w:left="82" w:right="82"/>
              <w:rPr>
                <w:rFonts w:ascii="Calibri Light"/>
                <w:b w:val="0"/>
                <w:sz w:val="22"/>
              </w:rPr>
            </w:pPr>
            <w:r>
              <w:rPr>
                <w:sz w:val="22"/>
              </w:rPr>
              <w:t>3 </w:t>
            </w:r>
            <w:r>
              <w:rPr>
                <w:rFonts w:ascii="Calibri Light"/>
                <w:b w:val="0"/>
                <w:sz w:val="22"/>
              </w:rPr>
              <w:t>(37.5%)</w:t>
            </w:r>
          </w:p>
        </w:tc>
        <w:tc>
          <w:tcPr>
            <w:tcW w:w="1368" w:type="dxa"/>
            <w:tcBorders>
              <w:left w:val="single" w:sz="45" w:space="0" w:color="9CC2E4"/>
            </w:tcBorders>
          </w:tcPr>
          <w:p>
            <w:pPr>
              <w:pStyle w:val="TableParagraph"/>
              <w:spacing w:line="265" w:lineRule="exact"/>
              <w:ind w:left="177" w:right="228"/>
              <w:rPr>
                <w:rFonts w:ascii="Calibri Light"/>
                <w:b w:val="0"/>
                <w:sz w:val="22"/>
              </w:rPr>
            </w:pPr>
            <w:r>
              <w:rPr>
                <w:sz w:val="22"/>
              </w:rPr>
              <w:t>2 </w:t>
            </w:r>
            <w:r>
              <w:rPr>
                <w:rFonts w:ascii="Calibri Light"/>
                <w:b w:val="0"/>
                <w:sz w:val="22"/>
              </w:rPr>
              <w:t>(25%)</w:t>
            </w:r>
          </w:p>
        </w:tc>
        <w:tc>
          <w:tcPr>
            <w:tcW w:w="1366" w:type="dxa"/>
          </w:tcPr>
          <w:p>
            <w:pPr>
              <w:pStyle w:val="TableParagraph"/>
              <w:spacing w:before="9"/>
              <w:ind w:left="614"/>
              <w:jc w:val="left"/>
              <w:rPr>
                <w:sz w:val="22"/>
              </w:rPr>
            </w:pPr>
            <w:r>
              <w:rPr>
                <w:w w:val="100"/>
                <w:sz w:val="22"/>
              </w:rPr>
              <w:t>0</w:t>
            </w:r>
          </w:p>
        </w:tc>
      </w:tr>
      <w:tr>
        <w:trPr>
          <w:trHeight w:val="413" w:hRule="exact"/>
        </w:trPr>
        <w:tc>
          <w:tcPr>
            <w:tcW w:w="3149" w:type="dxa"/>
            <w:gridSpan w:val="2"/>
          </w:tcPr>
          <w:p>
            <w:pPr>
              <w:pStyle w:val="TableParagraph"/>
              <w:spacing w:before="9"/>
              <w:ind w:left="383"/>
              <w:jc w:val="left"/>
              <w:rPr>
                <w:sz w:val="22"/>
              </w:rPr>
            </w:pPr>
            <w:r>
              <w:rPr>
                <w:sz w:val="22"/>
              </w:rPr>
              <w:t>Nivel Medio Superior (8)</w:t>
            </w:r>
          </w:p>
        </w:tc>
        <w:tc>
          <w:tcPr>
            <w:tcW w:w="1150" w:type="dxa"/>
            <w:tcBorders>
              <w:right w:val="single" w:sz="41" w:space="0" w:color="2D74B5"/>
            </w:tcBorders>
          </w:tcPr>
          <w:p>
            <w:pPr>
              <w:pStyle w:val="TableParagraph"/>
              <w:spacing w:line="265" w:lineRule="exact"/>
              <w:ind w:left="119" w:right="75"/>
              <w:rPr>
                <w:rFonts w:ascii="Calibri Light"/>
                <w:b w:val="0"/>
                <w:sz w:val="22"/>
              </w:rPr>
            </w:pPr>
            <w:r>
              <w:rPr>
                <w:sz w:val="22"/>
              </w:rPr>
              <w:t>1 </w:t>
            </w:r>
            <w:r>
              <w:rPr>
                <w:rFonts w:ascii="Calibri Light"/>
                <w:b w:val="0"/>
                <w:sz w:val="22"/>
              </w:rPr>
              <w:t>(12.5%)</w:t>
            </w:r>
          </w:p>
        </w:tc>
        <w:tc>
          <w:tcPr>
            <w:tcW w:w="1121" w:type="dxa"/>
            <w:shd w:val="clear" w:color="auto" w:fill="2D74B5"/>
          </w:tcPr>
          <w:p>
            <w:pPr>
              <w:pStyle w:val="TableParagraph"/>
              <w:spacing w:line="265" w:lineRule="exact"/>
              <w:ind w:left="85" w:right="86"/>
              <w:rPr>
                <w:rFonts w:ascii="Calibri Light"/>
                <w:b w:val="0"/>
                <w:sz w:val="22"/>
              </w:rPr>
            </w:pPr>
            <w:r>
              <w:rPr>
                <w:sz w:val="22"/>
              </w:rPr>
              <w:t>3 </w:t>
            </w:r>
            <w:r>
              <w:rPr>
                <w:rFonts w:ascii="Calibri Light"/>
                <w:b w:val="0"/>
                <w:sz w:val="22"/>
              </w:rPr>
              <w:t>(37.5%)</w:t>
            </w:r>
          </w:p>
        </w:tc>
        <w:tc>
          <w:tcPr>
            <w:tcW w:w="1244" w:type="dxa"/>
            <w:shd w:val="clear" w:color="auto" w:fill="2D74B5"/>
          </w:tcPr>
          <w:p>
            <w:pPr>
              <w:pStyle w:val="TableParagraph"/>
              <w:spacing w:line="265" w:lineRule="exact"/>
              <w:ind w:left="82" w:right="82"/>
              <w:rPr>
                <w:rFonts w:ascii="Calibri Light"/>
                <w:b w:val="0"/>
                <w:sz w:val="22"/>
              </w:rPr>
            </w:pPr>
            <w:r>
              <w:rPr>
                <w:sz w:val="22"/>
              </w:rPr>
              <w:t>3 </w:t>
            </w:r>
            <w:r>
              <w:rPr>
                <w:rFonts w:ascii="Calibri Light"/>
                <w:b w:val="0"/>
                <w:sz w:val="22"/>
              </w:rPr>
              <w:t>(37.5%)</w:t>
            </w:r>
          </w:p>
        </w:tc>
        <w:tc>
          <w:tcPr>
            <w:tcW w:w="1368" w:type="dxa"/>
            <w:tcBorders>
              <w:left w:val="single" w:sz="45" w:space="0" w:color="2D74B5"/>
            </w:tcBorders>
          </w:tcPr>
          <w:p>
            <w:pPr>
              <w:pStyle w:val="TableParagraph"/>
              <w:spacing w:line="265" w:lineRule="exact"/>
              <w:ind w:left="177" w:right="230"/>
              <w:rPr>
                <w:rFonts w:ascii="Calibri Light"/>
                <w:b w:val="0"/>
                <w:sz w:val="22"/>
              </w:rPr>
            </w:pPr>
            <w:r>
              <w:rPr>
                <w:sz w:val="22"/>
              </w:rPr>
              <w:t>1 </w:t>
            </w:r>
            <w:r>
              <w:rPr>
                <w:rFonts w:ascii="Calibri Light"/>
                <w:b w:val="0"/>
                <w:sz w:val="22"/>
              </w:rPr>
              <w:t>(12.5%)</w:t>
            </w:r>
          </w:p>
        </w:tc>
        <w:tc>
          <w:tcPr>
            <w:tcW w:w="1366" w:type="dxa"/>
          </w:tcPr>
          <w:p>
            <w:pPr>
              <w:pStyle w:val="TableParagraph"/>
              <w:spacing w:before="9"/>
              <w:ind w:left="614"/>
              <w:jc w:val="left"/>
              <w:rPr>
                <w:sz w:val="22"/>
              </w:rPr>
            </w:pPr>
            <w:r>
              <w:rPr>
                <w:w w:val="100"/>
                <w:sz w:val="22"/>
              </w:rPr>
              <w:t>0</w:t>
            </w:r>
          </w:p>
        </w:tc>
      </w:tr>
      <w:tr>
        <w:trPr>
          <w:trHeight w:val="413" w:hRule="exact"/>
        </w:trPr>
        <w:tc>
          <w:tcPr>
            <w:tcW w:w="3149" w:type="dxa"/>
            <w:gridSpan w:val="2"/>
          </w:tcPr>
          <w:p>
            <w:pPr>
              <w:pStyle w:val="TableParagraph"/>
              <w:spacing w:before="9"/>
              <w:ind w:left="712"/>
              <w:jc w:val="left"/>
              <w:rPr>
                <w:sz w:val="22"/>
              </w:rPr>
            </w:pPr>
            <w:r>
              <w:rPr>
                <w:sz w:val="22"/>
              </w:rPr>
              <w:t>Nivel Superior (8)</w:t>
            </w:r>
          </w:p>
        </w:tc>
        <w:tc>
          <w:tcPr>
            <w:tcW w:w="1150" w:type="dxa"/>
          </w:tcPr>
          <w:p>
            <w:pPr>
              <w:pStyle w:val="TableParagraph"/>
              <w:spacing w:before="9"/>
              <w:ind w:right="2"/>
              <w:rPr>
                <w:sz w:val="22"/>
              </w:rPr>
            </w:pPr>
            <w:r>
              <w:rPr>
                <w:w w:val="100"/>
                <w:sz w:val="22"/>
              </w:rPr>
              <w:t>0</w:t>
            </w:r>
          </w:p>
        </w:tc>
        <w:tc>
          <w:tcPr>
            <w:tcW w:w="1121" w:type="dxa"/>
          </w:tcPr>
          <w:p>
            <w:pPr>
              <w:pStyle w:val="TableParagraph"/>
              <w:spacing w:line="265" w:lineRule="exact"/>
              <w:ind w:left="85" w:right="86"/>
              <w:rPr>
                <w:rFonts w:ascii="Calibri Light"/>
                <w:b w:val="0"/>
                <w:sz w:val="22"/>
              </w:rPr>
            </w:pPr>
            <w:r>
              <w:rPr>
                <w:sz w:val="22"/>
              </w:rPr>
              <w:t>3 </w:t>
            </w:r>
            <w:r>
              <w:rPr>
                <w:rFonts w:ascii="Calibri Light"/>
                <w:b w:val="0"/>
                <w:sz w:val="22"/>
              </w:rPr>
              <w:t>(37.5%)</w:t>
            </w:r>
          </w:p>
        </w:tc>
        <w:tc>
          <w:tcPr>
            <w:tcW w:w="1244" w:type="dxa"/>
            <w:tcBorders>
              <w:right w:val="single" w:sz="41" w:space="0" w:color="9CC2E4"/>
            </w:tcBorders>
          </w:tcPr>
          <w:p>
            <w:pPr>
              <w:pStyle w:val="TableParagraph"/>
              <w:spacing w:before="9"/>
              <w:ind w:left="44"/>
              <w:rPr>
                <w:sz w:val="22"/>
              </w:rPr>
            </w:pPr>
            <w:r>
              <w:rPr>
                <w:w w:val="100"/>
                <w:sz w:val="22"/>
              </w:rPr>
              <w:t>0</w:t>
            </w:r>
          </w:p>
        </w:tc>
        <w:tc>
          <w:tcPr>
            <w:tcW w:w="1368" w:type="dxa"/>
            <w:shd w:val="clear" w:color="auto" w:fill="9CC2E4"/>
          </w:tcPr>
          <w:p>
            <w:pPr>
              <w:pStyle w:val="TableParagraph"/>
              <w:spacing w:line="265" w:lineRule="exact"/>
              <w:ind w:left="222" w:right="224"/>
              <w:rPr>
                <w:rFonts w:ascii="Calibri Light"/>
                <w:b w:val="0"/>
                <w:sz w:val="22"/>
              </w:rPr>
            </w:pPr>
            <w:r>
              <w:rPr>
                <w:sz w:val="22"/>
              </w:rPr>
              <w:t>5 </w:t>
            </w:r>
            <w:r>
              <w:rPr>
                <w:rFonts w:ascii="Calibri Light"/>
                <w:b w:val="0"/>
                <w:sz w:val="22"/>
              </w:rPr>
              <w:t>(62.5%)</w:t>
            </w:r>
          </w:p>
        </w:tc>
        <w:tc>
          <w:tcPr>
            <w:tcW w:w="1366" w:type="dxa"/>
            <w:tcBorders>
              <w:left w:val="thickThinMediumGap" w:sz="23" w:space="0" w:color="9CC2E4"/>
            </w:tcBorders>
          </w:tcPr>
          <w:p>
            <w:pPr>
              <w:pStyle w:val="TableParagraph"/>
              <w:spacing w:before="9"/>
              <w:ind w:left="561"/>
              <w:jc w:val="left"/>
              <w:rPr>
                <w:sz w:val="22"/>
              </w:rPr>
            </w:pPr>
            <w:r>
              <w:rPr>
                <w:w w:val="100"/>
                <w:sz w:val="22"/>
              </w:rPr>
              <w:t>0</w:t>
            </w:r>
          </w:p>
        </w:tc>
      </w:tr>
    </w:tbl>
    <w:p>
      <w:pPr>
        <w:spacing w:line="227" w:lineRule="exact" w:before="0"/>
        <w:ind w:left="891" w:right="339" w:firstLine="0"/>
        <w:jc w:val="left"/>
        <w:rPr>
          <w:b/>
          <w:sz w:val="20"/>
        </w:rPr>
      </w:pPr>
      <w:r>
        <w:rPr>
          <w:b/>
          <w:sz w:val="20"/>
        </w:rPr>
        <w:t>Tabla 4.51. Ingeniero en computación apropiado; respuestas por nivel de estudios</w:t>
      </w:r>
    </w:p>
    <w:p>
      <w:pPr>
        <w:pStyle w:val="BodyText"/>
        <w:spacing w:before="5"/>
        <w:rPr>
          <w:b/>
          <w:sz w:val="27"/>
        </w:rPr>
      </w:pPr>
    </w:p>
    <w:p>
      <w:pPr>
        <w:spacing w:line="360" w:lineRule="auto" w:before="0"/>
        <w:ind w:left="102" w:right="106" w:firstLine="707"/>
        <w:jc w:val="both"/>
        <w:rPr>
          <w:sz w:val="24"/>
        </w:rPr>
      </w:pPr>
      <w:r>
        <w:rPr>
          <w:sz w:val="24"/>
        </w:rPr>
        <w:t>La aseveración 18 es del tipo favorable ante los anglicismos y dicta: “</w:t>
      </w:r>
      <w:r>
        <w:rPr>
          <w:b/>
          <w:sz w:val="24"/>
        </w:rPr>
        <w:t>Los anuncios comerciales con un discurso como el de esta grabación se consideran sin</w:t>
      </w:r>
      <w:r>
        <w:rPr>
          <w:b/>
          <w:spacing w:val="-6"/>
          <w:sz w:val="24"/>
        </w:rPr>
        <w:t> </w:t>
      </w:r>
      <w:r>
        <w:rPr>
          <w:b/>
          <w:sz w:val="24"/>
        </w:rPr>
        <w:t>renombre</w:t>
      </w:r>
      <w:r>
        <w:rPr>
          <w:b/>
          <w:spacing w:val="-6"/>
          <w:sz w:val="24"/>
        </w:rPr>
        <w:t> </w:t>
      </w:r>
      <w:r>
        <w:rPr>
          <w:b/>
          <w:sz w:val="24"/>
        </w:rPr>
        <w:t>por</w:t>
      </w:r>
      <w:r>
        <w:rPr>
          <w:b/>
          <w:spacing w:val="-7"/>
          <w:sz w:val="24"/>
        </w:rPr>
        <w:t> </w:t>
      </w:r>
      <w:r>
        <w:rPr>
          <w:b/>
          <w:sz w:val="24"/>
        </w:rPr>
        <w:t>los</w:t>
      </w:r>
      <w:r>
        <w:rPr>
          <w:b/>
          <w:spacing w:val="-8"/>
          <w:sz w:val="24"/>
        </w:rPr>
        <w:t> </w:t>
      </w:r>
      <w:r>
        <w:rPr>
          <w:b/>
          <w:sz w:val="24"/>
        </w:rPr>
        <w:t>radioescuchas</w:t>
      </w:r>
      <w:r>
        <w:rPr>
          <w:sz w:val="24"/>
        </w:rPr>
        <w:t>”.</w:t>
      </w:r>
      <w:r>
        <w:rPr>
          <w:spacing w:val="-7"/>
          <w:sz w:val="24"/>
        </w:rPr>
        <w:t> </w:t>
      </w:r>
      <w:r>
        <w:rPr>
          <w:sz w:val="24"/>
        </w:rPr>
        <w:t>En</w:t>
      </w:r>
      <w:r>
        <w:rPr>
          <w:spacing w:val="-6"/>
          <w:sz w:val="24"/>
        </w:rPr>
        <w:t> </w:t>
      </w:r>
      <w:r>
        <w:rPr>
          <w:sz w:val="24"/>
        </w:rPr>
        <w:t>la</w:t>
      </w:r>
      <w:r>
        <w:rPr>
          <w:spacing w:val="-9"/>
          <w:sz w:val="24"/>
        </w:rPr>
        <w:t> </w:t>
      </w:r>
      <w:r>
        <w:rPr>
          <w:sz w:val="24"/>
        </w:rPr>
        <w:t>totalidad</w:t>
      </w:r>
      <w:r>
        <w:rPr>
          <w:spacing w:val="-8"/>
          <w:sz w:val="24"/>
        </w:rPr>
        <w:t> </w:t>
      </w:r>
      <w:r>
        <w:rPr>
          <w:sz w:val="24"/>
        </w:rPr>
        <w:t>de</w:t>
      </w:r>
      <w:r>
        <w:rPr>
          <w:spacing w:val="-8"/>
          <w:sz w:val="24"/>
        </w:rPr>
        <w:t> </w:t>
      </w:r>
      <w:r>
        <w:rPr>
          <w:sz w:val="24"/>
        </w:rPr>
        <w:t>la</w:t>
      </w:r>
      <w:r>
        <w:rPr>
          <w:spacing w:val="-9"/>
          <w:sz w:val="24"/>
        </w:rPr>
        <w:t> </w:t>
      </w:r>
      <w:r>
        <w:rPr>
          <w:sz w:val="24"/>
        </w:rPr>
        <w:t>población</w:t>
      </w:r>
      <w:r>
        <w:rPr>
          <w:spacing w:val="-2"/>
          <w:sz w:val="24"/>
        </w:rPr>
        <w:t> </w:t>
      </w:r>
      <w:r>
        <w:rPr>
          <w:sz w:val="24"/>
        </w:rPr>
        <w:t>(tabla</w:t>
      </w:r>
      <w:r>
        <w:rPr>
          <w:spacing w:val="-9"/>
          <w:sz w:val="24"/>
        </w:rPr>
        <w:t> </w:t>
      </w:r>
      <w:r>
        <w:rPr>
          <w:sz w:val="24"/>
        </w:rPr>
        <w:t>4.52.),</w:t>
      </w:r>
      <w:r>
        <w:rPr>
          <w:spacing w:val="-6"/>
          <w:sz w:val="24"/>
        </w:rPr>
        <w:t> </w:t>
      </w:r>
      <w:r>
        <w:rPr>
          <w:sz w:val="24"/>
        </w:rPr>
        <w:t>diez de 24 muestran estar “de acuerdo” con la aseveración y se respaldan con dos de 24 respuestas “muy de acuerdo”. En el caso de las mujeres, cinco de doce muestran afinidad con la aseveración; mientras que los hombres se consideran indefinidos ya</w:t>
      </w:r>
      <w:r>
        <w:rPr>
          <w:spacing w:val="2"/>
          <w:sz w:val="24"/>
        </w:rPr>
        <w:t> </w:t>
      </w:r>
      <w:r>
        <w:rPr>
          <w:sz w:val="24"/>
        </w:rPr>
        <w:t>que</w:t>
      </w:r>
    </w:p>
    <w:p>
      <w:pPr>
        <w:spacing w:after="0" w:line="360" w:lineRule="auto"/>
        <w:jc w:val="both"/>
        <w:rPr>
          <w:sz w:val="24"/>
        </w:rPr>
        <w:sectPr>
          <w:footerReference w:type="default" r:id="rId41"/>
          <w:pgSz w:w="12240" w:h="15840"/>
          <w:pgMar w:footer="1003" w:header="749" w:top="960" w:bottom="1200" w:left="1600" w:right="1020"/>
          <w:pgNumType w:start="71"/>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26"/>
      </w:pPr>
      <w:r>
        <w:rPr/>
        <w:t>esos cinco de doce respuestas se encuentran tanto en la opción “en desacuerdo” como en “de acuerdo” sin mostrar una mayoría.</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14"/>
        <w:gridCol w:w="1140"/>
        <w:gridCol w:w="1138"/>
        <w:gridCol w:w="1244"/>
        <w:gridCol w:w="1368"/>
        <w:gridCol w:w="1366"/>
      </w:tblGrid>
      <w:tr>
        <w:trPr>
          <w:trHeight w:val="408"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18</w:t>
            </w:r>
          </w:p>
        </w:tc>
        <w:tc>
          <w:tcPr>
            <w:tcW w:w="1714" w:type="dxa"/>
            <w:vMerge w:val="restart"/>
          </w:tcPr>
          <w:p>
            <w:pPr>
              <w:pStyle w:val="TableParagraph"/>
              <w:spacing w:line="357" w:lineRule="auto" w:before="12"/>
              <w:ind w:left="213" w:right="218" w:firstLine="5"/>
              <w:rPr>
                <w:b/>
                <w:sz w:val="22"/>
              </w:rPr>
            </w:pPr>
            <w:r>
              <w:rPr>
                <w:sz w:val="22"/>
              </w:rPr>
              <w:t>Tipo de Aseveración: </w:t>
            </w:r>
            <w:r>
              <w:rPr>
                <w:b/>
                <w:sz w:val="22"/>
              </w:rPr>
              <w:t>Favorable</w:t>
            </w:r>
          </w:p>
        </w:tc>
        <w:tc>
          <w:tcPr>
            <w:tcW w:w="6256" w:type="dxa"/>
            <w:gridSpan w:val="5"/>
          </w:tcPr>
          <w:p>
            <w:pPr>
              <w:pStyle w:val="TableParagraph"/>
              <w:spacing w:before="7"/>
              <w:ind w:left="2521" w:right="2521"/>
              <w:rPr>
                <w:sz w:val="22"/>
              </w:rPr>
            </w:pPr>
            <w:r>
              <w:rPr>
                <w:sz w:val="22"/>
              </w:rPr>
              <w:t>Respuestas</w:t>
            </w:r>
          </w:p>
        </w:tc>
      </w:tr>
      <w:tr>
        <w:trPr>
          <w:trHeight w:val="768" w:hRule="exact"/>
        </w:trPr>
        <w:tc>
          <w:tcPr>
            <w:tcW w:w="1428" w:type="dxa"/>
            <w:vMerge/>
          </w:tcPr>
          <w:p>
            <w:pPr/>
          </w:p>
        </w:tc>
        <w:tc>
          <w:tcPr>
            <w:tcW w:w="1714" w:type="dxa"/>
            <w:vMerge/>
          </w:tcPr>
          <w:p>
            <w:pPr/>
          </w:p>
        </w:tc>
        <w:tc>
          <w:tcPr>
            <w:tcW w:w="1140" w:type="dxa"/>
          </w:tcPr>
          <w:p>
            <w:pPr>
              <w:pStyle w:val="TableParagraph"/>
              <w:spacing w:line="360" w:lineRule="auto"/>
              <w:ind w:left="168" w:right="147" w:firstLine="36"/>
              <w:jc w:val="left"/>
              <w:rPr>
                <w:sz w:val="22"/>
              </w:rPr>
            </w:pPr>
            <w:r>
              <w:rPr>
                <w:sz w:val="22"/>
              </w:rPr>
              <w:t>Muy de acuerdo</w:t>
            </w:r>
          </w:p>
        </w:tc>
        <w:tc>
          <w:tcPr>
            <w:tcW w:w="1138" w:type="dxa"/>
          </w:tcPr>
          <w:p>
            <w:pPr>
              <w:pStyle w:val="TableParagraph"/>
              <w:spacing w:line="360" w:lineRule="auto"/>
              <w:ind w:left="165" w:right="147"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2" w:type="dxa"/>
            <w:gridSpan w:val="2"/>
          </w:tcPr>
          <w:p>
            <w:pPr>
              <w:pStyle w:val="TableParagraph"/>
              <w:spacing w:before="9"/>
              <w:ind w:left="323"/>
              <w:jc w:val="left"/>
              <w:rPr>
                <w:sz w:val="22"/>
              </w:rPr>
            </w:pPr>
            <w:r>
              <w:rPr>
                <w:sz w:val="22"/>
              </w:rPr>
              <w:t>Total de la población (24)</w:t>
            </w:r>
          </w:p>
        </w:tc>
        <w:tc>
          <w:tcPr>
            <w:tcW w:w="1140" w:type="dxa"/>
          </w:tcPr>
          <w:p>
            <w:pPr>
              <w:pStyle w:val="TableParagraph"/>
              <w:spacing w:line="265" w:lineRule="exact"/>
              <w:ind w:left="116" w:right="116"/>
              <w:rPr>
                <w:rFonts w:ascii="Calibri Light"/>
                <w:b w:val="0"/>
                <w:sz w:val="22"/>
              </w:rPr>
            </w:pPr>
            <w:r>
              <w:rPr>
                <w:sz w:val="22"/>
              </w:rPr>
              <w:t>2 </w:t>
            </w:r>
            <w:r>
              <w:rPr>
                <w:rFonts w:ascii="Calibri Light"/>
                <w:b w:val="0"/>
                <w:sz w:val="22"/>
              </w:rPr>
              <w:t>(8.3%)</w:t>
            </w:r>
          </w:p>
        </w:tc>
        <w:tc>
          <w:tcPr>
            <w:tcW w:w="1138" w:type="dxa"/>
            <w:shd w:val="clear" w:color="auto" w:fill="2D74B5"/>
          </w:tcPr>
          <w:p>
            <w:pPr>
              <w:pStyle w:val="TableParagraph"/>
              <w:spacing w:line="265" w:lineRule="exact"/>
              <w:ind w:left="103"/>
              <w:jc w:val="left"/>
              <w:rPr>
                <w:rFonts w:ascii="Calibri Light"/>
                <w:b w:val="0"/>
                <w:sz w:val="22"/>
              </w:rPr>
            </w:pPr>
            <w:r>
              <w:rPr>
                <w:sz w:val="22"/>
              </w:rPr>
              <w:t>10</w:t>
            </w:r>
            <w:r>
              <w:rPr>
                <w:rFonts w:ascii="Calibri Light"/>
                <w:b w:val="0"/>
                <w:sz w:val="22"/>
              </w:rPr>
              <w:t>(41.6%)</w:t>
            </w:r>
          </w:p>
        </w:tc>
        <w:tc>
          <w:tcPr>
            <w:tcW w:w="1244" w:type="dxa"/>
          </w:tcPr>
          <w:p>
            <w:pPr>
              <w:pStyle w:val="TableParagraph"/>
              <w:spacing w:line="265" w:lineRule="exact"/>
              <w:ind w:left="82" w:right="82"/>
              <w:rPr>
                <w:rFonts w:ascii="Calibri Light"/>
                <w:b w:val="0"/>
                <w:sz w:val="22"/>
              </w:rPr>
            </w:pPr>
            <w:r>
              <w:rPr>
                <w:sz w:val="22"/>
              </w:rPr>
              <w:t>5 </w:t>
            </w:r>
            <w:r>
              <w:rPr>
                <w:rFonts w:ascii="Calibri Light"/>
                <w:b w:val="0"/>
                <w:sz w:val="22"/>
              </w:rPr>
              <w:t>(20.8%)</w:t>
            </w:r>
          </w:p>
        </w:tc>
        <w:tc>
          <w:tcPr>
            <w:tcW w:w="1368" w:type="dxa"/>
          </w:tcPr>
          <w:p>
            <w:pPr>
              <w:pStyle w:val="TableParagraph"/>
              <w:spacing w:line="265" w:lineRule="exact"/>
              <w:ind w:left="222" w:right="224"/>
              <w:rPr>
                <w:rFonts w:ascii="Calibri Light"/>
                <w:b w:val="0"/>
                <w:sz w:val="22"/>
              </w:rPr>
            </w:pPr>
            <w:r>
              <w:rPr>
                <w:sz w:val="22"/>
              </w:rPr>
              <w:t>7 </w:t>
            </w:r>
            <w:r>
              <w:rPr>
                <w:rFonts w:ascii="Calibri Light"/>
                <w:b w:val="0"/>
                <w:sz w:val="22"/>
              </w:rPr>
              <w:t>(29.1%)</w:t>
            </w:r>
          </w:p>
        </w:tc>
        <w:tc>
          <w:tcPr>
            <w:tcW w:w="1366" w:type="dxa"/>
          </w:tcPr>
          <w:p>
            <w:pPr>
              <w:pStyle w:val="TableParagraph"/>
              <w:spacing w:before="9"/>
              <w:ind w:left="614"/>
              <w:jc w:val="left"/>
              <w:rPr>
                <w:sz w:val="22"/>
              </w:rPr>
            </w:pPr>
            <w:r>
              <w:rPr>
                <w:w w:val="100"/>
                <w:sz w:val="22"/>
              </w:rPr>
              <w:t>0</w:t>
            </w:r>
          </w:p>
        </w:tc>
      </w:tr>
      <w:tr>
        <w:trPr>
          <w:trHeight w:val="413" w:hRule="exact"/>
        </w:trPr>
        <w:tc>
          <w:tcPr>
            <w:tcW w:w="3142" w:type="dxa"/>
            <w:gridSpan w:val="2"/>
          </w:tcPr>
          <w:p>
            <w:pPr>
              <w:pStyle w:val="TableParagraph"/>
              <w:spacing w:before="9"/>
              <w:ind w:left="947"/>
              <w:jc w:val="left"/>
              <w:rPr>
                <w:sz w:val="22"/>
              </w:rPr>
            </w:pPr>
            <w:r>
              <w:rPr>
                <w:sz w:val="22"/>
              </w:rPr>
              <w:t>Mujeres (12)</w:t>
            </w:r>
          </w:p>
        </w:tc>
        <w:tc>
          <w:tcPr>
            <w:tcW w:w="1140" w:type="dxa"/>
          </w:tcPr>
          <w:p>
            <w:pPr>
              <w:pStyle w:val="TableParagraph"/>
              <w:spacing w:line="265" w:lineRule="exact"/>
              <w:ind w:left="116" w:right="116"/>
              <w:rPr>
                <w:rFonts w:ascii="Calibri Light"/>
                <w:b w:val="0"/>
                <w:sz w:val="22"/>
              </w:rPr>
            </w:pPr>
            <w:r>
              <w:rPr>
                <w:sz w:val="22"/>
              </w:rPr>
              <w:t>2 </w:t>
            </w:r>
            <w:r>
              <w:rPr>
                <w:rFonts w:ascii="Calibri Light"/>
                <w:b w:val="0"/>
                <w:sz w:val="22"/>
              </w:rPr>
              <w:t>(16.6%)</w:t>
            </w:r>
          </w:p>
        </w:tc>
        <w:tc>
          <w:tcPr>
            <w:tcW w:w="1138" w:type="dxa"/>
            <w:shd w:val="clear" w:color="auto" w:fill="2D74B5"/>
          </w:tcPr>
          <w:p>
            <w:pPr>
              <w:pStyle w:val="TableParagraph"/>
              <w:spacing w:line="265" w:lineRule="exact"/>
              <w:ind w:left="134"/>
              <w:jc w:val="left"/>
              <w:rPr>
                <w:rFonts w:ascii="Calibri Light"/>
                <w:b w:val="0"/>
                <w:sz w:val="22"/>
              </w:rPr>
            </w:pPr>
            <w:r>
              <w:rPr>
                <w:sz w:val="22"/>
              </w:rPr>
              <w:t>5 </w:t>
            </w:r>
            <w:r>
              <w:rPr>
                <w:rFonts w:ascii="Calibri Light"/>
                <w:b w:val="0"/>
                <w:sz w:val="22"/>
              </w:rPr>
              <w:t>(41.6%)</w:t>
            </w:r>
          </w:p>
        </w:tc>
        <w:tc>
          <w:tcPr>
            <w:tcW w:w="1244" w:type="dxa"/>
          </w:tcPr>
          <w:p>
            <w:pPr>
              <w:pStyle w:val="TableParagraph"/>
              <w:spacing w:line="265" w:lineRule="exact"/>
              <w:ind w:left="82" w:right="82"/>
              <w:rPr>
                <w:rFonts w:ascii="Calibri Light"/>
                <w:b w:val="0"/>
                <w:sz w:val="22"/>
              </w:rPr>
            </w:pPr>
            <w:r>
              <w:rPr>
                <w:sz w:val="22"/>
              </w:rPr>
              <w:t>3 </w:t>
            </w:r>
            <w:r>
              <w:rPr>
                <w:rFonts w:ascii="Calibri Light"/>
                <w:b w:val="0"/>
                <w:sz w:val="22"/>
              </w:rPr>
              <w:t>(25%)</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(16.6%)</w:t>
            </w:r>
          </w:p>
        </w:tc>
        <w:tc>
          <w:tcPr>
            <w:tcW w:w="1366" w:type="dxa"/>
          </w:tcPr>
          <w:p>
            <w:pPr>
              <w:pStyle w:val="TableParagraph"/>
              <w:spacing w:before="9"/>
              <w:ind w:left="614"/>
              <w:jc w:val="left"/>
              <w:rPr>
                <w:sz w:val="22"/>
              </w:rPr>
            </w:pPr>
            <w:r>
              <w:rPr>
                <w:w w:val="100"/>
                <w:sz w:val="22"/>
              </w:rPr>
              <w:t>0</w:t>
            </w:r>
          </w:p>
        </w:tc>
      </w:tr>
      <w:tr>
        <w:trPr>
          <w:trHeight w:val="413" w:hRule="exact"/>
        </w:trPr>
        <w:tc>
          <w:tcPr>
            <w:tcW w:w="3142" w:type="dxa"/>
            <w:gridSpan w:val="2"/>
          </w:tcPr>
          <w:p>
            <w:pPr>
              <w:pStyle w:val="TableParagraph"/>
              <w:spacing w:before="9"/>
              <w:ind w:left="892"/>
              <w:jc w:val="left"/>
              <w:rPr>
                <w:sz w:val="22"/>
              </w:rPr>
            </w:pPr>
            <w:r>
              <w:rPr>
                <w:sz w:val="22"/>
              </w:rPr>
              <w:t>Hombres (12)</w:t>
            </w:r>
          </w:p>
        </w:tc>
        <w:tc>
          <w:tcPr>
            <w:tcW w:w="1140" w:type="dxa"/>
            <w:tcBorders>
              <w:right w:val="single" w:sz="41" w:space="0" w:color="9CC2E4"/>
            </w:tcBorders>
          </w:tcPr>
          <w:p>
            <w:pPr>
              <w:pStyle w:val="TableParagraph"/>
              <w:spacing w:before="9"/>
              <w:ind w:left="46"/>
              <w:rPr>
                <w:sz w:val="22"/>
              </w:rPr>
            </w:pPr>
            <w:r>
              <w:rPr>
                <w:w w:val="100"/>
                <w:sz w:val="22"/>
              </w:rPr>
              <w:t>0</w:t>
            </w:r>
          </w:p>
        </w:tc>
        <w:tc>
          <w:tcPr>
            <w:tcW w:w="1138" w:type="dxa"/>
            <w:shd w:val="clear" w:color="auto" w:fill="9CC2E4"/>
          </w:tcPr>
          <w:p>
            <w:pPr>
              <w:pStyle w:val="TableParagraph"/>
              <w:spacing w:line="265" w:lineRule="exact"/>
              <w:ind w:left="134"/>
              <w:jc w:val="left"/>
              <w:rPr>
                <w:rFonts w:ascii="Calibri Light"/>
                <w:b w:val="0"/>
                <w:sz w:val="22"/>
              </w:rPr>
            </w:pPr>
            <w:r>
              <w:rPr>
                <w:sz w:val="22"/>
              </w:rPr>
              <w:t>5 </w:t>
            </w:r>
            <w:r>
              <w:rPr>
                <w:rFonts w:ascii="Calibri Light"/>
                <w:b w:val="0"/>
                <w:sz w:val="22"/>
              </w:rPr>
              <w:t>(41.6%)</w:t>
            </w:r>
          </w:p>
        </w:tc>
        <w:tc>
          <w:tcPr>
            <w:tcW w:w="1244" w:type="dxa"/>
            <w:tcBorders>
              <w:left w:val="single" w:sz="45" w:space="0" w:color="9CC2E4"/>
              <w:right w:val="single" w:sz="41" w:space="0" w:color="9CC2E4"/>
            </w:tcBorders>
          </w:tcPr>
          <w:p>
            <w:pPr>
              <w:pStyle w:val="TableParagraph"/>
              <w:spacing w:line="265" w:lineRule="exact"/>
              <w:ind w:left="117" w:right="119"/>
              <w:rPr>
                <w:rFonts w:ascii="Calibri Light"/>
                <w:b w:val="0"/>
                <w:sz w:val="22"/>
              </w:rPr>
            </w:pPr>
            <w:r>
              <w:rPr>
                <w:sz w:val="22"/>
              </w:rPr>
              <w:t>2 </w:t>
            </w:r>
            <w:r>
              <w:rPr>
                <w:rFonts w:ascii="Calibri Light"/>
                <w:b w:val="0"/>
                <w:sz w:val="22"/>
              </w:rPr>
              <w:t>(16.6%)</w:t>
            </w:r>
          </w:p>
        </w:tc>
        <w:tc>
          <w:tcPr>
            <w:tcW w:w="1368" w:type="dxa"/>
            <w:shd w:val="clear" w:color="auto" w:fill="9CC2E4"/>
          </w:tcPr>
          <w:p>
            <w:pPr>
              <w:pStyle w:val="TableParagraph"/>
              <w:spacing w:line="265" w:lineRule="exact"/>
              <w:ind w:left="222" w:right="224"/>
              <w:rPr>
                <w:rFonts w:ascii="Calibri Light"/>
                <w:b w:val="0"/>
                <w:sz w:val="22"/>
              </w:rPr>
            </w:pPr>
            <w:r>
              <w:rPr>
                <w:sz w:val="22"/>
              </w:rPr>
              <w:t>5 </w:t>
            </w:r>
            <w:r>
              <w:rPr>
                <w:rFonts w:ascii="Calibri Light"/>
                <w:b w:val="0"/>
                <w:sz w:val="22"/>
              </w:rPr>
              <w:t>(41.6%)</w:t>
            </w:r>
          </w:p>
        </w:tc>
        <w:tc>
          <w:tcPr>
            <w:tcW w:w="1366" w:type="dxa"/>
            <w:tcBorders>
              <w:left w:val="thickThinMediumGap" w:sz="23" w:space="0" w:color="9CC2E4"/>
            </w:tcBorders>
          </w:tcPr>
          <w:p>
            <w:pPr>
              <w:pStyle w:val="TableParagraph"/>
              <w:spacing w:before="9"/>
              <w:ind w:left="561"/>
              <w:jc w:val="left"/>
              <w:rPr>
                <w:sz w:val="22"/>
              </w:rPr>
            </w:pPr>
            <w:r>
              <w:rPr>
                <w:w w:val="100"/>
                <w:sz w:val="22"/>
              </w:rPr>
              <w:t>0</w:t>
            </w:r>
          </w:p>
        </w:tc>
      </w:tr>
    </w:tbl>
    <w:p>
      <w:pPr>
        <w:spacing w:line="362" w:lineRule="auto" w:before="0"/>
        <w:ind w:left="4473" w:right="339" w:hanging="4053"/>
        <w:jc w:val="left"/>
        <w:rPr>
          <w:b/>
          <w:sz w:val="20"/>
        </w:rPr>
      </w:pPr>
      <w:r>
        <w:rPr>
          <w:b/>
          <w:sz w:val="20"/>
        </w:rPr>
        <w:t>Tabla 4.52. Anuncio comercial de renombre; respuestas en la totalidad de la población y por género</w:t>
      </w:r>
    </w:p>
    <w:p>
      <w:pPr>
        <w:pStyle w:val="BodyText"/>
        <w:spacing w:before="6"/>
        <w:rPr>
          <w:b/>
          <w:sz w:val="17"/>
        </w:rPr>
      </w:pPr>
    </w:p>
    <w:p>
      <w:pPr>
        <w:pStyle w:val="BodyText"/>
        <w:spacing w:line="360" w:lineRule="auto"/>
        <w:ind w:left="102" w:right="113" w:firstLine="707"/>
        <w:jc w:val="both"/>
      </w:pPr>
      <w:r>
        <w:rPr/>
        <w:t>En cuanto a grupo de edad (tabla 4.53.), los grupos 2 (de 25 a 34 años), 3 (de 35 a 44 años) y 4 (de 45 a 64 años) muestran mayoría de respuestas “de acuerdo” con un 50%, mientras que el grupo 1, presenta una inclinación a desfavorecer el uso de anglicismos con un 33.3% “en desacuerdo” y un 33.3% “indiferente”.</w:t>
      </w:r>
    </w:p>
    <w:p>
      <w:pPr>
        <w:pStyle w:val="BodyText"/>
        <w:spacing w:before="8"/>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1"/>
        <w:gridCol w:w="1150"/>
        <w:gridCol w:w="1121"/>
        <w:gridCol w:w="1244"/>
        <w:gridCol w:w="1368"/>
        <w:gridCol w:w="1366"/>
      </w:tblGrid>
      <w:tr>
        <w:trPr>
          <w:trHeight w:val="408"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18</w:t>
            </w:r>
          </w:p>
        </w:tc>
        <w:tc>
          <w:tcPr>
            <w:tcW w:w="1721" w:type="dxa"/>
            <w:vMerge w:val="restart"/>
          </w:tcPr>
          <w:p>
            <w:pPr>
              <w:pStyle w:val="TableParagraph"/>
              <w:spacing w:line="357" w:lineRule="auto" w:before="12"/>
              <w:ind w:left="218" w:right="220" w:firstLine="5"/>
              <w:rPr>
                <w:b/>
                <w:sz w:val="22"/>
              </w:rPr>
            </w:pPr>
            <w:r>
              <w:rPr>
                <w:sz w:val="22"/>
              </w:rPr>
              <w:t>Tipo de Aseveración: </w:t>
            </w:r>
            <w:r>
              <w:rPr>
                <w:b/>
                <w:sz w:val="22"/>
              </w:rPr>
              <w:t>Favorable</w:t>
            </w:r>
          </w:p>
        </w:tc>
        <w:tc>
          <w:tcPr>
            <w:tcW w:w="6249" w:type="dxa"/>
            <w:gridSpan w:val="5"/>
          </w:tcPr>
          <w:p>
            <w:pPr>
              <w:pStyle w:val="TableParagraph"/>
              <w:spacing w:before="7"/>
              <w:ind w:left="2517" w:right="2517"/>
              <w:rPr>
                <w:sz w:val="22"/>
              </w:rPr>
            </w:pPr>
            <w:r>
              <w:rPr>
                <w:sz w:val="22"/>
              </w:rPr>
              <w:t>Respuestas</w:t>
            </w:r>
          </w:p>
        </w:tc>
      </w:tr>
      <w:tr>
        <w:trPr>
          <w:trHeight w:val="768" w:hRule="exact"/>
        </w:trPr>
        <w:tc>
          <w:tcPr>
            <w:tcW w:w="1428" w:type="dxa"/>
            <w:gridSpan w:val="2"/>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1 (6)</w:t>
            </w:r>
          </w:p>
        </w:tc>
        <w:tc>
          <w:tcPr>
            <w:tcW w:w="1150" w:type="dxa"/>
          </w:tcPr>
          <w:p>
            <w:pPr>
              <w:pStyle w:val="TableParagraph"/>
              <w:spacing w:line="265" w:lineRule="exact"/>
              <w:ind w:left="118" w:right="120"/>
              <w:rPr>
                <w:rFonts w:ascii="Calibri Light"/>
                <w:b w:val="0"/>
                <w:sz w:val="22"/>
              </w:rPr>
            </w:pPr>
            <w:r>
              <w:rPr>
                <w:sz w:val="22"/>
              </w:rPr>
              <w:t>1 </w:t>
            </w:r>
            <w:r>
              <w:rPr>
                <w:rFonts w:ascii="Calibri Light"/>
                <w:b w:val="0"/>
                <w:sz w:val="22"/>
              </w:rPr>
              <w:t>(16%)</w:t>
            </w:r>
          </w:p>
        </w:tc>
        <w:tc>
          <w:tcPr>
            <w:tcW w:w="1121" w:type="dxa"/>
            <w:tcBorders>
              <w:right w:val="single" w:sz="41" w:space="0" w:color="9CC2E4"/>
            </w:tcBorders>
          </w:tcPr>
          <w:p>
            <w:pPr>
              <w:pStyle w:val="TableParagraph"/>
              <w:spacing w:line="265" w:lineRule="exact"/>
              <w:ind w:left="102" w:right="60"/>
              <w:rPr>
                <w:rFonts w:ascii="Calibri Light"/>
                <w:b w:val="0"/>
                <w:sz w:val="22"/>
              </w:rPr>
            </w:pPr>
            <w:r>
              <w:rPr>
                <w:sz w:val="22"/>
              </w:rPr>
              <w:t>1 </w:t>
            </w:r>
            <w:r>
              <w:rPr>
                <w:rFonts w:ascii="Calibri Light"/>
                <w:b w:val="0"/>
                <w:sz w:val="22"/>
              </w:rPr>
              <w:t>(16%)</w:t>
            </w:r>
          </w:p>
        </w:tc>
        <w:tc>
          <w:tcPr>
            <w:tcW w:w="1244" w:type="dxa"/>
            <w:shd w:val="clear" w:color="auto" w:fill="9CC2E4"/>
          </w:tcPr>
          <w:p>
            <w:pPr>
              <w:pStyle w:val="TableParagraph"/>
              <w:spacing w:line="265" w:lineRule="exact"/>
              <w:ind w:left="82" w:right="82"/>
              <w:rPr>
                <w:rFonts w:ascii="Calibri Light"/>
                <w:b w:val="0"/>
                <w:sz w:val="22"/>
              </w:rPr>
            </w:pPr>
            <w:r>
              <w:rPr>
                <w:sz w:val="22"/>
              </w:rPr>
              <w:t>2 </w:t>
            </w:r>
            <w:r>
              <w:rPr>
                <w:rFonts w:ascii="Calibri Light"/>
                <w:b w:val="0"/>
                <w:sz w:val="22"/>
              </w:rPr>
              <w:t>(33.3%)</w:t>
            </w:r>
          </w:p>
        </w:tc>
        <w:tc>
          <w:tcPr>
            <w:tcW w:w="1368" w:type="dxa"/>
            <w:shd w:val="clear" w:color="auto" w:fill="9CC2E4"/>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Borders>
              <w:left w:val="thickThinMediumGap" w:sz="23" w:space="0" w:color="9CC2E4"/>
            </w:tcBorders>
          </w:tcPr>
          <w:p>
            <w:pPr>
              <w:pStyle w:val="TableParagraph"/>
              <w:spacing w:before="9"/>
              <w:ind w:left="561"/>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2 (6)</w:t>
            </w:r>
          </w:p>
        </w:tc>
        <w:tc>
          <w:tcPr>
            <w:tcW w:w="1150" w:type="dxa"/>
          </w:tcPr>
          <w:p>
            <w:pPr>
              <w:pStyle w:val="TableParagraph"/>
              <w:spacing w:before="9"/>
              <w:ind w:right="2"/>
              <w:rPr>
                <w:sz w:val="22"/>
              </w:rPr>
            </w:pPr>
            <w:r>
              <w:rPr>
                <w:w w:val="100"/>
                <w:sz w:val="22"/>
              </w:rPr>
              <w:t>0</w:t>
            </w:r>
          </w:p>
        </w:tc>
        <w:tc>
          <w:tcPr>
            <w:tcW w:w="1121" w:type="dxa"/>
            <w:shd w:val="clear" w:color="auto" w:fill="2D74B5"/>
          </w:tcPr>
          <w:p>
            <w:pPr>
              <w:pStyle w:val="TableParagraph"/>
              <w:spacing w:line="265" w:lineRule="exact"/>
              <w:ind w:left="85" w:right="87"/>
              <w:rPr>
                <w:rFonts w:ascii="Calibri Light"/>
                <w:b w:val="0"/>
                <w:sz w:val="22"/>
              </w:rPr>
            </w:pPr>
            <w:r>
              <w:rPr>
                <w:sz w:val="22"/>
              </w:rPr>
              <w:t>3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(16%)</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9"/>
              <w:ind w:left="614"/>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3 (6)</w:t>
            </w:r>
          </w:p>
        </w:tc>
        <w:tc>
          <w:tcPr>
            <w:tcW w:w="1150" w:type="dxa"/>
          </w:tcPr>
          <w:p>
            <w:pPr>
              <w:pStyle w:val="TableParagraph"/>
              <w:spacing w:line="265" w:lineRule="exact"/>
              <w:ind w:left="118" w:right="120"/>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5" w:lineRule="exact"/>
              <w:ind w:left="85" w:right="87"/>
              <w:rPr>
                <w:rFonts w:ascii="Calibri Light"/>
                <w:b w:val="0"/>
                <w:sz w:val="22"/>
              </w:rPr>
            </w:pPr>
            <w:r>
              <w:rPr>
                <w:sz w:val="22"/>
              </w:rPr>
              <w:t>3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(16%)</w:t>
            </w:r>
          </w:p>
        </w:tc>
        <w:tc>
          <w:tcPr>
            <w:tcW w:w="1368" w:type="dxa"/>
          </w:tcPr>
          <w:p>
            <w:pPr>
              <w:pStyle w:val="TableParagraph"/>
              <w:spacing w:line="265" w:lineRule="exact"/>
              <w:ind w:left="223" w:right="224"/>
              <w:rPr>
                <w:rFonts w:ascii="Calibri Light"/>
                <w:b w:val="0"/>
                <w:sz w:val="22"/>
              </w:rPr>
            </w:pPr>
            <w:r>
              <w:rPr>
                <w:sz w:val="22"/>
              </w:rPr>
              <w:t>1 </w:t>
            </w:r>
            <w:r>
              <w:rPr>
                <w:rFonts w:ascii="Calibri Light"/>
                <w:b w:val="0"/>
                <w:sz w:val="22"/>
              </w:rPr>
              <w:t>(16%)</w:t>
            </w:r>
          </w:p>
        </w:tc>
        <w:tc>
          <w:tcPr>
            <w:tcW w:w="1366" w:type="dxa"/>
          </w:tcPr>
          <w:p>
            <w:pPr>
              <w:pStyle w:val="TableParagraph"/>
              <w:spacing w:before="9"/>
              <w:ind w:left="614"/>
              <w:jc w:val="left"/>
              <w:rPr>
                <w:sz w:val="22"/>
              </w:rPr>
            </w:pPr>
            <w:r>
              <w:rPr>
                <w:w w:val="100"/>
                <w:sz w:val="22"/>
              </w:rPr>
              <w:t>0</w:t>
            </w:r>
          </w:p>
        </w:tc>
      </w:tr>
      <w:tr>
        <w:trPr>
          <w:trHeight w:val="415"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4 (6)</w:t>
            </w:r>
          </w:p>
        </w:tc>
        <w:tc>
          <w:tcPr>
            <w:tcW w:w="1150" w:type="dxa"/>
          </w:tcPr>
          <w:p>
            <w:pPr>
              <w:pStyle w:val="TableParagraph"/>
              <w:spacing w:before="9"/>
              <w:ind w:right="2"/>
              <w:rPr>
                <w:sz w:val="22"/>
              </w:rPr>
            </w:pPr>
            <w:r>
              <w:rPr>
                <w:w w:val="100"/>
                <w:sz w:val="22"/>
              </w:rPr>
              <w:t>0</w:t>
            </w:r>
          </w:p>
        </w:tc>
        <w:tc>
          <w:tcPr>
            <w:tcW w:w="1121" w:type="dxa"/>
            <w:shd w:val="clear" w:color="auto" w:fill="2D74B5"/>
          </w:tcPr>
          <w:p>
            <w:pPr>
              <w:pStyle w:val="TableParagraph"/>
              <w:spacing w:line="265" w:lineRule="exact"/>
              <w:ind w:left="85" w:right="87"/>
              <w:rPr>
                <w:rFonts w:ascii="Calibri Light"/>
                <w:b w:val="0"/>
                <w:sz w:val="22"/>
              </w:rPr>
            </w:pPr>
            <w:r>
              <w:rPr>
                <w:sz w:val="22"/>
              </w:rPr>
              <w:t>3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(16%)</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9"/>
              <w:ind w:left="614"/>
              <w:jc w:val="left"/>
              <w:rPr>
                <w:sz w:val="22"/>
              </w:rPr>
            </w:pPr>
            <w:r>
              <w:rPr>
                <w:w w:val="100"/>
                <w:sz w:val="22"/>
              </w:rPr>
              <w:t>0</w:t>
            </w:r>
          </w:p>
        </w:tc>
      </w:tr>
    </w:tbl>
    <w:p>
      <w:pPr>
        <w:spacing w:line="227" w:lineRule="exact" w:before="0"/>
        <w:ind w:left="1241" w:right="339" w:firstLine="0"/>
        <w:jc w:val="left"/>
        <w:rPr>
          <w:b/>
          <w:sz w:val="20"/>
        </w:rPr>
      </w:pPr>
      <w:r>
        <w:rPr>
          <w:b/>
          <w:sz w:val="20"/>
        </w:rPr>
        <w:t>Tabla 4.53. Anuncio comercial de renombre; respuestas por grupo de edad</w:t>
      </w:r>
    </w:p>
    <w:p>
      <w:pPr>
        <w:pStyle w:val="BodyText"/>
        <w:spacing w:before="5"/>
        <w:rPr>
          <w:b/>
          <w:sz w:val="27"/>
        </w:rPr>
      </w:pPr>
    </w:p>
    <w:p>
      <w:pPr>
        <w:pStyle w:val="BodyText"/>
        <w:spacing w:line="360" w:lineRule="auto"/>
        <w:ind w:left="102" w:right="109" w:firstLine="707"/>
        <w:jc w:val="both"/>
      </w:pPr>
      <w:r>
        <w:rPr/>
        <w:t>Por nivel educativo se puede observar que el nivel básico tiene mayoría de respuestas</w:t>
      </w:r>
      <w:r>
        <w:rPr>
          <w:spacing w:val="-14"/>
        </w:rPr>
        <w:t> </w:t>
      </w:r>
      <w:r>
        <w:rPr/>
        <w:t>“de</w:t>
      </w:r>
      <w:r>
        <w:rPr>
          <w:spacing w:val="-13"/>
        </w:rPr>
        <w:t> </w:t>
      </w:r>
      <w:r>
        <w:rPr/>
        <w:t>acuerdo”</w:t>
      </w:r>
      <w:r>
        <w:rPr>
          <w:spacing w:val="-15"/>
        </w:rPr>
        <w:t> </w:t>
      </w:r>
      <w:r>
        <w:rPr/>
        <w:t>con</w:t>
      </w:r>
      <w:r>
        <w:rPr>
          <w:spacing w:val="-15"/>
        </w:rPr>
        <w:t> </w:t>
      </w:r>
      <w:r>
        <w:rPr/>
        <w:t>la</w:t>
      </w:r>
      <w:r>
        <w:rPr>
          <w:spacing w:val="-16"/>
        </w:rPr>
        <w:t> </w:t>
      </w:r>
      <w:r>
        <w:rPr/>
        <w:t>aseveración</w:t>
      </w:r>
      <w:r>
        <w:rPr>
          <w:spacing w:val="-13"/>
        </w:rPr>
        <w:t> </w:t>
      </w:r>
      <w:r>
        <w:rPr/>
        <w:t>con</w:t>
      </w:r>
      <w:r>
        <w:rPr>
          <w:spacing w:val="-16"/>
        </w:rPr>
        <w:t> </w:t>
      </w:r>
      <w:r>
        <w:rPr/>
        <w:t>un</w:t>
      </w:r>
      <w:r>
        <w:rPr>
          <w:spacing w:val="-16"/>
        </w:rPr>
        <w:t> </w:t>
      </w:r>
      <w:r>
        <w:rPr/>
        <w:t>75%.</w:t>
      </w:r>
      <w:r>
        <w:rPr>
          <w:spacing w:val="-16"/>
        </w:rPr>
        <w:t> </w:t>
      </w:r>
      <w:r>
        <w:rPr/>
        <w:t>Por</w:t>
      </w:r>
      <w:r>
        <w:rPr>
          <w:spacing w:val="-17"/>
        </w:rPr>
        <w:t> </w:t>
      </w:r>
      <w:r>
        <w:rPr/>
        <w:t>el</w:t>
      </w:r>
      <w:r>
        <w:rPr>
          <w:spacing w:val="-14"/>
        </w:rPr>
        <w:t> </w:t>
      </w:r>
      <w:r>
        <w:rPr/>
        <w:t>contrario,</w:t>
      </w:r>
      <w:r>
        <w:rPr>
          <w:spacing w:val="-13"/>
        </w:rPr>
        <w:t> </w:t>
      </w:r>
      <w:r>
        <w:rPr/>
        <w:t>el</w:t>
      </w:r>
      <w:r>
        <w:rPr>
          <w:spacing w:val="-17"/>
        </w:rPr>
        <w:t> </w:t>
      </w:r>
      <w:r>
        <w:rPr/>
        <w:t>nivel</w:t>
      </w:r>
      <w:r>
        <w:rPr>
          <w:spacing w:val="-14"/>
        </w:rPr>
        <w:t> </w:t>
      </w:r>
      <w:r>
        <w:rPr/>
        <w:t>superior presenta un 50% de respuestas “en desacuerdo” y el nivel medio superior se muestra “indiferente” (ver tabla</w:t>
      </w:r>
      <w:r>
        <w:rPr>
          <w:spacing w:val="-11"/>
        </w:rPr>
        <w:t> </w:t>
      </w:r>
      <w:r>
        <w:rPr/>
        <w:t>4.54.).</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8"/>
        <w:gridCol w:w="1366"/>
      </w:tblGrid>
      <w:tr>
        <w:trPr>
          <w:trHeight w:val="406"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18</w:t>
            </w:r>
          </w:p>
        </w:tc>
        <w:tc>
          <w:tcPr>
            <w:tcW w:w="1721" w:type="dxa"/>
            <w:vMerge w:val="restart"/>
          </w:tcPr>
          <w:p>
            <w:pPr>
              <w:pStyle w:val="TableParagraph"/>
              <w:spacing w:line="357" w:lineRule="auto" w:before="12"/>
              <w:ind w:left="218" w:right="220" w:firstLine="5"/>
              <w:rPr>
                <w:b/>
                <w:sz w:val="22"/>
              </w:rPr>
            </w:pPr>
            <w:r>
              <w:rPr>
                <w:sz w:val="22"/>
              </w:rPr>
              <w:t>Tipo de Aseveración: </w:t>
            </w:r>
            <w:r>
              <w:rPr>
                <w:b/>
                <w:sz w:val="22"/>
              </w:rPr>
              <w:t>Favorable</w:t>
            </w:r>
          </w:p>
        </w:tc>
        <w:tc>
          <w:tcPr>
            <w:tcW w:w="6249" w:type="dxa"/>
            <w:gridSpan w:val="5"/>
          </w:tcPr>
          <w:p>
            <w:pPr>
              <w:pStyle w:val="TableParagraph"/>
              <w:spacing w:before="7"/>
              <w:ind w:left="2517" w:right="2517"/>
              <w:rPr>
                <w:sz w:val="22"/>
              </w:rPr>
            </w:pPr>
            <w:r>
              <w:rPr>
                <w:sz w:val="22"/>
              </w:rPr>
              <w:t>Respuestas</w:t>
            </w:r>
          </w:p>
        </w:tc>
      </w:tr>
      <w:tr>
        <w:trPr>
          <w:trHeight w:val="770" w:hRule="exact"/>
        </w:trPr>
        <w:tc>
          <w:tcPr>
            <w:tcW w:w="1428" w:type="dxa"/>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9"/>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9" w:type="dxa"/>
            <w:gridSpan w:val="2"/>
          </w:tcPr>
          <w:p>
            <w:pPr>
              <w:pStyle w:val="TableParagraph"/>
              <w:spacing w:before="9"/>
              <w:ind w:left="799"/>
              <w:jc w:val="left"/>
              <w:rPr>
                <w:sz w:val="22"/>
              </w:rPr>
            </w:pPr>
            <w:r>
              <w:rPr>
                <w:sz w:val="22"/>
              </w:rPr>
              <w:t>Nivel Básico (8)</w:t>
            </w:r>
          </w:p>
        </w:tc>
        <w:tc>
          <w:tcPr>
            <w:tcW w:w="1150" w:type="dxa"/>
            <w:tcBorders>
              <w:right w:val="single" w:sz="41" w:space="0" w:color="2D74B5"/>
            </w:tcBorders>
          </w:tcPr>
          <w:p>
            <w:pPr>
              <w:pStyle w:val="TableParagraph"/>
              <w:spacing w:line="265" w:lineRule="exact"/>
              <w:ind w:left="119" w:right="75"/>
              <w:rPr>
                <w:rFonts w:ascii="Calibri Light"/>
                <w:b w:val="0"/>
                <w:sz w:val="22"/>
              </w:rPr>
            </w:pPr>
            <w:r>
              <w:rPr>
                <w:sz w:val="22"/>
              </w:rPr>
              <w:t>1 </w:t>
            </w:r>
            <w:r>
              <w:rPr>
                <w:rFonts w:ascii="Calibri Light"/>
                <w:b w:val="0"/>
                <w:sz w:val="22"/>
              </w:rPr>
              <w:t>(12.5%)</w:t>
            </w:r>
          </w:p>
        </w:tc>
        <w:tc>
          <w:tcPr>
            <w:tcW w:w="1121" w:type="dxa"/>
            <w:shd w:val="clear" w:color="auto" w:fill="2D74B5"/>
          </w:tcPr>
          <w:p>
            <w:pPr>
              <w:pStyle w:val="TableParagraph"/>
              <w:spacing w:line="265" w:lineRule="exact"/>
              <w:ind w:left="85" w:right="87"/>
              <w:rPr>
                <w:rFonts w:ascii="Calibri Light"/>
                <w:b w:val="0"/>
                <w:sz w:val="22"/>
              </w:rPr>
            </w:pPr>
            <w:r>
              <w:rPr>
                <w:sz w:val="22"/>
              </w:rPr>
              <w:t>6 </w:t>
            </w:r>
            <w:r>
              <w:rPr>
                <w:rFonts w:ascii="Calibri Light"/>
                <w:b w:val="0"/>
                <w:sz w:val="22"/>
              </w:rPr>
              <w:t>(75%)</w:t>
            </w:r>
          </w:p>
        </w:tc>
        <w:tc>
          <w:tcPr>
            <w:tcW w:w="1244" w:type="dxa"/>
            <w:tcBorders>
              <w:left w:val="single" w:sz="45" w:space="0" w:color="2D74B5"/>
            </w:tcBorders>
          </w:tcPr>
          <w:p>
            <w:pPr>
              <w:pStyle w:val="TableParagraph"/>
              <w:spacing w:before="9"/>
              <w:ind w:right="52"/>
              <w:rPr>
                <w:sz w:val="22"/>
              </w:rPr>
            </w:pPr>
            <w:r>
              <w:rPr>
                <w:w w:val="100"/>
                <w:sz w:val="22"/>
              </w:rPr>
              <w:t>0</w:t>
            </w:r>
          </w:p>
        </w:tc>
        <w:tc>
          <w:tcPr>
            <w:tcW w:w="1368" w:type="dxa"/>
          </w:tcPr>
          <w:p>
            <w:pPr>
              <w:pStyle w:val="TableParagraph"/>
              <w:spacing w:line="265" w:lineRule="exact"/>
              <w:ind w:left="222" w:right="224"/>
              <w:rPr>
                <w:rFonts w:ascii="Calibri Light"/>
                <w:b w:val="0"/>
                <w:sz w:val="22"/>
              </w:rPr>
            </w:pPr>
            <w:r>
              <w:rPr>
                <w:sz w:val="22"/>
              </w:rPr>
              <w:t>1 </w:t>
            </w:r>
            <w:r>
              <w:rPr>
                <w:rFonts w:ascii="Calibri Light"/>
                <w:b w:val="0"/>
                <w:sz w:val="22"/>
              </w:rPr>
              <w:t>(12.5%)</w:t>
            </w:r>
          </w:p>
        </w:tc>
        <w:tc>
          <w:tcPr>
            <w:tcW w:w="1366" w:type="dxa"/>
          </w:tcPr>
          <w:p>
            <w:pPr>
              <w:pStyle w:val="TableParagraph"/>
              <w:spacing w:before="9"/>
              <w:ind w:left="614"/>
              <w:jc w:val="left"/>
              <w:rPr>
                <w:sz w:val="22"/>
              </w:rPr>
            </w:pPr>
            <w:r>
              <w:rPr>
                <w:w w:val="100"/>
                <w:sz w:val="22"/>
              </w:rPr>
              <w:t>0</w:t>
            </w:r>
          </w:p>
        </w:tc>
      </w:tr>
      <w:tr>
        <w:trPr>
          <w:trHeight w:val="413" w:hRule="exact"/>
        </w:trPr>
        <w:tc>
          <w:tcPr>
            <w:tcW w:w="3149" w:type="dxa"/>
            <w:gridSpan w:val="2"/>
          </w:tcPr>
          <w:p>
            <w:pPr>
              <w:pStyle w:val="TableParagraph"/>
              <w:spacing w:before="9"/>
              <w:ind w:left="383"/>
              <w:jc w:val="left"/>
              <w:rPr>
                <w:sz w:val="22"/>
              </w:rPr>
            </w:pPr>
            <w:r>
              <w:rPr>
                <w:sz w:val="22"/>
              </w:rPr>
              <w:t>Nivel Medio Superior (8)</w:t>
            </w:r>
          </w:p>
        </w:tc>
        <w:tc>
          <w:tcPr>
            <w:tcW w:w="1150" w:type="dxa"/>
          </w:tcPr>
          <w:p>
            <w:pPr>
              <w:pStyle w:val="TableParagraph"/>
              <w:spacing w:before="9"/>
              <w:ind w:right="2"/>
              <w:rPr>
                <w:sz w:val="22"/>
              </w:rPr>
            </w:pPr>
            <w:r>
              <w:rPr>
                <w:w w:val="100"/>
                <w:sz w:val="22"/>
              </w:rPr>
              <w:t>0</w:t>
            </w:r>
          </w:p>
        </w:tc>
        <w:tc>
          <w:tcPr>
            <w:tcW w:w="1121" w:type="dxa"/>
            <w:tcBorders>
              <w:right w:val="single" w:sz="41" w:space="0" w:color="2D74B5"/>
            </w:tcBorders>
          </w:tcPr>
          <w:p>
            <w:pPr>
              <w:pStyle w:val="TableParagraph"/>
              <w:spacing w:line="265" w:lineRule="exact"/>
              <w:ind w:left="102" w:right="60"/>
              <w:rPr>
                <w:rFonts w:ascii="Calibri Light"/>
                <w:b w:val="0"/>
                <w:sz w:val="22"/>
              </w:rPr>
            </w:pPr>
            <w:r>
              <w:rPr>
                <w:sz w:val="22"/>
              </w:rPr>
              <w:t>2 </w:t>
            </w:r>
            <w:r>
              <w:rPr>
                <w:rFonts w:ascii="Calibri Light"/>
                <w:b w:val="0"/>
                <w:sz w:val="22"/>
              </w:rPr>
              <w:t>(25%)</w:t>
            </w:r>
          </w:p>
        </w:tc>
        <w:tc>
          <w:tcPr>
            <w:tcW w:w="1244" w:type="dxa"/>
            <w:shd w:val="clear" w:color="auto" w:fill="2D74B5"/>
          </w:tcPr>
          <w:p>
            <w:pPr>
              <w:pStyle w:val="TableParagraph"/>
              <w:spacing w:line="265" w:lineRule="exact"/>
              <w:ind w:left="82" w:right="82"/>
              <w:rPr>
                <w:rFonts w:ascii="Calibri Light"/>
                <w:b w:val="0"/>
                <w:sz w:val="22"/>
              </w:rPr>
            </w:pPr>
            <w:r>
              <w:rPr>
                <w:sz w:val="22"/>
              </w:rPr>
              <w:t>4 </w:t>
            </w:r>
            <w:r>
              <w:rPr>
                <w:rFonts w:ascii="Calibri Light"/>
                <w:b w:val="0"/>
                <w:sz w:val="22"/>
              </w:rPr>
              <w:t>(50%)</w:t>
            </w:r>
          </w:p>
        </w:tc>
        <w:tc>
          <w:tcPr>
            <w:tcW w:w="1368" w:type="dxa"/>
            <w:tcBorders>
              <w:left w:val="single" w:sz="45" w:space="0" w:color="2D74B5"/>
            </w:tcBorders>
          </w:tcPr>
          <w:p>
            <w:pPr>
              <w:pStyle w:val="TableParagraph"/>
              <w:spacing w:line="265" w:lineRule="exact"/>
              <w:ind w:left="177" w:right="228"/>
              <w:rPr>
                <w:rFonts w:ascii="Calibri Light"/>
                <w:b w:val="0"/>
                <w:sz w:val="22"/>
              </w:rPr>
            </w:pPr>
            <w:r>
              <w:rPr>
                <w:sz w:val="22"/>
              </w:rPr>
              <w:t>2 </w:t>
            </w:r>
            <w:r>
              <w:rPr>
                <w:rFonts w:ascii="Calibri Light"/>
                <w:b w:val="0"/>
                <w:sz w:val="22"/>
              </w:rPr>
              <w:t>(25%)</w:t>
            </w:r>
          </w:p>
        </w:tc>
        <w:tc>
          <w:tcPr>
            <w:tcW w:w="1366" w:type="dxa"/>
          </w:tcPr>
          <w:p>
            <w:pPr>
              <w:pStyle w:val="TableParagraph"/>
              <w:spacing w:before="9"/>
              <w:ind w:left="614"/>
              <w:jc w:val="left"/>
              <w:rPr>
                <w:sz w:val="22"/>
              </w:rPr>
            </w:pPr>
            <w:r>
              <w:rPr>
                <w:w w:val="100"/>
                <w:sz w:val="22"/>
              </w:rPr>
              <w:t>0</w:t>
            </w:r>
          </w:p>
        </w:tc>
      </w:tr>
      <w:tr>
        <w:trPr>
          <w:trHeight w:val="413" w:hRule="exact"/>
        </w:trPr>
        <w:tc>
          <w:tcPr>
            <w:tcW w:w="3149" w:type="dxa"/>
            <w:gridSpan w:val="2"/>
          </w:tcPr>
          <w:p>
            <w:pPr>
              <w:pStyle w:val="TableParagraph"/>
              <w:spacing w:before="9"/>
              <w:ind w:left="712"/>
              <w:jc w:val="left"/>
              <w:rPr>
                <w:sz w:val="22"/>
              </w:rPr>
            </w:pPr>
            <w:r>
              <w:rPr>
                <w:sz w:val="22"/>
              </w:rPr>
              <w:t>Nivel Superior (8)</w:t>
            </w:r>
          </w:p>
        </w:tc>
        <w:tc>
          <w:tcPr>
            <w:tcW w:w="1150" w:type="dxa"/>
          </w:tcPr>
          <w:p>
            <w:pPr>
              <w:pStyle w:val="TableParagraph"/>
              <w:spacing w:line="265" w:lineRule="exact"/>
              <w:ind w:left="120" w:right="120"/>
              <w:rPr>
                <w:rFonts w:ascii="Calibri Light"/>
                <w:b w:val="0"/>
                <w:sz w:val="22"/>
              </w:rPr>
            </w:pPr>
            <w:r>
              <w:rPr>
                <w:sz w:val="22"/>
              </w:rPr>
              <w:t>1 </w:t>
            </w:r>
            <w:r>
              <w:rPr>
                <w:rFonts w:ascii="Calibri Light"/>
                <w:b w:val="0"/>
                <w:sz w:val="22"/>
              </w:rPr>
              <w:t>(12.5%)</w:t>
            </w:r>
          </w:p>
        </w:tc>
        <w:tc>
          <w:tcPr>
            <w:tcW w:w="1121" w:type="dxa"/>
          </w:tcPr>
          <w:p>
            <w:pPr>
              <w:pStyle w:val="TableParagraph"/>
              <w:spacing w:line="265" w:lineRule="exact"/>
              <w:ind w:left="85" w:right="87"/>
              <w:rPr>
                <w:rFonts w:ascii="Calibri Light"/>
                <w:b w:val="0"/>
                <w:sz w:val="22"/>
              </w:rPr>
            </w:pPr>
            <w:r>
              <w:rPr>
                <w:sz w:val="22"/>
              </w:rPr>
              <w:t>2 </w:t>
            </w:r>
            <w:r>
              <w:rPr>
                <w:rFonts w:ascii="Calibri Light"/>
                <w:b w:val="0"/>
                <w:sz w:val="22"/>
              </w:rPr>
              <w:t>(25%)</w:t>
            </w:r>
          </w:p>
        </w:tc>
        <w:tc>
          <w:tcPr>
            <w:tcW w:w="1244" w:type="dxa"/>
            <w:tcBorders>
              <w:right w:val="single" w:sz="41" w:space="0" w:color="2D74B5"/>
            </w:tcBorders>
          </w:tcPr>
          <w:p>
            <w:pPr>
              <w:pStyle w:val="TableParagraph"/>
              <w:spacing w:line="265" w:lineRule="exact"/>
              <w:ind w:left="167" w:right="121"/>
              <w:rPr>
                <w:rFonts w:ascii="Calibri Light"/>
                <w:b w:val="0"/>
                <w:sz w:val="22"/>
              </w:rPr>
            </w:pPr>
            <w:r>
              <w:rPr>
                <w:sz w:val="22"/>
              </w:rPr>
              <w:t>1 </w:t>
            </w:r>
            <w:r>
              <w:rPr>
                <w:rFonts w:ascii="Calibri Light"/>
                <w:b w:val="0"/>
                <w:sz w:val="22"/>
              </w:rPr>
              <w:t>(12.5%)</w:t>
            </w:r>
          </w:p>
        </w:tc>
        <w:tc>
          <w:tcPr>
            <w:tcW w:w="1368" w:type="dxa"/>
            <w:shd w:val="clear" w:color="auto" w:fill="2D74B5"/>
          </w:tcPr>
          <w:p>
            <w:pPr>
              <w:pStyle w:val="TableParagraph"/>
              <w:spacing w:line="265" w:lineRule="exact"/>
              <w:ind w:left="223" w:right="224"/>
              <w:rPr>
                <w:rFonts w:ascii="Calibri Light"/>
                <w:b w:val="0"/>
                <w:sz w:val="22"/>
              </w:rPr>
            </w:pPr>
            <w:r>
              <w:rPr>
                <w:sz w:val="22"/>
              </w:rPr>
              <w:t>4 </w:t>
            </w:r>
            <w:r>
              <w:rPr>
                <w:rFonts w:ascii="Calibri Light"/>
                <w:b w:val="0"/>
                <w:sz w:val="22"/>
              </w:rPr>
              <w:t>(50%)</w:t>
            </w:r>
          </w:p>
        </w:tc>
        <w:tc>
          <w:tcPr>
            <w:tcW w:w="1366" w:type="dxa"/>
            <w:tcBorders>
              <w:left w:val="thickThinMediumGap" w:sz="23" w:space="0" w:color="2D74B5"/>
            </w:tcBorders>
          </w:tcPr>
          <w:p>
            <w:pPr>
              <w:pStyle w:val="TableParagraph"/>
              <w:spacing w:before="9"/>
              <w:ind w:left="561"/>
              <w:jc w:val="left"/>
              <w:rPr>
                <w:sz w:val="22"/>
              </w:rPr>
            </w:pPr>
            <w:r>
              <w:rPr>
                <w:w w:val="100"/>
                <w:sz w:val="22"/>
              </w:rPr>
              <w:t>0</w:t>
            </w:r>
          </w:p>
        </w:tc>
      </w:tr>
    </w:tbl>
    <w:p>
      <w:pPr>
        <w:spacing w:line="227" w:lineRule="exact" w:before="0"/>
        <w:ind w:left="1119" w:right="339" w:firstLine="0"/>
        <w:jc w:val="left"/>
        <w:rPr>
          <w:b/>
          <w:sz w:val="20"/>
        </w:rPr>
      </w:pPr>
      <w:r>
        <w:rPr>
          <w:b/>
          <w:sz w:val="20"/>
        </w:rPr>
        <w:t>Tabla 4.54. Anuncio comercial de renombre; respuestas por nivel de estudios</w:t>
      </w:r>
    </w:p>
    <w:p>
      <w:pPr>
        <w:pStyle w:val="BodyText"/>
        <w:spacing w:before="5"/>
        <w:rPr>
          <w:b/>
          <w:sz w:val="27"/>
        </w:rPr>
      </w:pPr>
    </w:p>
    <w:p>
      <w:pPr>
        <w:spacing w:line="360" w:lineRule="auto" w:before="0"/>
        <w:ind w:left="102" w:right="105" w:firstLine="707"/>
        <w:jc w:val="both"/>
        <w:rPr>
          <w:sz w:val="24"/>
        </w:rPr>
      </w:pPr>
      <w:r>
        <w:rPr>
          <w:sz w:val="24"/>
        </w:rPr>
        <w:t>La aseveración 19 establece que: “</w:t>
      </w:r>
      <w:r>
        <w:rPr>
          <w:b/>
          <w:sz w:val="24"/>
        </w:rPr>
        <w:t>Es probable que en un entorno formal educativo se produjera un texto como en esta grabación</w:t>
      </w:r>
      <w:r>
        <w:rPr>
          <w:sz w:val="24"/>
        </w:rPr>
        <w:t>” y es del tipo desfavorable. En el análisis en la totalidad de la población encuestada, los sujetos establecieron </w:t>
      </w:r>
      <w:r>
        <w:rPr>
          <w:spacing w:val="2"/>
          <w:sz w:val="24"/>
        </w:rPr>
        <w:t>estar </w:t>
      </w:r>
      <w:r>
        <w:rPr>
          <w:sz w:val="24"/>
        </w:rPr>
        <w:t>“de</w:t>
      </w:r>
      <w:r>
        <w:rPr>
          <w:spacing w:val="-9"/>
          <w:sz w:val="24"/>
        </w:rPr>
        <w:t> </w:t>
      </w:r>
      <w:r>
        <w:rPr>
          <w:sz w:val="24"/>
        </w:rPr>
        <w:t>acuerdo”</w:t>
      </w:r>
      <w:r>
        <w:rPr>
          <w:spacing w:val="-11"/>
          <w:sz w:val="24"/>
        </w:rPr>
        <w:t> </w:t>
      </w:r>
      <w:r>
        <w:rPr>
          <w:sz w:val="24"/>
        </w:rPr>
        <w:t>con</w:t>
      </w:r>
      <w:r>
        <w:rPr>
          <w:spacing w:val="-9"/>
          <w:sz w:val="24"/>
        </w:rPr>
        <w:t> </w:t>
      </w:r>
      <w:r>
        <w:rPr>
          <w:sz w:val="24"/>
        </w:rPr>
        <w:t>la</w:t>
      </w:r>
      <w:r>
        <w:rPr>
          <w:spacing w:val="-10"/>
          <w:sz w:val="24"/>
        </w:rPr>
        <w:t> </w:t>
      </w:r>
      <w:r>
        <w:rPr>
          <w:sz w:val="24"/>
        </w:rPr>
        <w:t>grabación</w:t>
      </w:r>
      <w:r>
        <w:rPr>
          <w:spacing w:val="-9"/>
          <w:sz w:val="24"/>
        </w:rPr>
        <w:t> </w:t>
      </w:r>
      <w:r>
        <w:rPr>
          <w:sz w:val="24"/>
        </w:rPr>
        <w:t>sin</w:t>
      </w:r>
      <w:r>
        <w:rPr>
          <w:spacing w:val="-9"/>
          <w:sz w:val="24"/>
        </w:rPr>
        <w:t> </w:t>
      </w:r>
      <w:r>
        <w:rPr>
          <w:sz w:val="24"/>
        </w:rPr>
        <w:t>anglicismos</w:t>
      </w:r>
      <w:r>
        <w:rPr>
          <w:spacing w:val="-12"/>
          <w:sz w:val="24"/>
        </w:rPr>
        <w:t> </w:t>
      </w:r>
      <w:r>
        <w:rPr>
          <w:sz w:val="24"/>
        </w:rPr>
        <w:t>con</w:t>
      </w:r>
      <w:r>
        <w:rPr>
          <w:spacing w:val="-9"/>
          <w:sz w:val="24"/>
        </w:rPr>
        <w:t> </w:t>
      </w:r>
      <w:r>
        <w:rPr>
          <w:sz w:val="24"/>
        </w:rPr>
        <w:t>un</w:t>
      </w:r>
      <w:r>
        <w:rPr>
          <w:spacing w:val="-9"/>
          <w:sz w:val="24"/>
        </w:rPr>
        <w:t> </w:t>
      </w:r>
      <w:r>
        <w:rPr>
          <w:sz w:val="24"/>
        </w:rPr>
        <w:t>62.5%,</w:t>
      </w:r>
      <w:r>
        <w:rPr>
          <w:spacing w:val="-10"/>
          <w:sz w:val="24"/>
        </w:rPr>
        <w:t> </w:t>
      </w:r>
      <w:r>
        <w:rPr>
          <w:sz w:val="24"/>
        </w:rPr>
        <w:t>de</w:t>
      </w:r>
      <w:r>
        <w:rPr>
          <w:spacing w:val="-9"/>
          <w:sz w:val="24"/>
        </w:rPr>
        <w:t> </w:t>
      </w:r>
      <w:r>
        <w:rPr>
          <w:sz w:val="24"/>
        </w:rPr>
        <w:t>los</w:t>
      </w:r>
      <w:r>
        <w:rPr>
          <w:spacing w:val="-10"/>
          <w:sz w:val="24"/>
        </w:rPr>
        <w:t> </w:t>
      </w:r>
      <w:r>
        <w:rPr>
          <w:sz w:val="24"/>
        </w:rPr>
        <w:t>cuales,</w:t>
      </w:r>
      <w:r>
        <w:rPr>
          <w:spacing w:val="-9"/>
          <w:sz w:val="24"/>
        </w:rPr>
        <w:t> </w:t>
      </w:r>
      <w:r>
        <w:rPr>
          <w:sz w:val="24"/>
        </w:rPr>
        <w:t>siete</w:t>
      </w:r>
      <w:r>
        <w:rPr>
          <w:spacing w:val="-11"/>
          <w:sz w:val="24"/>
        </w:rPr>
        <w:t> </w:t>
      </w:r>
      <w:r>
        <w:rPr>
          <w:sz w:val="24"/>
        </w:rPr>
        <w:t>de</w:t>
      </w:r>
      <w:r>
        <w:rPr>
          <w:spacing w:val="-11"/>
          <w:sz w:val="24"/>
        </w:rPr>
        <w:t> </w:t>
      </w:r>
      <w:r>
        <w:rPr>
          <w:sz w:val="24"/>
        </w:rPr>
        <w:t>doce mujeres lo reafirmaron y ocho de doce hombres también lo hicieron (ver tabla</w:t>
      </w:r>
      <w:r>
        <w:rPr>
          <w:spacing w:val="-25"/>
          <w:sz w:val="24"/>
        </w:rPr>
        <w:t> </w:t>
      </w:r>
      <w:r>
        <w:rPr>
          <w:sz w:val="24"/>
        </w:rPr>
        <w:t>4.55.).</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9"/>
        <w:gridCol w:w="1661"/>
        <w:gridCol w:w="1073"/>
        <w:gridCol w:w="1137"/>
        <w:gridCol w:w="1271"/>
        <w:gridCol w:w="1395"/>
        <w:gridCol w:w="1402"/>
      </w:tblGrid>
      <w:tr>
        <w:trPr>
          <w:trHeight w:val="406" w:hRule="exact"/>
        </w:trPr>
        <w:tc>
          <w:tcPr>
            <w:tcW w:w="1459" w:type="dxa"/>
            <w:vMerge w:val="restart"/>
          </w:tcPr>
          <w:p>
            <w:pPr>
              <w:pStyle w:val="TableParagraph"/>
              <w:spacing w:before="6"/>
              <w:jc w:val="left"/>
              <w:rPr>
                <w:sz w:val="17"/>
              </w:rPr>
            </w:pPr>
          </w:p>
          <w:p>
            <w:pPr>
              <w:pStyle w:val="TableParagraph"/>
              <w:ind w:left="99" w:right="99"/>
              <w:rPr>
                <w:sz w:val="22"/>
              </w:rPr>
            </w:pPr>
            <w:r>
              <w:rPr>
                <w:sz w:val="22"/>
              </w:rPr>
              <w:t>Aseveración</w:t>
            </w:r>
          </w:p>
          <w:p>
            <w:pPr>
              <w:pStyle w:val="TableParagraph"/>
              <w:spacing w:before="124"/>
              <w:ind w:left="99" w:right="99"/>
              <w:rPr>
                <w:b/>
                <w:sz w:val="22"/>
              </w:rPr>
            </w:pPr>
            <w:r>
              <w:rPr>
                <w:b/>
                <w:sz w:val="22"/>
              </w:rPr>
              <w:t>19</w:t>
            </w:r>
          </w:p>
        </w:tc>
        <w:tc>
          <w:tcPr>
            <w:tcW w:w="1661" w:type="dxa"/>
            <w:vMerge w:val="restart"/>
          </w:tcPr>
          <w:p>
            <w:pPr>
              <w:pStyle w:val="TableParagraph"/>
              <w:spacing w:line="357" w:lineRule="auto" w:before="12"/>
              <w:ind w:left="131" w:right="135" w:firstLine="4"/>
              <w:rPr>
                <w:b/>
                <w:sz w:val="22"/>
              </w:rPr>
            </w:pPr>
            <w:r>
              <w:rPr>
                <w:sz w:val="22"/>
              </w:rPr>
              <w:t>Tipo de Aseveración: </w:t>
            </w:r>
            <w:r>
              <w:rPr>
                <w:b/>
                <w:sz w:val="22"/>
              </w:rPr>
              <w:t>Desfavorable</w:t>
            </w:r>
          </w:p>
        </w:tc>
        <w:tc>
          <w:tcPr>
            <w:tcW w:w="6277" w:type="dxa"/>
            <w:gridSpan w:val="5"/>
          </w:tcPr>
          <w:p>
            <w:pPr>
              <w:pStyle w:val="TableParagraph"/>
              <w:spacing w:before="7"/>
              <w:ind w:left="2531" w:right="2534"/>
              <w:rPr>
                <w:sz w:val="22"/>
              </w:rPr>
            </w:pPr>
            <w:r>
              <w:rPr>
                <w:sz w:val="22"/>
              </w:rPr>
              <w:t>Respuestas</w:t>
            </w:r>
          </w:p>
        </w:tc>
      </w:tr>
      <w:tr>
        <w:trPr>
          <w:trHeight w:val="770" w:hRule="exact"/>
        </w:trPr>
        <w:tc>
          <w:tcPr>
            <w:tcW w:w="1459" w:type="dxa"/>
            <w:vMerge/>
          </w:tcPr>
          <w:p>
            <w:pPr/>
          </w:p>
        </w:tc>
        <w:tc>
          <w:tcPr>
            <w:tcW w:w="1661" w:type="dxa"/>
            <w:vMerge/>
          </w:tcPr>
          <w:p>
            <w:pPr/>
          </w:p>
        </w:tc>
        <w:tc>
          <w:tcPr>
            <w:tcW w:w="1073" w:type="dxa"/>
          </w:tcPr>
          <w:p>
            <w:pPr>
              <w:pStyle w:val="TableParagraph"/>
              <w:spacing w:line="360" w:lineRule="auto"/>
              <w:ind w:left="131" w:right="117" w:firstLine="36"/>
              <w:jc w:val="left"/>
              <w:rPr>
                <w:sz w:val="22"/>
              </w:rPr>
            </w:pPr>
            <w:r>
              <w:rPr>
                <w:sz w:val="22"/>
              </w:rPr>
              <w:t>Muy de acuerdo</w:t>
            </w:r>
          </w:p>
        </w:tc>
        <w:tc>
          <w:tcPr>
            <w:tcW w:w="1137" w:type="dxa"/>
          </w:tcPr>
          <w:p>
            <w:pPr>
              <w:pStyle w:val="TableParagraph"/>
              <w:spacing w:line="360" w:lineRule="auto"/>
              <w:ind w:left="165" w:right="147" w:firstLine="256"/>
              <w:jc w:val="left"/>
              <w:rPr>
                <w:sz w:val="22"/>
              </w:rPr>
            </w:pPr>
            <w:r>
              <w:rPr>
                <w:sz w:val="22"/>
              </w:rPr>
              <w:t>De acuerdo</w:t>
            </w:r>
          </w:p>
        </w:tc>
        <w:tc>
          <w:tcPr>
            <w:tcW w:w="1271" w:type="dxa"/>
          </w:tcPr>
          <w:p>
            <w:pPr>
              <w:pStyle w:val="TableParagraph"/>
              <w:spacing w:before="189"/>
              <w:ind w:left="96" w:right="97"/>
              <w:rPr>
                <w:sz w:val="22"/>
              </w:rPr>
            </w:pPr>
            <w:r>
              <w:rPr>
                <w:sz w:val="22"/>
              </w:rPr>
              <w:t>indiferente</w:t>
            </w:r>
          </w:p>
        </w:tc>
        <w:tc>
          <w:tcPr>
            <w:tcW w:w="1395" w:type="dxa"/>
          </w:tcPr>
          <w:p>
            <w:pPr>
              <w:pStyle w:val="TableParagraph"/>
              <w:spacing w:line="360" w:lineRule="auto"/>
              <w:ind w:left="115" w:right="100" w:firstLine="441"/>
              <w:jc w:val="left"/>
              <w:rPr>
                <w:sz w:val="22"/>
              </w:rPr>
            </w:pPr>
            <w:r>
              <w:rPr>
                <w:sz w:val="22"/>
              </w:rPr>
              <w:t>En desacuerdo</w:t>
            </w:r>
          </w:p>
        </w:tc>
        <w:tc>
          <w:tcPr>
            <w:tcW w:w="1402" w:type="dxa"/>
          </w:tcPr>
          <w:p>
            <w:pPr>
              <w:pStyle w:val="TableParagraph"/>
              <w:spacing w:line="360" w:lineRule="auto"/>
              <w:ind w:left="119" w:right="103" w:firstLine="213"/>
              <w:jc w:val="left"/>
              <w:rPr>
                <w:sz w:val="22"/>
              </w:rPr>
            </w:pPr>
            <w:r>
              <w:rPr>
                <w:sz w:val="22"/>
              </w:rPr>
              <w:t>Muy en desacuerdo</w:t>
            </w:r>
          </w:p>
        </w:tc>
      </w:tr>
      <w:tr>
        <w:trPr>
          <w:trHeight w:val="413" w:hRule="exact"/>
        </w:trPr>
        <w:tc>
          <w:tcPr>
            <w:tcW w:w="3121" w:type="dxa"/>
            <w:gridSpan w:val="2"/>
          </w:tcPr>
          <w:p>
            <w:pPr>
              <w:pStyle w:val="TableParagraph"/>
              <w:spacing w:before="9"/>
              <w:ind w:left="311"/>
              <w:jc w:val="left"/>
              <w:rPr>
                <w:sz w:val="22"/>
              </w:rPr>
            </w:pPr>
            <w:r>
              <w:rPr>
                <w:sz w:val="22"/>
              </w:rPr>
              <w:t>Total de la población (24)</w:t>
            </w:r>
          </w:p>
        </w:tc>
        <w:tc>
          <w:tcPr>
            <w:tcW w:w="1073" w:type="dxa"/>
          </w:tcPr>
          <w:p>
            <w:pPr>
              <w:pStyle w:val="TableParagraph"/>
              <w:spacing w:line="265" w:lineRule="exact"/>
              <w:ind w:right="134"/>
              <w:jc w:val="right"/>
              <w:rPr>
                <w:rFonts w:ascii="Calibri Light"/>
                <w:b w:val="0"/>
                <w:sz w:val="22"/>
              </w:rPr>
            </w:pPr>
            <w:r>
              <w:rPr>
                <w:sz w:val="22"/>
              </w:rPr>
              <w:t>4</w:t>
            </w:r>
            <w:r>
              <w:rPr>
                <w:rFonts w:ascii="Calibri Light"/>
                <w:b w:val="0"/>
                <w:sz w:val="22"/>
              </w:rPr>
              <w:t>(16.6%)</w:t>
            </w:r>
          </w:p>
        </w:tc>
        <w:tc>
          <w:tcPr>
            <w:tcW w:w="1137" w:type="dxa"/>
            <w:shd w:val="clear" w:color="auto" w:fill="2D74B5"/>
          </w:tcPr>
          <w:p>
            <w:pPr>
              <w:pStyle w:val="TableParagraph"/>
              <w:spacing w:line="265" w:lineRule="exact"/>
              <w:ind w:left="103"/>
              <w:jc w:val="left"/>
              <w:rPr>
                <w:rFonts w:ascii="Calibri Light"/>
                <w:b w:val="0"/>
                <w:sz w:val="22"/>
              </w:rPr>
            </w:pPr>
            <w:r>
              <w:rPr>
                <w:sz w:val="22"/>
              </w:rPr>
              <w:t>15</w:t>
            </w:r>
            <w:r>
              <w:rPr>
                <w:rFonts w:ascii="Calibri Light"/>
                <w:b w:val="0"/>
                <w:sz w:val="22"/>
              </w:rPr>
              <w:t>(62.5%)</w:t>
            </w:r>
          </w:p>
        </w:tc>
        <w:tc>
          <w:tcPr>
            <w:tcW w:w="1271" w:type="dxa"/>
          </w:tcPr>
          <w:p>
            <w:pPr>
              <w:pStyle w:val="TableParagraph"/>
              <w:spacing w:before="9"/>
              <w:ind w:right="1"/>
              <w:rPr>
                <w:sz w:val="22"/>
              </w:rPr>
            </w:pPr>
            <w:r>
              <w:rPr>
                <w:w w:val="100"/>
                <w:sz w:val="22"/>
              </w:rPr>
              <w:t>0</w:t>
            </w:r>
          </w:p>
        </w:tc>
        <w:tc>
          <w:tcPr>
            <w:tcW w:w="1395" w:type="dxa"/>
          </w:tcPr>
          <w:p>
            <w:pPr>
              <w:pStyle w:val="TableParagraph"/>
              <w:spacing w:line="265" w:lineRule="exact"/>
              <w:ind w:left="242" w:right="243"/>
              <w:rPr>
                <w:rFonts w:ascii="Calibri Light"/>
                <w:b w:val="0"/>
                <w:sz w:val="22"/>
              </w:rPr>
            </w:pPr>
            <w:r>
              <w:rPr>
                <w:sz w:val="22"/>
              </w:rPr>
              <w:t>5 </w:t>
            </w:r>
            <w:r>
              <w:rPr>
                <w:rFonts w:ascii="Calibri Light"/>
                <w:b w:val="0"/>
                <w:sz w:val="22"/>
              </w:rPr>
              <w:t>(20.8%)</w:t>
            </w:r>
          </w:p>
        </w:tc>
        <w:tc>
          <w:tcPr>
            <w:tcW w:w="1402" w:type="dxa"/>
          </w:tcPr>
          <w:p>
            <w:pPr>
              <w:pStyle w:val="TableParagraph"/>
              <w:spacing w:before="9"/>
              <w:rPr>
                <w:sz w:val="22"/>
              </w:rPr>
            </w:pPr>
            <w:r>
              <w:rPr>
                <w:w w:val="100"/>
                <w:sz w:val="22"/>
              </w:rPr>
              <w:t>0</w:t>
            </w:r>
          </w:p>
        </w:tc>
      </w:tr>
      <w:tr>
        <w:trPr>
          <w:trHeight w:val="413" w:hRule="exact"/>
        </w:trPr>
        <w:tc>
          <w:tcPr>
            <w:tcW w:w="3121" w:type="dxa"/>
            <w:gridSpan w:val="2"/>
          </w:tcPr>
          <w:p>
            <w:pPr>
              <w:pStyle w:val="TableParagraph"/>
              <w:spacing w:before="10"/>
              <w:ind w:left="935"/>
              <w:jc w:val="left"/>
              <w:rPr>
                <w:sz w:val="22"/>
              </w:rPr>
            </w:pPr>
            <w:r>
              <w:rPr>
                <w:sz w:val="22"/>
              </w:rPr>
              <w:t>Mujeres (12)</w:t>
            </w:r>
          </w:p>
        </w:tc>
        <w:tc>
          <w:tcPr>
            <w:tcW w:w="1073" w:type="dxa"/>
          </w:tcPr>
          <w:p>
            <w:pPr>
              <w:pStyle w:val="TableParagraph"/>
              <w:spacing w:line="266" w:lineRule="exact"/>
              <w:ind w:right="184"/>
              <w:jc w:val="right"/>
              <w:rPr>
                <w:rFonts w:ascii="Calibri Light"/>
                <w:b w:val="0"/>
                <w:sz w:val="22"/>
              </w:rPr>
            </w:pPr>
            <w:r>
              <w:rPr>
                <w:sz w:val="22"/>
              </w:rPr>
              <w:t>3 </w:t>
            </w:r>
            <w:r>
              <w:rPr>
                <w:rFonts w:ascii="Calibri Light"/>
                <w:b w:val="0"/>
                <w:sz w:val="22"/>
              </w:rPr>
              <w:t>(25%)</w:t>
            </w:r>
          </w:p>
        </w:tc>
        <w:tc>
          <w:tcPr>
            <w:tcW w:w="1137" w:type="dxa"/>
            <w:shd w:val="clear" w:color="auto" w:fill="2D74B5"/>
          </w:tcPr>
          <w:p>
            <w:pPr>
              <w:pStyle w:val="TableParagraph"/>
              <w:spacing w:line="266" w:lineRule="exact"/>
              <w:ind w:left="134"/>
              <w:jc w:val="left"/>
              <w:rPr>
                <w:rFonts w:ascii="Calibri Light"/>
                <w:b w:val="0"/>
                <w:sz w:val="22"/>
              </w:rPr>
            </w:pPr>
            <w:r>
              <w:rPr>
                <w:sz w:val="22"/>
              </w:rPr>
              <w:t>7 </w:t>
            </w:r>
            <w:r>
              <w:rPr>
                <w:rFonts w:ascii="Calibri Light"/>
                <w:b w:val="0"/>
                <w:sz w:val="22"/>
              </w:rPr>
              <w:t>(58.3%)</w:t>
            </w:r>
          </w:p>
        </w:tc>
        <w:tc>
          <w:tcPr>
            <w:tcW w:w="1271" w:type="dxa"/>
          </w:tcPr>
          <w:p>
            <w:pPr>
              <w:pStyle w:val="TableParagraph"/>
              <w:spacing w:line="266" w:lineRule="exact"/>
              <w:ind w:left="94" w:right="97"/>
              <w:rPr>
                <w:rFonts w:ascii="Calibri Light"/>
                <w:b w:val="0"/>
                <w:sz w:val="22"/>
              </w:rPr>
            </w:pPr>
            <w:r>
              <w:rPr>
                <w:sz w:val="22"/>
              </w:rPr>
              <w:t>2 </w:t>
            </w:r>
            <w:r>
              <w:rPr>
                <w:rFonts w:ascii="Calibri Light"/>
                <w:b w:val="0"/>
                <w:sz w:val="22"/>
              </w:rPr>
              <w:t>(16.5%)</w:t>
            </w:r>
          </w:p>
        </w:tc>
        <w:tc>
          <w:tcPr>
            <w:tcW w:w="1395" w:type="dxa"/>
          </w:tcPr>
          <w:p>
            <w:pPr>
              <w:pStyle w:val="TableParagraph"/>
              <w:spacing w:before="10"/>
              <w:ind w:right="1"/>
              <w:rPr>
                <w:sz w:val="22"/>
              </w:rPr>
            </w:pPr>
            <w:r>
              <w:rPr>
                <w:w w:val="100"/>
                <w:sz w:val="22"/>
              </w:rPr>
              <w:t>0</w:t>
            </w:r>
          </w:p>
        </w:tc>
        <w:tc>
          <w:tcPr>
            <w:tcW w:w="1402" w:type="dxa"/>
          </w:tcPr>
          <w:p>
            <w:pPr>
              <w:pStyle w:val="TableParagraph"/>
              <w:spacing w:before="10"/>
              <w:rPr>
                <w:sz w:val="22"/>
              </w:rPr>
            </w:pPr>
            <w:r>
              <w:rPr>
                <w:w w:val="100"/>
                <w:sz w:val="22"/>
              </w:rPr>
              <w:t>0</w:t>
            </w:r>
          </w:p>
        </w:tc>
      </w:tr>
      <w:tr>
        <w:trPr>
          <w:trHeight w:val="413" w:hRule="exact"/>
        </w:trPr>
        <w:tc>
          <w:tcPr>
            <w:tcW w:w="3121" w:type="dxa"/>
            <w:gridSpan w:val="2"/>
          </w:tcPr>
          <w:p>
            <w:pPr>
              <w:pStyle w:val="TableParagraph"/>
              <w:spacing w:before="9"/>
              <w:ind w:left="883"/>
              <w:jc w:val="left"/>
              <w:rPr>
                <w:sz w:val="22"/>
              </w:rPr>
            </w:pPr>
            <w:r>
              <w:rPr>
                <w:sz w:val="22"/>
              </w:rPr>
              <w:t>Hombres (12)</w:t>
            </w:r>
          </w:p>
        </w:tc>
        <w:tc>
          <w:tcPr>
            <w:tcW w:w="1073" w:type="dxa"/>
          </w:tcPr>
          <w:p>
            <w:pPr>
              <w:pStyle w:val="TableParagraph"/>
              <w:spacing w:line="265" w:lineRule="exact"/>
              <w:ind w:right="239"/>
              <w:jc w:val="right"/>
              <w:rPr>
                <w:rFonts w:ascii="Calibri Light"/>
                <w:b w:val="0"/>
                <w:sz w:val="22"/>
              </w:rPr>
            </w:pPr>
            <w:r>
              <w:rPr>
                <w:sz w:val="22"/>
              </w:rPr>
              <w:t>1 </w:t>
            </w:r>
            <w:r>
              <w:rPr>
                <w:rFonts w:ascii="Calibri Light"/>
                <w:b w:val="0"/>
                <w:sz w:val="22"/>
              </w:rPr>
              <w:t>(8%)</w:t>
            </w:r>
          </w:p>
        </w:tc>
        <w:tc>
          <w:tcPr>
            <w:tcW w:w="1137" w:type="dxa"/>
            <w:shd w:val="clear" w:color="auto" w:fill="2D74B5"/>
          </w:tcPr>
          <w:p>
            <w:pPr>
              <w:pStyle w:val="TableParagraph"/>
              <w:spacing w:line="265" w:lineRule="exact"/>
              <w:ind w:left="134"/>
              <w:jc w:val="left"/>
              <w:rPr>
                <w:rFonts w:ascii="Calibri Light"/>
                <w:b w:val="0"/>
                <w:sz w:val="22"/>
              </w:rPr>
            </w:pPr>
            <w:r>
              <w:rPr>
                <w:sz w:val="22"/>
              </w:rPr>
              <w:t>8 </w:t>
            </w:r>
            <w:r>
              <w:rPr>
                <w:rFonts w:ascii="Calibri Light"/>
                <w:b w:val="0"/>
                <w:sz w:val="22"/>
              </w:rPr>
              <w:t>(66.6%)</w:t>
            </w:r>
          </w:p>
        </w:tc>
        <w:tc>
          <w:tcPr>
            <w:tcW w:w="1271" w:type="dxa"/>
          </w:tcPr>
          <w:p>
            <w:pPr>
              <w:pStyle w:val="TableParagraph"/>
              <w:spacing w:before="9"/>
              <w:ind w:right="1"/>
              <w:rPr>
                <w:sz w:val="22"/>
              </w:rPr>
            </w:pPr>
            <w:r>
              <w:rPr>
                <w:w w:val="100"/>
                <w:sz w:val="22"/>
              </w:rPr>
              <w:t>0</w:t>
            </w:r>
          </w:p>
        </w:tc>
        <w:tc>
          <w:tcPr>
            <w:tcW w:w="1395" w:type="dxa"/>
          </w:tcPr>
          <w:p>
            <w:pPr>
              <w:pStyle w:val="TableParagraph"/>
              <w:spacing w:line="265" w:lineRule="exact"/>
              <w:ind w:left="242" w:right="243"/>
              <w:rPr>
                <w:rFonts w:ascii="Calibri Light"/>
                <w:b w:val="0"/>
                <w:sz w:val="22"/>
              </w:rPr>
            </w:pPr>
            <w:r>
              <w:rPr>
                <w:sz w:val="22"/>
              </w:rPr>
              <w:t>3 </w:t>
            </w:r>
            <w:r>
              <w:rPr>
                <w:rFonts w:ascii="Calibri Light"/>
                <w:b w:val="0"/>
                <w:sz w:val="22"/>
              </w:rPr>
              <w:t>(25%)</w:t>
            </w:r>
          </w:p>
        </w:tc>
        <w:tc>
          <w:tcPr>
            <w:tcW w:w="1402" w:type="dxa"/>
          </w:tcPr>
          <w:p>
            <w:pPr>
              <w:pStyle w:val="TableParagraph"/>
              <w:spacing w:before="9"/>
              <w:rPr>
                <w:sz w:val="22"/>
              </w:rPr>
            </w:pPr>
            <w:r>
              <w:rPr>
                <w:w w:val="100"/>
                <w:sz w:val="22"/>
              </w:rPr>
              <w:t>0</w:t>
            </w:r>
          </w:p>
        </w:tc>
      </w:tr>
    </w:tbl>
    <w:p>
      <w:pPr>
        <w:spacing w:line="227" w:lineRule="exact" w:before="0"/>
        <w:ind w:left="375" w:right="339" w:firstLine="0"/>
        <w:jc w:val="left"/>
        <w:rPr>
          <w:b/>
          <w:sz w:val="20"/>
        </w:rPr>
      </w:pPr>
      <w:r>
        <w:rPr>
          <w:b/>
          <w:sz w:val="20"/>
        </w:rPr>
        <w:t>Tabla 4.55. Entorno formal educativo; respuestas en la totalidad de la población y por género</w:t>
      </w:r>
    </w:p>
    <w:p>
      <w:pPr>
        <w:pStyle w:val="BodyText"/>
        <w:spacing w:before="5"/>
        <w:rPr>
          <w:b/>
          <w:sz w:val="27"/>
        </w:rPr>
      </w:pPr>
    </w:p>
    <w:p>
      <w:pPr>
        <w:pStyle w:val="BodyText"/>
        <w:spacing w:line="360" w:lineRule="auto"/>
        <w:ind w:left="102" w:right="107" w:firstLine="707"/>
        <w:jc w:val="both"/>
      </w:pPr>
      <w:r>
        <w:rPr/>
        <w:t>Ahora</w:t>
      </w:r>
      <w:r>
        <w:rPr>
          <w:spacing w:val="-9"/>
        </w:rPr>
        <w:t> </w:t>
      </w:r>
      <w:r>
        <w:rPr/>
        <w:t>bien,</w:t>
      </w:r>
      <w:r>
        <w:rPr>
          <w:spacing w:val="-6"/>
        </w:rPr>
        <w:t> </w:t>
      </w:r>
      <w:r>
        <w:rPr/>
        <w:t>por</w:t>
      </w:r>
      <w:r>
        <w:rPr>
          <w:spacing w:val="-7"/>
        </w:rPr>
        <w:t> </w:t>
      </w:r>
      <w:r>
        <w:rPr/>
        <w:t>grupo</w:t>
      </w:r>
      <w:r>
        <w:rPr>
          <w:spacing w:val="-8"/>
        </w:rPr>
        <w:t> </w:t>
      </w:r>
      <w:r>
        <w:rPr/>
        <w:t>de</w:t>
      </w:r>
      <w:r>
        <w:rPr>
          <w:spacing w:val="-6"/>
        </w:rPr>
        <w:t> </w:t>
      </w:r>
      <w:r>
        <w:rPr/>
        <w:t>edad,</w:t>
      </w:r>
      <w:r>
        <w:rPr>
          <w:spacing w:val="-6"/>
        </w:rPr>
        <w:t> </w:t>
      </w:r>
      <w:r>
        <w:rPr/>
        <w:t>las</w:t>
      </w:r>
      <w:r>
        <w:rPr>
          <w:spacing w:val="-6"/>
        </w:rPr>
        <w:t> </w:t>
      </w:r>
      <w:r>
        <w:rPr/>
        <w:t>respuestas</w:t>
      </w:r>
      <w:r>
        <w:rPr>
          <w:spacing w:val="-2"/>
        </w:rPr>
        <w:t> </w:t>
      </w:r>
      <w:r>
        <w:rPr/>
        <w:t>en</w:t>
      </w:r>
      <w:r>
        <w:rPr>
          <w:spacing w:val="-6"/>
        </w:rPr>
        <w:t> </w:t>
      </w:r>
      <w:r>
        <w:rPr/>
        <w:t>la</w:t>
      </w:r>
      <w:r>
        <w:rPr>
          <w:spacing w:val="-9"/>
        </w:rPr>
        <w:t> </w:t>
      </w:r>
      <w:r>
        <w:rPr/>
        <w:t>tabla</w:t>
      </w:r>
      <w:r>
        <w:rPr>
          <w:spacing w:val="-9"/>
        </w:rPr>
        <w:t> </w:t>
      </w:r>
      <w:r>
        <w:rPr/>
        <w:t>4.56.</w:t>
      </w:r>
      <w:r>
        <w:rPr>
          <w:spacing w:val="-4"/>
        </w:rPr>
        <w:t> </w:t>
      </w:r>
      <w:r>
        <w:rPr/>
        <w:t>resultaron</w:t>
      </w:r>
      <w:r>
        <w:rPr>
          <w:spacing w:val="-6"/>
        </w:rPr>
        <w:t> </w:t>
      </w:r>
      <w:r>
        <w:rPr/>
        <w:t>ser</w:t>
      </w:r>
      <w:r>
        <w:rPr>
          <w:spacing w:val="-10"/>
        </w:rPr>
        <w:t> </w:t>
      </w:r>
      <w:r>
        <w:rPr/>
        <w:t>muy definitivas al establecer una opinión “de acuerdo” con la aseveración 19 que califica la grabación 2 (sin anglicismos) como favorable. El grupo 1 con un 83.3% de respuestas “de acuerdo”, el grupo 4 con un 66.6% y el grupo 3 y 4 con un</w:t>
      </w:r>
      <w:r>
        <w:rPr>
          <w:spacing w:val="-20"/>
        </w:rPr>
        <w:t> </w:t>
      </w:r>
      <w:r>
        <w:rPr/>
        <w:t>50%.</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44"/>
        <w:gridCol w:w="1678"/>
        <w:gridCol w:w="1087"/>
        <w:gridCol w:w="1060"/>
        <w:gridCol w:w="1283"/>
        <w:gridCol w:w="1409"/>
        <w:gridCol w:w="1409"/>
      </w:tblGrid>
      <w:tr>
        <w:trPr>
          <w:trHeight w:val="406" w:hRule="exact"/>
        </w:trPr>
        <w:tc>
          <w:tcPr>
            <w:tcW w:w="1471" w:type="dxa"/>
            <w:gridSpan w:val="2"/>
            <w:vMerge w:val="restart"/>
          </w:tcPr>
          <w:p>
            <w:pPr>
              <w:pStyle w:val="TableParagraph"/>
              <w:spacing w:before="6"/>
              <w:jc w:val="left"/>
              <w:rPr>
                <w:sz w:val="17"/>
              </w:rPr>
            </w:pPr>
          </w:p>
          <w:p>
            <w:pPr>
              <w:pStyle w:val="TableParagraph"/>
              <w:ind w:left="104" w:right="105"/>
              <w:rPr>
                <w:sz w:val="22"/>
              </w:rPr>
            </w:pPr>
            <w:r>
              <w:rPr>
                <w:sz w:val="22"/>
              </w:rPr>
              <w:t>Aseveración</w:t>
            </w:r>
          </w:p>
          <w:p>
            <w:pPr>
              <w:pStyle w:val="TableParagraph"/>
              <w:spacing w:before="124"/>
              <w:ind w:left="104" w:right="104"/>
              <w:rPr>
                <w:b/>
                <w:sz w:val="22"/>
              </w:rPr>
            </w:pPr>
            <w:r>
              <w:rPr>
                <w:b/>
                <w:sz w:val="22"/>
              </w:rPr>
              <w:t>19</w:t>
            </w:r>
          </w:p>
        </w:tc>
        <w:tc>
          <w:tcPr>
            <w:tcW w:w="1678" w:type="dxa"/>
            <w:vMerge w:val="restart"/>
          </w:tcPr>
          <w:p>
            <w:pPr>
              <w:pStyle w:val="TableParagraph"/>
              <w:spacing w:line="357" w:lineRule="auto" w:before="12"/>
              <w:ind w:left="141" w:right="142" w:firstLine="4"/>
              <w:rPr>
                <w:b/>
                <w:sz w:val="22"/>
              </w:rPr>
            </w:pPr>
            <w:r>
              <w:rPr>
                <w:sz w:val="22"/>
              </w:rPr>
              <w:t>Tipo de Aseveración: </w:t>
            </w:r>
            <w:r>
              <w:rPr>
                <w:b/>
                <w:sz w:val="22"/>
              </w:rPr>
              <w:t>Desfavorable</w:t>
            </w:r>
          </w:p>
        </w:tc>
        <w:tc>
          <w:tcPr>
            <w:tcW w:w="6249" w:type="dxa"/>
            <w:gridSpan w:val="5"/>
          </w:tcPr>
          <w:p>
            <w:pPr>
              <w:pStyle w:val="TableParagraph"/>
              <w:spacing w:before="7"/>
              <w:ind w:left="2515" w:right="2518"/>
              <w:rPr>
                <w:sz w:val="22"/>
              </w:rPr>
            </w:pPr>
            <w:r>
              <w:rPr>
                <w:sz w:val="22"/>
              </w:rPr>
              <w:t>Respuestas</w:t>
            </w:r>
          </w:p>
        </w:tc>
      </w:tr>
      <w:tr>
        <w:trPr>
          <w:trHeight w:val="770" w:hRule="exact"/>
        </w:trPr>
        <w:tc>
          <w:tcPr>
            <w:tcW w:w="1471" w:type="dxa"/>
            <w:gridSpan w:val="2"/>
            <w:vMerge/>
          </w:tcPr>
          <w:p>
            <w:pPr/>
          </w:p>
        </w:tc>
        <w:tc>
          <w:tcPr>
            <w:tcW w:w="1678" w:type="dxa"/>
            <w:vMerge/>
          </w:tcPr>
          <w:p>
            <w:pPr/>
          </w:p>
        </w:tc>
        <w:tc>
          <w:tcPr>
            <w:tcW w:w="1087" w:type="dxa"/>
          </w:tcPr>
          <w:p>
            <w:pPr>
              <w:pStyle w:val="TableParagraph"/>
              <w:spacing w:line="360" w:lineRule="auto"/>
              <w:ind w:left="139" w:right="123" w:firstLine="36"/>
              <w:jc w:val="left"/>
              <w:rPr>
                <w:sz w:val="22"/>
              </w:rPr>
            </w:pPr>
            <w:r>
              <w:rPr>
                <w:sz w:val="22"/>
              </w:rPr>
              <w:t>Muy de acuerdo</w:t>
            </w:r>
          </w:p>
        </w:tc>
        <w:tc>
          <w:tcPr>
            <w:tcW w:w="1060" w:type="dxa"/>
          </w:tcPr>
          <w:p>
            <w:pPr>
              <w:pStyle w:val="TableParagraph"/>
              <w:spacing w:line="360" w:lineRule="auto"/>
              <w:ind w:left="127" w:right="108" w:firstLine="256"/>
              <w:jc w:val="left"/>
              <w:rPr>
                <w:sz w:val="22"/>
              </w:rPr>
            </w:pPr>
            <w:r>
              <w:rPr>
                <w:sz w:val="22"/>
              </w:rPr>
              <w:t>De acuerdo</w:t>
            </w:r>
          </w:p>
        </w:tc>
        <w:tc>
          <w:tcPr>
            <w:tcW w:w="1283" w:type="dxa"/>
          </w:tcPr>
          <w:p>
            <w:pPr>
              <w:pStyle w:val="TableParagraph"/>
              <w:spacing w:before="189"/>
              <w:ind w:left="104" w:right="101"/>
              <w:rPr>
                <w:sz w:val="22"/>
              </w:rPr>
            </w:pPr>
            <w:r>
              <w:rPr>
                <w:sz w:val="22"/>
              </w:rPr>
              <w:t>indiferente</w:t>
            </w:r>
          </w:p>
        </w:tc>
        <w:tc>
          <w:tcPr>
            <w:tcW w:w="1409" w:type="dxa"/>
          </w:tcPr>
          <w:p>
            <w:pPr>
              <w:pStyle w:val="TableParagraph"/>
              <w:spacing w:line="360" w:lineRule="auto"/>
              <w:ind w:left="125" w:right="105" w:firstLine="439"/>
              <w:jc w:val="left"/>
              <w:rPr>
                <w:sz w:val="22"/>
              </w:rPr>
            </w:pPr>
            <w:r>
              <w:rPr>
                <w:sz w:val="22"/>
              </w:rPr>
              <w:t>En desacuerdo</w:t>
            </w:r>
          </w:p>
        </w:tc>
        <w:tc>
          <w:tcPr>
            <w:tcW w:w="1409" w:type="dxa"/>
          </w:tcPr>
          <w:p>
            <w:pPr>
              <w:pStyle w:val="TableParagraph"/>
              <w:spacing w:line="360" w:lineRule="auto"/>
              <w:ind w:left="122" w:right="107" w:firstLine="216"/>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1"/>
              <w:jc w:val="left"/>
              <w:rPr>
                <w:sz w:val="22"/>
              </w:rPr>
            </w:pPr>
            <w:r>
              <w:rPr>
                <w:sz w:val="22"/>
              </w:rPr>
              <w:t>de edad 1 (6)</w:t>
            </w:r>
          </w:p>
        </w:tc>
        <w:tc>
          <w:tcPr>
            <w:tcW w:w="1087" w:type="dxa"/>
          </w:tcPr>
          <w:p>
            <w:pPr>
              <w:pStyle w:val="TableParagraph"/>
              <w:spacing w:line="265" w:lineRule="exact"/>
              <w:ind w:left="87" w:right="89"/>
              <w:rPr>
                <w:rFonts w:ascii="Calibri Light"/>
                <w:b w:val="0"/>
                <w:sz w:val="22"/>
              </w:rPr>
            </w:pPr>
            <w:r>
              <w:rPr>
                <w:sz w:val="22"/>
              </w:rPr>
              <w:t>1 </w:t>
            </w:r>
            <w:r>
              <w:rPr>
                <w:rFonts w:ascii="Calibri Light"/>
                <w:b w:val="0"/>
                <w:sz w:val="22"/>
              </w:rPr>
              <w:t>(16%)</w:t>
            </w:r>
          </w:p>
        </w:tc>
        <w:tc>
          <w:tcPr>
            <w:tcW w:w="1060" w:type="dxa"/>
            <w:shd w:val="clear" w:color="auto" w:fill="2D74B5"/>
          </w:tcPr>
          <w:p>
            <w:pPr>
              <w:pStyle w:val="TableParagraph"/>
              <w:spacing w:line="265" w:lineRule="exact"/>
              <w:ind w:right="123"/>
              <w:jc w:val="right"/>
              <w:rPr>
                <w:rFonts w:ascii="Calibri Light"/>
                <w:b w:val="0"/>
                <w:sz w:val="22"/>
              </w:rPr>
            </w:pPr>
            <w:r>
              <w:rPr>
                <w:sz w:val="22"/>
              </w:rPr>
              <w:t>5</w:t>
            </w:r>
            <w:r>
              <w:rPr>
                <w:rFonts w:ascii="Calibri Light"/>
                <w:b w:val="0"/>
                <w:sz w:val="22"/>
              </w:rPr>
              <w:t>(83.3%)</w:t>
            </w:r>
          </w:p>
        </w:tc>
        <w:tc>
          <w:tcPr>
            <w:tcW w:w="1283" w:type="dxa"/>
          </w:tcPr>
          <w:p>
            <w:pPr>
              <w:pStyle w:val="TableParagraph"/>
              <w:spacing w:before="9"/>
              <w:ind w:left="3"/>
              <w:rPr>
                <w:sz w:val="22"/>
              </w:rPr>
            </w:pPr>
            <w:r>
              <w:rPr>
                <w:w w:val="100"/>
                <w:sz w:val="22"/>
              </w:rPr>
              <w:t>0</w:t>
            </w:r>
          </w:p>
        </w:tc>
        <w:tc>
          <w:tcPr>
            <w:tcW w:w="1409" w:type="dxa"/>
          </w:tcPr>
          <w:p>
            <w:pPr>
              <w:pStyle w:val="TableParagraph"/>
              <w:spacing w:before="9"/>
              <w:rPr>
                <w:sz w:val="22"/>
              </w:rPr>
            </w:pPr>
            <w:r>
              <w:rPr>
                <w:w w:val="100"/>
                <w:sz w:val="22"/>
              </w:rPr>
              <w:t>0</w:t>
            </w:r>
          </w:p>
        </w:tc>
        <w:tc>
          <w:tcPr>
            <w:tcW w:w="1409"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2 (6)</w:t>
            </w:r>
          </w:p>
        </w:tc>
        <w:tc>
          <w:tcPr>
            <w:tcW w:w="1087" w:type="dxa"/>
          </w:tcPr>
          <w:p>
            <w:pPr>
              <w:pStyle w:val="TableParagraph"/>
              <w:spacing w:before="9"/>
              <w:ind w:right="2"/>
              <w:rPr>
                <w:sz w:val="22"/>
              </w:rPr>
            </w:pPr>
            <w:r>
              <w:rPr>
                <w:w w:val="100"/>
                <w:sz w:val="22"/>
              </w:rPr>
              <w:t>0</w:t>
            </w:r>
          </w:p>
        </w:tc>
        <w:tc>
          <w:tcPr>
            <w:tcW w:w="1060" w:type="dxa"/>
            <w:shd w:val="clear" w:color="auto" w:fill="2D74B5"/>
          </w:tcPr>
          <w:p>
            <w:pPr>
              <w:pStyle w:val="TableParagraph"/>
              <w:spacing w:line="265" w:lineRule="exact"/>
              <w:ind w:right="123"/>
              <w:jc w:val="right"/>
              <w:rPr>
                <w:rFonts w:ascii="Calibri Light"/>
                <w:b w:val="0"/>
                <w:sz w:val="22"/>
              </w:rPr>
            </w:pPr>
            <w:r>
              <w:rPr>
                <w:sz w:val="22"/>
              </w:rPr>
              <w:t>4</w:t>
            </w:r>
            <w:r>
              <w:rPr>
                <w:rFonts w:ascii="Calibri Light"/>
                <w:b w:val="0"/>
                <w:sz w:val="22"/>
              </w:rPr>
              <w:t>(66.6%)</w:t>
            </w:r>
          </w:p>
        </w:tc>
        <w:tc>
          <w:tcPr>
            <w:tcW w:w="1283" w:type="dxa"/>
          </w:tcPr>
          <w:p>
            <w:pPr>
              <w:pStyle w:val="TableParagraph"/>
              <w:spacing w:before="9"/>
              <w:ind w:left="3"/>
              <w:rPr>
                <w:sz w:val="22"/>
              </w:rPr>
            </w:pPr>
            <w:r>
              <w:rPr>
                <w:w w:val="100"/>
                <w:sz w:val="22"/>
              </w:rPr>
              <w:t>0</w:t>
            </w:r>
          </w:p>
        </w:tc>
        <w:tc>
          <w:tcPr>
            <w:tcW w:w="1409" w:type="dxa"/>
          </w:tcPr>
          <w:p>
            <w:pPr>
              <w:pStyle w:val="TableParagraph"/>
              <w:spacing w:line="265" w:lineRule="exact"/>
              <w:ind w:left="250" w:right="251"/>
              <w:rPr>
                <w:rFonts w:ascii="Calibri Light"/>
                <w:b w:val="0"/>
                <w:sz w:val="22"/>
              </w:rPr>
            </w:pPr>
            <w:r>
              <w:rPr>
                <w:sz w:val="22"/>
              </w:rPr>
              <w:t>2 </w:t>
            </w:r>
            <w:r>
              <w:rPr>
                <w:rFonts w:ascii="Calibri Light"/>
                <w:b w:val="0"/>
                <w:sz w:val="22"/>
              </w:rPr>
              <w:t>(33.3%)</w:t>
            </w:r>
          </w:p>
        </w:tc>
        <w:tc>
          <w:tcPr>
            <w:tcW w:w="1409"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3 (6)</w:t>
            </w:r>
          </w:p>
        </w:tc>
        <w:tc>
          <w:tcPr>
            <w:tcW w:w="1087" w:type="dxa"/>
          </w:tcPr>
          <w:p>
            <w:pPr>
              <w:pStyle w:val="TableParagraph"/>
              <w:spacing w:line="265" w:lineRule="exact"/>
              <w:ind w:left="87" w:right="91"/>
              <w:rPr>
                <w:rFonts w:ascii="Calibri Light"/>
                <w:b w:val="0"/>
                <w:sz w:val="22"/>
              </w:rPr>
            </w:pPr>
            <w:r>
              <w:rPr>
                <w:sz w:val="22"/>
              </w:rPr>
              <w:t>2 </w:t>
            </w:r>
            <w:r>
              <w:rPr>
                <w:rFonts w:ascii="Calibri Light"/>
                <w:b w:val="0"/>
                <w:sz w:val="22"/>
              </w:rPr>
              <w:t>(33.3%)</w:t>
            </w:r>
          </w:p>
        </w:tc>
        <w:tc>
          <w:tcPr>
            <w:tcW w:w="1060" w:type="dxa"/>
            <w:shd w:val="clear" w:color="auto" w:fill="2D74B5"/>
          </w:tcPr>
          <w:p>
            <w:pPr>
              <w:pStyle w:val="TableParagraph"/>
              <w:spacing w:line="265" w:lineRule="exact"/>
              <w:ind w:right="176"/>
              <w:jc w:val="right"/>
              <w:rPr>
                <w:rFonts w:ascii="Calibri Light"/>
                <w:b w:val="0"/>
                <w:sz w:val="22"/>
              </w:rPr>
            </w:pPr>
            <w:r>
              <w:rPr>
                <w:sz w:val="22"/>
              </w:rPr>
              <w:t>3 </w:t>
            </w:r>
            <w:r>
              <w:rPr>
                <w:rFonts w:ascii="Calibri Light"/>
                <w:b w:val="0"/>
                <w:sz w:val="22"/>
              </w:rPr>
              <w:t>(50%)</w:t>
            </w:r>
          </w:p>
        </w:tc>
        <w:tc>
          <w:tcPr>
            <w:tcW w:w="1283" w:type="dxa"/>
          </w:tcPr>
          <w:p>
            <w:pPr>
              <w:pStyle w:val="TableParagraph"/>
              <w:spacing w:before="9"/>
              <w:ind w:left="3"/>
              <w:rPr>
                <w:sz w:val="22"/>
              </w:rPr>
            </w:pPr>
            <w:r>
              <w:rPr>
                <w:w w:val="100"/>
                <w:sz w:val="22"/>
              </w:rPr>
              <w:t>0</w:t>
            </w:r>
          </w:p>
        </w:tc>
        <w:tc>
          <w:tcPr>
            <w:tcW w:w="1409" w:type="dxa"/>
          </w:tcPr>
          <w:p>
            <w:pPr>
              <w:pStyle w:val="TableParagraph"/>
              <w:spacing w:line="265" w:lineRule="exact"/>
              <w:ind w:left="250" w:right="249"/>
              <w:rPr>
                <w:rFonts w:ascii="Calibri Light"/>
                <w:b w:val="0"/>
                <w:sz w:val="22"/>
              </w:rPr>
            </w:pPr>
            <w:r>
              <w:rPr>
                <w:sz w:val="22"/>
              </w:rPr>
              <w:t>1 </w:t>
            </w:r>
            <w:r>
              <w:rPr>
                <w:rFonts w:ascii="Calibri Light"/>
                <w:b w:val="0"/>
                <w:sz w:val="22"/>
              </w:rPr>
              <w:t>(16%)</w:t>
            </w:r>
          </w:p>
        </w:tc>
        <w:tc>
          <w:tcPr>
            <w:tcW w:w="1409" w:type="dxa"/>
          </w:tcPr>
          <w:p>
            <w:pPr>
              <w:pStyle w:val="TableParagraph"/>
              <w:spacing w:before="9"/>
              <w:ind w:right="2"/>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2" w:type="dxa"/>
            <w:gridSpan w:val="2"/>
            <w:tcBorders>
              <w:left w:val="nil"/>
            </w:tcBorders>
          </w:tcPr>
          <w:p>
            <w:pPr>
              <w:pStyle w:val="TableParagraph"/>
              <w:spacing w:before="9"/>
              <w:ind w:left="60"/>
              <w:jc w:val="left"/>
              <w:rPr>
                <w:sz w:val="22"/>
              </w:rPr>
            </w:pPr>
            <w:r>
              <w:rPr>
                <w:sz w:val="22"/>
              </w:rPr>
              <w:t>de edad 4 (6)</w:t>
            </w:r>
          </w:p>
        </w:tc>
        <w:tc>
          <w:tcPr>
            <w:tcW w:w="1087" w:type="dxa"/>
          </w:tcPr>
          <w:p>
            <w:pPr>
              <w:pStyle w:val="TableParagraph"/>
              <w:spacing w:line="265" w:lineRule="exact"/>
              <w:ind w:left="87" w:right="89"/>
              <w:rPr>
                <w:rFonts w:ascii="Calibri Light"/>
                <w:b w:val="0"/>
                <w:sz w:val="22"/>
              </w:rPr>
            </w:pPr>
            <w:r>
              <w:rPr>
                <w:sz w:val="22"/>
              </w:rPr>
              <w:t>1 </w:t>
            </w:r>
            <w:r>
              <w:rPr>
                <w:rFonts w:ascii="Calibri Light"/>
                <w:b w:val="0"/>
                <w:sz w:val="22"/>
              </w:rPr>
              <w:t>(16%)</w:t>
            </w:r>
          </w:p>
        </w:tc>
        <w:tc>
          <w:tcPr>
            <w:tcW w:w="1060" w:type="dxa"/>
            <w:shd w:val="clear" w:color="auto" w:fill="2D74B5"/>
          </w:tcPr>
          <w:p>
            <w:pPr>
              <w:pStyle w:val="TableParagraph"/>
              <w:spacing w:line="265" w:lineRule="exact"/>
              <w:ind w:right="176"/>
              <w:jc w:val="right"/>
              <w:rPr>
                <w:rFonts w:ascii="Calibri Light"/>
                <w:b w:val="0"/>
                <w:sz w:val="22"/>
              </w:rPr>
            </w:pPr>
            <w:r>
              <w:rPr>
                <w:sz w:val="22"/>
              </w:rPr>
              <w:t>3 </w:t>
            </w:r>
            <w:r>
              <w:rPr>
                <w:rFonts w:ascii="Calibri Light"/>
                <w:b w:val="0"/>
                <w:sz w:val="22"/>
              </w:rPr>
              <w:t>(50%)</w:t>
            </w:r>
          </w:p>
        </w:tc>
        <w:tc>
          <w:tcPr>
            <w:tcW w:w="1283" w:type="dxa"/>
          </w:tcPr>
          <w:p>
            <w:pPr>
              <w:pStyle w:val="TableParagraph"/>
              <w:spacing w:before="9"/>
              <w:ind w:left="3"/>
              <w:rPr>
                <w:sz w:val="22"/>
              </w:rPr>
            </w:pPr>
            <w:r>
              <w:rPr>
                <w:w w:val="100"/>
                <w:sz w:val="22"/>
              </w:rPr>
              <w:t>0</w:t>
            </w:r>
          </w:p>
        </w:tc>
        <w:tc>
          <w:tcPr>
            <w:tcW w:w="1409" w:type="dxa"/>
          </w:tcPr>
          <w:p>
            <w:pPr>
              <w:pStyle w:val="TableParagraph"/>
              <w:spacing w:line="265" w:lineRule="exact"/>
              <w:ind w:left="250" w:right="251"/>
              <w:rPr>
                <w:rFonts w:ascii="Calibri Light"/>
                <w:b w:val="0"/>
                <w:sz w:val="22"/>
              </w:rPr>
            </w:pPr>
            <w:r>
              <w:rPr>
                <w:sz w:val="22"/>
              </w:rPr>
              <w:t>2 </w:t>
            </w:r>
            <w:r>
              <w:rPr>
                <w:rFonts w:ascii="Calibri Light"/>
                <w:b w:val="0"/>
                <w:sz w:val="22"/>
              </w:rPr>
              <w:t>(33.3%)</w:t>
            </w:r>
          </w:p>
        </w:tc>
        <w:tc>
          <w:tcPr>
            <w:tcW w:w="1409" w:type="dxa"/>
          </w:tcPr>
          <w:p>
            <w:pPr>
              <w:pStyle w:val="TableParagraph"/>
              <w:spacing w:before="9"/>
              <w:ind w:right="2"/>
              <w:rPr>
                <w:sz w:val="22"/>
              </w:rPr>
            </w:pPr>
            <w:r>
              <w:rPr>
                <w:w w:val="100"/>
                <w:sz w:val="22"/>
              </w:rPr>
              <w:t>0</w:t>
            </w:r>
          </w:p>
        </w:tc>
      </w:tr>
    </w:tbl>
    <w:p>
      <w:pPr>
        <w:spacing w:line="227" w:lineRule="exact" w:before="0"/>
        <w:ind w:left="1558" w:right="339" w:firstLine="0"/>
        <w:jc w:val="left"/>
        <w:rPr>
          <w:b/>
          <w:sz w:val="20"/>
        </w:rPr>
      </w:pPr>
      <w:r>
        <w:rPr>
          <w:b/>
          <w:sz w:val="20"/>
        </w:rPr>
        <w:t>Tabla 4.56. Entorno formal educativo; respuestas por grupo de edad</w:t>
      </w:r>
    </w:p>
    <w:p>
      <w:pPr>
        <w:pStyle w:val="BodyText"/>
        <w:spacing w:before="5"/>
        <w:rPr>
          <w:b/>
          <w:sz w:val="27"/>
        </w:rPr>
      </w:pPr>
    </w:p>
    <w:p>
      <w:pPr>
        <w:pStyle w:val="BodyText"/>
        <w:spacing w:line="360" w:lineRule="auto" w:before="1"/>
        <w:ind w:left="102" w:right="111" w:firstLine="707"/>
        <w:jc w:val="both"/>
      </w:pPr>
      <w:r>
        <w:rPr/>
        <w:t>El nivel de educación superior desglosado en la tabla 4.57., también muestra preferencia por la grabación sin anglicismos con un 87.5%, seguido del nivel medio superior con un 62.5% de respuestas “de acuerdo” y el nivel básico muestra el mismo porcentaje (37.5%) tanto para la opción “de acuerdo” y “en desacuerdo”, pese a ello, un 25% de respuestas “muy de acuerdo” favorece la aseveración 19 en el nivel básico.</w:t>
      </w:r>
    </w:p>
    <w:p>
      <w:pPr>
        <w:pStyle w:val="BodyText"/>
        <w:rPr>
          <w:sz w:val="20"/>
        </w:rPr>
      </w:pPr>
    </w:p>
    <w:p>
      <w:pPr>
        <w:pStyle w:val="BodyText"/>
        <w:rPr>
          <w:sz w:val="20"/>
        </w:rPr>
      </w:pPr>
    </w:p>
    <w:p>
      <w:pPr>
        <w:pStyle w:val="BodyText"/>
        <w:rPr>
          <w:sz w:val="20"/>
        </w:rPr>
      </w:pPr>
    </w:p>
    <w:p>
      <w:pPr>
        <w:pStyle w:val="BodyText"/>
        <w:spacing w:before="4"/>
        <w:rPr>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1"/>
        <w:gridCol w:w="1150"/>
        <w:gridCol w:w="1121"/>
        <w:gridCol w:w="1244"/>
        <w:gridCol w:w="1368"/>
        <w:gridCol w:w="1366"/>
      </w:tblGrid>
      <w:tr>
        <w:trPr>
          <w:trHeight w:val="406" w:hRule="exact"/>
        </w:trPr>
        <w:tc>
          <w:tcPr>
            <w:tcW w:w="1428" w:type="dxa"/>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19</w:t>
            </w:r>
          </w:p>
        </w:tc>
        <w:tc>
          <w:tcPr>
            <w:tcW w:w="1721" w:type="dxa"/>
            <w:vMerge w:val="restart"/>
          </w:tcPr>
          <w:p>
            <w:pPr>
              <w:pStyle w:val="TableParagraph"/>
              <w:spacing w:line="360" w:lineRule="auto" w:before="9"/>
              <w:ind w:left="163" w:right="164" w:firstLine="4"/>
              <w:rPr>
                <w:b/>
                <w:sz w:val="22"/>
              </w:rPr>
            </w:pPr>
            <w:r>
              <w:rPr>
                <w:sz w:val="22"/>
              </w:rPr>
              <w:t>Tipo de Aseveración: </w:t>
            </w:r>
            <w:r>
              <w:rPr>
                <w:b/>
                <w:sz w:val="22"/>
              </w:rPr>
              <w:t>Desfavorable</w:t>
            </w:r>
          </w:p>
        </w:tc>
        <w:tc>
          <w:tcPr>
            <w:tcW w:w="6249" w:type="dxa"/>
            <w:gridSpan w:val="5"/>
          </w:tcPr>
          <w:p>
            <w:pPr>
              <w:pStyle w:val="TableParagraph"/>
              <w:spacing w:before="5"/>
              <w:ind w:left="2517" w:right="2517"/>
              <w:rPr>
                <w:sz w:val="22"/>
              </w:rPr>
            </w:pPr>
            <w:r>
              <w:rPr>
                <w:sz w:val="22"/>
              </w:rPr>
              <w:t>Respuestas</w:t>
            </w:r>
          </w:p>
        </w:tc>
      </w:tr>
      <w:tr>
        <w:trPr>
          <w:trHeight w:val="771" w:hRule="exact"/>
        </w:trPr>
        <w:tc>
          <w:tcPr>
            <w:tcW w:w="1428" w:type="dxa"/>
            <w:vMerge/>
          </w:tcPr>
          <w:p>
            <w:pPr/>
          </w:p>
        </w:tc>
        <w:tc>
          <w:tcPr>
            <w:tcW w:w="1721" w:type="dxa"/>
            <w:vMerge/>
          </w:tcPr>
          <w:p>
            <w:pPr/>
          </w:p>
        </w:tc>
        <w:tc>
          <w:tcPr>
            <w:tcW w:w="1150" w:type="dxa"/>
          </w:tcPr>
          <w:p>
            <w:pPr>
              <w:pStyle w:val="TableParagraph"/>
              <w:spacing w:line="360" w:lineRule="auto"/>
              <w:ind w:left="170" w:right="155" w:firstLine="38"/>
              <w:jc w:val="left"/>
              <w:rPr>
                <w:sz w:val="22"/>
              </w:rPr>
            </w:pPr>
            <w:r>
              <w:rPr>
                <w:sz w:val="22"/>
              </w:rPr>
              <w:t>Muy de acuerdo</w:t>
            </w:r>
          </w:p>
        </w:tc>
        <w:tc>
          <w:tcPr>
            <w:tcW w:w="1121" w:type="dxa"/>
          </w:tcPr>
          <w:p>
            <w:pPr>
              <w:pStyle w:val="TableParagraph"/>
              <w:spacing w:line="360" w:lineRule="auto"/>
              <w:ind w:left="155" w:right="141" w:firstLine="256"/>
              <w:jc w:val="left"/>
              <w:rPr>
                <w:sz w:val="22"/>
              </w:rPr>
            </w:pPr>
            <w:r>
              <w:rPr>
                <w:sz w:val="22"/>
              </w:rPr>
              <w:t>De acuerdo</w:t>
            </w:r>
          </w:p>
        </w:tc>
        <w:tc>
          <w:tcPr>
            <w:tcW w:w="1244" w:type="dxa"/>
          </w:tcPr>
          <w:p>
            <w:pPr>
              <w:pStyle w:val="TableParagraph"/>
              <w:spacing w:before="187"/>
              <w:ind w:left="83" w:right="81"/>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9" w:type="dxa"/>
            <w:gridSpan w:val="2"/>
          </w:tcPr>
          <w:p>
            <w:pPr>
              <w:pStyle w:val="TableParagraph"/>
              <w:spacing w:before="9"/>
              <w:ind w:left="799"/>
              <w:jc w:val="left"/>
              <w:rPr>
                <w:sz w:val="22"/>
              </w:rPr>
            </w:pPr>
            <w:r>
              <w:rPr>
                <w:sz w:val="22"/>
              </w:rPr>
              <w:t>Nivel Básico (8)</w:t>
            </w:r>
          </w:p>
        </w:tc>
        <w:tc>
          <w:tcPr>
            <w:tcW w:w="1150" w:type="dxa"/>
            <w:tcBorders>
              <w:right w:val="single" w:sz="41" w:space="0" w:color="9CC2E4"/>
            </w:tcBorders>
          </w:tcPr>
          <w:p>
            <w:pPr>
              <w:pStyle w:val="TableParagraph"/>
              <w:spacing w:line="265" w:lineRule="exact"/>
              <w:ind w:left="117" w:right="75"/>
              <w:rPr>
                <w:rFonts w:ascii="Calibri Light"/>
                <w:b w:val="0"/>
                <w:sz w:val="22"/>
              </w:rPr>
            </w:pPr>
            <w:r>
              <w:rPr>
                <w:sz w:val="22"/>
              </w:rPr>
              <w:t>2 </w:t>
            </w:r>
            <w:r>
              <w:rPr>
                <w:rFonts w:ascii="Calibri Light"/>
                <w:b w:val="0"/>
                <w:sz w:val="22"/>
              </w:rPr>
              <w:t>(25%)</w:t>
            </w:r>
          </w:p>
        </w:tc>
        <w:tc>
          <w:tcPr>
            <w:tcW w:w="1121" w:type="dxa"/>
            <w:shd w:val="clear" w:color="auto" w:fill="9CC2E4"/>
          </w:tcPr>
          <w:p>
            <w:pPr>
              <w:pStyle w:val="TableParagraph"/>
              <w:spacing w:line="265" w:lineRule="exact"/>
              <w:ind w:left="85" w:right="86"/>
              <w:rPr>
                <w:rFonts w:ascii="Calibri Light"/>
                <w:b w:val="0"/>
                <w:sz w:val="22"/>
              </w:rPr>
            </w:pPr>
            <w:r>
              <w:rPr>
                <w:sz w:val="22"/>
              </w:rPr>
              <w:t>3 </w:t>
            </w:r>
            <w:r>
              <w:rPr>
                <w:rFonts w:ascii="Calibri Light"/>
                <w:b w:val="0"/>
                <w:sz w:val="22"/>
              </w:rPr>
              <w:t>(37.5%)</w:t>
            </w:r>
          </w:p>
        </w:tc>
        <w:tc>
          <w:tcPr>
            <w:tcW w:w="1244" w:type="dxa"/>
            <w:tcBorders>
              <w:left w:val="single" w:sz="45" w:space="0" w:color="9CC2E4"/>
              <w:right w:val="single" w:sz="41" w:space="0" w:color="9CC2E4"/>
            </w:tcBorders>
          </w:tcPr>
          <w:p>
            <w:pPr>
              <w:pStyle w:val="TableParagraph"/>
              <w:spacing w:before="9"/>
              <w:ind w:right="5"/>
              <w:rPr>
                <w:sz w:val="22"/>
              </w:rPr>
            </w:pPr>
            <w:r>
              <w:rPr>
                <w:w w:val="100"/>
                <w:sz w:val="22"/>
              </w:rPr>
              <w:t>0</w:t>
            </w:r>
          </w:p>
        </w:tc>
        <w:tc>
          <w:tcPr>
            <w:tcW w:w="1368" w:type="dxa"/>
            <w:shd w:val="clear" w:color="auto" w:fill="9CC2E4"/>
          </w:tcPr>
          <w:p>
            <w:pPr>
              <w:pStyle w:val="TableParagraph"/>
              <w:spacing w:line="265" w:lineRule="exact"/>
              <w:ind w:left="222" w:right="224"/>
              <w:rPr>
                <w:rFonts w:ascii="Calibri Light"/>
                <w:b w:val="0"/>
                <w:sz w:val="22"/>
              </w:rPr>
            </w:pPr>
            <w:r>
              <w:rPr>
                <w:sz w:val="22"/>
              </w:rPr>
              <w:t>3 </w:t>
            </w:r>
            <w:r>
              <w:rPr>
                <w:rFonts w:ascii="Calibri Light"/>
                <w:b w:val="0"/>
                <w:sz w:val="22"/>
              </w:rPr>
              <w:t>(37.5%)</w:t>
            </w:r>
          </w:p>
        </w:tc>
        <w:tc>
          <w:tcPr>
            <w:tcW w:w="1366" w:type="dxa"/>
            <w:tcBorders>
              <w:left w:val="thickThinMediumGap" w:sz="23" w:space="0" w:color="9CC2E4"/>
            </w:tcBorders>
          </w:tcPr>
          <w:p>
            <w:pPr>
              <w:pStyle w:val="TableParagraph"/>
              <w:spacing w:before="9"/>
              <w:ind w:left="561"/>
              <w:jc w:val="left"/>
              <w:rPr>
                <w:sz w:val="22"/>
              </w:rPr>
            </w:pPr>
            <w:r>
              <w:rPr>
                <w:w w:val="100"/>
                <w:sz w:val="22"/>
              </w:rPr>
              <w:t>0</w:t>
            </w:r>
          </w:p>
        </w:tc>
      </w:tr>
      <w:tr>
        <w:trPr>
          <w:trHeight w:val="413" w:hRule="exact"/>
        </w:trPr>
        <w:tc>
          <w:tcPr>
            <w:tcW w:w="3149" w:type="dxa"/>
            <w:gridSpan w:val="2"/>
          </w:tcPr>
          <w:p>
            <w:pPr>
              <w:pStyle w:val="TableParagraph"/>
              <w:spacing w:before="9"/>
              <w:ind w:left="383"/>
              <w:jc w:val="left"/>
              <w:rPr>
                <w:sz w:val="22"/>
              </w:rPr>
            </w:pPr>
            <w:r>
              <w:rPr>
                <w:sz w:val="22"/>
              </w:rPr>
              <w:t>Nivel Medio Superior (8)</w:t>
            </w:r>
          </w:p>
        </w:tc>
        <w:tc>
          <w:tcPr>
            <w:tcW w:w="1150" w:type="dxa"/>
          </w:tcPr>
          <w:p>
            <w:pPr>
              <w:pStyle w:val="TableParagraph"/>
              <w:spacing w:line="265" w:lineRule="exact"/>
              <w:ind w:left="120" w:right="120"/>
              <w:rPr>
                <w:rFonts w:ascii="Calibri Light"/>
                <w:b w:val="0"/>
                <w:sz w:val="22"/>
              </w:rPr>
            </w:pPr>
            <w:r>
              <w:rPr>
                <w:sz w:val="22"/>
              </w:rPr>
              <w:t>1 </w:t>
            </w:r>
            <w:r>
              <w:rPr>
                <w:rFonts w:ascii="Calibri Light"/>
                <w:b w:val="0"/>
                <w:sz w:val="22"/>
              </w:rPr>
              <w:t>(12.5%)</w:t>
            </w:r>
          </w:p>
        </w:tc>
        <w:tc>
          <w:tcPr>
            <w:tcW w:w="1121" w:type="dxa"/>
            <w:shd w:val="clear" w:color="auto" w:fill="2D74B5"/>
          </w:tcPr>
          <w:p>
            <w:pPr>
              <w:pStyle w:val="TableParagraph"/>
              <w:spacing w:line="265" w:lineRule="exact"/>
              <w:ind w:left="85" w:right="86"/>
              <w:rPr>
                <w:rFonts w:ascii="Calibri Light"/>
                <w:b w:val="0"/>
                <w:sz w:val="22"/>
              </w:rPr>
            </w:pPr>
            <w:r>
              <w:rPr>
                <w:sz w:val="22"/>
              </w:rPr>
              <w:t>5 </w:t>
            </w:r>
            <w:r>
              <w:rPr>
                <w:rFonts w:ascii="Calibri Light"/>
                <w:b w:val="0"/>
                <w:sz w:val="22"/>
              </w:rPr>
              <w:t>(62.5%)</w:t>
            </w:r>
          </w:p>
        </w:tc>
        <w:tc>
          <w:tcPr>
            <w:tcW w:w="1244" w:type="dxa"/>
          </w:tcPr>
          <w:p>
            <w:pPr>
              <w:pStyle w:val="TableParagraph"/>
              <w:spacing w:before="9"/>
              <w:rPr>
                <w:sz w:val="22"/>
              </w:rPr>
            </w:pPr>
            <w:r>
              <w:rPr>
                <w:w w:val="100"/>
                <w:sz w:val="22"/>
              </w:rPr>
              <w:t>0</w:t>
            </w:r>
          </w:p>
        </w:tc>
        <w:tc>
          <w:tcPr>
            <w:tcW w:w="1368" w:type="dxa"/>
          </w:tcPr>
          <w:p>
            <w:pPr>
              <w:pStyle w:val="TableParagraph"/>
              <w:spacing w:line="265" w:lineRule="exact"/>
              <w:ind w:left="223" w:right="224"/>
              <w:rPr>
                <w:rFonts w:ascii="Calibri Light"/>
                <w:b w:val="0"/>
                <w:sz w:val="22"/>
              </w:rPr>
            </w:pPr>
            <w:r>
              <w:rPr>
                <w:sz w:val="22"/>
              </w:rPr>
              <w:t>2 </w:t>
            </w:r>
            <w:r>
              <w:rPr>
                <w:rFonts w:ascii="Calibri Light"/>
                <w:b w:val="0"/>
                <w:sz w:val="22"/>
              </w:rPr>
              <w:t>(25%)</w:t>
            </w:r>
          </w:p>
        </w:tc>
        <w:tc>
          <w:tcPr>
            <w:tcW w:w="1366" w:type="dxa"/>
          </w:tcPr>
          <w:p>
            <w:pPr>
              <w:pStyle w:val="TableParagraph"/>
              <w:spacing w:before="9"/>
              <w:ind w:left="614"/>
              <w:jc w:val="left"/>
              <w:rPr>
                <w:sz w:val="22"/>
              </w:rPr>
            </w:pPr>
            <w:r>
              <w:rPr>
                <w:w w:val="100"/>
                <w:sz w:val="22"/>
              </w:rPr>
              <w:t>0</w:t>
            </w:r>
          </w:p>
        </w:tc>
      </w:tr>
      <w:tr>
        <w:trPr>
          <w:trHeight w:val="413" w:hRule="exact"/>
        </w:trPr>
        <w:tc>
          <w:tcPr>
            <w:tcW w:w="3149" w:type="dxa"/>
            <w:gridSpan w:val="2"/>
          </w:tcPr>
          <w:p>
            <w:pPr>
              <w:pStyle w:val="TableParagraph"/>
              <w:spacing w:before="9"/>
              <w:ind w:left="712"/>
              <w:jc w:val="left"/>
              <w:rPr>
                <w:sz w:val="22"/>
              </w:rPr>
            </w:pPr>
            <w:r>
              <w:rPr>
                <w:sz w:val="22"/>
              </w:rPr>
              <w:t>Nivel Superior (8)</w:t>
            </w:r>
          </w:p>
        </w:tc>
        <w:tc>
          <w:tcPr>
            <w:tcW w:w="1150" w:type="dxa"/>
          </w:tcPr>
          <w:p>
            <w:pPr>
              <w:pStyle w:val="TableParagraph"/>
              <w:spacing w:line="265" w:lineRule="exact"/>
              <w:ind w:left="120" w:right="120"/>
              <w:rPr>
                <w:rFonts w:ascii="Calibri Light"/>
                <w:b w:val="0"/>
                <w:sz w:val="22"/>
              </w:rPr>
            </w:pPr>
            <w:r>
              <w:rPr>
                <w:sz w:val="22"/>
              </w:rPr>
              <w:t>1 </w:t>
            </w:r>
            <w:r>
              <w:rPr>
                <w:rFonts w:ascii="Calibri Light"/>
                <w:b w:val="0"/>
                <w:sz w:val="22"/>
              </w:rPr>
              <w:t>(12.5%)</w:t>
            </w:r>
          </w:p>
        </w:tc>
        <w:tc>
          <w:tcPr>
            <w:tcW w:w="1121" w:type="dxa"/>
            <w:shd w:val="clear" w:color="auto" w:fill="2D74B5"/>
          </w:tcPr>
          <w:p>
            <w:pPr>
              <w:pStyle w:val="TableParagraph"/>
              <w:spacing w:line="265" w:lineRule="exact"/>
              <w:ind w:left="85" w:right="86"/>
              <w:rPr>
                <w:rFonts w:ascii="Calibri Light"/>
                <w:b w:val="0"/>
                <w:sz w:val="22"/>
              </w:rPr>
            </w:pPr>
            <w:r>
              <w:rPr>
                <w:sz w:val="22"/>
              </w:rPr>
              <w:t>7 </w:t>
            </w:r>
            <w:r>
              <w:rPr>
                <w:rFonts w:ascii="Calibri Light"/>
                <w:b w:val="0"/>
                <w:sz w:val="22"/>
              </w:rPr>
              <w:t>(87.5%)</w:t>
            </w:r>
          </w:p>
        </w:tc>
        <w:tc>
          <w:tcPr>
            <w:tcW w:w="1244" w:type="dxa"/>
          </w:tcPr>
          <w:p>
            <w:pPr>
              <w:pStyle w:val="TableParagraph"/>
              <w:spacing w:before="9"/>
              <w:rPr>
                <w:sz w:val="22"/>
              </w:rPr>
            </w:pPr>
            <w:r>
              <w:rPr>
                <w:w w:val="100"/>
                <w:sz w:val="22"/>
              </w:rPr>
              <w:t>0</w:t>
            </w:r>
          </w:p>
        </w:tc>
        <w:tc>
          <w:tcPr>
            <w:tcW w:w="1368" w:type="dxa"/>
          </w:tcPr>
          <w:p>
            <w:pPr>
              <w:pStyle w:val="TableParagraph"/>
              <w:spacing w:before="9"/>
              <w:rPr>
                <w:sz w:val="22"/>
              </w:rPr>
            </w:pPr>
            <w:r>
              <w:rPr>
                <w:w w:val="100"/>
                <w:sz w:val="22"/>
              </w:rPr>
              <w:t>0</w:t>
            </w:r>
          </w:p>
        </w:tc>
        <w:tc>
          <w:tcPr>
            <w:tcW w:w="1366" w:type="dxa"/>
          </w:tcPr>
          <w:p>
            <w:pPr>
              <w:pStyle w:val="TableParagraph"/>
              <w:spacing w:before="9"/>
              <w:ind w:left="614"/>
              <w:jc w:val="left"/>
              <w:rPr>
                <w:sz w:val="22"/>
              </w:rPr>
            </w:pPr>
            <w:r>
              <w:rPr>
                <w:w w:val="100"/>
                <w:sz w:val="22"/>
              </w:rPr>
              <w:t>0</w:t>
            </w:r>
          </w:p>
        </w:tc>
      </w:tr>
    </w:tbl>
    <w:p>
      <w:pPr>
        <w:spacing w:line="227" w:lineRule="exact" w:before="0"/>
        <w:ind w:left="1436" w:right="339" w:firstLine="0"/>
        <w:jc w:val="left"/>
        <w:rPr>
          <w:b/>
          <w:sz w:val="20"/>
        </w:rPr>
      </w:pPr>
      <w:r>
        <w:rPr>
          <w:b/>
          <w:sz w:val="20"/>
        </w:rPr>
        <w:t>Tabla 4.57. Entorno formal educativo; respuestas por nivel de estudios</w:t>
      </w:r>
    </w:p>
    <w:p>
      <w:pPr>
        <w:pStyle w:val="BodyText"/>
        <w:spacing w:before="5"/>
        <w:rPr>
          <w:b/>
          <w:sz w:val="27"/>
        </w:rPr>
      </w:pPr>
    </w:p>
    <w:p>
      <w:pPr>
        <w:pStyle w:val="BodyText"/>
        <w:spacing w:line="360" w:lineRule="auto"/>
        <w:ind w:left="102" w:right="109" w:firstLine="707"/>
        <w:jc w:val="both"/>
      </w:pPr>
      <w:r>
        <w:rPr/>
        <w:t>La última aseveración presenta un sentido desfavorable para el uso de anglicismos.</w:t>
      </w:r>
      <w:r>
        <w:rPr>
          <w:spacing w:val="-14"/>
        </w:rPr>
        <w:t> </w:t>
      </w:r>
      <w:r>
        <w:rPr/>
        <w:t>En</w:t>
      </w:r>
      <w:r>
        <w:rPr>
          <w:spacing w:val="-14"/>
        </w:rPr>
        <w:t> </w:t>
      </w:r>
      <w:r>
        <w:rPr/>
        <w:t>el</w:t>
      </w:r>
      <w:r>
        <w:rPr>
          <w:spacing w:val="-15"/>
        </w:rPr>
        <w:t> </w:t>
      </w:r>
      <w:r>
        <w:rPr/>
        <w:t>cuestionario</w:t>
      </w:r>
      <w:r>
        <w:rPr>
          <w:spacing w:val="-14"/>
        </w:rPr>
        <w:t> </w:t>
      </w:r>
      <w:r>
        <w:rPr/>
        <w:t>se</w:t>
      </w:r>
      <w:r>
        <w:rPr>
          <w:spacing w:val="-14"/>
        </w:rPr>
        <w:t> </w:t>
      </w:r>
      <w:r>
        <w:rPr/>
        <w:t>redactó</w:t>
      </w:r>
      <w:r>
        <w:rPr>
          <w:spacing w:val="-16"/>
        </w:rPr>
        <w:t> </w:t>
      </w:r>
      <w:r>
        <w:rPr/>
        <w:t>de</w:t>
      </w:r>
      <w:r>
        <w:rPr>
          <w:spacing w:val="-19"/>
        </w:rPr>
        <w:t> </w:t>
      </w:r>
      <w:r>
        <w:rPr/>
        <w:t>la</w:t>
      </w:r>
      <w:r>
        <w:rPr>
          <w:spacing w:val="-14"/>
        </w:rPr>
        <w:t> </w:t>
      </w:r>
      <w:r>
        <w:rPr/>
        <w:t>siguiente</w:t>
      </w:r>
      <w:r>
        <w:rPr>
          <w:spacing w:val="-16"/>
        </w:rPr>
        <w:t> </w:t>
      </w:r>
      <w:r>
        <w:rPr/>
        <w:t>manera:</w:t>
      </w:r>
      <w:r>
        <w:rPr>
          <w:spacing w:val="-8"/>
        </w:rPr>
        <w:t> </w:t>
      </w:r>
      <w:r>
        <w:rPr/>
        <w:t>“</w:t>
      </w:r>
      <w:r>
        <w:rPr>
          <w:b/>
        </w:rPr>
        <w:t>Para</w:t>
      </w:r>
      <w:r>
        <w:rPr>
          <w:b/>
          <w:spacing w:val="-14"/>
        </w:rPr>
        <w:t> </w:t>
      </w:r>
      <w:r>
        <w:rPr>
          <w:b/>
        </w:rPr>
        <w:t>tener</w:t>
      </w:r>
      <w:r>
        <w:rPr>
          <w:b/>
          <w:spacing w:val="-15"/>
        </w:rPr>
        <w:t> </w:t>
      </w:r>
      <w:r>
        <w:rPr>
          <w:b/>
        </w:rPr>
        <w:t>influencia en sus partidarios, un candidato a un puesto político se expresaría como en la grabación</w:t>
      </w:r>
      <w:r>
        <w:rPr/>
        <w:t>”. En la totalidad de la población, de acuerdo con el análisis en la tabla 4.58., se pudo observar una tendencia a favorecer la grabación sin anglicismos con un 41.6% de respuestas “de acuerdo”. Por género, los resultados indican que las mujeres también se</w:t>
      </w:r>
      <w:r>
        <w:rPr>
          <w:spacing w:val="-14"/>
        </w:rPr>
        <w:t> </w:t>
      </w:r>
      <w:r>
        <w:rPr/>
        <w:t>encuentran</w:t>
      </w:r>
      <w:r>
        <w:rPr>
          <w:spacing w:val="-14"/>
        </w:rPr>
        <w:t> </w:t>
      </w:r>
      <w:r>
        <w:rPr/>
        <w:t>a</w:t>
      </w:r>
      <w:r>
        <w:rPr>
          <w:spacing w:val="-17"/>
        </w:rPr>
        <w:t> </w:t>
      </w:r>
      <w:r>
        <w:rPr/>
        <w:t>favor</w:t>
      </w:r>
      <w:r>
        <w:rPr>
          <w:spacing w:val="-16"/>
        </w:rPr>
        <w:t> </w:t>
      </w:r>
      <w:r>
        <w:rPr/>
        <w:t>de</w:t>
      </w:r>
      <w:r>
        <w:rPr>
          <w:spacing w:val="-14"/>
        </w:rPr>
        <w:t> </w:t>
      </w:r>
      <w:r>
        <w:rPr/>
        <w:t>la</w:t>
      </w:r>
      <w:r>
        <w:rPr>
          <w:spacing w:val="-14"/>
        </w:rPr>
        <w:t> </w:t>
      </w:r>
      <w:r>
        <w:rPr/>
        <w:t>aseveración</w:t>
      </w:r>
      <w:r>
        <w:rPr>
          <w:spacing w:val="-14"/>
        </w:rPr>
        <w:t> </w:t>
      </w:r>
      <w:r>
        <w:rPr/>
        <w:t>presentando</w:t>
      </w:r>
      <w:r>
        <w:rPr>
          <w:spacing w:val="-17"/>
        </w:rPr>
        <w:t> </w:t>
      </w:r>
      <w:r>
        <w:rPr/>
        <w:t>un</w:t>
      </w:r>
      <w:r>
        <w:rPr>
          <w:spacing w:val="-17"/>
        </w:rPr>
        <w:t> </w:t>
      </w:r>
      <w:r>
        <w:rPr/>
        <w:t>50%</w:t>
      </w:r>
      <w:r>
        <w:rPr>
          <w:spacing w:val="-15"/>
        </w:rPr>
        <w:t> </w:t>
      </w:r>
      <w:r>
        <w:rPr/>
        <w:t>de</w:t>
      </w:r>
      <w:r>
        <w:rPr>
          <w:spacing w:val="-14"/>
        </w:rPr>
        <w:t> </w:t>
      </w:r>
      <w:r>
        <w:rPr/>
        <w:t>respuestas</w:t>
      </w:r>
      <w:r>
        <w:rPr>
          <w:spacing w:val="-15"/>
        </w:rPr>
        <w:t> </w:t>
      </w:r>
      <w:r>
        <w:rPr/>
        <w:t>“de</w:t>
      </w:r>
      <w:r>
        <w:rPr>
          <w:spacing w:val="-14"/>
        </w:rPr>
        <w:t> </w:t>
      </w:r>
      <w:r>
        <w:rPr/>
        <w:t>acuerdo” mientras</w:t>
      </w:r>
      <w:r>
        <w:rPr>
          <w:spacing w:val="28"/>
        </w:rPr>
        <w:t> </w:t>
      </w:r>
      <w:r>
        <w:rPr/>
        <w:t>que</w:t>
      </w:r>
      <w:r>
        <w:rPr>
          <w:spacing w:val="27"/>
        </w:rPr>
        <w:t> </w:t>
      </w:r>
      <w:r>
        <w:rPr/>
        <w:t>los</w:t>
      </w:r>
      <w:r>
        <w:rPr>
          <w:spacing w:val="26"/>
        </w:rPr>
        <w:t> </w:t>
      </w:r>
      <w:r>
        <w:rPr/>
        <w:t>hombres</w:t>
      </w:r>
      <w:r>
        <w:rPr>
          <w:spacing w:val="26"/>
        </w:rPr>
        <w:t> </w:t>
      </w:r>
      <w:r>
        <w:rPr/>
        <w:t>muestran</w:t>
      </w:r>
      <w:r>
        <w:rPr>
          <w:spacing w:val="27"/>
        </w:rPr>
        <w:t> </w:t>
      </w:r>
      <w:r>
        <w:rPr/>
        <w:t>como</w:t>
      </w:r>
      <w:r>
        <w:rPr>
          <w:spacing w:val="24"/>
        </w:rPr>
        <w:t> </w:t>
      </w:r>
      <w:r>
        <w:rPr/>
        <w:t>mayoría</w:t>
      </w:r>
      <w:r>
        <w:rPr>
          <w:spacing w:val="29"/>
        </w:rPr>
        <w:t> </w:t>
      </w:r>
      <w:r>
        <w:rPr/>
        <w:t>la</w:t>
      </w:r>
      <w:r>
        <w:rPr>
          <w:spacing w:val="26"/>
        </w:rPr>
        <w:t> </w:t>
      </w:r>
      <w:r>
        <w:rPr/>
        <w:t>opción</w:t>
      </w:r>
      <w:r>
        <w:rPr>
          <w:spacing w:val="29"/>
        </w:rPr>
        <w:t> </w:t>
      </w:r>
      <w:r>
        <w:rPr/>
        <w:t>“en</w:t>
      </w:r>
      <w:r>
        <w:rPr>
          <w:spacing w:val="27"/>
        </w:rPr>
        <w:t> </w:t>
      </w:r>
      <w:r>
        <w:rPr/>
        <w:t>desacuerdo”</w:t>
      </w:r>
      <w:r>
        <w:rPr>
          <w:spacing w:val="27"/>
        </w:rPr>
        <w:t> </w:t>
      </w:r>
      <w:r>
        <w:rPr/>
        <w:t>con</w:t>
      </w:r>
      <w:r>
        <w:rPr>
          <w:spacing w:val="27"/>
        </w:rPr>
        <w:t> </w:t>
      </w:r>
      <w:r>
        <w:rPr/>
        <w:t>un</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17"/>
        <w:jc w:val="both"/>
      </w:pPr>
      <w:r>
        <w:rPr/>
        <w:t>41.6%, pese a ello, se puede apreciar un 33.3% “de acuerdo” con la aseveración y un 16.6% de respuestas en “muy de acuerdo” lo que podría superar el porcentaje en la opción “en desacuerdo”.</w:t>
      </w:r>
    </w:p>
    <w:p>
      <w:pPr>
        <w:pStyle w:val="BodyText"/>
        <w:spacing w:before="10"/>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14"/>
        <w:gridCol w:w="1140"/>
        <w:gridCol w:w="1138"/>
        <w:gridCol w:w="1244"/>
        <w:gridCol w:w="1368"/>
        <w:gridCol w:w="1366"/>
      </w:tblGrid>
      <w:tr>
        <w:trPr>
          <w:trHeight w:val="406" w:hRule="exact"/>
        </w:trPr>
        <w:tc>
          <w:tcPr>
            <w:tcW w:w="1428" w:type="dxa"/>
            <w:vMerge w:val="restart"/>
          </w:tcPr>
          <w:p>
            <w:pPr>
              <w:pStyle w:val="TableParagraph"/>
              <w:spacing w:before="3"/>
              <w:jc w:val="left"/>
              <w:rPr>
                <w:sz w:val="17"/>
              </w:rPr>
            </w:pPr>
          </w:p>
          <w:p>
            <w:pPr>
              <w:pStyle w:val="TableParagraph"/>
              <w:ind w:left="82" w:right="83"/>
              <w:rPr>
                <w:sz w:val="22"/>
              </w:rPr>
            </w:pPr>
            <w:r>
              <w:rPr>
                <w:sz w:val="22"/>
              </w:rPr>
              <w:t>Aseveración</w:t>
            </w:r>
          </w:p>
          <w:p>
            <w:pPr>
              <w:pStyle w:val="TableParagraph"/>
              <w:spacing w:before="126"/>
              <w:ind w:left="83" w:right="83"/>
              <w:rPr>
                <w:b/>
                <w:sz w:val="22"/>
              </w:rPr>
            </w:pPr>
            <w:r>
              <w:rPr>
                <w:b/>
                <w:sz w:val="22"/>
              </w:rPr>
              <w:t>20</w:t>
            </w:r>
          </w:p>
        </w:tc>
        <w:tc>
          <w:tcPr>
            <w:tcW w:w="1714" w:type="dxa"/>
            <w:vMerge w:val="restart"/>
          </w:tcPr>
          <w:p>
            <w:pPr>
              <w:pStyle w:val="TableParagraph"/>
              <w:spacing w:line="360" w:lineRule="auto" w:before="9"/>
              <w:ind w:left="158" w:right="161" w:firstLine="4"/>
              <w:rPr>
                <w:b/>
                <w:sz w:val="22"/>
              </w:rPr>
            </w:pPr>
            <w:r>
              <w:rPr>
                <w:sz w:val="22"/>
              </w:rPr>
              <w:t>Tipo de Aseveración: </w:t>
            </w:r>
            <w:r>
              <w:rPr>
                <w:b/>
                <w:sz w:val="22"/>
              </w:rPr>
              <w:t>Desfavorable</w:t>
            </w:r>
          </w:p>
        </w:tc>
        <w:tc>
          <w:tcPr>
            <w:tcW w:w="6256" w:type="dxa"/>
            <w:gridSpan w:val="5"/>
          </w:tcPr>
          <w:p>
            <w:pPr>
              <w:pStyle w:val="TableParagraph"/>
              <w:spacing w:before="5"/>
              <w:ind w:left="2521" w:right="2521"/>
              <w:rPr>
                <w:sz w:val="22"/>
              </w:rPr>
            </w:pPr>
            <w:r>
              <w:rPr>
                <w:sz w:val="22"/>
              </w:rPr>
              <w:t>Respuestas</w:t>
            </w:r>
          </w:p>
        </w:tc>
      </w:tr>
      <w:tr>
        <w:trPr>
          <w:trHeight w:val="770" w:hRule="exact"/>
        </w:trPr>
        <w:tc>
          <w:tcPr>
            <w:tcW w:w="1428" w:type="dxa"/>
            <w:vMerge/>
          </w:tcPr>
          <w:p>
            <w:pPr/>
          </w:p>
        </w:tc>
        <w:tc>
          <w:tcPr>
            <w:tcW w:w="1714" w:type="dxa"/>
            <w:vMerge/>
          </w:tcPr>
          <w:p>
            <w:pPr/>
          </w:p>
        </w:tc>
        <w:tc>
          <w:tcPr>
            <w:tcW w:w="1140" w:type="dxa"/>
          </w:tcPr>
          <w:p>
            <w:pPr>
              <w:pStyle w:val="TableParagraph"/>
              <w:spacing w:line="360" w:lineRule="auto"/>
              <w:ind w:left="168" w:right="147" w:firstLine="36"/>
              <w:jc w:val="left"/>
              <w:rPr>
                <w:sz w:val="22"/>
              </w:rPr>
            </w:pPr>
            <w:r>
              <w:rPr>
                <w:sz w:val="22"/>
              </w:rPr>
              <w:t>Muy de acuerdo</w:t>
            </w:r>
          </w:p>
        </w:tc>
        <w:tc>
          <w:tcPr>
            <w:tcW w:w="1138" w:type="dxa"/>
          </w:tcPr>
          <w:p>
            <w:pPr>
              <w:pStyle w:val="TableParagraph"/>
              <w:spacing w:line="360" w:lineRule="auto"/>
              <w:ind w:left="165" w:right="147"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42" w:type="dxa"/>
            <w:gridSpan w:val="2"/>
          </w:tcPr>
          <w:p>
            <w:pPr>
              <w:pStyle w:val="TableParagraph"/>
              <w:spacing w:before="9"/>
              <w:ind w:left="323"/>
              <w:jc w:val="left"/>
              <w:rPr>
                <w:sz w:val="22"/>
              </w:rPr>
            </w:pPr>
            <w:r>
              <w:rPr>
                <w:sz w:val="22"/>
              </w:rPr>
              <w:t>Total de la población (24)</w:t>
            </w:r>
          </w:p>
        </w:tc>
        <w:tc>
          <w:tcPr>
            <w:tcW w:w="1140" w:type="dxa"/>
          </w:tcPr>
          <w:p>
            <w:pPr>
              <w:pStyle w:val="TableParagraph"/>
              <w:spacing w:line="265" w:lineRule="exact"/>
              <w:ind w:left="134"/>
              <w:jc w:val="left"/>
              <w:rPr>
                <w:rFonts w:ascii="Calibri Light"/>
                <w:b w:val="0"/>
                <w:sz w:val="22"/>
              </w:rPr>
            </w:pPr>
            <w:r>
              <w:rPr>
                <w:sz w:val="22"/>
              </w:rPr>
              <w:t>4 </w:t>
            </w:r>
            <w:r>
              <w:rPr>
                <w:rFonts w:ascii="Calibri Light"/>
                <w:b w:val="0"/>
                <w:sz w:val="22"/>
              </w:rPr>
              <w:t>(16.6%)</w:t>
            </w:r>
          </w:p>
        </w:tc>
        <w:tc>
          <w:tcPr>
            <w:tcW w:w="1138" w:type="dxa"/>
            <w:shd w:val="clear" w:color="auto" w:fill="2D74B5"/>
          </w:tcPr>
          <w:p>
            <w:pPr>
              <w:pStyle w:val="TableParagraph"/>
              <w:spacing w:line="265" w:lineRule="exact"/>
              <w:ind w:left="83" w:right="84"/>
              <w:rPr>
                <w:rFonts w:ascii="Calibri Light"/>
                <w:b w:val="0"/>
                <w:sz w:val="22"/>
              </w:rPr>
            </w:pPr>
            <w:r>
              <w:rPr>
                <w:sz w:val="22"/>
              </w:rPr>
              <w:t>10</w:t>
            </w:r>
            <w:r>
              <w:rPr>
                <w:rFonts w:ascii="Calibri Light"/>
                <w:b w:val="0"/>
                <w:sz w:val="22"/>
              </w:rPr>
              <w:t>(41.6%)</w:t>
            </w:r>
          </w:p>
        </w:tc>
        <w:tc>
          <w:tcPr>
            <w:tcW w:w="1244" w:type="dxa"/>
          </w:tcPr>
          <w:p>
            <w:pPr>
              <w:pStyle w:val="TableParagraph"/>
              <w:spacing w:line="265" w:lineRule="exact"/>
              <w:ind w:left="82" w:right="82"/>
              <w:rPr>
                <w:rFonts w:ascii="Calibri Light"/>
                <w:b w:val="0"/>
                <w:sz w:val="22"/>
              </w:rPr>
            </w:pPr>
            <w:r>
              <w:rPr>
                <w:sz w:val="22"/>
              </w:rPr>
              <w:t>2 </w:t>
            </w:r>
            <w:r>
              <w:rPr>
                <w:rFonts w:ascii="Calibri Light"/>
                <w:b w:val="0"/>
                <w:sz w:val="22"/>
              </w:rPr>
              <w:t>(8.3%)</w:t>
            </w:r>
          </w:p>
        </w:tc>
        <w:tc>
          <w:tcPr>
            <w:tcW w:w="1368" w:type="dxa"/>
          </w:tcPr>
          <w:p>
            <w:pPr>
              <w:pStyle w:val="TableParagraph"/>
              <w:spacing w:line="265" w:lineRule="exact"/>
              <w:ind w:left="222" w:right="224"/>
              <w:rPr>
                <w:rFonts w:ascii="Calibri Light"/>
                <w:b w:val="0"/>
                <w:sz w:val="22"/>
              </w:rPr>
            </w:pPr>
            <w:r>
              <w:rPr>
                <w:sz w:val="22"/>
              </w:rPr>
              <w:t>8 </w:t>
            </w:r>
            <w:r>
              <w:rPr>
                <w:rFonts w:ascii="Calibri Light"/>
                <w:b w:val="0"/>
                <w:sz w:val="22"/>
              </w:rPr>
              <w:t>(33.3%)</w:t>
            </w:r>
          </w:p>
        </w:tc>
        <w:tc>
          <w:tcPr>
            <w:tcW w:w="1366" w:type="dxa"/>
          </w:tcPr>
          <w:p>
            <w:pPr>
              <w:pStyle w:val="TableParagraph"/>
              <w:spacing w:before="9"/>
              <w:ind w:left="614"/>
              <w:jc w:val="left"/>
              <w:rPr>
                <w:sz w:val="22"/>
              </w:rPr>
            </w:pPr>
            <w:r>
              <w:rPr>
                <w:w w:val="100"/>
                <w:sz w:val="22"/>
              </w:rPr>
              <w:t>0</w:t>
            </w:r>
          </w:p>
        </w:tc>
      </w:tr>
      <w:tr>
        <w:trPr>
          <w:trHeight w:val="413" w:hRule="exact"/>
        </w:trPr>
        <w:tc>
          <w:tcPr>
            <w:tcW w:w="3142" w:type="dxa"/>
            <w:gridSpan w:val="2"/>
          </w:tcPr>
          <w:p>
            <w:pPr>
              <w:pStyle w:val="TableParagraph"/>
              <w:spacing w:before="9"/>
              <w:ind w:left="947"/>
              <w:jc w:val="left"/>
              <w:rPr>
                <w:sz w:val="22"/>
              </w:rPr>
            </w:pPr>
            <w:r>
              <w:rPr>
                <w:sz w:val="22"/>
              </w:rPr>
              <w:t>Mujeres (12)</w:t>
            </w:r>
          </w:p>
        </w:tc>
        <w:tc>
          <w:tcPr>
            <w:tcW w:w="1140" w:type="dxa"/>
          </w:tcPr>
          <w:p>
            <w:pPr>
              <w:pStyle w:val="TableParagraph"/>
              <w:spacing w:line="265" w:lineRule="exact"/>
              <w:ind w:left="134"/>
              <w:jc w:val="left"/>
              <w:rPr>
                <w:rFonts w:ascii="Calibri Light"/>
                <w:b w:val="0"/>
                <w:sz w:val="22"/>
              </w:rPr>
            </w:pPr>
            <w:r>
              <w:rPr>
                <w:sz w:val="22"/>
              </w:rPr>
              <w:t>2 </w:t>
            </w:r>
            <w:r>
              <w:rPr>
                <w:rFonts w:ascii="Calibri Light"/>
                <w:b w:val="0"/>
                <w:sz w:val="22"/>
              </w:rPr>
              <w:t>(16.6%)</w:t>
            </w:r>
          </w:p>
        </w:tc>
        <w:tc>
          <w:tcPr>
            <w:tcW w:w="1138" w:type="dxa"/>
            <w:shd w:val="clear" w:color="auto" w:fill="2D74B5"/>
          </w:tcPr>
          <w:p>
            <w:pPr>
              <w:pStyle w:val="TableParagraph"/>
              <w:spacing w:line="265" w:lineRule="exact"/>
              <w:ind w:left="83" w:right="84"/>
              <w:rPr>
                <w:rFonts w:ascii="Calibri Light"/>
                <w:b w:val="0"/>
                <w:sz w:val="22"/>
              </w:rPr>
            </w:pPr>
            <w:r>
              <w:rPr>
                <w:sz w:val="22"/>
              </w:rPr>
              <w:t>6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1 </w:t>
            </w:r>
            <w:r>
              <w:rPr>
                <w:rFonts w:ascii="Calibri Light"/>
                <w:b w:val="0"/>
                <w:sz w:val="22"/>
              </w:rPr>
              <w:t>(8%)</w:t>
            </w:r>
          </w:p>
        </w:tc>
        <w:tc>
          <w:tcPr>
            <w:tcW w:w="1368" w:type="dxa"/>
          </w:tcPr>
          <w:p>
            <w:pPr>
              <w:pStyle w:val="TableParagraph"/>
              <w:spacing w:line="265" w:lineRule="exact"/>
              <w:ind w:left="223" w:right="224"/>
              <w:rPr>
                <w:rFonts w:ascii="Calibri Light"/>
                <w:b w:val="0"/>
                <w:sz w:val="22"/>
              </w:rPr>
            </w:pPr>
            <w:r>
              <w:rPr>
                <w:sz w:val="22"/>
              </w:rPr>
              <w:t>3 </w:t>
            </w:r>
            <w:r>
              <w:rPr>
                <w:rFonts w:ascii="Calibri Light"/>
                <w:b w:val="0"/>
                <w:sz w:val="22"/>
              </w:rPr>
              <w:t>(25%)</w:t>
            </w:r>
          </w:p>
        </w:tc>
        <w:tc>
          <w:tcPr>
            <w:tcW w:w="1366" w:type="dxa"/>
          </w:tcPr>
          <w:p>
            <w:pPr>
              <w:pStyle w:val="TableParagraph"/>
              <w:spacing w:before="9"/>
              <w:ind w:left="614"/>
              <w:jc w:val="left"/>
              <w:rPr>
                <w:sz w:val="22"/>
              </w:rPr>
            </w:pPr>
            <w:r>
              <w:rPr>
                <w:w w:val="100"/>
                <w:sz w:val="22"/>
              </w:rPr>
              <w:t>0</w:t>
            </w:r>
          </w:p>
        </w:tc>
      </w:tr>
      <w:tr>
        <w:trPr>
          <w:trHeight w:val="413" w:hRule="exact"/>
        </w:trPr>
        <w:tc>
          <w:tcPr>
            <w:tcW w:w="3142" w:type="dxa"/>
            <w:gridSpan w:val="2"/>
          </w:tcPr>
          <w:p>
            <w:pPr>
              <w:pStyle w:val="TableParagraph"/>
              <w:spacing w:before="10"/>
              <w:ind w:left="892"/>
              <w:jc w:val="left"/>
              <w:rPr>
                <w:sz w:val="22"/>
              </w:rPr>
            </w:pPr>
            <w:r>
              <w:rPr>
                <w:sz w:val="22"/>
              </w:rPr>
              <w:t>Hombres (12)</w:t>
            </w:r>
          </w:p>
        </w:tc>
        <w:tc>
          <w:tcPr>
            <w:tcW w:w="1140" w:type="dxa"/>
          </w:tcPr>
          <w:p>
            <w:pPr>
              <w:pStyle w:val="TableParagraph"/>
              <w:spacing w:line="266" w:lineRule="exact"/>
              <w:ind w:left="134"/>
              <w:jc w:val="left"/>
              <w:rPr>
                <w:rFonts w:ascii="Calibri Light"/>
                <w:b w:val="0"/>
                <w:sz w:val="22"/>
              </w:rPr>
            </w:pPr>
            <w:r>
              <w:rPr>
                <w:sz w:val="22"/>
              </w:rPr>
              <w:t>2 </w:t>
            </w:r>
            <w:r>
              <w:rPr>
                <w:rFonts w:ascii="Calibri Light"/>
                <w:b w:val="0"/>
                <w:sz w:val="22"/>
              </w:rPr>
              <w:t>(16.6%)</w:t>
            </w:r>
          </w:p>
        </w:tc>
        <w:tc>
          <w:tcPr>
            <w:tcW w:w="1138" w:type="dxa"/>
          </w:tcPr>
          <w:p>
            <w:pPr>
              <w:pStyle w:val="TableParagraph"/>
              <w:spacing w:line="266" w:lineRule="exact"/>
              <w:ind w:left="83" w:right="83"/>
              <w:rPr>
                <w:rFonts w:ascii="Calibri Light"/>
                <w:b w:val="0"/>
                <w:sz w:val="22"/>
              </w:rPr>
            </w:pPr>
            <w:r>
              <w:rPr>
                <w:sz w:val="22"/>
              </w:rPr>
              <w:t>4 </w:t>
            </w:r>
            <w:r>
              <w:rPr>
                <w:rFonts w:ascii="Calibri Light"/>
                <w:b w:val="0"/>
                <w:sz w:val="22"/>
              </w:rPr>
              <w:t>(33.3%)</w:t>
            </w:r>
          </w:p>
        </w:tc>
        <w:tc>
          <w:tcPr>
            <w:tcW w:w="1244" w:type="dxa"/>
            <w:tcBorders>
              <w:right w:val="single" w:sz="41" w:space="0" w:color="2D74B5"/>
            </w:tcBorders>
          </w:tcPr>
          <w:p>
            <w:pPr>
              <w:pStyle w:val="TableParagraph"/>
              <w:spacing w:line="266" w:lineRule="exact"/>
              <w:ind w:left="165" w:right="121"/>
              <w:rPr>
                <w:rFonts w:ascii="Calibri Light"/>
                <w:b w:val="0"/>
                <w:sz w:val="22"/>
              </w:rPr>
            </w:pPr>
            <w:r>
              <w:rPr>
                <w:sz w:val="22"/>
              </w:rPr>
              <w:t>1 </w:t>
            </w:r>
            <w:r>
              <w:rPr>
                <w:rFonts w:ascii="Calibri Light"/>
                <w:b w:val="0"/>
                <w:sz w:val="22"/>
              </w:rPr>
              <w:t>(8%)</w:t>
            </w:r>
          </w:p>
        </w:tc>
        <w:tc>
          <w:tcPr>
            <w:tcW w:w="1368" w:type="dxa"/>
            <w:shd w:val="clear" w:color="auto" w:fill="2D74B5"/>
          </w:tcPr>
          <w:p>
            <w:pPr>
              <w:pStyle w:val="TableParagraph"/>
              <w:spacing w:line="266" w:lineRule="exact"/>
              <w:ind w:left="222" w:right="224"/>
              <w:rPr>
                <w:rFonts w:ascii="Calibri Light"/>
                <w:b w:val="0"/>
                <w:sz w:val="22"/>
              </w:rPr>
            </w:pPr>
            <w:r>
              <w:rPr>
                <w:sz w:val="22"/>
              </w:rPr>
              <w:t>5 </w:t>
            </w:r>
            <w:r>
              <w:rPr>
                <w:rFonts w:ascii="Calibri Light"/>
                <w:b w:val="0"/>
                <w:sz w:val="22"/>
              </w:rPr>
              <w:t>(41.6%)</w:t>
            </w:r>
          </w:p>
        </w:tc>
        <w:tc>
          <w:tcPr>
            <w:tcW w:w="1366" w:type="dxa"/>
            <w:tcBorders>
              <w:left w:val="thickThinMediumGap" w:sz="23" w:space="0" w:color="2D74B5"/>
            </w:tcBorders>
          </w:tcPr>
          <w:p>
            <w:pPr>
              <w:pStyle w:val="TableParagraph"/>
              <w:spacing w:before="10"/>
              <w:ind w:left="561"/>
              <w:jc w:val="left"/>
              <w:rPr>
                <w:sz w:val="22"/>
              </w:rPr>
            </w:pPr>
            <w:r>
              <w:rPr>
                <w:w w:val="100"/>
                <w:sz w:val="22"/>
              </w:rPr>
              <w:t>0</w:t>
            </w:r>
          </w:p>
        </w:tc>
      </w:tr>
    </w:tbl>
    <w:p>
      <w:pPr>
        <w:spacing w:line="227" w:lineRule="exact" w:before="0"/>
        <w:ind w:left="430" w:right="339" w:firstLine="0"/>
        <w:jc w:val="left"/>
        <w:rPr>
          <w:b/>
          <w:sz w:val="20"/>
        </w:rPr>
      </w:pPr>
      <w:r>
        <w:rPr>
          <w:b/>
          <w:sz w:val="20"/>
        </w:rPr>
        <w:t>Tabla 4.58. Influencia en partidarios; respuestas en la totalidad de la población y por género</w:t>
      </w:r>
    </w:p>
    <w:p>
      <w:pPr>
        <w:pStyle w:val="BodyText"/>
        <w:spacing w:before="5"/>
        <w:rPr>
          <w:b/>
          <w:sz w:val="27"/>
        </w:rPr>
      </w:pPr>
    </w:p>
    <w:p>
      <w:pPr>
        <w:pStyle w:val="BodyText"/>
        <w:spacing w:line="360" w:lineRule="auto"/>
        <w:ind w:left="102" w:right="111" w:firstLine="707"/>
        <w:jc w:val="both"/>
      </w:pPr>
      <w:r>
        <w:rPr/>
        <w:t>En</w:t>
      </w:r>
      <w:r>
        <w:rPr>
          <w:spacing w:val="-11"/>
        </w:rPr>
        <w:t> </w:t>
      </w:r>
      <w:r>
        <w:rPr/>
        <w:t>cuanto</w:t>
      </w:r>
      <w:r>
        <w:rPr>
          <w:spacing w:val="-11"/>
        </w:rPr>
        <w:t> </w:t>
      </w:r>
      <w:r>
        <w:rPr/>
        <w:t>a</w:t>
      </w:r>
      <w:r>
        <w:rPr>
          <w:spacing w:val="-11"/>
        </w:rPr>
        <w:t> </w:t>
      </w:r>
      <w:r>
        <w:rPr/>
        <w:t>grupo</w:t>
      </w:r>
      <w:r>
        <w:rPr>
          <w:spacing w:val="-13"/>
        </w:rPr>
        <w:t> </w:t>
      </w:r>
      <w:r>
        <w:rPr/>
        <w:t>de</w:t>
      </w:r>
      <w:r>
        <w:rPr>
          <w:spacing w:val="-13"/>
        </w:rPr>
        <w:t> </w:t>
      </w:r>
      <w:r>
        <w:rPr/>
        <w:t>edad,</w:t>
      </w:r>
      <w:r>
        <w:rPr>
          <w:spacing w:val="-10"/>
        </w:rPr>
        <w:t> </w:t>
      </w:r>
      <w:r>
        <w:rPr/>
        <w:t>según</w:t>
      </w:r>
      <w:r>
        <w:rPr>
          <w:spacing w:val="-13"/>
        </w:rPr>
        <w:t> </w:t>
      </w:r>
      <w:r>
        <w:rPr/>
        <w:t>así</w:t>
      </w:r>
      <w:r>
        <w:rPr>
          <w:spacing w:val="-13"/>
        </w:rPr>
        <w:t> </w:t>
      </w:r>
      <w:r>
        <w:rPr/>
        <w:t>lo</w:t>
      </w:r>
      <w:r>
        <w:rPr>
          <w:spacing w:val="-11"/>
        </w:rPr>
        <w:t> </w:t>
      </w:r>
      <w:r>
        <w:rPr/>
        <w:t>muestra</w:t>
      </w:r>
      <w:r>
        <w:rPr>
          <w:spacing w:val="-11"/>
        </w:rPr>
        <w:t> </w:t>
      </w:r>
      <w:r>
        <w:rPr/>
        <w:t>la</w:t>
      </w:r>
      <w:r>
        <w:rPr>
          <w:spacing w:val="-11"/>
        </w:rPr>
        <w:t> </w:t>
      </w:r>
      <w:r>
        <w:rPr/>
        <w:t>taba</w:t>
      </w:r>
      <w:r>
        <w:rPr>
          <w:spacing w:val="-13"/>
        </w:rPr>
        <w:t> </w:t>
      </w:r>
      <w:r>
        <w:rPr/>
        <w:t>4.59.,</w:t>
      </w:r>
      <w:r>
        <w:rPr>
          <w:spacing w:val="-11"/>
        </w:rPr>
        <w:t> </w:t>
      </w:r>
      <w:r>
        <w:rPr/>
        <w:t>el</w:t>
      </w:r>
      <w:r>
        <w:rPr>
          <w:spacing w:val="-12"/>
        </w:rPr>
        <w:t> </w:t>
      </w:r>
      <w:r>
        <w:rPr/>
        <w:t>grupo</w:t>
      </w:r>
      <w:r>
        <w:rPr>
          <w:spacing w:val="-11"/>
        </w:rPr>
        <w:t> </w:t>
      </w:r>
      <w:r>
        <w:rPr/>
        <w:t>2</w:t>
      </w:r>
      <w:r>
        <w:rPr>
          <w:spacing w:val="-13"/>
        </w:rPr>
        <w:t> </w:t>
      </w:r>
      <w:r>
        <w:rPr/>
        <w:t>presenta un 66.6%de opiniones “en desacuerdo” con la aseveración, mientras que el resto de los grupos muestran estar a favor de la aseveración, con un 66,6%, el grupo 1 se ubica en el lugar número 1, el grupo 4 le sucede con un 50% de respuestas “de acuerdo”, y finalmente el grupo 3 presenta un 25% de respuestas tanto en la opción “de acuerdo” como en la opción “muy de acuerdo” y otro 25% “en</w:t>
      </w:r>
      <w:r>
        <w:rPr>
          <w:spacing w:val="-22"/>
        </w:rPr>
        <w:t> </w:t>
      </w:r>
      <w:r>
        <w:rPr/>
        <w:t>desacuerdo”.</w:t>
      </w:r>
    </w:p>
    <w:p>
      <w:pPr>
        <w:pStyle w:val="BodyText"/>
        <w:spacing w:before="11"/>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7"/>
        <w:gridCol w:w="201"/>
        <w:gridCol w:w="1724"/>
        <w:gridCol w:w="1148"/>
        <w:gridCol w:w="1121"/>
        <w:gridCol w:w="1244"/>
        <w:gridCol w:w="1368"/>
        <w:gridCol w:w="1366"/>
      </w:tblGrid>
      <w:tr>
        <w:trPr>
          <w:trHeight w:val="408" w:hRule="exact"/>
        </w:trPr>
        <w:tc>
          <w:tcPr>
            <w:tcW w:w="1428" w:type="dxa"/>
            <w:gridSpan w:val="2"/>
            <w:vMerge w:val="restart"/>
          </w:tcPr>
          <w:p>
            <w:pPr>
              <w:pStyle w:val="TableParagraph"/>
              <w:spacing w:before="6"/>
              <w:jc w:val="left"/>
              <w:rPr>
                <w:sz w:val="17"/>
              </w:rPr>
            </w:pPr>
          </w:p>
          <w:p>
            <w:pPr>
              <w:pStyle w:val="TableParagraph"/>
              <w:ind w:left="82" w:right="83"/>
              <w:rPr>
                <w:sz w:val="22"/>
              </w:rPr>
            </w:pPr>
            <w:r>
              <w:rPr>
                <w:sz w:val="22"/>
              </w:rPr>
              <w:t>Aseveración</w:t>
            </w:r>
          </w:p>
          <w:p>
            <w:pPr>
              <w:pStyle w:val="TableParagraph"/>
              <w:spacing w:before="124"/>
              <w:ind w:left="83" w:right="83"/>
              <w:rPr>
                <w:b/>
                <w:sz w:val="22"/>
              </w:rPr>
            </w:pPr>
            <w:r>
              <w:rPr>
                <w:b/>
                <w:sz w:val="22"/>
              </w:rPr>
              <w:t>20</w:t>
            </w:r>
          </w:p>
        </w:tc>
        <w:tc>
          <w:tcPr>
            <w:tcW w:w="1724" w:type="dxa"/>
            <w:vMerge w:val="restart"/>
          </w:tcPr>
          <w:p>
            <w:pPr>
              <w:pStyle w:val="TableParagraph"/>
              <w:spacing w:line="357" w:lineRule="auto" w:before="12"/>
              <w:ind w:left="163" w:right="165" w:firstLine="3"/>
              <w:rPr>
                <w:b/>
                <w:sz w:val="22"/>
              </w:rPr>
            </w:pPr>
            <w:r>
              <w:rPr>
                <w:sz w:val="22"/>
              </w:rPr>
              <w:t>Tipo de Aseveración: </w:t>
            </w:r>
            <w:r>
              <w:rPr>
                <w:b/>
                <w:sz w:val="22"/>
              </w:rPr>
              <w:t>Desfavorable</w:t>
            </w:r>
          </w:p>
        </w:tc>
        <w:tc>
          <w:tcPr>
            <w:tcW w:w="6246" w:type="dxa"/>
            <w:gridSpan w:val="5"/>
          </w:tcPr>
          <w:p>
            <w:pPr>
              <w:pStyle w:val="TableParagraph"/>
              <w:spacing w:before="7"/>
              <w:ind w:left="2516" w:right="2516"/>
              <w:rPr>
                <w:sz w:val="22"/>
              </w:rPr>
            </w:pPr>
            <w:r>
              <w:rPr>
                <w:sz w:val="22"/>
              </w:rPr>
              <w:t>Respuestas</w:t>
            </w:r>
          </w:p>
        </w:tc>
      </w:tr>
      <w:tr>
        <w:trPr>
          <w:trHeight w:val="768" w:hRule="exact"/>
        </w:trPr>
        <w:tc>
          <w:tcPr>
            <w:tcW w:w="1428" w:type="dxa"/>
            <w:gridSpan w:val="2"/>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7"/>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1 (6)</w:t>
            </w:r>
          </w:p>
        </w:tc>
        <w:tc>
          <w:tcPr>
            <w:tcW w:w="1148" w:type="dxa"/>
            <w:tcBorders>
              <w:right w:val="single" w:sz="41" w:space="0" w:color="2D74B5"/>
            </w:tcBorders>
          </w:tcPr>
          <w:p>
            <w:pPr>
              <w:pStyle w:val="TableParagraph"/>
              <w:spacing w:line="265" w:lineRule="exact"/>
              <w:ind w:left="114" w:right="75"/>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5" w:lineRule="exact"/>
              <w:ind w:left="85" w:right="86"/>
              <w:rPr>
                <w:rFonts w:ascii="Calibri Light"/>
                <w:b w:val="0"/>
                <w:sz w:val="22"/>
              </w:rPr>
            </w:pPr>
            <w:r>
              <w:rPr>
                <w:sz w:val="22"/>
              </w:rPr>
              <w:t>4 </w:t>
            </w:r>
            <w:r>
              <w:rPr>
                <w:rFonts w:ascii="Calibri Light"/>
                <w:b w:val="0"/>
                <w:sz w:val="22"/>
              </w:rPr>
              <w:t>(66.6%)</w:t>
            </w:r>
          </w:p>
        </w:tc>
        <w:tc>
          <w:tcPr>
            <w:tcW w:w="1244" w:type="dxa"/>
            <w:tcBorders>
              <w:left w:val="single" w:sz="45" w:space="0" w:color="2D74B5"/>
            </w:tcBorders>
          </w:tcPr>
          <w:p>
            <w:pPr>
              <w:pStyle w:val="TableParagraph"/>
              <w:spacing w:line="265" w:lineRule="exact"/>
              <w:ind w:left="110" w:right="161"/>
              <w:rPr>
                <w:rFonts w:ascii="Calibri Light"/>
                <w:b w:val="0"/>
                <w:sz w:val="22"/>
              </w:rPr>
            </w:pPr>
            <w:r>
              <w:rPr>
                <w:sz w:val="22"/>
              </w:rPr>
              <w:t>1 </w:t>
            </w:r>
            <w:r>
              <w:rPr>
                <w:rFonts w:ascii="Calibri Light"/>
                <w:b w:val="0"/>
                <w:sz w:val="22"/>
              </w:rPr>
              <w:t>(16%)</w:t>
            </w:r>
          </w:p>
        </w:tc>
        <w:tc>
          <w:tcPr>
            <w:tcW w:w="1368" w:type="dxa"/>
          </w:tcPr>
          <w:p>
            <w:pPr>
              <w:pStyle w:val="TableParagraph"/>
              <w:spacing w:before="9"/>
              <w:rPr>
                <w:sz w:val="22"/>
              </w:rPr>
            </w:pPr>
            <w:r>
              <w:rPr>
                <w:w w:val="100"/>
                <w:sz w:val="22"/>
              </w:rPr>
              <w:t>0</w:t>
            </w:r>
          </w:p>
        </w:tc>
        <w:tc>
          <w:tcPr>
            <w:tcW w:w="1366" w:type="dxa"/>
          </w:tcPr>
          <w:p>
            <w:pPr>
              <w:pStyle w:val="TableParagraph"/>
              <w:spacing w:before="9"/>
              <w:ind w:left="614"/>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2 (6)</w:t>
            </w:r>
          </w:p>
        </w:tc>
        <w:tc>
          <w:tcPr>
            <w:tcW w:w="1148" w:type="dxa"/>
          </w:tcPr>
          <w:p>
            <w:pPr>
              <w:pStyle w:val="TableParagraph"/>
              <w:spacing w:before="9"/>
              <w:ind w:right="5"/>
              <w:rPr>
                <w:sz w:val="22"/>
              </w:rPr>
            </w:pPr>
            <w:r>
              <w:rPr>
                <w:w w:val="100"/>
                <w:sz w:val="22"/>
              </w:rPr>
              <w:t>0</w:t>
            </w:r>
          </w:p>
        </w:tc>
        <w:tc>
          <w:tcPr>
            <w:tcW w:w="1121" w:type="dxa"/>
          </w:tcPr>
          <w:p>
            <w:pPr>
              <w:pStyle w:val="TableParagraph"/>
              <w:spacing w:line="265" w:lineRule="exact"/>
              <w:ind w:left="85" w:right="85"/>
              <w:rPr>
                <w:rFonts w:ascii="Calibri Light"/>
                <w:b w:val="0"/>
                <w:sz w:val="22"/>
              </w:rPr>
            </w:pPr>
            <w:r>
              <w:rPr>
                <w:sz w:val="22"/>
              </w:rPr>
              <w:t>1 </w:t>
            </w:r>
            <w:r>
              <w:rPr>
                <w:rFonts w:ascii="Calibri Light"/>
                <w:b w:val="0"/>
                <w:sz w:val="22"/>
              </w:rPr>
              <w:t>(16%)</w:t>
            </w:r>
          </w:p>
        </w:tc>
        <w:tc>
          <w:tcPr>
            <w:tcW w:w="1244" w:type="dxa"/>
            <w:tcBorders>
              <w:right w:val="single" w:sz="41" w:space="0" w:color="2D74B5"/>
            </w:tcBorders>
          </w:tcPr>
          <w:p>
            <w:pPr>
              <w:pStyle w:val="TableParagraph"/>
              <w:spacing w:line="265" w:lineRule="exact"/>
              <w:ind w:left="165" w:right="121"/>
              <w:rPr>
                <w:rFonts w:ascii="Calibri Light"/>
                <w:b w:val="0"/>
                <w:sz w:val="22"/>
              </w:rPr>
            </w:pPr>
            <w:r>
              <w:rPr>
                <w:sz w:val="22"/>
              </w:rPr>
              <w:t>1 </w:t>
            </w:r>
            <w:r>
              <w:rPr>
                <w:rFonts w:ascii="Calibri Light"/>
                <w:b w:val="0"/>
                <w:sz w:val="22"/>
              </w:rPr>
              <w:t>(16%)</w:t>
            </w:r>
          </w:p>
        </w:tc>
        <w:tc>
          <w:tcPr>
            <w:tcW w:w="1368" w:type="dxa"/>
            <w:shd w:val="clear" w:color="auto" w:fill="2D74B5"/>
          </w:tcPr>
          <w:p>
            <w:pPr>
              <w:pStyle w:val="TableParagraph"/>
              <w:spacing w:line="265" w:lineRule="exact"/>
              <w:ind w:left="222" w:right="224"/>
              <w:rPr>
                <w:rFonts w:ascii="Calibri Light"/>
                <w:b w:val="0"/>
                <w:sz w:val="22"/>
              </w:rPr>
            </w:pPr>
            <w:r>
              <w:rPr>
                <w:sz w:val="22"/>
              </w:rPr>
              <w:t>4 </w:t>
            </w:r>
            <w:r>
              <w:rPr>
                <w:rFonts w:ascii="Calibri Light"/>
                <w:b w:val="0"/>
                <w:sz w:val="22"/>
              </w:rPr>
              <w:t>(66.6%)</w:t>
            </w:r>
          </w:p>
        </w:tc>
        <w:tc>
          <w:tcPr>
            <w:tcW w:w="1366" w:type="dxa"/>
            <w:tcBorders>
              <w:left w:val="thickThinMediumGap" w:sz="23" w:space="0" w:color="2D74B5"/>
            </w:tcBorders>
          </w:tcPr>
          <w:p>
            <w:pPr>
              <w:pStyle w:val="TableParagraph"/>
              <w:spacing w:before="9"/>
              <w:ind w:left="561"/>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right w:val="single" w:sz="41" w:space="0" w:color="9CC2E4"/>
            </w:tcBorders>
          </w:tcPr>
          <w:p>
            <w:pPr>
              <w:pStyle w:val="TableParagraph"/>
              <w:spacing w:before="9"/>
              <w:ind w:left="60"/>
              <w:jc w:val="left"/>
              <w:rPr>
                <w:sz w:val="22"/>
              </w:rPr>
            </w:pPr>
            <w:r>
              <w:rPr>
                <w:sz w:val="22"/>
              </w:rPr>
              <w:t>de edad 3 (6)</w:t>
            </w:r>
          </w:p>
        </w:tc>
        <w:tc>
          <w:tcPr>
            <w:tcW w:w="1148" w:type="dxa"/>
            <w:shd w:val="clear" w:color="auto" w:fill="9CC2E4"/>
          </w:tcPr>
          <w:p>
            <w:pPr>
              <w:pStyle w:val="TableParagraph"/>
              <w:spacing w:line="265" w:lineRule="exact"/>
              <w:ind w:left="117" w:right="119"/>
              <w:rPr>
                <w:rFonts w:ascii="Calibri Light"/>
                <w:b w:val="0"/>
                <w:sz w:val="22"/>
              </w:rPr>
            </w:pPr>
            <w:r>
              <w:rPr>
                <w:sz w:val="22"/>
              </w:rPr>
              <w:t>2 </w:t>
            </w:r>
            <w:r>
              <w:rPr>
                <w:rFonts w:ascii="Calibri Light"/>
                <w:b w:val="0"/>
                <w:sz w:val="22"/>
              </w:rPr>
              <w:t>(33.3%)</w:t>
            </w:r>
          </w:p>
        </w:tc>
        <w:tc>
          <w:tcPr>
            <w:tcW w:w="1121" w:type="dxa"/>
            <w:shd w:val="clear" w:color="auto" w:fill="9CC2E4"/>
          </w:tcPr>
          <w:p>
            <w:pPr>
              <w:pStyle w:val="TableParagraph"/>
              <w:spacing w:line="265" w:lineRule="exact"/>
              <w:ind w:left="85" w:right="86"/>
              <w:rPr>
                <w:rFonts w:ascii="Calibri Light"/>
                <w:b w:val="0"/>
                <w:sz w:val="22"/>
              </w:rPr>
            </w:pPr>
            <w:r>
              <w:rPr>
                <w:sz w:val="22"/>
              </w:rPr>
              <w:t>2 </w:t>
            </w:r>
            <w:r>
              <w:rPr>
                <w:rFonts w:ascii="Calibri Light"/>
                <w:b w:val="0"/>
                <w:sz w:val="22"/>
              </w:rPr>
              <w:t>(33.3%)</w:t>
            </w:r>
          </w:p>
        </w:tc>
        <w:tc>
          <w:tcPr>
            <w:tcW w:w="1244" w:type="dxa"/>
            <w:tcBorders>
              <w:left w:val="single" w:sz="45" w:space="0" w:color="9CC2E4"/>
              <w:right w:val="single" w:sz="41" w:space="0" w:color="9CC2E4"/>
            </w:tcBorders>
          </w:tcPr>
          <w:p>
            <w:pPr>
              <w:pStyle w:val="TableParagraph"/>
              <w:spacing w:before="9"/>
              <w:ind w:right="5"/>
              <w:rPr>
                <w:sz w:val="22"/>
              </w:rPr>
            </w:pPr>
            <w:r>
              <w:rPr>
                <w:w w:val="100"/>
                <w:sz w:val="22"/>
              </w:rPr>
              <w:t>0</w:t>
            </w:r>
          </w:p>
        </w:tc>
        <w:tc>
          <w:tcPr>
            <w:tcW w:w="1368" w:type="dxa"/>
            <w:shd w:val="clear" w:color="auto" w:fill="9CC2E4"/>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Borders>
              <w:left w:val="thickThinMediumGap" w:sz="23" w:space="0" w:color="9CC2E4"/>
            </w:tcBorders>
          </w:tcPr>
          <w:p>
            <w:pPr>
              <w:pStyle w:val="TableParagraph"/>
              <w:spacing w:before="9"/>
              <w:ind w:left="561"/>
              <w:jc w:val="left"/>
              <w:rPr>
                <w:sz w:val="22"/>
              </w:rPr>
            </w:pPr>
            <w:r>
              <w:rPr>
                <w:w w:val="100"/>
                <w:sz w:val="22"/>
              </w:rPr>
              <w:t>0</w:t>
            </w:r>
          </w:p>
        </w:tc>
      </w:tr>
      <w:tr>
        <w:trPr>
          <w:trHeight w:val="413" w:hRule="exact"/>
        </w:trPr>
        <w:tc>
          <w:tcPr>
            <w:tcW w:w="1227" w:type="dxa"/>
            <w:tcBorders>
              <w:right w:val="nil"/>
            </w:tcBorders>
          </w:tcPr>
          <w:p>
            <w:pPr>
              <w:pStyle w:val="TableParagraph"/>
              <w:spacing w:before="9"/>
              <w:ind w:right="58"/>
              <w:jc w:val="right"/>
              <w:rPr>
                <w:sz w:val="22"/>
              </w:rPr>
            </w:pPr>
            <w:r>
              <w:rPr>
                <w:sz w:val="22"/>
              </w:rPr>
              <w:t>Grupo</w:t>
            </w:r>
          </w:p>
        </w:tc>
        <w:tc>
          <w:tcPr>
            <w:tcW w:w="1924" w:type="dxa"/>
            <w:gridSpan w:val="2"/>
            <w:tcBorders>
              <w:left w:val="nil"/>
            </w:tcBorders>
          </w:tcPr>
          <w:p>
            <w:pPr>
              <w:pStyle w:val="TableParagraph"/>
              <w:spacing w:before="9"/>
              <w:ind w:left="60"/>
              <w:jc w:val="left"/>
              <w:rPr>
                <w:sz w:val="22"/>
              </w:rPr>
            </w:pPr>
            <w:r>
              <w:rPr>
                <w:sz w:val="22"/>
              </w:rPr>
              <w:t>de edad 4 (6)</w:t>
            </w:r>
          </w:p>
        </w:tc>
        <w:tc>
          <w:tcPr>
            <w:tcW w:w="1148" w:type="dxa"/>
            <w:tcBorders>
              <w:right w:val="single" w:sz="41" w:space="0" w:color="2D74B5"/>
            </w:tcBorders>
          </w:tcPr>
          <w:p>
            <w:pPr>
              <w:pStyle w:val="TableParagraph"/>
              <w:spacing w:line="265" w:lineRule="exact"/>
              <w:ind w:left="114" w:right="75"/>
              <w:rPr>
                <w:rFonts w:ascii="Calibri Light"/>
                <w:b w:val="0"/>
                <w:sz w:val="22"/>
              </w:rPr>
            </w:pPr>
            <w:r>
              <w:rPr>
                <w:sz w:val="22"/>
              </w:rPr>
              <w:t>1 </w:t>
            </w:r>
            <w:r>
              <w:rPr>
                <w:rFonts w:ascii="Calibri Light"/>
                <w:b w:val="0"/>
                <w:sz w:val="22"/>
              </w:rPr>
              <w:t>(16%)</w:t>
            </w:r>
          </w:p>
        </w:tc>
        <w:tc>
          <w:tcPr>
            <w:tcW w:w="1121" w:type="dxa"/>
            <w:shd w:val="clear" w:color="auto" w:fill="2D74B5"/>
          </w:tcPr>
          <w:p>
            <w:pPr>
              <w:pStyle w:val="TableParagraph"/>
              <w:spacing w:line="265" w:lineRule="exact"/>
              <w:ind w:left="85" w:right="85"/>
              <w:rPr>
                <w:rFonts w:ascii="Calibri Light"/>
                <w:b w:val="0"/>
                <w:sz w:val="22"/>
              </w:rPr>
            </w:pPr>
            <w:r>
              <w:rPr>
                <w:sz w:val="22"/>
              </w:rPr>
              <w:t>3 </w:t>
            </w:r>
            <w:r>
              <w:rPr>
                <w:rFonts w:ascii="Calibri Light"/>
                <w:b w:val="0"/>
                <w:sz w:val="22"/>
              </w:rPr>
              <w:t>(50%)</w:t>
            </w:r>
          </w:p>
        </w:tc>
        <w:tc>
          <w:tcPr>
            <w:tcW w:w="1244" w:type="dxa"/>
            <w:tcBorders>
              <w:left w:val="single" w:sz="45" w:space="0" w:color="2D74B5"/>
            </w:tcBorders>
          </w:tcPr>
          <w:p>
            <w:pPr>
              <w:pStyle w:val="TableParagraph"/>
              <w:spacing w:before="9"/>
              <w:ind w:right="52"/>
              <w:rPr>
                <w:sz w:val="22"/>
              </w:rPr>
            </w:pPr>
            <w:r>
              <w:rPr>
                <w:w w:val="100"/>
                <w:sz w:val="22"/>
              </w:rPr>
              <w:t>0</w:t>
            </w:r>
          </w:p>
        </w:tc>
        <w:tc>
          <w:tcPr>
            <w:tcW w:w="1368" w:type="dxa"/>
          </w:tcPr>
          <w:p>
            <w:pPr>
              <w:pStyle w:val="TableParagraph"/>
              <w:spacing w:line="265" w:lineRule="exact"/>
              <w:ind w:left="222" w:right="224"/>
              <w:rPr>
                <w:rFonts w:ascii="Calibri Light"/>
                <w:b w:val="0"/>
                <w:sz w:val="22"/>
              </w:rPr>
            </w:pPr>
            <w:r>
              <w:rPr>
                <w:sz w:val="22"/>
              </w:rPr>
              <w:t>2 </w:t>
            </w:r>
            <w:r>
              <w:rPr>
                <w:rFonts w:ascii="Calibri Light"/>
                <w:b w:val="0"/>
                <w:sz w:val="22"/>
              </w:rPr>
              <w:t>(33.3%)</w:t>
            </w:r>
          </w:p>
        </w:tc>
        <w:tc>
          <w:tcPr>
            <w:tcW w:w="1366" w:type="dxa"/>
          </w:tcPr>
          <w:p>
            <w:pPr>
              <w:pStyle w:val="TableParagraph"/>
              <w:spacing w:before="9"/>
              <w:ind w:left="614"/>
              <w:jc w:val="left"/>
              <w:rPr>
                <w:sz w:val="22"/>
              </w:rPr>
            </w:pPr>
            <w:r>
              <w:rPr>
                <w:w w:val="100"/>
                <w:sz w:val="22"/>
              </w:rPr>
              <w:t>0</w:t>
            </w:r>
          </w:p>
        </w:tc>
      </w:tr>
    </w:tbl>
    <w:p>
      <w:pPr>
        <w:spacing w:line="227" w:lineRule="exact" w:before="0"/>
        <w:ind w:left="1613" w:right="339" w:firstLine="0"/>
        <w:jc w:val="left"/>
        <w:rPr>
          <w:b/>
          <w:sz w:val="20"/>
        </w:rPr>
      </w:pPr>
      <w:r>
        <w:rPr>
          <w:b/>
          <w:sz w:val="20"/>
        </w:rPr>
        <w:t>Tabla 4.59. Influencia en partidarios; respuestas por grupo de edad</w:t>
      </w:r>
    </w:p>
    <w:p>
      <w:pPr>
        <w:pStyle w:val="BodyText"/>
        <w:spacing w:before="5"/>
        <w:rPr>
          <w:b/>
          <w:sz w:val="27"/>
        </w:rPr>
      </w:pPr>
    </w:p>
    <w:p>
      <w:pPr>
        <w:pStyle w:val="BodyText"/>
        <w:spacing w:line="360" w:lineRule="auto" w:before="1"/>
        <w:ind w:left="102" w:right="109" w:firstLine="707"/>
        <w:jc w:val="both"/>
      </w:pPr>
      <w:r>
        <w:rPr/>
        <w:t>En</w:t>
      </w:r>
      <w:r>
        <w:rPr>
          <w:spacing w:val="-13"/>
        </w:rPr>
        <w:t> </w:t>
      </w:r>
      <w:r>
        <w:rPr/>
        <w:t>el</w:t>
      </w:r>
      <w:r>
        <w:rPr>
          <w:spacing w:val="-14"/>
        </w:rPr>
        <w:t> </w:t>
      </w:r>
      <w:r>
        <w:rPr/>
        <w:t>análisis</w:t>
      </w:r>
      <w:r>
        <w:rPr>
          <w:spacing w:val="-14"/>
        </w:rPr>
        <w:t> </w:t>
      </w:r>
      <w:r>
        <w:rPr/>
        <w:t>por</w:t>
      </w:r>
      <w:r>
        <w:rPr>
          <w:spacing w:val="-15"/>
        </w:rPr>
        <w:t> </w:t>
      </w:r>
      <w:r>
        <w:rPr/>
        <w:t>nivel</w:t>
      </w:r>
      <w:r>
        <w:rPr>
          <w:spacing w:val="-14"/>
        </w:rPr>
        <w:t> </w:t>
      </w:r>
      <w:r>
        <w:rPr/>
        <w:t>de</w:t>
      </w:r>
      <w:r>
        <w:rPr>
          <w:spacing w:val="-13"/>
        </w:rPr>
        <w:t> </w:t>
      </w:r>
      <w:r>
        <w:rPr/>
        <w:t>estudios,</w:t>
      </w:r>
      <w:r>
        <w:rPr>
          <w:spacing w:val="-13"/>
        </w:rPr>
        <w:t> </w:t>
      </w:r>
      <w:r>
        <w:rPr/>
        <w:t>los</w:t>
      </w:r>
      <w:r>
        <w:rPr>
          <w:spacing w:val="-14"/>
        </w:rPr>
        <w:t> </w:t>
      </w:r>
      <w:r>
        <w:rPr/>
        <w:t>niveles</w:t>
      </w:r>
      <w:r>
        <w:rPr>
          <w:spacing w:val="-13"/>
        </w:rPr>
        <w:t> </w:t>
      </w:r>
      <w:r>
        <w:rPr/>
        <w:t>medio</w:t>
      </w:r>
      <w:r>
        <w:rPr>
          <w:spacing w:val="-13"/>
        </w:rPr>
        <w:t> </w:t>
      </w:r>
      <w:r>
        <w:rPr/>
        <w:t>superior</w:t>
      </w:r>
      <w:r>
        <w:rPr>
          <w:spacing w:val="-15"/>
        </w:rPr>
        <w:t> </w:t>
      </w:r>
      <w:r>
        <w:rPr/>
        <w:t>y</w:t>
      </w:r>
      <w:r>
        <w:rPr>
          <w:spacing w:val="-16"/>
        </w:rPr>
        <w:t> </w:t>
      </w:r>
      <w:r>
        <w:rPr/>
        <w:t>superior</w:t>
      </w:r>
      <w:r>
        <w:rPr>
          <w:spacing w:val="-15"/>
        </w:rPr>
        <w:t> </w:t>
      </w:r>
      <w:r>
        <w:rPr/>
        <w:t>presentan una</w:t>
      </w:r>
      <w:r>
        <w:rPr>
          <w:spacing w:val="-8"/>
        </w:rPr>
        <w:t> </w:t>
      </w:r>
      <w:r>
        <w:rPr/>
        <w:t>mayoría</w:t>
      </w:r>
      <w:r>
        <w:rPr>
          <w:spacing w:val="-6"/>
        </w:rPr>
        <w:t> </w:t>
      </w:r>
      <w:r>
        <w:rPr/>
        <w:t>de</w:t>
      </w:r>
      <w:r>
        <w:rPr>
          <w:spacing w:val="-6"/>
        </w:rPr>
        <w:t> </w:t>
      </w:r>
      <w:r>
        <w:rPr/>
        <w:t>respuestas</w:t>
      </w:r>
      <w:r>
        <w:rPr>
          <w:spacing w:val="-7"/>
        </w:rPr>
        <w:t> </w:t>
      </w:r>
      <w:r>
        <w:rPr/>
        <w:t>“de</w:t>
      </w:r>
      <w:r>
        <w:rPr>
          <w:spacing w:val="-8"/>
        </w:rPr>
        <w:t> </w:t>
      </w:r>
      <w:r>
        <w:rPr/>
        <w:t>acuerdo”</w:t>
      </w:r>
      <w:r>
        <w:rPr>
          <w:spacing w:val="-7"/>
        </w:rPr>
        <w:t> </w:t>
      </w:r>
      <w:r>
        <w:rPr/>
        <w:t>con</w:t>
      </w:r>
      <w:r>
        <w:rPr>
          <w:spacing w:val="-11"/>
        </w:rPr>
        <w:t> </w:t>
      </w:r>
      <w:r>
        <w:rPr/>
        <w:t>un</w:t>
      </w:r>
      <w:r>
        <w:rPr>
          <w:spacing w:val="-8"/>
        </w:rPr>
        <w:t> </w:t>
      </w:r>
      <w:r>
        <w:rPr/>
        <w:t>50%</w:t>
      </w:r>
      <w:r>
        <w:rPr>
          <w:spacing w:val="-9"/>
        </w:rPr>
        <w:t> </w:t>
      </w:r>
      <w:r>
        <w:rPr/>
        <w:t>(Ver</w:t>
      </w:r>
      <w:r>
        <w:rPr>
          <w:spacing w:val="-2"/>
        </w:rPr>
        <w:t> </w:t>
      </w:r>
      <w:r>
        <w:rPr/>
        <w:t>tabla</w:t>
      </w:r>
      <w:r>
        <w:rPr>
          <w:spacing w:val="-8"/>
        </w:rPr>
        <w:t> </w:t>
      </w:r>
      <w:r>
        <w:rPr/>
        <w:t>4.60.).</w:t>
      </w:r>
      <w:r>
        <w:rPr>
          <w:spacing w:val="-7"/>
        </w:rPr>
        <w:t> </w:t>
      </w:r>
      <w:r>
        <w:rPr/>
        <w:t>En</w:t>
      </w:r>
      <w:r>
        <w:rPr>
          <w:spacing w:val="-8"/>
        </w:rPr>
        <w:t> </w:t>
      </w:r>
      <w:r>
        <w:rPr/>
        <w:t>cuanto</w:t>
      </w:r>
      <w:r>
        <w:rPr>
          <w:spacing w:val="-8"/>
        </w:rPr>
        <w:t> </w:t>
      </w:r>
      <w:r>
        <w:rPr/>
        <w:t>al</w:t>
      </w:r>
      <w:r>
        <w:rPr>
          <w:spacing w:val="-10"/>
        </w:rPr>
        <w:t> </w:t>
      </w:r>
      <w:r>
        <w:rPr/>
        <w:t>nivel básico,</w:t>
      </w:r>
      <w:r>
        <w:rPr>
          <w:spacing w:val="-4"/>
        </w:rPr>
        <w:t> </w:t>
      </w:r>
      <w:r>
        <w:rPr/>
        <w:t>el</w:t>
      </w:r>
      <w:r>
        <w:rPr>
          <w:spacing w:val="-7"/>
        </w:rPr>
        <w:t> </w:t>
      </w:r>
      <w:r>
        <w:rPr/>
        <w:t>37.5%</w:t>
      </w:r>
      <w:r>
        <w:rPr>
          <w:spacing w:val="-4"/>
        </w:rPr>
        <w:t> </w:t>
      </w:r>
      <w:r>
        <w:rPr/>
        <w:t>de</w:t>
      </w:r>
      <w:r>
        <w:rPr>
          <w:spacing w:val="-4"/>
        </w:rPr>
        <w:t> </w:t>
      </w:r>
      <w:r>
        <w:rPr/>
        <w:t>respuestas</w:t>
      </w:r>
      <w:r>
        <w:rPr>
          <w:spacing w:val="-4"/>
        </w:rPr>
        <w:t> </w:t>
      </w:r>
      <w:r>
        <w:rPr/>
        <w:t>se</w:t>
      </w:r>
      <w:r>
        <w:rPr>
          <w:spacing w:val="-4"/>
        </w:rPr>
        <w:t> </w:t>
      </w:r>
      <w:r>
        <w:rPr/>
        <w:t>ubica</w:t>
      </w:r>
      <w:r>
        <w:rPr>
          <w:spacing w:val="-4"/>
        </w:rPr>
        <w:t> </w:t>
      </w:r>
      <w:r>
        <w:rPr/>
        <w:t>en</w:t>
      </w:r>
      <w:r>
        <w:rPr>
          <w:spacing w:val="-4"/>
        </w:rPr>
        <w:t> </w:t>
      </w:r>
      <w:r>
        <w:rPr/>
        <w:t>la</w:t>
      </w:r>
      <w:r>
        <w:rPr>
          <w:spacing w:val="-4"/>
        </w:rPr>
        <w:t> </w:t>
      </w:r>
      <w:r>
        <w:rPr/>
        <w:t>opción</w:t>
      </w:r>
      <w:r>
        <w:rPr>
          <w:spacing w:val="-4"/>
        </w:rPr>
        <w:t> </w:t>
      </w:r>
      <w:r>
        <w:rPr/>
        <w:t>“muy</w:t>
      </w:r>
      <w:r>
        <w:rPr>
          <w:spacing w:val="-7"/>
        </w:rPr>
        <w:t> </w:t>
      </w:r>
      <w:r>
        <w:rPr/>
        <w:t>de</w:t>
      </w:r>
      <w:r>
        <w:rPr>
          <w:spacing w:val="-4"/>
        </w:rPr>
        <w:t> </w:t>
      </w:r>
      <w:r>
        <w:rPr/>
        <w:t>acuerdo”</w:t>
      </w:r>
      <w:r>
        <w:rPr>
          <w:spacing w:val="-5"/>
        </w:rPr>
        <w:t> </w:t>
      </w:r>
      <w:r>
        <w:rPr/>
        <w:t>y</w:t>
      </w:r>
      <w:r>
        <w:rPr>
          <w:spacing w:val="-7"/>
        </w:rPr>
        <w:t> </w:t>
      </w:r>
      <w:r>
        <w:rPr/>
        <w:t>otro</w:t>
      </w:r>
      <w:r>
        <w:rPr>
          <w:spacing w:val="-4"/>
        </w:rPr>
        <w:t> </w:t>
      </w:r>
      <w:r>
        <w:rPr/>
        <w:t>37.5%</w:t>
      </w:r>
      <w:r>
        <w:rPr>
          <w:spacing w:val="-4"/>
        </w:rPr>
        <w:t> </w:t>
      </w:r>
      <w:r>
        <w:rPr/>
        <w:t>“en desacuerdo”, sin embargo, existe una ligera inclinación hacia la aceptación por el 25% que presenta la opción “de</w:t>
      </w:r>
      <w:r>
        <w:rPr>
          <w:spacing w:val="-11"/>
        </w:rPr>
        <w:t> </w:t>
      </w:r>
      <w:r>
        <w:rPr/>
        <w:t>acuerdo”.</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spacing w:before="7"/>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8"/>
        <w:gridCol w:w="1724"/>
        <w:gridCol w:w="1148"/>
        <w:gridCol w:w="1121"/>
        <w:gridCol w:w="1244"/>
        <w:gridCol w:w="1368"/>
        <w:gridCol w:w="1366"/>
      </w:tblGrid>
      <w:tr>
        <w:trPr>
          <w:trHeight w:val="406" w:hRule="exact"/>
        </w:trPr>
        <w:tc>
          <w:tcPr>
            <w:tcW w:w="1428" w:type="dxa"/>
            <w:vMerge w:val="restart"/>
          </w:tcPr>
          <w:p>
            <w:pPr>
              <w:pStyle w:val="TableParagraph"/>
              <w:spacing w:before="6"/>
              <w:jc w:val="left"/>
              <w:rPr>
                <w:sz w:val="17"/>
              </w:rPr>
            </w:pPr>
          </w:p>
          <w:p>
            <w:pPr>
              <w:pStyle w:val="TableParagraph"/>
              <w:ind w:left="83" w:right="83"/>
              <w:rPr>
                <w:sz w:val="22"/>
              </w:rPr>
            </w:pPr>
            <w:r>
              <w:rPr>
                <w:sz w:val="22"/>
              </w:rPr>
              <w:t>Aseveración</w:t>
            </w:r>
          </w:p>
          <w:p>
            <w:pPr>
              <w:pStyle w:val="TableParagraph"/>
              <w:spacing w:before="124"/>
              <w:ind w:left="83" w:right="83"/>
              <w:rPr>
                <w:b/>
                <w:sz w:val="22"/>
              </w:rPr>
            </w:pPr>
            <w:r>
              <w:rPr>
                <w:b/>
                <w:sz w:val="22"/>
              </w:rPr>
              <w:t>20</w:t>
            </w:r>
          </w:p>
        </w:tc>
        <w:tc>
          <w:tcPr>
            <w:tcW w:w="1724" w:type="dxa"/>
            <w:vMerge w:val="restart"/>
          </w:tcPr>
          <w:p>
            <w:pPr>
              <w:pStyle w:val="TableParagraph"/>
              <w:spacing w:line="357" w:lineRule="auto" w:before="12"/>
              <w:ind w:left="163" w:right="166" w:firstLine="4"/>
              <w:rPr>
                <w:b/>
                <w:sz w:val="22"/>
              </w:rPr>
            </w:pPr>
            <w:r>
              <w:rPr>
                <w:sz w:val="22"/>
              </w:rPr>
              <w:t>Tipo de Aseveración: </w:t>
            </w:r>
            <w:r>
              <w:rPr>
                <w:b/>
                <w:sz w:val="22"/>
              </w:rPr>
              <w:t>Desfavorable</w:t>
            </w:r>
          </w:p>
        </w:tc>
        <w:tc>
          <w:tcPr>
            <w:tcW w:w="6246" w:type="dxa"/>
            <w:gridSpan w:val="5"/>
          </w:tcPr>
          <w:p>
            <w:pPr>
              <w:pStyle w:val="TableParagraph"/>
              <w:spacing w:before="7"/>
              <w:ind w:left="2516" w:right="2516"/>
              <w:rPr>
                <w:sz w:val="22"/>
              </w:rPr>
            </w:pPr>
            <w:r>
              <w:rPr>
                <w:sz w:val="22"/>
              </w:rPr>
              <w:t>Respuestas</w:t>
            </w:r>
          </w:p>
        </w:tc>
      </w:tr>
      <w:tr>
        <w:trPr>
          <w:trHeight w:val="770" w:hRule="exact"/>
        </w:trPr>
        <w:tc>
          <w:tcPr>
            <w:tcW w:w="1428" w:type="dxa"/>
            <w:vMerge/>
          </w:tcPr>
          <w:p>
            <w:pPr/>
          </w:p>
        </w:tc>
        <w:tc>
          <w:tcPr>
            <w:tcW w:w="1724" w:type="dxa"/>
            <w:vMerge/>
          </w:tcPr>
          <w:p>
            <w:pPr/>
          </w:p>
        </w:tc>
        <w:tc>
          <w:tcPr>
            <w:tcW w:w="1148" w:type="dxa"/>
          </w:tcPr>
          <w:p>
            <w:pPr>
              <w:pStyle w:val="TableParagraph"/>
              <w:spacing w:line="360" w:lineRule="auto"/>
              <w:ind w:left="167" w:right="155" w:firstLine="38"/>
              <w:jc w:val="left"/>
              <w:rPr>
                <w:sz w:val="22"/>
              </w:rPr>
            </w:pPr>
            <w:r>
              <w:rPr>
                <w:sz w:val="22"/>
              </w:rPr>
              <w:t>Muy de acuerdo</w:t>
            </w:r>
          </w:p>
        </w:tc>
        <w:tc>
          <w:tcPr>
            <w:tcW w:w="1121" w:type="dxa"/>
          </w:tcPr>
          <w:p>
            <w:pPr>
              <w:pStyle w:val="TableParagraph"/>
              <w:spacing w:line="360" w:lineRule="auto"/>
              <w:ind w:left="158" w:right="138" w:firstLine="256"/>
              <w:jc w:val="left"/>
              <w:rPr>
                <w:sz w:val="22"/>
              </w:rPr>
            </w:pPr>
            <w:r>
              <w:rPr>
                <w:sz w:val="22"/>
              </w:rPr>
              <w:t>De acuerdo</w:t>
            </w:r>
          </w:p>
        </w:tc>
        <w:tc>
          <w:tcPr>
            <w:tcW w:w="1244" w:type="dxa"/>
          </w:tcPr>
          <w:p>
            <w:pPr>
              <w:pStyle w:val="TableParagraph"/>
              <w:spacing w:before="189"/>
              <w:ind w:left="83" w:right="82"/>
              <w:rPr>
                <w:sz w:val="22"/>
              </w:rPr>
            </w:pPr>
            <w:r>
              <w:rPr>
                <w:sz w:val="22"/>
              </w:rPr>
              <w:t>indiferente</w:t>
            </w:r>
          </w:p>
        </w:tc>
        <w:tc>
          <w:tcPr>
            <w:tcW w:w="1368" w:type="dxa"/>
          </w:tcPr>
          <w:p>
            <w:pPr>
              <w:pStyle w:val="TableParagraph"/>
              <w:spacing w:line="360" w:lineRule="auto"/>
              <w:ind w:left="103" w:right="85" w:firstLine="439"/>
              <w:jc w:val="left"/>
              <w:rPr>
                <w:sz w:val="22"/>
              </w:rPr>
            </w:pPr>
            <w:r>
              <w:rPr>
                <w:sz w:val="22"/>
              </w:rPr>
              <w:t>En desacuerdo</w:t>
            </w:r>
          </w:p>
        </w:tc>
        <w:tc>
          <w:tcPr>
            <w:tcW w:w="1366" w:type="dxa"/>
          </w:tcPr>
          <w:p>
            <w:pPr>
              <w:pStyle w:val="TableParagraph"/>
              <w:spacing w:line="360" w:lineRule="auto"/>
              <w:ind w:left="100" w:right="86" w:firstLine="213"/>
              <w:jc w:val="left"/>
              <w:rPr>
                <w:sz w:val="22"/>
              </w:rPr>
            </w:pPr>
            <w:r>
              <w:rPr>
                <w:sz w:val="22"/>
              </w:rPr>
              <w:t>Muy en desacuerdo</w:t>
            </w:r>
          </w:p>
        </w:tc>
      </w:tr>
      <w:tr>
        <w:trPr>
          <w:trHeight w:val="413" w:hRule="exact"/>
        </w:trPr>
        <w:tc>
          <w:tcPr>
            <w:tcW w:w="3152" w:type="dxa"/>
            <w:gridSpan w:val="2"/>
            <w:tcBorders>
              <w:right w:val="single" w:sz="41" w:space="0" w:color="9CC2E4"/>
            </w:tcBorders>
          </w:tcPr>
          <w:p>
            <w:pPr>
              <w:pStyle w:val="TableParagraph"/>
              <w:spacing w:before="9"/>
              <w:ind w:left="799"/>
              <w:jc w:val="left"/>
              <w:rPr>
                <w:sz w:val="22"/>
              </w:rPr>
            </w:pPr>
            <w:r>
              <w:rPr>
                <w:sz w:val="22"/>
              </w:rPr>
              <w:t>Nivel Básico (8)</w:t>
            </w:r>
          </w:p>
        </w:tc>
        <w:tc>
          <w:tcPr>
            <w:tcW w:w="1148" w:type="dxa"/>
            <w:shd w:val="clear" w:color="auto" w:fill="9CC2E4"/>
          </w:tcPr>
          <w:p>
            <w:pPr>
              <w:pStyle w:val="TableParagraph"/>
              <w:spacing w:line="265" w:lineRule="exact"/>
              <w:ind w:left="117" w:right="119"/>
              <w:rPr>
                <w:rFonts w:ascii="Calibri Light"/>
                <w:b w:val="0"/>
                <w:sz w:val="22"/>
              </w:rPr>
            </w:pPr>
            <w:r>
              <w:rPr>
                <w:sz w:val="22"/>
              </w:rPr>
              <w:t>3 </w:t>
            </w:r>
            <w:r>
              <w:rPr>
                <w:rFonts w:ascii="Calibri Light"/>
                <w:b w:val="0"/>
                <w:sz w:val="22"/>
              </w:rPr>
              <w:t>(37.5%)</w:t>
            </w:r>
          </w:p>
        </w:tc>
        <w:tc>
          <w:tcPr>
            <w:tcW w:w="1121" w:type="dxa"/>
            <w:tcBorders>
              <w:left w:val="single" w:sz="41" w:space="0" w:color="9CC2E4"/>
            </w:tcBorders>
          </w:tcPr>
          <w:p>
            <w:pPr>
              <w:pStyle w:val="TableParagraph"/>
              <w:spacing w:line="265" w:lineRule="exact"/>
              <w:ind w:left="59" w:right="103"/>
              <w:rPr>
                <w:rFonts w:ascii="Calibri Light"/>
                <w:b w:val="0"/>
                <w:sz w:val="22"/>
              </w:rPr>
            </w:pPr>
            <w:r>
              <w:rPr>
                <w:sz w:val="22"/>
              </w:rPr>
              <w:t>2 </w:t>
            </w:r>
            <w:r>
              <w:rPr>
                <w:rFonts w:ascii="Calibri Light"/>
                <w:b w:val="0"/>
                <w:sz w:val="22"/>
              </w:rPr>
              <w:t>(25%)</w:t>
            </w:r>
          </w:p>
        </w:tc>
        <w:tc>
          <w:tcPr>
            <w:tcW w:w="1244" w:type="dxa"/>
            <w:tcBorders>
              <w:right w:val="single" w:sz="41" w:space="0" w:color="9CC2E4"/>
            </w:tcBorders>
          </w:tcPr>
          <w:p>
            <w:pPr>
              <w:pStyle w:val="TableParagraph"/>
              <w:spacing w:before="9"/>
              <w:ind w:left="44"/>
              <w:rPr>
                <w:sz w:val="22"/>
              </w:rPr>
            </w:pPr>
            <w:r>
              <w:rPr>
                <w:w w:val="100"/>
                <w:sz w:val="22"/>
              </w:rPr>
              <w:t>0</w:t>
            </w:r>
          </w:p>
        </w:tc>
        <w:tc>
          <w:tcPr>
            <w:tcW w:w="1368" w:type="dxa"/>
            <w:shd w:val="clear" w:color="auto" w:fill="9CC2E4"/>
          </w:tcPr>
          <w:p>
            <w:pPr>
              <w:pStyle w:val="TableParagraph"/>
              <w:spacing w:line="265" w:lineRule="exact"/>
              <w:ind w:left="222" w:right="224"/>
              <w:rPr>
                <w:rFonts w:ascii="Calibri Light"/>
                <w:b w:val="0"/>
                <w:sz w:val="22"/>
              </w:rPr>
            </w:pPr>
            <w:r>
              <w:rPr>
                <w:sz w:val="22"/>
              </w:rPr>
              <w:t>3 </w:t>
            </w:r>
            <w:r>
              <w:rPr>
                <w:rFonts w:ascii="Calibri Light"/>
                <w:b w:val="0"/>
                <w:sz w:val="22"/>
              </w:rPr>
              <w:t>(37.5%)</w:t>
            </w:r>
          </w:p>
        </w:tc>
        <w:tc>
          <w:tcPr>
            <w:tcW w:w="1366" w:type="dxa"/>
            <w:tcBorders>
              <w:left w:val="thickThinMediumGap" w:sz="23" w:space="0" w:color="9CC2E4"/>
            </w:tcBorders>
          </w:tcPr>
          <w:p>
            <w:pPr>
              <w:pStyle w:val="TableParagraph"/>
              <w:spacing w:before="9"/>
              <w:ind w:left="561"/>
              <w:jc w:val="left"/>
              <w:rPr>
                <w:sz w:val="22"/>
              </w:rPr>
            </w:pPr>
            <w:r>
              <w:rPr>
                <w:w w:val="100"/>
                <w:sz w:val="22"/>
              </w:rPr>
              <w:t>0</w:t>
            </w:r>
          </w:p>
        </w:tc>
      </w:tr>
      <w:tr>
        <w:trPr>
          <w:trHeight w:val="413" w:hRule="exact"/>
        </w:trPr>
        <w:tc>
          <w:tcPr>
            <w:tcW w:w="3152" w:type="dxa"/>
            <w:gridSpan w:val="2"/>
          </w:tcPr>
          <w:p>
            <w:pPr>
              <w:pStyle w:val="TableParagraph"/>
              <w:spacing w:before="9"/>
              <w:ind w:left="383"/>
              <w:jc w:val="left"/>
              <w:rPr>
                <w:sz w:val="22"/>
              </w:rPr>
            </w:pPr>
            <w:r>
              <w:rPr>
                <w:sz w:val="22"/>
              </w:rPr>
              <w:t>Nivel Medio Superior (8)</w:t>
            </w:r>
          </w:p>
        </w:tc>
        <w:tc>
          <w:tcPr>
            <w:tcW w:w="1148" w:type="dxa"/>
          </w:tcPr>
          <w:p>
            <w:pPr>
              <w:pStyle w:val="TableParagraph"/>
              <w:spacing w:before="9"/>
              <w:ind w:right="5"/>
              <w:rPr>
                <w:sz w:val="22"/>
              </w:rPr>
            </w:pPr>
            <w:r>
              <w:rPr>
                <w:w w:val="100"/>
                <w:sz w:val="22"/>
              </w:rPr>
              <w:t>0</w:t>
            </w:r>
          </w:p>
        </w:tc>
        <w:tc>
          <w:tcPr>
            <w:tcW w:w="1121" w:type="dxa"/>
            <w:shd w:val="clear" w:color="auto" w:fill="2D74B5"/>
          </w:tcPr>
          <w:p>
            <w:pPr>
              <w:pStyle w:val="TableParagraph"/>
              <w:spacing w:line="265" w:lineRule="exact"/>
              <w:ind w:left="85" w:right="85"/>
              <w:rPr>
                <w:rFonts w:ascii="Calibri Light"/>
                <w:b w:val="0"/>
                <w:sz w:val="22"/>
              </w:rPr>
            </w:pPr>
            <w:r>
              <w:rPr>
                <w:sz w:val="22"/>
              </w:rPr>
              <w:t>4 </w:t>
            </w:r>
            <w:r>
              <w:rPr>
                <w:rFonts w:ascii="Calibri Light"/>
                <w:b w:val="0"/>
                <w:sz w:val="22"/>
              </w:rPr>
              <w:t>(50%)</w:t>
            </w:r>
          </w:p>
        </w:tc>
        <w:tc>
          <w:tcPr>
            <w:tcW w:w="1244" w:type="dxa"/>
          </w:tcPr>
          <w:p>
            <w:pPr>
              <w:pStyle w:val="TableParagraph"/>
              <w:spacing w:line="265" w:lineRule="exact"/>
              <w:ind w:left="82" w:right="82"/>
              <w:rPr>
                <w:rFonts w:ascii="Calibri Light"/>
                <w:b w:val="0"/>
                <w:sz w:val="22"/>
              </w:rPr>
            </w:pPr>
            <w:r>
              <w:rPr>
                <w:sz w:val="22"/>
              </w:rPr>
              <w:t>2 </w:t>
            </w:r>
            <w:r>
              <w:rPr>
                <w:rFonts w:ascii="Calibri Light"/>
                <w:b w:val="0"/>
                <w:sz w:val="22"/>
              </w:rPr>
              <w:t>(25%)</w:t>
            </w:r>
          </w:p>
        </w:tc>
        <w:tc>
          <w:tcPr>
            <w:tcW w:w="1368" w:type="dxa"/>
          </w:tcPr>
          <w:p>
            <w:pPr>
              <w:pStyle w:val="TableParagraph"/>
              <w:spacing w:line="265" w:lineRule="exact"/>
              <w:ind w:left="223" w:right="224"/>
              <w:rPr>
                <w:rFonts w:ascii="Calibri Light"/>
                <w:b w:val="0"/>
                <w:sz w:val="22"/>
              </w:rPr>
            </w:pPr>
            <w:r>
              <w:rPr>
                <w:sz w:val="22"/>
              </w:rPr>
              <w:t>2 </w:t>
            </w:r>
            <w:r>
              <w:rPr>
                <w:rFonts w:ascii="Calibri Light"/>
                <w:b w:val="0"/>
                <w:sz w:val="22"/>
              </w:rPr>
              <w:t>(25%)</w:t>
            </w:r>
          </w:p>
        </w:tc>
        <w:tc>
          <w:tcPr>
            <w:tcW w:w="1366" w:type="dxa"/>
          </w:tcPr>
          <w:p>
            <w:pPr>
              <w:pStyle w:val="TableParagraph"/>
              <w:spacing w:before="9"/>
              <w:ind w:left="614"/>
              <w:jc w:val="left"/>
              <w:rPr>
                <w:sz w:val="22"/>
              </w:rPr>
            </w:pPr>
            <w:r>
              <w:rPr>
                <w:w w:val="100"/>
                <w:sz w:val="22"/>
              </w:rPr>
              <w:t>0</w:t>
            </w:r>
          </w:p>
        </w:tc>
      </w:tr>
      <w:tr>
        <w:trPr>
          <w:trHeight w:val="413" w:hRule="exact"/>
        </w:trPr>
        <w:tc>
          <w:tcPr>
            <w:tcW w:w="3152" w:type="dxa"/>
            <w:gridSpan w:val="2"/>
          </w:tcPr>
          <w:p>
            <w:pPr>
              <w:pStyle w:val="TableParagraph"/>
              <w:spacing w:before="9"/>
              <w:ind w:left="712"/>
              <w:jc w:val="left"/>
              <w:rPr>
                <w:sz w:val="22"/>
              </w:rPr>
            </w:pPr>
            <w:r>
              <w:rPr>
                <w:sz w:val="22"/>
              </w:rPr>
              <w:t>Nivel Superior (8)</w:t>
            </w:r>
          </w:p>
        </w:tc>
        <w:tc>
          <w:tcPr>
            <w:tcW w:w="1148" w:type="dxa"/>
          </w:tcPr>
          <w:p>
            <w:pPr>
              <w:pStyle w:val="TableParagraph"/>
              <w:spacing w:before="9"/>
              <w:ind w:right="5"/>
              <w:rPr>
                <w:sz w:val="22"/>
              </w:rPr>
            </w:pPr>
            <w:r>
              <w:rPr>
                <w:w w:val="100"/>
                <w:sz w:val="22"/>
              </w:rPr>
              <w:t>1</w:t>
            </w:r>
          </w:p>
        </w:tc>
        <w:tc>
          <w:tcPr>
            <w:tcW w:w="1121" w:type="dxa"/>
            <w:shd w:val="clear" w:color="auto" w:fill="2D74B5"/>
          </w:tcPr>
          <w:p>
            <w:pPr>
              <w:pStyle w:val="TableParagraph"/>
              <w:spacing w:line="265" w:lineRule="exact"/>
              <w:ind w:left="85" w:right="85"/>
              <w:rPr>
                <w:rFonts w:ascii="Calibri Light"/>
                <w:b w:val="0"/>
                <w:sz w:val="22"/>
              </w:rPr>
            </w:pPr>
            <w:r>
              <w:rPr>
                <w:sz w:val="22"/>
              </w:rPr>
              <w:t>4 </w:t>
            </w:r>
            <w:r>
              <w:rPr>
                <w:rFonts w:ascii="Calibri Light"/>
                <w:b w:val="0"/>
                <w:sz w:val="22"/>
              </w:rPr>
              <w:t>(50%)</w:t>
            </w:r>
          </w:p>
        </w:tc>
        <w:tc>
          <w:tcPr>
            <w:tcW w:w="1244" w:type="dxa"/>
          </w:tcPr>
          <w:p>
            <w:pPr>
              <w:pStyle w:val="TableParagraph"/>
              <w:spacing w:before="9"/>
              <w:rPr>
                <w:sz w:val="22"/>
              </w:rPr>
            </w:pPr>
            <w:r>
              <w:rPr>
                <w:w w:val="100"/>
                <w:sz w:val="22"/>
              </w:rPr>
              <w:t>0</w:t>
            </w:r>
          </w:p>
        </w:tc>
        <w:tc>
          <w:tcPr>
            <w:tcW w:w="1368" w:type="dxa"/>
          </w:tcPr>
          <w:p>
            <w:pPr>
              <w:pStyle w:val="TableParagraph"/>
              <w:spacing w:line="265" w:lineRule="exact"/>
              <w:ind w:left="222" w:right="224"/>
              <w:rPr>
                <w:rFonts w:ascii="Calibri Light"/>
                <w:b w:val="0"/>
                <w:sz w:val="22"/>
              </w:rPr>
            </w:pPr>
            <w:r>
              <w:rPr>
                <w:sz w:val="22"/>
              </w:rPr>
              <w:t>3 </w:t>
            </w:r>
            <w:r>
              <w:rPr>
                <w:rFonts w:ascii="Calibri Light"/>
                <w:b w:val="0"/>
                <w:sz w:val="22"/>
              </w:rPr>
              <w:t>(37.5%)</w:t>
            </w:r>
          </w:p>
        </w:tc>
        <w:tc>
          <w:tcPr>
            <w:tcW w:w="1366" w:type="dxa"/>
          </w:tcPr>
          <w:p>
            <w:pPr>
              <w:pStyle w:val="TableParagraph"/>
              <w:spacing w:before="9"/>
              <w:ind w:left="614"/>
              <w:jc w:val="left"/>
              <w:rPr>
                <w:sz w:val="22"/>
              </w:rPr>
            </w:pPr>
            <w:r>
              <w:rPr>
                <w:w w:val="100"/>
                <w:sz w:val="22"/>
              </w:rPr>
              <w:t>0</w:t>
            </w:r>
          </w:p>
        </w:tc>
      </w:tr>
    </w:tbl>
    <w:p>
      <w:pPr>
        <w:spacing w:line="227" w:lineRule="exact" w:before="0"/>
        <w:ind w:left="1491" w:right="339" w:firstLine="0"/>
        <w:jc w:val="left"/>
        <w:rPr>
          <w:b/>
          <w:sz w:val="20"/>
        </w:rPr>
      </w:pPr>
      <w:r>
        <w:rPr>
          <w:b/>
          <w:sz w:val="20"/>
        </w:rPr>
        <w:t>Tabla 4.60. Influencia en partidarios; respuestas por nivel de estudios</w:t>
      </w:r>
    </w:p>
    <w:p>
      <w:pPr>
        <w:pStyle w:val="BodyText"/>
        <w:rPr>
          <w:b/>
          <w:sz w:val="20"/>
        </w:rPr>
      </w:pPr>
    </w:p>
    <w:p>
      <w:pPr>
        <w:pStyle w:val="BodyText"/>
        <w:rPr>
          <w:b/>
          <w:sz w:val="20"/>
        </w:rPr>
      </w:pPr>
    </w:p>
    <w:p>
      <w:pPr>
        <w:pStyle w:val="BodyText"/>
        <w:rPr>
          <w:b/>
          <w:sz w:val="20"/>
        </w:rPr>
      </w:pPr>
    </w:p>
    <w:p>
      <w:pPr>
        <w:pStyle w:val="BodyText"/>
        <w:spacing w:before="10"/>
        <w:rPr>
          <w:b/>
          <w:sz w:val="20"/>
        </w:rPr>
      </w:pPr>
    </w:p>
    <w:p>
      <w:pPr>
        <w:pStyle w:val="Heading1"/>
        <w:ind w:right="339"/>
      </w:pPr>
      <w:r>
        <w:rPr/>
        <w:t>4.2. Análisis de resultados</w:t>
      </w:r>
    </w:p>
    <w:p>
      <w:pPr>
        <w:pStyle w:val="BodyText"/>
        <w:spacing w:before="4"/>
        <w:rPr>
          <w:b/>
          <w:sz w:val="29"/>
        </w:rPr>
      </w:pPr>
    </w:p>
    <w:p>
      <w:pPr>
        <w:pStyle w:val="BodyText"/>
        <w:spacing w:line="360" w:lineRule="auto" w:before="1"/>
        <w:ind w:left="102" w:right="108" w:firstLine="707"/>
        <w:jc w:val="both"/>
      </w:pPr>
      <w:r>
        <w:rPr/>
        <w:t>Con</w:t>
      </w:r>
      <w:r>
        <w:rPr>
          <w:spacing w:val="-7"/>
        </w:rPr>
        <w:t> </w:t>
      </w:r>
      <w:r>
        <w:rPr/>
        <w:t>base</w:t>
      </w:r>
      <w:r>
        <w:rPr>
          <w:spacing w:val="-7"/>
        </w:rPr>
        <w:t> </w:t>
      </w:r>
      <w:r>
        <w:rPr/>
        <w:t>en</w:t>
      </w:r>
      <w:r>
        <w:rPr>
          <w:spacing w:val="-5"/>
        </w:rPr>
        <w:t> </w:t>
      </w:r>
      <w:r>
        <w:rPr/>
        <w:t>la</w:t>
      </w:r>
      <w:r>
        <w:rPr>
          <w:spacing w:val="-7"/>
        </w:rPr>
        <w:t> </w:t>
      </w:r>
      <w:r>
        <w:rPr/>
        <w:t>codificación</w:t>
      </w:r>
      <w:r>
        <w:rPr>
          <w:spacing w:val="-5"/>
        </w:rPr>
        <w:t> </w:t>
      </w:r>
      <w:r>
        <w:rPr/>
        <w:t>de</w:t>
      </w:r>
      <w:r>
        <w:rPr>
          <w:spacing w:val="-7"/>
        </w:rPr>
        <w:t> </w:t>
      </w:r>
      <w:r>
        <w:rPr/>
        <w:t>datos,</w:t>
      </w:r>
      <w:r>
        <w:rPr>
          <w:spacing w:val="-7"/>
        </w:rPr>
        <w:t> </w:t>
      </w:r>
      <w:r>
        <w:rPr/>
        <w:t>se</w:t>
      </w:r>
      <w:r>
        <w:rPr>
          <w:spacing w:val="-7"/>
        </w:rPr>
        <w:t> </w:t>
      </w:r>
      <w:r>
        <w:rPr/>
        <w:t>presenta</w:t>
      </w:r>
      <w:r>
        <w:rPr>
          <w:spacing w:val="-7"/>
        </w:rPr>
        <w:t> </w:t>
      </w:r>
      <w:r>
        <w:rPr/>
        <w:t>a</w:t>
      </w:r>
      <w:r>
        <w:rPr>
          <w:spacing w:val="-7"/>
        </w:rPr>
        <w:t> </w:t>
      </w:r>
      <w:r>
        <w:rPr/>
        <w:t>continuación</w:t>
      </w:r>
      <w:r>
        <w:rPr>
          <w:spacing w:val="-5"/>
        </w:rPr>
        <w:t> </w:t>
      </w:r>
      <w:r>
        <w:rPr/>
        <w:t>la</w:t>
      </w:r>
      <w:r>
        <w:rPr>
          <w:spacing w:val="-9"/>
        </w:rPr>
        <w:t> </w:t>
      </w:r>
      <w:r>
        <w:rPr/>
        <w:t>percepción</w:t>
      </w:r>
      <w:r>
        <w:rPr>
          <w:spacing w:val="-7"/>
        </w:rPr>
        <w:t> </w:t>
      </w:r>
      <w:r>
        <w:rPr/>
        <w:t>de los</w:t>
      </w:r>
      <w:r>
        <w:rPr>
          <w:spacing w:val="-13"/>
        </w:rPr>
        <w:t> </w:t>
      </w:r>
      <w:r>
        <w:rPr/>
        <w:t>sujetos</w:t>
      </w:r>
      <w:r>
        <w:rPr>
          <w:spacing w:val="-14"/>
        </w:rPr>
        <w:t> </w:t>
      </w:r>
      <w:r>
        <w:rPr/>
        <w:t>con</w:t>
      </w:r>
      <w:r>
        <w:rPr>
          <w:spacing w:val="-13"/>
        </w:rPr>
        <w:t> </w:t>
      </w:r>
      <w:r>
        <w:rPr/>
        <w:t>respecto</w:t>
      </w:r>
      <w:r>
        <w:rPr>
          <w:spacing w:val="-13"/>
        </w:rPr>
        <w:t> </w:t>
      </w:r>
      <w:r>
        <w:rPr/>
        <w:t>a</w:t>
      </w:r>
      <w:r>
        <w:rPr>
          <w:spacing w:val="-13"/>
        </w:rPr>
        <w:t> </w:t>
      </w:r>
      <w:r>
        <w:rPr/>
        <w:t>las</w:t>
      </w:r>
      <w:r>
        <w:rPr>
          <w:spacing w:val="-13"/>
        </w:rPr>
        <w:t> </w:t>
      </w:r>
      <w:r>
        <w:rPr/>
        <w:t>variables</w:t>
      </w:r>
      <w:r>
        <w:rPr>
          <w:spacing w:val="-13"/>
        </w:rPr>
        <w:t> </w:t>
      </w:r>
      <w:r>
        <w:rPr/>
        <w:t>estructuradas</w:t>
      </w:r>
      <w:r>
        <w:rPr>
          <w:spacing w:val="-16"/>
        </w:rPr>
        <w:t> </w:t>
      </w:r>
      <w:r>
        <w:rPr/>
        <w:t>para</w:t>
      </w:r>
      <w:r>
        <w:rPr>
          <w:spacing w:val="-14"/>
        </w:rPr>
        <w:t> </w:t>
      </w:r>
      <w:r>
        <w:rPr/>
        <w:t>este</w:t>
      </w:r>
      <w:r>
        <w:rPr>
          <w:spacing w:val="-13"/>
        </w:rPr>
        <w:t> </w:t>
      </w:r>
      <w:r>
        <w:rPr/>
        <w:t>proyecto</w:t>
      </w:r>
      <w:r>
        <w:rPr>
          <w:spacing w:val="-13"/>
        </w:rPr>
        <w:t> </w:t>
      </w:r>
      <w:r>
        <w:rPr/>
        <w:t>de</w:t>
      </w:r>
      <w:r>
        <w:rPr>
          <w:spacing w:val="-13"/>
        </w:rPr>
        <w:t> </w:t>
      </w:r>
      <w:r>
        <w:rPr/>
        <w:t>investigación relacionadas a las actitudes lingüísticas frente al uso de</w:t>
      </w:r>
      <w:r>
        <w:rPr>
          <w:spacing w:val="-20"/>
        </w:rPr>
        <w:t> </w:t>
      </w:r>
      <w:r>
        <w:rPr/>
        <w:t>anglicismos.</w:t>
      </w:r>
    </w:p>
    <w:p>
      <w:pPr>
        <w:pStyle w:val="BodyText"/>
        <w:spacing w:line="360" w:lineRule="auto" w:before="202"/>
        <w:ind w:left="102" w:right="107" w:firstLine="707"/>
        <w:jc w:val="both"/>
      </w:pPr>
      <w:r>
        <w:rPr/>
        <w:t>En</w:t>
      </w:r>
      <w:r>
        <w:rPr>
          <w:spacing w:val="-10"/>
        </w:rPr>
        <w:t> </w:t>
      </w:r>
      <w:r>
        <w:rPr/>
        <w:t>el</w:t>
      </w:r>
      <w:r>
        <w:rPr>
          <w:spacing w:val="-11"/>
        </w:rPr>
        <w:t> </w:t>
      </w:r>
      <w:r>
        <w:rPr/>
        <w:t>análisis</w:t>
      </w:r>
      <w:r>
        <w:rPr>
          <w:spacing w:val="-11"/>
        </w:rPr>
        <w:t> </w:t>
      </w:r>
      <w:r>
        <w:rPr/>
        <w:t>de</w:t>
      </w:r>
      <w:r>
        <w:rPr>
          <w:spacing w:val="-10"/>
        </w:rPr>
        <w:t> </w:t>
      </w:r>
      <w:r>
        <w:rPr/>
        <w:t>la</w:t>
      </w:r>
      <w:r>
        <w:rPr>
          <w:spacing w:val="-10"/>
        </w:rPr>
        <w:t> </w:t>
      </w:r>
      <w:r>
        <w:rPr/>
        <w:t>totalidad</w:t>
      </w:r>
      <w:r>
        <w:rPr>
          <w:spacing w:val="-10"/>
        </w:rPr>
        <w:t> </w:t>
      </w:r>
      <w:r>
        <w:rPr/>
        <w:t>de</w:t>
      </w:r>
      <w:r>
        <w:rPr>
          <w:spacing w:val="-10"/>
        </w:rPr>
        <w:t> </w:t>
      </w:r>
      <w:r>
        <w:rPr/>
        <w:t>la</w:t>
      </w:r>
      <w:r>
        <w:rPr>
          <w:spacing w:val="-12"/>
        </w:rPr>
        <w:t> </w:t>
      </w:r>
      <w:r>
        <w:rPr/>
        <w:t>muestra</w:t>
      </w:r>
      <w:r>
        <w:rPr>
          <w:spacing w:val="-10"/>
        </w:rPr>
        <w:t> </w:t>
      </w:r>
      <w:r>
        <w:rPr/>
        <w:t>de</w:t>
      </w:r>
      <w:r>
        <w:rPr>
          <w:spacing w:val="-12"/>
        </w:rPr>
        <w:t> </w:t>
      </w:r>
      <w:r>
        <w:rPr/>
        <w:t>población,</w:t>
      </w:r>
      <w:r>
        <w:rPr>
          <w:spacing w:val="-10"/>
        </w:rPr>
        <w:t> </w:t>
      </w:r>
      <w:r>
        <w:rPr/>
        <w:t>de</w:t>
      </w:r>
      <w:r>
        <w:rPr>
          <w:spacing w:val="-10"/>
        </w:rPr>
        <w:t> </w:t>
      </w:r>
      <w:r>
        <w:rPr/>
        <w:t>las</w:t>
      </w:r>
      <w:r>
        <w:rPr>
          <w:spacing w:val="-4"/>
        </w:rPr>
        <w:t> </w:t>
      </w:r>
      <w:r>
        <w:rPr/>
        <w:t>diez</w:t>
      </w:r>
      <w:r>
        <w:rPr>
          <w:spacing w:val="-12"/>
        </w:rPr>
        <w:t> </w:t>
      </w:r>
      <w:r>
        <w:rPr/>
        <w:t>aseveraciones favorables, se identificaron 107 respuestas “De acuerdo” con respecto al uso de anglicismos; 58 “En desacuerdo”; 45 “muy de acuerdo”; 25 respuestas con posición indiferente y 5 respuestas “muy en desacuerdo” (Ver figura 4.2.1). Esto quiere decir que en general la mayoría de la totalidad de la muestra de población presenta actitudes favorables frente al uso de</w:t>
      </w:r>
      <w:r>
        <w:rPr>
          <w:spacing w:val="-12"/>
        </w:rPr>
        <w:t> </w:t>
      </w:r>
      <w:r>
        <w:rPr/>
        <w:t>anglicismos.</w:t>
      </w:r>
    </w:p>
    <w:p>
      <w:pPr>
        <w:spacing w:after="0" w:line="360" w:lineRule="auto"/>
        <w:jc w:val="both"/>
        <w:sectPr>
          <w:pgSz w:w="12240" w:h="15840"/>
          <w:pgMar w:header="749" w:footer="1003" w:top="960" w:bottom="1200" w:left="1600" w:right="1020"/>
        </w:sectPr>
      </w:pPr>
    </w:p>
    <w:p>
      <w:pPr>
        <w:pStyle w:val="BodyText"/>
        <w:rPr>
          <w:sz w:val="20"/>
        </w:rPr>
      </w:pPr>
    </w:p>
    <w:p>
      <w:pPr>
        <w:pStyle w:val="BodyText"/>
        <w:rPr>
          <w:sz w:val="20"/>
        </w:rPr>
      </w:pPr>
    </w:p>
    <w:p>
      <w:pPr>
        <w:pStyle w:val="BodyText"/>
        <w:rPr>
          <w:sz w:val="20"/>
        </w:rPr>
      </w:pPr>
    </w:p>
    <w:p>
      <w:pPr>
        <w:pStyle w:val="BodyText"/>
        <w:spacing w:before="4"/>
        <w:rPr>
          <w:sz w:val="11"/>
        </w:rPr>
      </w:pPr>
    </w:p>
    <w:p>
      <w:pPr>
        <w:pStyle w:val="BodyText"/>
        <w:ind w:left="811"/>
        <w:rPr>
          <w:sz w:val="20"/>
        </w:rPr>
      </w:pPr>
      <w:r>
        <w:rPr>
          <w:sz w:val="20"/>
        </w:rPr>
        <w:pict>
          <v:group style="width:406.25pt;height:199.15pt;mso-position-horizontal-relative:char;mso-position-vertical-relative:line" coordorigin="0,0" coordsize="8125,3983">
            <v:shape style="position:absolute;left:737;top:1128;width:6281;height:2414" type="#_x0000_t75" stroked="false">
              <v:imagedata r:id="rId42" o:title=""/>
            </v:shape>
            <v:rect style="position:absolute;left:8;top:8;width:8110;height:3967" filled="false" stroked="true" strokeweight=".72pt" strokecolor="#d9d9d9"/>
            <v:shape style="position:absolute;left:1126;top:109;width:6127;height:996" type="#_x0000_t202" filled="false" stroked="false">
              <v:textbox inset="0,0,0,0">
                <w:txbxContent>
                  <w:p>
                    <w:pPr>
                      <w:spacing w:line="296" w:lineRule="exact" w:before="0"/>
                      <w:ind w:left="0" w:right="-14" w:firstLine="0"/>
                      <w:jc w:val="left"/>
                      <w:rPr>
                        <w:rFonts w:ascii="Calibri"/>
                        <w:b/>
                        <w:sz w:val="32"/>
                      </w:rPr>
                    </w:pPr>
                    <w:r>
                      <w:rPr>
                        <w:rFonts w:ascii="Calibri"/>
                        <w:b/>
                        <w:color w:val="585858"/>
                        <w:spacing w:val="-4"/>
                        <w:sz w:val="32"/>
                      </w:rPr>
                      <w:t>RESPUESTAS </w:t>
                    </w:r>
                    <w:r>
                      <w:rPr>
                        <w:rFonts w:ascii="Calibri"/>
                        <w:b/>
                        <w:color w:val="585858"/>
                        <w:sz w:val="32"/>
                      </w:rPr>
                      <w:t>EN ASEVERACIONES </w:t>
                    </w:r>
                    <w:r>
                      <w:rPr>
                        <w:rFonts w:ascii="Calibri"/>
                        <w:b/>
                        <w:color w:val="585858"/>
                        <w:spacing w:val="-5"/>
                        <w:sz w:val="32"/>
                      </w:rPr>
                      <w:t>FAVORABLES</w:t>
                    </w:r>
                  </w:p>
                  <w:p>
                    <w:pPr>
                      <w:spacing w:line="214" w:lineRule="exact" w:before="0"/>
                      <w:ind w:left="1956" w:right="3214" w:firstLine="0"/>
                      <w:jc w:val="center"/>
                      <w:rPr>
                        <w:rFonts w:ascii="Calibri"/>
                        <w:b/>
                        <w:sz w:val="20"/>
                      </w:rPr>
                    </w:pPr>
                    <w:r>
                      <w:rPr>
                        <w:rFonts w:ascii="Calibri"/>
                        <w:b/>
                        <w:color w:val="43749F"/>
                        <w:sz w:val="20"/>
                      </w:rPr>
                      <w:t>Muy en</w:t>
                    </w:r>
                  </w:p>
                  <w:p>
                    <w:pPr>
                      <w:spacing w:before="0"/>
                      <w:ind w:left="1956" w:right="3215" w:firstLine="0"/>
                      <w:jc w:val="center"/>
                      <w:rPr>
                        <w:rFonts w:ascii="Calibri"/>
                        <w:b/>
                        <w:sz w:val="20"/>
                      </w:rPr>
                    </w:pPr>
                    <w:r>
                      <w:rPr>
                        <w:rFonts w:ascii="Calibri"/>
                        <w:b/>
                        <w:color w:val="43749F"/>
                        <w:w w:val="95"/>
                        <w:sz w:val="20"/>
                      </w:rPr>
                      <w:t>desacuerdo </w:t>
                    </w:r>
                    <w:r>
                      <w:rPr>
                        <w:rFonts w:ascii="Calibri"/>
                        <w:b/>
                        <w:color w:val="43749F"/>
                        <w:sz w:val="20"/>
                      </w:rPr>
                      <w:t>2%</w:t>
                    </w:r>
                  </w:p>
                </w:txbxContent>
              </v:textbox>
              <w10:wrap type="none"/>
            </v:shape>
            <v:shape style="position:absolute;left:1202;top:1090;width:1215;height:444" type="#_x0000_t202" filled="false" stroked="false">
              <v:textbox inset="0,0,0,0">
                <w:txbxContent>
                  <w:p>
                    <w:pPr>
                      <w:spacing w:line="203" w:lineRule="exact" w:before="0"/>
                      <w:ind w:left="0" w:right="0" w:firstLine="0"/>
                      <w:jc w:val="center"/>
                      <w:rPr>
                        <w:rFonts w:ascii="Calibri"/>
                        <w:b/>
                        <w:sz w:val="20"/>
                      </w:rPr>
                    </w:pPr>
                    <w:r>
                      <w:rPr>
                        <w:rFonts w:ascii="Calibri"/>
                        <w:b/>
                        <w:color w:val="5088BB"/>
                        <w:sz w:val="20"/>
                      </w:rPr>
                      <w:t>En desacuerdo</w:t>
                    </w:r>
                  </w:p>
                  <w:p>
                    <w:pPr>
                      <w:spacing w:line="240" w:lineRule="exact" w:before="0"/>
                      <w:ind w:left="2" w:right="0" w:firstLine="0"/>
                      <w:jc w:val="center"/>
                      <w:rPr>
                        <w:rFonts w:ascii="Calibri"/>
                        <w:b/>
                        <w:sz w:val="20"/>
                      </w:rPr>
                    </w:pPr>
                    <w:r>
                      <w:rPr>
                        <w:rFonts w:ascii="Calibri"/>
                        <w:b/>
                        <w:color w:val="5088BB"/>
                        <w:sz w:val="20"/>
                      </w:rPr>
                      <w:t>24%</w:t>
                    </w:r>
                  </w:p>
                </w:txbxContent>
              </v:textbox>
              <w10:wrap type="none"/>
            </v:shape>
            <v:shape style="position:absolute;left:4910;top:852;width:1351;height:444" type="#_x0000_t202" filled="false" stroked="false">
              <v:textbox inset="0,0,0,0">
                <w:txbxContent>
                  <w:p>
                    <w:pPr>
                      <w:spacing w:line="203" w:lineRule="exact" w:before="0"/>
                      <w:ind w:left="-1" w:right="0" w:firstLine="0"/>
                      <w:jc w:val="center"/>
                      <w:rPr>
                        <w:rFonts w:ascii="Calibri"/>
                        <w:b/>
                        <w:sz w:val="20"/>
                      </w:rPr>
                    </w:pPr>
                    <w:r>
                      <w:rPr>
                        <w:rFonts w:ascii="Calibri"/>
                        <w:b/>
                        <w:color w:val="BDD1EA"/>
                        <w:sz w:val="20"/>
                      </w:rPr>
                      <w:t>Muy de</w:t>
                    </w:r>
                    <w:r>
                      <w:rPr>
                        <w:rFonts w:ascii="Calibri"/>
                        <w:b/>
                        <w:color w:val="BDD1EA"/>
                        <w:spacing w:val="-7"/>
                        <w:sz w:val="20"/>
                      </w:rPr>
                      <w:t> </w:t>
                    </w:r>
                    <w:r>
                      <w:rPr>
                        <w:rFonts w:ascii="Calibri"/>
                        <w:b/>
                        <w:color w:val="BDD1EA"/>
                        <w:sz w:val="20"/>
                      </w:rPr>
                      <w:t>acuerdo</w:t>
                    </w:r>
                  </w:p>
                  <w:p>
                    <w:pPr>
                      <w:spacing w:line="240" w:lineRule="exact" w:before="0"/>
                      <w:ind w:left="3" w:right="0" w:firstLine="0"/>
                      <w:jc w:val="center"/>
                      <w:rPr>
                        <w:rFonts w:ascii="Calibri"/>
                        <w:b/>
                        <w:sz w:val="20"/>
                      </w:rPr>
                    </w:pPr>
                    <w:r>
                      <w:rPr>
                        <w:rFonts w:ascii="Calibri"/>
                        <w:b/>
                        <w:color w:val="BDD1EA"/>
                        <w:sz w:val="20"/>
                      </w:rPr>
                      <w:t>19%</w:t>
                    </w:r>
                  </w:p>
                </w:txbxContent>
              </v:textbox>
              <w10:wrap type="none"/>
            </v:shape>
            <v:shape style="position:absolute;left:962;top:2557;width:930;height:444" type="#_x0000_t202" filled="false" stroked="false">
              <v:textbox inset="0,0,0,0">
                <w:txbxContent>
                  <w:p>
                    <w:pPr>
                      <w:spacing w:line="203" w:lineRule="exact" w:before="0"/>
                      <w:ind w:left="0" w:right="0" w:firstLine="0"/>
                      <w:jc w:val="center"/>
                      <w:rPr>
                        <w:rFonts w:ascii="Calibri"/>
                        <w:b/>
                        <w:sz w:val="20"/>
                      </w:rPr>
                    </w:pPr>
                    <w:r>
                      <w:rPr>
                        <w:rFonts w:ascii="Calibri"/>
                        <w:b/>
                        <w:color w:val="5B9BD4"/>
                        <w:spacing w:val="-1"/>
                        <w:sz w:val="20"/>
                      </w:rPr>
                      <w:t>Indiferente</w:t>
                    </w:r>
                  </w:p>
                  <w:p>
                    <w:pPr>
                      <w:spacing w:line="240" w:lineRule="exact" w:before="0"/>
                      <w:ind w:left="0" w:right="1" w:firstLine="0"/>
                      <w:jc w:val="center"/>
                      <w:rPr>
                        <w:rFonts w:ascii="Calibri"/>
                        <w:b/>
                        <w:sz w:val="20"/>
                      </w:rPr>
                    </w:pPr>
                    <w:r>
                      <w:rPr>
                        <w:rFonts w:ascii="Calibri"/>
                        <w:b/>
                        <w:color w:val="5B9BD4"/>
                        <w:sz w:val="20"/>
                      </w:rPr>
                      <w:t>10%</w:t>
                    </w:r>
                  </w:p>
                </w:txbxContent>
              </v:textbox>
              <w10:wrap type="none"/>
            </v:shape>
            <v:shape style="position:absolute;left:5173;top:3258;width:949;height:444" type="#_x0000_t202" filled="false" stroked="false">
              <v:textbox inset="0,0,0,0">
                <w:txbxContent>
                  <w:p>
                    <w:pPr>
                      <w:spacing w:line="203" w:lineRule="exact" w:before="0"/>
                      <w:ind w:left="0" w:right="0" w:firstLine="0"/>
                      <w:jc w:val="center"/>
                      <w:rPr>
                        <w:rFonts w:ascii="Calibri"/>
                        <w:b/>
                        <w:sz w:val="20"/>
                      </w:rPr>
                    </w:pPr>
                    <w:r>
                      <w:rPr>
                        <w:rFonts w:ascii="Calibri"/>
                        <w:b/>
                        <w:color w:val="96B8DF"/>
                        <w:sz w:val="20"/>
                      </w:rPr>
                      <w:t>De acuerdo</w:t>
                    </w:r>
                  </w:p>
                  <w:p>
                    <w:pPr>
                      <w:spacing w:line="240" w:lineRule="exact" w:before="0"/>
                      <w:ind w:left="0" w:right="0" w:firstLine="0"/>
                      <w:jc w:val="center"/>
                      <w:rPr>
                        <w:rFonts w:ascii="Calibri"/>
                        <w:b/>
                        <w:sz w:val="20"/>
                      </w:rPr>
                    </w:pPr>
                    <w:r>
                      <w:rPr>
                        <w:rFonts w:ascii="Calibri"/>
                        <w:b/>
                        <w:color w:val="96B8DF"/>
                        <w:sz w:val="20"/>
                      </w:rPr>
                      <w:t>45%</w:t>
                    </w:r>
                  </w:p>
                </w:txbxContent>
              </v:textbox>
              <w10:wrap type="none"/>
            </v:shape>
          </v:group>
        </w:pict>
      </w:r>
      <w:r>
        <w:rPr>
          <w:sz w:val="20"/>
        </w:rPr>
      </w:r>
    </w:p>
    <w:p>
      <w:pPr>
        <w:spacing w:line="214" w:lineRule="exact" w:before="0"/>
        <w:ind w:left="810" w:right="339" w:firstLine="0"/>
        <w:jc w:val="left"/>
        <w:rPr>
          <w:b/>
          <w:sz w:val="20"/>
        </w:rPr>
      </w:pPr>
      <w:r>
        <w:rPr>
          <w:b/>
          <w:sz w:val="20"/>
        </w:rPr>
        <w:t>Figura 4.2.1. Respuestas de la totalidad de la muestra en aseveraciones favorables</w:t>
      </w:r>
    </w:p>
    <w:p>
      <w:pPr>
        <w:pStyle w:val="BodyText"/>
        <w:spacing w:before="5"/>
        <w:rPr>
          <w:b/>
          <w:sz w:val="27"/>
        </w:rPr>
      </w:pPr>
    </w:p>
    <w:p>
      <w:pPr>
        <w:pStyle w:val="BodyText"/>
        <w:spacing w:line="360" w:lineRule="auto"/>
        <w:ind w:left="102" w:right="107" w:firstLine="707"/>
        <w:jc w:val="both"/>
      </w:pPr>
      <w:r>
        <w:rPr/>
        <w:t>El análisis de las diez aseveraciones desfavorables con la totalidad de la muestra ayudará a comprobar las respuestas proporcionadas en las diez aseveraciones favorables. De tal manera que se obtuvieron 92 respuestas “en desacuerdo”; 76 “de acuerdo”; 31 “indiferentes; 22 “muy de acuerdo; y 19 “muy en desacuerdo” (Ver tabla 4.2.2.). Lo que permite confirmar que en la totalidad de la muestra de población existe una inclinación a favorecer los anglicismos, ya que al mostrarse “en desacuerdo” con la negativa ante el uso de anglicismos, la posición es a favor.</w:t>
      </w:r>
    </w:p>
    <w:p>
      <w:pPr>
        <w:pStyle w:val="BodyText"/>
        <w:spacing w:before="8"/>
        <w:rPr>
          <w:sz w:val="13"/>
        </w:rPr>
      </w:pPr>
      <w:r>
        <w:rPr/>
        <w:pict>
          <v:group style="position:absolute;margin-left:123.345001pt;margin-top:9.868916pt;width:392.95pt;height:202pt;mso-position-horizontal-relative:page;mso-position-vertical-relative:paragraph;z-index:1456;mso-wrap-distance-left:0;mso-wrap-distance-right:0" coordorigin="2467,197" coordsize="7859,4040">
            <v:shape style="position:absolute;left:3182;top:1578;width:6427;height:2242" type="#_x0000_t75" stroked="false">
              <v:imagedata r:id="rId43" o:title=""/>
            </v:shape>
            <v:line style="position:absolute" from="6024,1621" to="6014,1388" stroked="true" strokeweight=".72pt" strokecolor="#a6a6a6"/>
            <v:rect style="position:absolute;left:2474;top:205;width:7843;height:4025" filled="false" stroked="true" strokeweight=".72pt" strokecolor="#d9d9d9"/>
            <v:shape style="position:absolute;left:4547;top:302;width:4354;height:1383" type="#_x0000_t202" filled="false" stroked="false">
              <v:textbox inset="0,0,0,0">
                <w:txbxContent>
                  <w:p>
                    <w:pPr>
                      <w:spacing w:line="325" w:lineRule="exact" w:before="0"/>
                      <w:ind w:left="0" w:right="0" w:firstLine="0"/>
                      <w:jc w:val="center"/>
                      <w:rPr>
                        <w:rFonts w:ascii="Calibri"/>
                        <w:b/>
                        <w:sz w:val="32"/>
                      </w:rPr>
                    </w:pPr>
                    <w:r>
                      <w:rPr>
                        <w:rFonts w:ascii="Calibri"/>
                        <w:b/>
                        <w:color w:val="585858"/>
                        <w:spacing w:val="-4"/>
                        <w:sz w:val="32"/>
                      </w:rPr>
                      <w:t>RESPUESTAS </w:t>
                    </w:r>
                    <w:r>
                      <w:rPr>
                        <w:rFonts w:ascii="Calibri"/>
                        <w:b/>
                        <w:color w:val="585858"/>
                        <w:sz w:val="32"/>
                      </w:rPr>
                      <w:t>EN</w:t>
                    </w:r>
                    <w:r>
                      <w:rPr>
                        <w:rFonts w:ascii="Calibri"/>
                        <w:b/>
                        <w:color w:val="585858"/>
                        <w:spacing w:val="-14"/>
                        <w:sz w:val="32"/>
                      </w:rPr>
                      <w:t> </w:t>
                    </w:r>
                    <w:r>
                      <w:rPr>
                        <w:rFonts w:ascii="Calibri"/>
                        <w:b/>
                        <w:color w:val="585858"/>
                        <w:sz w:val="32"/>
                      </w:rPr>
                      <w:t>ASEVERACIONES</w:t>
                    </w:r>
                  </w:p>
                  <w:p>
                    <w:pPr>
                      <w:spacing w:line="359" w:lineRule="exact" w:before="0"/>
                      <w:ind w:left="0" w:right="0" w:firstLine="0"/>
                      <w:jc w:val="center"/>
                      <w:rPr>
                        <w:rFonts w:ascii="Calibri"/>
                        <w:b/>
                        <w:sz w:val="32"/>
                      </w:rPr>
                    </w:pPr>
                    <w:r>
                      <w:rPr>
                        <w:rFonts w:ascii="Calibri"/>
                        <w:b/>
                        <w:color w:val="585858"/>
                        <w:sz w:val="32"/>
                      </w:rPr>
                      <w:t>DESFAVORABLES</w:t>
                    </w:r>
                  </w:p>
                  <w:p>
                    <w:pPr>
                      <w:spacing w:line="212" w:lineRule="exact" w:before="0"/>
                      <w:ind w:left="0" w:right="2443" w:firstLine="0"/>
                      <w:jc w:val="center"/>
                      <w:rPr>
                        <w:rFonts w:ascii="Calibri"/>
                        <w:b/>
                        <w:sz w:val="20"/>
                      </w:rPr>
                    </w:pPr>
                    <w:r>
                      <w:rPr>
                        <w:rFonts w:ascii="Calibri"/>
                        <w:b/>
                        <w:color w:val="43749F"/>
                        <w:sz w:val="20"/>
                      </w:rPr>
                      <w:t>Muy en</w:t>
                    </w:r>
                  </w:p>
                  <w:p>
                    <w:pPr>
                      <w:spacing w:before="0"/>
                      <w:ind w:left="477" w:right="2920" w:firstLine="0"/>
                      <w:jc w:val="center"/>
                      <w:rPr>
                        <w:rFonts w:ascii="Calibri"/>
                        <w:b/>
                        <w:sz w:val="20"/>
                      </w:rPr>
                    </w:pPr>
                    <w:r>
                      <w:rPr>
                        <w:rFonts w:ascii="Calibri"/>
                        <w:b/>
                        <w:color w:val="43749F"/>
                        <w:w w:val="95"/>
                        <w:sz w:val="20"/>
                      </w:rPr>
                      <w:t>desacuerdo </w:t>
                    </w:r>
                    <w:r>
                      <w:rPr>
                        <w:rFonts w:ascii="Calibri"/>
                        <w:b/>
                        <w:color w:val="43749F"/>
                        <w:sz w:val="20"/>
                      </w:rPr>
                      <w:t>8%</w:t>
                    </w:r>
                  </w:p>
                </w:txbxContent>
              </v:textbox>
              <w10:wrap type="none"/>
            </v:shape>
            <v:shape style="position:absolute;left:6915;top:1132;width:1351;height:444" type="#_x0000_t202" filled="false" stroked="false">
              <v:textbox inset="0,0,0,0">
                <w:txbxContent>
                  <w:p>
                    <w:pPr>
                      <w:spacing w:line="203" w:lineRule="exact" w:before="0"/>
                      <w:ind w:left="0" w:right="0" w:firstLine="0"/>
                      <w:jc w:val="center"/>
                      <w:rPr>
                        <w:rFonts w:ascii="Calibri"/>
                        <w:b/>
                        <w:sz w:val="20"/>
                      </w:rPr>
                    </w:pPr>
                    <w:r>
                      <w:rPr>
                        <w:rFonts w:ascii="Calibri"/>
                        <w:b/>
                        <w:color w:val="BDD1EA"/>
                        <w:sz w:val="20"/>
                      </w:rPr>
                      <w:t>Muy de</w:t>
                    </w:r>
                    <w:r>
                      <w:rPr>
                        <w:rFonts w:ascii="Calibri"/>
                        <w:b/>
                        <w:color w:val="BDD1EA"/>
                        <w:spacing w:val="-7"/>
                        <w:sz w:val="20"/>
                      </w:rPr>
                      <w:t> </w:t>
                    </w:r>
                    <w:r>
                      <w:rPr>
                        <w:rFonts w:ascii="Calibri"/>
                        <w:b/>
                        <w:color w:val="BDD1EA"/>
                        <w:sz w:val="20"/>
                      </w:rPr>
                      <w:t>acuerdo</w:t>
                    </w:r>
                  </w:p>
                  <w:p>
                    <w:pPr>
                      <w:spacing w:line="240" w:lineRule="exact" w:before="0"/>
                      <w:ind w:left="482" w:right="483" w:firstLine="0"/>
                      <w:jc w:val="center"/>
                      <w:rPr>
                        <w:rFonts w:ascii="Calibri"/>
                        <w:b/>
                        <w:sz w:val="20"/>
                      </w:rPr>
                    </w:pPr>
                    <w:r>
                      <w:rPr>
                        <w:rFonts w:ascii="Calibri"/>
                        <w:b/>
                        <w:color w:val="BDD1EA"/>
                        <w:sz w:val="20"/>
                      </w:rPr>
                      <w:t>9%</w:t>
                    </w:r>
                  </w:p>
                </w:txbxContent>
              </v:textbox>
              <w10:wrap type="none"/>
            </v:shape>
            <v:shape style="position:absolute;left:3263;top:2598;width:1215;height:444" type="#_x0000_t202" filled="false" stroked="false">
              <v:textbox inset="0,0,0,0">
                <w:txbxContent>
                  <w:p>
                    <w:pPr>
                      <w:spacing w:line="203" w:lineRule="exact" w:before="0"/>
                      <w:ind w:left="0" w:right="0" w:firstLine="0"/>
                      <w:jc w:val="center"/>
                      <w:rPr>
                        <w:rFonts w:ascii="Calibri"/>
                        <w:b/>
                        <w:sz w:val="20"/>
                      </w:rPr>
                    </w:pPr>
                    <w:r>
                      <w:rPr>
                        <w:rFonts w:ascii="Calibri"/>
                        <w:b/>
                        <w:color w:val="5088BB"/>
                        <w:sz w:val="20"/>
                      </w:rPr>
                      <w:t>En desacuerdo</w:t>
                    </w:r>
                  </w:p>
                  <w:p>
                    <w:pPr>
                      <w:spacing w:line="240" w:lineRule="exact" w:before="0"/>
                      <w:ind w:left="1" w:right="0" w:firstLine="0"/>
                      <w:jc w:val="center"/>
                      <w:rPr>
                        <w:rFonts w:ascii="Calibri"/>
                        <w:b/>
                        <w:sz w:val="20"/>
                      </w:rPr>
                    </w:pPr>
                    <w:r>
                      <w:rPr>
                        <w:rFonts w:ascii="Calibri"/>
                        <w:b/>
                        <w:color w:val="5088BB"/>
                        <w:sz w:val="20"/>
                      </w:rPr>
                      <w:t>38%</w:t>
                    </w:r>
                  </w:p>
                </w:txbxContent>
              </v:textbox>
              <w10:wrap type="none"/>
            </v:shape>
            <v:shape style="position:absolute;left:8268;top:2460;width:949;height:444" type="#_x0000_t202" filled="false" stroked="false">
              <v:textbox inset="0,0,0,0">
                <w:txbxContent>
                  <w:p>
                    <w:pPr>
                      <w:spacing w:line="203" w:lineRule="exact" w:before="0"/>
                      <w:ind w:left="0" w:right="0" w:firstLine="0"/>
                      <w:jc w:val="center"/>
                      <w:rPr>
                        <w:rFonts w:ascii="Calibri"/>
                        <w:b/>
                        <w:sz w:val="20"/>
                      </w:rPr>
                    </w:pPr>
                    <w:r>
                      <w:rPr>
                        <w:rFonts w:ascii="Calibri"/>
                        <w:b/>
                        <w:color w:val="96B8DF"/>
                        <w:sz w:val="20"/>
                      </w:rPr>
                      <w:t>De acuerdo</w:t>
                    </w:r>
                  </w:p>
                  <w:p>
                    <w:pPr>
                      <w:spacing w:line="240" w:lineRule="exact" w:before="0"/>
                      <w:ind w:left="0" w:right="1" w:firstLine="0"/>
                      <w:jc w:val="center"/>
                      <w:rPr>
                        <w:rFonts w:ascii="Calibri"/>
                        <w:b/>
                        <w:sz w:val="20"/>
                      </w:rPr>
                    </w:pPr>
                    <w:r>
                      <w:rPr>
                        <w:rFonts w:ascii="Calibri"/>
                        <w:b/>
                        <w:color w:val="96B8DF"/>
                        <w:sz w:val="20"/>
                      </w:rPr>
                      <w:t>32%</w:t>
                    </w:r>
                  </w:p>
                </w:txbxContent>
              </v:textbox>
              <w10:wrap type="none"/>
            </v:shape>
            <v:shape style="position:absolute;left:6814;top:3754;width:930;height:444" type="#_x0000_t202" filled="false" stroked="false">
              <v:textbox inset="0,0,0,0">
                <w:txbxContent>
                  <w:p>
                    <w:pPr>
                      <w:spacing w:line="203" w:lineRule="exact" w:before="0"/>
                      <w:ind w:left="0" w:right="0" w:firstLine="0"/>
                      <w:jc w:val="center"/>
                      <w:rPr>
                        <w:rFonts w:ascii="Calibri"/>
                        <w:b/>
                        <w:sz w:val="20"/>
                      </w:rPr>
                    </w:pPr>
                    <w:r>
                      <w:rPr>
                        <w:rFonts w:ascii="Calibri"/>
                        <w:b/>
                        <w:color w:val="5B9BD4"/>
                        <w:spacing w:val="-1"/>
                        <w:sz w:val="20"/>
                      </w:rPr>
                      <w:t>Indiferente</w:t>
                    </w:r>
                  </w:p>
                  <w:p>
                    <w:pPr>
                      <w:spacing w:line="240" w:lineRule="exact" w:before="0"/>
                      <w:ind w:left="0" w:right="1" w:firstLine="0"/>
                      <w:jc w:val="center"/>
                      <w:rPr>
                        <w:rFonts w:ascii="Calibri"/>
                        <w:b/>
                        <w:sz w:val="20"/>
                      </w:rPr>
                    </w:pPr>
                    <w:r>
                      <w:rPr>
                        <w:rFonts w:ascii="Calibri"/>
                        <w:b/>
                        <w:color w:val="5B9BD4"/>
                        <w:sz w:val="20"/>
                      </w:rPr>
                      <w:t>13%</w:t>
                    </w:r>
                  </w:p>
                </w:txbxContent>
              </v:textbox>
              <w10:wrap type="none"/>
            </v:shape>
            <w10:wrap type="topAndBottom"/>
          </v:group>
        </w:pict>
      </w:r>
    </w:p>
    <w:p>
      <w:pPr>
        <w:pStyle w:val="BodyText"/>
        <w:spacing w:before="3"/>
        <w:rPr>
          <w:sz w:val="28"/>
        </w:rPr>
      </w:pPr>
    </w:p>
    <w:p>
      <w:pPr>
        <w:spacing w:before="0"/>
        <w:ind w:left="1052" w:right="26" w:firstLine="0"/>
        <w:jc w:val="left"/>
        <w:rPr>
          <w:b/>
          <w:sz w:val="20"/>
        </w:rPr>
      </w:pPr>
      <w:r>
        <w:rPr>
          <w:b/>
          <w:sz w:val="20"/>
        </w:rPr>
        <w:t>Figura 4.2.2. Respuestas de la totalidad de la muestra en aseveraciones desfavorables</w:t>
      </w:r>
    </w:p>
    <w:p>
      <w:pPr>
        <w:spacing w:after="0"/>
        <w:jc w:val="left"/>
        <w:rPr>
          <w:sz w:val="20"/>
        </w:rPr>
        <w:sectPr>
          <w:pgSz w:w="12240" w:h="15840"/>
          <w:pgMar w:header="749" w:footer="1003" w:top="960" w:bottom="1200" w:left="1600" w:right="1020"/>
        </w:sect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70"/>
        <w:ind w:left="102" w:right="107" w:firstLine="707"/>
        <w:jc w:val="both"/>
      </w:pPr>
      <w:r>
        <w:rPr/>
        <w:pict>
          <v:group style="position:absolute;margin-left:114.345001pt;margin-top:118.520851pt;width:411.75pt;height:170.8pt;mso-position-horizontal-relative:page;mso-position-vertical-relative:paragraph;z-index:-248776" coordorigin="2287,2370" coordsize="8235,3416">
            <v:shape style="position:absolute;left:3797;top:3273;width:5585;height:1140" type="#_x0000_t75" stroked="false">
              <v:imagedata r:id="rId44" o:title=""/>
            </v:shape>
            <v:shape style="position:absolute;left:2969;top:5186;width:98;height:98" type="#_x0000_t75" stroked="false">
              <v:imagedata r:id="rId45" o:title=""/>
            </v:shape>
            <v:shape style="position:absolute;left:2969;top:5472;width:98;height:101" type="#_x0000_t75" stroked="false">
              <v:imagedata r:id="rId46" o:title=""/>
            </v:shape>
            <v:shape style="position:absolute;left:5578;top:5440;width:101;height:98" type="#_x0000_t75" stroked="false">
              <v:imagedata r:id="rId47" o:title=""/>
            </v:shape>
            <v:shape style="position:absolute;left:6492;top:5440;width:98;height:98" type="#_x0000_t75" stroked="false">
              <v:imagedata r:id="rId48" o:title=""/>
            </v:shape>
            <v:rect style="position:absolute;left:2294;top:2378;width:8220;height:3401" filled="false" stroked="true" strokeweight=".72pt" strokecolor="#dfe4eb"/>
            <v:shape style="position:absolute;left:3404;top:2594;width:5998;height:711" type="#_x0000_t202" filled="false" stroked="false">
              <v:textbox inset="0,0,0,0">
                <w:txbxContent>
                  <w:p>
                    <w:pPr>
                      <w:spacing w:line="325" w:lineRule="exact" w:before="0"/>
                      <w:ind w:left="0" w:right="0" w:firstLine="0"/>
                      <w:jc w:val="center"/>
                      <w:rPr>
                        <w:rFonts w:ascii="Calibri"/>
                        <w:b/>
                        <w:sz w:val="32"/>
                      </w:rPr>
                    </w:pPr>
                    <w:r>
                      <w:rPr>
                        <w:rFonts w:ascii="Calibri"/>
                        <w:b/>
                        <w:color w:val="44536A"/>
                        <w:sz w:val="32"/>
                      </w:rPr>
                      <w:t>Respuestas en aseveraciones </w:t>
                    </w:r>
                    <w:r>
                      <w:rPr>
                        <w:rFonts w:ascii="Calibri"/>
                        <w:b/>
                        <w:color w:val="44536A"/>
                        <w:spacing w:val="-3"/>
                        <w:sz w:val="32"/>
                      </w:rPr>
                      <w:t>"Favorables"</w:t>
                    </w:r>
                    <w:r>
                      <w:rPr>
                        <w:rFonts w:ascii="Calibri"/>
                        <w:b/>
                        <w:color w:val="44536A"/>
                        <w:spacing w:val="-35"/>
                        <w:sz w:val="32"/>
                      </w:rPr>
                      <w:t> </w:t>
                    </w:r>
                    <w:r>
                      <w:rPr>
                        <w:rFonts w:ascii="Calibri"/>
                        <w:b/>
                        <w:color w:val="44536A"/>
                        <w:sz w:val="32"/>
                      </w:rPr>
                      <w:t>en</w:t>
                    </w:r>
                  </w:p>
                  <w:p>
                    <w:pPr>
                      <w:spacing w:line="384" w:lineRule="exact" w:before="0"/>
                      <w:ind w:left="0" w:right="0" w:firstLine="0"/>
                      <w:jc w:val="center"/>
                      <w:rPr>
                        <w:rFonts w:ascii="Calibri"/>
                        <w:b/>
                        <w:sz w:val="32"/>
                      </w:rPr>
                    </w:pPr>
                    <w:r>
                      <w:rPr>
                        <w:rFonts w:ascii="Calibri"/>
                        <w:b/>
                        <w:color w:val="44536A"/>
                        <w:sz w:val="32"/>
                      </w:rPr>
                      <w:t>hombres y mujeres (120)</w:t>
                    </w:r>
                  </w:p>
                </w:txbxContent>
              </v:textbox>
              <w10:wrap type="none"/>
            </v:shape>
            <v:shape style="position:absolute;left:3390;top:3753;width:274;height:180" type="#_x0000_t202" filled="false" stroked="false">
              <v:textbox inset="0,0,0,0">
                <w:txbxContent>
                  <w:p>
                    <w:pPr>
                      <w:spacing w:line="180" w:lineRule="exact" w:before="0"/>
                      <w:ind w:left="0" w:right="-20" w:firstLine="0"/>
                      <w:jc w:val="left"/>
                      <w:rPr>
                        <w:rFonts w:ascii="Calibri"/>
                        <w:sz w:val="18"/>
                      </w:rPr>
                    </w:pPr>
                    <w:r>
                      <w:rPr>
                        <w:rFonts w:ascii="Calibri"/>
                        <w:color w:val="44536A"/>
                        <w:sz w:val="18"/>
                      </w:rPr>
                      <w:t>100</w:t>
                    </w:r>
                  </w:p>
                </w:txbxContent>
              </v:textbox>
              <w10:wrap type="none"/>
            </v:shape>
            <v:shape style="position:absolute;left:9040;top:3931;width:999;height:430" type="#_x0000_t202" filled="false" stroked="false">
              <v:textbox inset="0,0,0,0">
                <w:txbxContent>
                  <w:p>
                    <w:pPr>
                      <w:spacing w:line="183" w:lineRule="exact" w:before="0"/>
                      <w:ind w:left="330" w:right="-20" w:firstLine="0"/>
                      <w:jc w:val="left"/>
                      <w:rPr>
                        <w:rFonts w:ascii="Calibri"/>
                        <w:sz w:val="18"/>
                      </w:rPr>
                    </w:pPr>
                    <w:r>
                      <w:rPr>
                        <w:rFonts w:ascii="Calibri"/>
                        <w:color w:val="44536A"/>
                        <w:sz w:val="18"/>
                      </w:rPr>
                      <w:t>Hombres</w:t>
                    </w:r>
                  </w:p>
                  <w:p>
                    <w:pPr>
                      <w:spacing w:line="216" w:lineRule="exact" w:before="30"/>
                      <w:ind w:left="0" w:right="-20" w:firstLine="0"/>
                      <w:jc w:val="left"/>
                      <w:rPr>
                        <w:rFonts w:ascii="Calibri"/>
                        <w:sz w:val="18"/>
                      </w:rPr>
                    </w:pPr>
                    <w:r>
                      <w:rPr>
                        <w:rFonts w:ascii="Calibri"/>
                        <w:color w:val="44536A"/>
                        <w:sz w:val="18"/>
                      </w:rPr>
                      <w:t>Mujeres</w:t>
                    </w:r>
                  </w:p>
                </w:txbxContent>
              </v:textbox>
              <w10:wrap type="none"/>
            </v:shape>
            <w10:wrap type="none"/>
          </v:group>
        </w:pict>
      </w:r>
      <w:r>
        <w:rPr/>
        <w:t>Tomando</w:t>
      </w:r>
      <w:r>
        <w:rPr>
          <w:spacing w:val="-18"/>
        </w:rPr>
        <w:t> </w:t>
      </w:r>
      <w:r>
        <w:rPr/>
        <w:t>en</w:t>
      </w:r>
      <w:r>
        <w:rPr>
          <w:spacing w:val="-20"/>
        </w:rPr>
        <w:t> </w:t>
      </w:r>
      <w:r>
        <w:rPr/>
        <w:t>cuenta</w:t>
      </w:r>
      <w:r>
        <w:rPr>
          <w:spacing w:val="-20"/>
        </w:rPr>
        <w:t> </w:t>
      </w:r>
      <w:r>
        <w:rPr/>
        <w:t>el</w:t>
      </w:r>
      <w:r>
        <w:rPr>
          <w:spacing w:val="-22"/>
        </w:rPr>
        <w:t> </w:t>
      </w:r>
      <w:r>
        <w:rPr/>
        <w:t>género,</w:t>
      </w:r>
      <w:r>
        <w:rPr>
          <w:spacing w:val="-18"/>
        </w:rPr>
        <w:t> </w:t>
      </w:r>
      <w:r>
        <w:rPr/>
        <w:t>se</w:t>
      </w:r>
      <w:r>
        <w:rPr>
          <w:spacing w:val="-20"/>
        </w:rPr>
        <w:t> </w:t>
      </w:r>
      <w:r>
        <w:rPr/>
        <w:t>observó</w:t>
      </w:r>
      <w:r>
        <w:rPr>
          <w:spacing w:val="-18"/>
        </w:rPr>
        <w:t> </w:t>
      </w:r>
      <w:r>
        <w:rPr/>
        <w:t>mayor</w:t>
      </w:r>
      <w:r>
        <w:rPr>
          <w:spacing w:val="-19"/>
        </w:rPr>
        <w:t> </w:t>
      </w:r>
      <w:r>
        <w:rPr/>
        <w:t>número</w:t>
      </w:r>
      <w:r>
        <w:rPr>
          <w:spacing w:val="-21"/>
        </w:rPr>
        <w:t> </w:t>
      </w:r>
      <w:r>
        <w:rPr/>
        <w:t>de</w:t>
      </w:r>
      <w:r>
        <w:rPr>
          <w:spacing w:val="-18"/>
        </w:rPr>
        <w:t> </w:t>
      </w:r>
      <w:r>
        <w:rPr/>
        <w:t>respuestas</w:t>
      </w:r>
      <w:r>
        <w:rPr>
          <w:spacing w:val="-19"/>
        </w:rPr>
        <w:t> </w:t>
      </w:r>
      <w:r>
        <w:rPr/>
        <w:t>en</w:t>
      </w:r>
      <w:r>
        <w:rPr>
          <w:spacing w:val="-20"/>
        </w:rPr>
        <w:t> </w:t>
      </w:r>
      <w:r>
        <w:rPr/>
        <w:t>el</w:t>
      </w:r>
      <w:r>
        <w:rPr>
          <w:spacing w:val="-19"/>
        </w:rPr>
        <w:t> </w:t>
      </w:r>
      <w:r>
        <w:rPr/>
        <w:t>rubro “de acuerdo” tanto en hombres como en mujeres, sin embargo, los hombres presentan mayor aceptación que las mujeres en este rubro. Las respuestas son consideradas a favor</w:t>
      </w:r>
      <w:r>
        <w:rPr>
          <w:spacing w:val="-6"/>
        </w:rPr>
        <w:t> </w:t>
      </w:r>
      <w:r>
        <w:rPr/>
        <w:t>de</w:t>
      </w:r>
      <w:r>
        <w:rPr>
          <w:spacing w:val="-7"/>
        </w:rPr>
        <w:t> </w:t>
      </w:r>
      <w:r>
        <w:rPr/>
        <w:t>los</w:t>
      </w:r>
      <w:r>
        <w:rPr>
          <w:spacing w:val="-7"/>
        </w:rPr>
        <w:t> </w:t>
      </w:r>
      <w:r>
        <w:rPr/>
        <w:t>anglicismos,</w:t>
      </w:r>
      <w:r>
        <w:rPr>
          <w:spacing w:val="-5"/>
        </w:rPr>
        <w:t> </w:t>
      </w:r>
      <w:r>
        <w:rPr/>
        <w:t>ya</w:t>
      </w:r>
      <w:r>
        <w:rPr>
          <w:spacing w:val="-5"/>
        </w:rPr>
        <w:t> </w:t>
      </w:r>
      <w:r>
        <w:rPr/>
        <w:t>que</w:t>
      </w:r>
      <w:r>
        <w:rPr>
          <w:spacing w:val="-7"/>
        </w:rPr>
        <w:t> </w:t>
      </w:r>
      <w:r>
        <w:rPr/>
        <w:t>la</w:t>
      </w:r>
      <w:r>
        <w:rPr>
          <w:spacing w:val="-7"/>
        </w:rPr>
        <w:t> </w:t>
      </w:r>
      <w:r>
        <w:rPr/>
        <w:t>suma</w:t>
      </w:r>
      <w:r>
        <w:rPr>
          <w:spacing w:val="-7"/>
        </w:rPr>
        <w:t> </w:t>
      </w:r>
      <w:r>
        <w:rPr/>
        <w:t>de</w:t>
      </w:r>
      <w:r>
        <w:rPr>
          <w:spacing w:val="-5"/>
        </w:rPr>
        <w:t> </w:t>
      </w:r>
      <w:r>
        <w:rPr/>
        <w:t>respuestas</w:t>
      </w:r>
      <w:r>
        <w:rPr>
          <w:spacing w:val="-8"/>
        </w:rPr>
        <w:t> </w:t>
      </w:r>
      <w:r>
        <w:rPr/>
        <w:t>“de</w:t>
      </w:r>
      <w:r>
        <w:rPr>
          <w:spacing w:val="-7"/>
        </w:rPr>
        <w:t> </w:t>
      </w:r>
      <w:r>
        <w:rPr/>
        <w:t>acuerdo”</w:t>
      </w:r>
      <w:r>
        <w:rPr>
          <w:spacing w:val="-6"/>
        </w:rPr>
        <w:t> </w:t>
      </w:r>
      <w:r>
        <w:rPr/>
        <w:t>y</w:t>
      </w:r>
      <w:r>
        <w:rPr>
          <w:spacing w:val="-8"/>
        </w:rPr>
        <w:t> </w:t>
      </w:r>
      <w:r>
        <w:rPr/>
        <w:t>“muy</w:t>
      </w:r>
      <w:r>
        <w:rPr>
          <w:spacing w:val="-8"/>
        </w:rPr>
        <w:t> </w:t>
      </w:r>
      <w:r>
        <w:rPr/>
        <w:t>de</w:t>
      </w:r>
      <w:r>
        <w:rPr>
          <w:spacing w:val="-7"/>
        </w:rPr>
        <w:t> </w:t>
      </w:r>
      <w:r>
        <w:rPr/>
        <w:t>acuerdo” es mayor a las respuestas negativas (Ver figura</w:t>
      </w:r>
      <w:r>
        <w:rPr>
          <w:spacing w:val="-14"/>
        </w:rPr>
        <w:t> </w:t>
      </w:r>
      <w:r>
        <w:rPr/>
        <w:t>4.2.3.).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5"/>
        </w:rPr>
      </w:pPr>
    </w:p>
    <w:tbl>
      <w:tblPr>
        <w:tblW w:w="0" w:type="auto"/>
        <w:jc w:val="left"/>
        <w:tblInd w:w="1296" w:type="dxa"/>
        <w:tblBorders>
          <w:top w:val="single" w:sz="6" w:space="0" w:color="DFE4EB"/>
          <w:left w:val="single" w:sz="6" w:space="0" w:color="DFE4EB"/>
          <w:bottom w:val="single" w:sz="6" w:space="0" w:color="DFE4EB"/>
          <w:right w:val="single" w:sz="6" w:space="0" w:color="DFE4EB"/>
          <w:insideH w:val="single" w:sz="6" w:space="0" w:color="DFE4EB"/>
          <w:insideV w:val="single" w:sz="6" w:space="0" w:color="DFE4EB"/>
        </w:tblBorders>
        <w:tblLayout w:type="fixed"/>
        <w:tblCellMar>
          <w:top w:w="0" w:type="dxa"/>
          <w:left w:w="0" w:type="dxa"/>
          <w:bottom w:w="0" w:type="dxa"/>
          <w:right w:w="0" w:type="dxa"/>
        </w:tblCellMar>
        <w:tblLook w:val="01E0"/>
      </w:tblPr>
      <w:tblGrid>
        <w:gridCol w:w="926"/>
        <w:gridCol w:w="967"/>
        <w:gridCol w:w="965"/>
        <w:gridCol w:w="967"/>
        <w:gridCol w:w="965"/>
        <w:gridCol w:w="967"/>
      </w:tblGrid>
      <w:tr>
        <w:trPr>
          <w:trHeight w:val="718" w:hRule="exact"/>
        </w:trPr>
        <w:tc>
          <w:tcPr>
            <w:tcW w:w="926" w:type="dxa"/>
            <w:tcBorders>
              <w:top w:val="nil"/>
              <w:left w:val="nil"/>
            </w:tcBorders>
          </w:tcPr>
          <w:p>
            <w:pPr>
              <w:pStyle w:val="TableParagraph"/>
              <w:spacing w:line="109" w:lineRule="exact"/>
              <w:ind w:right="157"/>
              <w:jc w:val="right"/>
              <w:rPr>
                <w:rFonts w:ascii="Calibri"/>
                <w:sz w:val="18"/>
              </w:rPr>
            </w:pPr>
            <w:r>
              <w:rPr>
                <w:rFonts w:ascii="Calibri"/>
                <w:color w:val="44536A"/>
                <w:sz w:val="18"/>
              </w:rPr>
              <w:t>0</w:t>
            </w:r>
          </w:p>
        </w:tc>
        <w:tc>
          <w:tcPr>
            <w:tcW w:w="967" w:type="dxa"/>
            <w:tcBorders>
              <w:top w:val="nil"/>
            </w:tcBorders>
          </w:tcPr>
          <w:p>
            <w:pPr>
              <w:pStyle w:val="TableParagraph"/>
              <w:spacing w:before="57"/>
              <w:ind w:left="177" w:right="157" w:firstLine="22"/>
              <w:jc w:val="left"/>
              <w:rPr>
                <w:rFonts w:ascii="Calibri"/>
                <w:sz w:val="18"/>
              </w:rPr>
            </w:pPr>
            <w:r>
              <w:rPr>
                <w:rFonts w:ascii="Calibri"/>
                <w:color w:val="44536A"/>
                <w:sz w:val="18"/>
              </w:rPr>
              <w:t>Muy de acuerdo</w:t>
            </w:r>
          </w:p>
        </w:tc>
        <w:tc>
          <w:tcPr>
            <w:tcW w:w="965" w:type="dxa"/>
            <w:tcBorders>
              <w:top w:val="nil"/>
            </w:tcBorders>
          </w:tcPr>
          <w:p>
            <w:pPr>
              <w:pStyle w:val="TableParagraph"/>
              <w:spacing w:before="57"/>
              <w:ind w:left="176" w:right="155" w:firstLine="199"/>
              <w:jc w:val="left"/>
              <w:rPr>
                <w:rFonts w:ascii="Calibri"/>
                <w:sz w:val="18"/>
              </w:rPr>
            </w:pPr>
            <w:r>
              <w:rPr>
                <w:rFonts w:ascii="Calibri"/>
                <w:color w:val="44536A"/>
                <w:sz w:val="18"/>
              </w:rPr>
              <w:t>De acuerdo</w:t>
            </w:r>
          </w:p>
        </w:tc>
        <w:tc>
          <w:tcPr>
            <w:tcW w:w="967" w:type="dxa"/>
            <w:tcBorders>
              <w:top w:val="nil"/>
            </w:tcBorders>
          </w:tcPr>
          <w:p>
            <w:pPr>
              <w:pStyle w:val="TableParagraph"/>
              <w:spacing w:before="57"/>
              <w:ind w:left="355" w:right="170" w:hanging="165"/>
              <w:jc w:val="left"/>
              <w:rPr>
                <w:rFonts w:ascii="Calibri"/>
                <w:sz w:val="18"/>
              </w:rPr>
            </w:pPr>
            <w:r>
              <w:rPr>
                <w:rFonts w:ascii="Calibri"/>
                <w:color w:val="44536A"/>
                <w:sz w:val="18"/>
              </w:rPr>
              <w:t>Indifere nte</w:t>
            </w:r>
          </w:p>
        </w:tc>
        <w:tc>
          <w:tcPr>
            <w:tcW w:w="965" w:type="dxa"/>
            <w:tcBorders>
              <w:top w:val="nil"/>
            </w:tcBorders>
          </w:tcPr>
          <w:p>
            <w:pPr>
              <w:pStyle w:val="TableParagraph"/>
              <w:spacing w:before="57"/>
              <w:ind w:left="176" w:right="171" w:firstLine="2"/>
              <w:rPr>
                <w:rFonts w:ascii="Calibri"/>
                <w:sz w:val="18"/>
              </w:rPr>
            </w:pPr>
            <w:r>
              <w:rPr>
                <w:rFonts w:ascii="Calibri"/>
                <w:color w:val="44536A"/>
                <w:sz w:val="18"/>
              </w:rPr>
              <w:t>En desacue rdo</w:t>
            </w:r>
          </w:p>
        </w:tc>
        <w:tc>
          <w:tcPr>
            <w:tcW w:w="967" w:type="dxa"/>
            <w:tcBorders>
              <w:top w:val="nil"/>
            </w:tcBorders>
          </w:tcPr>
          <w:p>
            <w:pPr>
              <w:pStyle w:val="TableParagraph"/>
              <w:spacing w:before="57"/>
              <w:ind w:left="177" w:right="172" w:firstLine="1"/>
              <w:rPr>
                <w:rFonts w:ascii="Calibri"/>
                <w:sz w:val="18"/>
              </w:rPr>
            </w:pPr>
            <w:r>
              <w:rPr>
                <w:rFonts w:ascii="Calibri"/>
                <w:color w:val="44536A"/>
                <w:sz w:val="18"/>
              </w:rPr>
              <w:t>muy en desacue rdo</w:t>
            </w:r>
          </w:p>
        </w:tc>
      </w:tr>
      <w:tr>
        <w:trPr>
          <w:trHeight w:val="286" w:hRule="exact"/>
        </w:trPr>
        <w:tc>
          <w:tcPr>
            <w:tcW w:w="926" w:type="dxa"/>
          </w:tcPr>
          <w:p>
            <w:pPr>
              <w:pStyle w:val="TableParagraph"/>
              <w:spacing w:before="11"/>
              <w:ind w:left="199"/>
              <w:jc w:val="left"/>
              <w:rPr>
                <w:rFonts w:ascii="Calibri"/>
                <w:sz w:val="18"/>
              </w:rPr>
            </w:pPr>
            <w:r>
              <w:rPr>
                <w:rFonts w:ascii="Calibri"/>
                <w:color w:val="44536A"/>
                <w:sz w:val="18"/>
              </w:rPr>
              <w:t>Mujeres</w:t>
            </w:r>
          </w:p>
        </w:tc>
        <w:tc>
          <w:tcPr>
            <w:tcW w:w="967" w:type="dxa"/>
          </w:tcPr>
          <w:p>
            <w:pPr>
              <w:pStyle w:val="TableParagraph"/>
              <w:spacing w:before="16"/>
              <w:ind w:left="104" w:right="104"/>
              <w:rPr>
                <w:rFonts w:ascii="Calibri"/>
                <w:sz w:val="18"/>
              </w:rPr>
            </w:pPr>
            <w:r>
              <w:rPr>
                <w:rFonts w:ascii="Calibri"/>
                <w:color w:val="44536A"/>
                <w:sz w:val="18"/>
              </w:rPr>
              <w:t>24</w:t>
            </w:r>
          </w:p>
        </w:tc>
        <w:tc>
          <w:tcPr>
            <w:tcW w:w="965" w:type="dxa"/>
          </w:tcPr>
          <w:p>
            <w:pPr>
              <w:pStyle w:val="TableParagraph"/>
              <w:spacing w:before="16"/>
              <w:ind w:left="384" w:right="155"/>
              <w:jc w:val="left"/>
              <w:rPr>
                <w:rFonts w:ascii="Calibri"/>
                <w:sz w:val="18"/>
              </w:rPr>
            </w:pPr>
            <w:r>
              <w:rPr>
                <w:rFonts w:ascii="Calibri"/>
                <w:color w:val="44536A"/>
                <w:sz w:val="18"/>
              </w:rPr>
              <w:t>49</w:t>
            </w:r>
          </w:p>
        </w:tc>
        <w:tc>
          <w:tcPr>
            <w:tcW w:w="967" w:type="dxa"/>
          </w:tcPr>
          <w:p>
            <w:pPr>
              <w:pStyle w:val="TableParagraph"/>
              <w:spacing w:before="16"/>
              <w:ind w:left="104" w:right="102"/>
              <w:rPr>
                <w:rFonts w:ascii="Calibri"/>
                <w:sz w:val="18"/>
              </w:rPr>
            </w:pPr>
            <w:r>
              <w:rPr>
                <w:rFonts w:ascii="Calibri"/>
                <w:color w:val="44536A"/>
                <w:sz w:val="18"/>
              </w:rPr>
              <w:t>16</w:t>
            </w:r>
          </w:p>
        </w:tc>
        <w:tc>
          <w:tcPr>
            <w:tcW w:w="965" w:type="dxa"/>
          </w:tcPr>
          <w:p>
            <w:pPr>
              <w:pStyle w:val="TableParagraph"/>
              <w:spacing w:before="16"/>
              <w:ind w:right="380"/>
              <w:jc w:val="right"/>
              <w:rPr>
                <w:rFonts w:ascii="Calibri"/>
                <w:sz w:val="18"/>
              </w:rPr>
            </w:pPr>
            <w:r>
              <w:rPr>
                <w:rFonts w:ascii="Calibri"/>
                <w:color w:val="44536A"/>
                <w:sz w:val="18"/>
              </w:rPr>
              <w:t>27</w:t>
            </w:r>
          </w:p>
        </w:tc>
        <w:tc>
          <w:tcPr>
            <w:tcW w:w="967" w:type="dxa"/>
          </w:tcPr>
          <w:p>
            <w:pPr>
              <w:pStyle w:val="TableParagraph"/>
              <w:spacing w:before="16"/>
              <w:ind w:right="426"/>
              <w:jc w:val="right"/>
              <w:rPr>
                <w:rFonts w:ascii="Calibri"/>
                <w:sz w:val="18"/>
              </w:rPr>
            </w:pPr>
            <w:r>
              <w:rPr>
                <w:rFonts w:ascii="Calibri"/>
                <w:color w:val="44536A"/>
                <w:sz w:val="18"/>
              </w:rPr>
              <w:t>4</w:t>
            </w:r>
          </w:p>
        </w:tc>
      </w:tr>
      <w:tr>
        <w:trPr>
          <w:trHeight w:val="288" w:hRule="exact"/>
        </w:trPr>
        <w:tc>
          <w:tcPr>
            <w:tcW w:w="926" w:type="dxa"/>
          </w:tcPr>
          <w:p>
            <w:pPr>
              <w:pStyle w:val="TableParagraph"/>
              <w:spacing w:before="12"/>
              <w:ind w:right="43"/>
              <w:jc w:val="right"/>
              <w:rPr>
                <w:rFonts w:ascii="Calibri"/>
                <w:sz w:val="18"/>
              </w:rPr>
            </w:pPr>
            <w:r>
              <w:rPr>
                <w:rFonts w:ascii="Calibri"/>
                <w:color w:val="44536A"/>
                <w:sz w:val="18"/>
              </w:rPr>
              <w:t>Hombres</w:t>
            </w:r>
          </w:p>
        </w:tc>
        <w:tc>
          <w:tcPr>
            <w:tcW w:w="967" w:type="dxa"/>
          </w:tcPr>
          <w:p>
            <w:pPr>
              <w:pStyle w:val="TableParagraph"/>
              <w:spacing w:before="17"/>
              <w:ind w:left="104" w:right="104"/>
              <w:rPr>
                <w:rFonts w:ascii="Calibri"/>
                <w:sz w:val="18"/>
              </w:rPr>
            </w:pPr>
            <w:r>
              <w:rPr>
                <w:rFonts w:ascii="Calibri"/>
                <w:color w:val="44536A"/>
                <w:sz w:val="18"/>
              </w:rPr>
              <w:t>25</w:t>
            </w:r>
          </w:p>
        </w:tc>
        <w:tc>
          <w:tcPr>
            <w:tcW w:w="965" w:type="dxa"/>
          </w:tcPr>
          <w:p>
            <w:pPr>
              <w:pStyle w:val="TableParagraph"/>
              <w:tabs>
                <w:tab w:pos="915" w:val="left" w:leader="none"/>
              </w:tabs>
              <w:spacing w:line="237" w:lineRule="exact"/>
              <w:ind w:left="384" w:right="-120"/>
              <w:jc w:val="left"/>
              <w:rPr>
                <w:rFonts w:ascii="Calibri"/>
                <w:sz w:val="18"/>
              </w:rPr>
            </w:pPr>
            <w:r>
              <w:rPr>
                <w:rFonts w:ascii="Calibri"/>
                <w:color w:val="44536A"/>
                <w:sz w:val="18"/>
              </w:rPr>
              <w:t>64</w:t>
              <w:tab/>
            </w:r>
            <w:r>
              <w:rPr>
                <w:rFonts w:ascii="Calibri"/>
                <w:color w:val="44536A"/>
                <w:position w:val="4"/>
                <w:sz w:val="18"/>
              </w:rPr>
              <w:t>M</w:t>
            </w:r>
          </w:p>
        </w:tc>
        <w:tc>
          <w:tcPr>
            <w:tcW w:w="967" w:type="dxa"/>
          </w:tcPr>
          <w:p>
            <w:pPr>
              <w:pStyle w:val="TableParagraph"/>
              <w:tabs>
                <w:tab w:pos="863" w:val="left" w:leader="none"/>
              </w:tabs>
              <w:spacing w:line="240" w:lineRule="exact"/>
              <w:ind w:left="104" w:right="-24"/>
              <w:rPr>
                <w:rFonts w:ascii="Calibri"/>
                <w:sz w:val="18"/>
              </w:rPr>
            </w:pPr>
            <w:r>
              <w:rPr>
                <w:rFonts w:ascii="Calibri"/>
                <w:color w:val="44536A"/>
                <w:spacing w:val="-14"/>
                <w:sz w:val="18"/>
              </w:rPr>
              <w:t>ujere</w:t>
            </w:r>
            <w:r>
              <w:rPr>
                <w:rFonts w:ascii="Calibri"/>
                <w:color w:val="44536A"/>
                <w:spacing w:val="-14"/>
                <w:position w:val="-3"/>
                <w:sz w:val="18"/>
              </w:rPr>
              <w:t>9</w:t>
            </w:r>
            <w:r>
              <w:rPr>
                <w:rFonts w:ascii="Calibri"/>
                <w:color w:val="44536A"/>
                <w:spacing w:val="-14"/>
                <w:sz w:val="18"/>
              </w:rPr>
              <w:t>s</w:t>
              <w:tab/>
            </w:r>
            <w:r>
              <w:rPr>
                <w:rFonts w:ascii="Calibri"/>
                <w:color w:val="44536A"/>
                <w:sz w:val="18"/>
              </w:rPr>
              <w:t>H</w:t>
            </w:r>
          </w:p>
        </w:tc>
        <w:tc>
          <w:tcPr>
            <w:tcW w:w="965" w:type="dxa"/>
          </w:tcPr>
          <w:p>
            <w:pPr>
              <w:pStyle w:val="TableParagraph"/>
              <w:spacing w:line="240" w:lineRule="exact"/>
              <w:ind w:right="383"/>
              <w:jc w:val="right"/>
              <w:rPr>
                <w:rFonts w:ascii="Calibri"/>
                <w:sz w:val="18"/>
              </w:rPr>
            </w:pPr>
            <w:r>
              <w:rPr>
                <w:rFonts w:ascii="Calibri"/>
                <w:color w:val="44536A"/>
                <w:spacing w:val="-2"/>
                <w:sz w:val="18"/>
              </w:rPr>
              <w:t>o</w:t>
            </w:r>
            <w:r>
              <w:rPr>
                <w:rFonts w:ascii="Calibri"/>
                <w:color w:val="44536A"/>
                <w:sz w:val="18"/>
              </w:rPr>
              <w:t>m</w:t>
            </w:r>
            <w:r>
              <w:rPr>
                <w:rFonts w:ascii="Calibri"/>
                <w:color w:val="44536A"/>
                <w:spacing w:val="1"/>
                <w:sz w:val="18"/>
              </w:rPr>
              <w:t>b</w:t>
            </w:r>
            <w:r>
              <w:rPr>
                <w:rFonts w:ascii="Calibri"/>
                <w:color w:val="44536A"/>
                <w:spacing w:val="-21"/>
                <w:sz w:val="18"/>
              </w:rPr>
              <w:t>r</w:t>
            </w:r>
            <w:r>
              <w:rPr>
                <w:rFonts w:ascii="Calibri"/>
                <w:color w:val="44536A"/>
                <w:spacing w:val="-71"/>
                <w:position w:val="-3"/>
                <w:sz w:val="18"/>
              </w:rPr>
              <w:t>3</w:t>
            </w:r>
            <w:r>
              <w:rPr>
                <w:rFonts w:ascii="Calibri"/>
                <w:color w:val="44536A"/>
                <w:spacing w:val="-19"/>
                <w:sz w:val="18"/>
              </w:rPr>
              <w:t>e</w:t>
            </w:r>
            <w:r>
              <w:rPr>
                <w:rFonts w:ascii="Calibri"/>
                <w:color w:val="44536A"/>
                <w:spacing w:val="-74"/>
                <w:position w:val="-3"/>
                <w:sz w:val="18"/>
              </w:rPr>
              <w:t>3</w:t>
            </w:r>
            <w:r>
              <w:rPr>
                <w:rFonts w:ascii="Calibri"/>
                <w:color w:val="44536A"/>
                <w:sz w:val="18"/>
              </w:rPr>
              <w:t>s</w:t>
            </w:r>
          </w:p>
        </w:tc>
        <w:tc>
          <w:tcPr>
            <w:tcW w:w="967" w:type="dxa"/>
          </w:tcPr>
          <w:p>
            <w:pPr>
              <w:pStyle w:val="TableParagraph"/>
              <w:spacing w:before="17"/>
              <w:ind w:right="426"/>
              <w:jc w:val="right"/>
              <w:rPr>
                <w:rFonts w:ascii="Calibri"/>
                <w:sz w:val="18"/>
              </w:rPr>
            </w:pPr>
            <w:r>
              <w:rPr>
                <w:rFonts w:ascii="Calibri"/>
                <w:color w:val="44536A"/>
                <w:sz w:val="18"/>
              </w:rPr>
              <w:t>1</w:t>
            </w:r>
          </w:p>
        </w:tc>
      </w:tr>
    </w:tbl>
    <w:p>
      <w:pPr>
        <w:spacing w:before="118"/>
        <w:ind w:left="1573" w:right="339" w:firstLine="0"/>
        <w:jc w:val="left"/>
        <w:rPr>
          <w:b/>
          <w:sz w:val="20"/>
        </w:rPr>
      </w:pPr>
      <w:r>
        <w:rPr>
          <w:b/>
          <w:sz w:val="20"/>
        </w:rPr>
        <w:t>Figura 4.2.3. Respuestas de la variable género en aseveraciones favorables</w:t>
      </w:r>
    </w:p>
    <w:p>
      <w:pPr>
        <w:pStyle w:val="BodyText"/>
        <w:spacing w:before="5"/>
        <w:rPr>
          <w:b/>
          <w:sz w:val="27"/>
        </w:rPr>
      </w:pPr>
    </w:p>
    <w:p>
      <w:pPr>
        <w:pStyle w:val="BodyText"/>
        <w:spacing w:line="360" w:lineRule="auto"/>
        <w:ind w:left="102" w:right="112" w:firstLine="707"/>
        <w:jc w:val="both"/>
      </w:pPr>
      <w:r>
        <w:rPr/>
        <w:pict>
          <v:group style="position:absolute;margin-left:100.184998pt;margin-top:106.110855pt;width:411.65pt;height:170.8pt;mso-position-horizontal-relative:page;mso-position-vertical-relative:paragraph;z-index:-248680" coordorigin="2004,2122" coordsize="8233,3416">
            <v:shape style="position:absolute;left:3492;top:2977;width:5626;height:1157" type="#_x0000_t75" stroked="false">
              <v:imagedata r:id="rId49" o:title=""/>
            </v:shape>
            <v:line style="position:absolute" from="2716,4907" to="2716,5005" stroked="true" strokeweight="4.92pt" strokecolor="#6fac46"/>
            <v:line style="position:absolute" from="2716,5192" to="2716,5291" stroked="true" strokeweight="4.92pt" strokecolor="#4471c4"/>
            <v:line style="position:absolute" from="5344,5192" to="5344,5293" stroked="true" strokeweight="4.92pt" strokecolor="#6fac46"/>
            <v:line style="position:absolute" from="6258,5192" to="6258,5293" stroked="true" strokeweight="4.92pt" strokecolor="#4471c4"/>
            <v:rect style="position:absolute;left:2011;top:2130;width:8218;height:3401" filled="false" stroked="true" strokeweight=".72pt" strokecolor="#d9d9d9"/>
            <v:shape style="position:absolute;left:2976;top:2347;width:6288;height:711" type="#_x0000_t202" filled="false" stroked="false">
              <v:textbox inset="0,0,0,0">
                <w:txbxContent>
                  <w:p>
                    <w:pPr>
                      <w:spacing w:line="325" w:lineRule="exact" w:before="0"/>
                      <w:ind w:left="-1" w:right="0" w:firstLine="0"/>
                      <w:jc w:val="center"/>
                      <w:rPr>
                        <w:rFonts w:ascii="Calibri"/>
                        <w:sz w:val="32"/>
                      </w:rPr>
                    </w:pPr>
                    <w:r>
                      <w:rPr>
                        <w:rFonts w:ascii="Calibri"/>
                        <w:color w:val="585858"/>
                        <w:sz w:val="32"/>
                      </w:rPr>
                      <w:t>Respuestas</w:t>
                    </w:r>
                    <w:r>
                      <w:rPr>
                        <w:rFonts w:ascii="Calibri"/>
                        <w:color w:val="585858"/>
                        <w:spacing w:val="-17"/>
                        <w:sz w:val="32"/>
                      </w:rPr>
                      <w:t> </w:t>
                    </w:r>
                    <w:r>
                      <w:rPr>
                        <w:rFonts w:ascii="Calibri"/>
                        <w:color w:val="585858"/>
                        <w:sz w:val="32"/>
                      </w:rPr>
                      <w:t>en</w:t>
                    </w:r>
                    <w:r>
                      <w:rPr>
                        <w:rFonts w:ascii="Calibri"/>
                        <w:color w:val="585858"/>
                        <w:spacing w:val="-20"/>
                        <w:sz w:val="32"/>
                      </w:rPr>
                      <w:t> </w:t>
                    </w:r>
                    <w:r>
                      <w:rPr>
                        <w:rFonts w:ascii="Calibri"/>
                        <w:color w:val="585858"/>
                        <w:sz w:val="32"/>
                      </w:rPr>
                      <w:t>aseveraciones</w:t>
                    </w:r>
                    <w:r>
                      <w:rPr>
                        <w:rFonts w:ascii="Calibri"/>
                        <w:color w:val="585858"/>
                        <w:spacing w:val="-14"/>
                        <w:sz w:val="32"/>
                      </w:rPr>
                      <w:t> </w:t>
                    </w:r>
                    <w:r>
                      <w:rPr>
                        <w:rFonts w:ascii="Calibri"/>
                        <w:color w:val="585858"/>
                        <w:sz w:val="32"/>
                      </w:rPr>
                      <w:t>"Desfavorables"</w:t>
                    </w:r>
                    <w:r>
                      <w:rPr>
                        <w:rFonts w:ascii="Calibri"/>
                        <w:color w:val="585858"/>
                        <w:spacing w:val="-17"/>
                        <w:sz w:val="32"/>
                      </w:rPr>
                      <w:t> </w:t>
                    </w:r>
                    <w:r>
                      <w:rPr>
                        <w:rFonts w:ascii="Calibri"/>
                        <w:color w:val="585858"/>
                        <w:sz w:val="32"/>
                      </w:rPr>
                      <w:t>en</w:t>
                    </w:r>
                  </w:p>
                  <w:p>
                    <w:pPr>
                      <w:spacing w:line="384" w:lineRule="exact" w:before="1"/>
                      <w:ind w:left="1" w:right="0" w:firstLine="0"/>
                      <w:jc w:val="center"/>
                      <w:rPr>
                        <w:rFonts w:ascii="Calibri"/>
                        <w:sz w:val="32"/>
                      </w:rPr>
                    </w:pPr>
                    <w:r>
                      <w:rPr>
                        <w:rFonts w:ascii="Calibri"/>
                        <w:color w:val="585858"/>
                        <w:sz w:val="32"/>
                      </w:rPr>
                      <w:t>hombres y mujeres (120)</w:t>
                    </w:r>
                  </w:p>
                </w:txbxContent>
              </v:textbox>
              <w10:wrap type="none"/>
            </v:shape>
            <v:shape style="position:absolute;left:3086;top:3462;width:274;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100</w:t>
                    </w:r>
                  </w:p>
                </w:txbxContent>
              </v:textbox>
              <w10:wrap type="none"/>
            </v:shape>
            <v:shape style="position:absolute;left:8772;top:3649;width:1001;height:432" type="#_x0000_t202" filled="false" stroked="false">
              <v:textbox inset="0,0,0,0">
                <w:txbxContent>
                  <w:p>
                    <w:pPr>
                      <w:spacing w:line="183" w:lineRule="exact" w:before="0"/>
                      <w:ind w:left="332" w:right="-20" w:firstLine="0"/>
                      <w:jc w:val="left"/>
                      <w:rPr>
                        <w:rFonts w:ascii="Calibri"/>
                        <w:sz w:val="18"/>
                      </w:rPr>
                    </w:pPr>
                    <w:r>
                      <w:rPr>
                        <w:rFonts w:ascii="Calibri"/>
                        <w:color w:val="585858"/>
                        <w:sz w:val="18"/>
                      </w:rPr>
                      <w:t>Hombres</w:t>
                    </w:r>
                  </w:p>
                  <w:p>
                    <w:pPr>
                      <w:spacing w:line="216" w:lineRule="exact" w:before="32"/>
                      <w:ind w:left="0" w:right="-20" w:firstLine="0"/>
                      <w:jc w:val="left"/>
                      <w:rPr>
                        <w:rFonts w:ascii="Calibri"/>
                        <w:sz w:val="18"/>
                      </w:rPr>
                    </w:pPr>
                    <w:r>
                      <w:rPr>
                        <w:rFonts w:ascii="Calibri"/>
                        <w:color w:val="585858"/>
                        <w:sz w:val="18"/>
                      </w:rPr>
                      <w:t>Mujeres</w:t>
                    </w:r>
                  </w:p>
                </w:txbxContent>
              </v:textbox>
              <w10:wrap type="none"/>
            </v:shape>
            <w10:wrap type="none"/>
          </v:group>
        </w:pict>
      </w:r>
      <w:r>
        <w:rPr/>
        <w:t>Tal</w:t>
      </w:r>
      <w:r>
        <w:rPr>
          <w:spacing w:val="-18"/>
        </w:rPr>
        <w:t> </w:t>
      </w:r>
      <w:r>
        <w:rPr/>
        <w:t>hecho</w:t>
      </w:r>
      <w:r>
        <w:rPr>
          <w:spacing w:val="-17"/>
        </w:rPr>
        <w:t> </w:t>
      </w:r>
      <w:r>
        <w:rPr/>
        <w:t>se</w:t>
      </w:r>
      <w:r>
        <w:rPr>
          <w:spacing w:val="-17"/>
        </w:rPr>
        <w:t> </w:t>
      </w:r>
      <w:r>
        <w:rPr/>
        <w:t>puede</w:t>
      </w:r>
      <w:r>
        <w:rPr>
          <w:spacing w:val="-17"/>
        </w:rPr>
        <w:t> </w:t>
      </w:r>
      <w:r>
        <w:rPr/>
        <w:t>comprobar</w:t>
      </w:r>
      <w:r>
        <w:rPr>
          <w:spacing w:val="-14"/>
        </w:rPr>
        <w:t> </w:t>
      </w:r>
      <w:r>
        <w:rPr/>
        <w:t>con</w:t>
      </w:r>
      <w:r>
        <w:rPr>
          <w:spacing w:val="-17"/>
        </w:rPr>
        <w:t> </w:t>
      </w:r>
      <w:r>
        <w:rPr/>
        <w:t>el</w:t>
      </w:r>
      <w:r>
        <w:rPr>
          <w:spacing w:val="-20"/>
        </w:rPr>
        <w:t> </w:t>
      </w:r>
      <w:r>
        <w:rPr/>
        <w:t>análisis</w:t>
      </w:r>
      <w:r>
        <w:rPr>
          <w:spacing w:val="-20"/>
        </w:rPr>
        <w:t> </w:t>
      </w:r>
      <w:r>
        <w:rPr/>
        <w:t>de</w:t>
      </w:r>
      <w:r>
        <w:rPr>
          <w:spacing w:val="-17"/>
        </w:rPr>
        <w:t> </w:t>
      </w:r>
      <w:r>
        <w:rPr/>
        <w:t>las</w:t>
      </w:r>
      <w:r>
        <w:rPr>
          <w:spacing w:val="-17"/>
        </w:rPr>
        <w:t> </w:t>
      </w:r>
      <w:r>
        <w:rPr/>
        <w:t>aseveraciones</w:t>
      </w:r>
      <w:r>
        <w:rPr>
          <w:spacing w:val="-20"/>
        </w:rPr>
        <w:t> </w:t>
      </w:r>
      <w:r>
        <w:rPr/>
        <w:t>desfavorables, donde la carga se inclina a la opción “en desacuerdo” en ambos géneros. Nuevamente, los hombres presentan mayor aceptación ante los anglicismos al presentar mayores porcentajes</w:t>
      </w:r>
      <w:r>
        <w:rPr>
          <w:spacing w:val="-18"/>
        </w:rPr>
        <w:t> </w:t>
      </w:r>
      <w:r>
        <w:rPr/>
        <w:t>en</w:t>
      </w:r>
      <w:r>
        <w:rPr>
          <w:spacing w:val="-18"/>
        </w:rPr>
        <w:t> </w:t>
      </w:r>
      <w:r>
        <w:rPr/>
        <w:t>la</w:t>
      </w:r>
      <w:r>
        <w:rPr>
          <w:spacing w:val="-18"/>
        </w:rPr>
        <w:t> </w:t>
      </w:r>
      <w:r>
        <w:rPr/>
        <w:t>opción</w:t>
      </w:r>
      <w:r>
        <w:rPr>
          <w:spacing w:val="-16"/>
        </w:rPr>
        <w:t> </w:t>
      </w:r>
      <w:r>
        <w:rPr/>
        <w:t>“en</w:t>
      </w:r>
      <w:r>
        <w:rPr>
          <w:spacing w:val="-20"/>
        </w:rPr>
        <w:t> </w:t>
      </w:r>
      <w:r>
        <w:rPr/>
        <w:t>desacuerdo”</w:t>
      </w:r>
      <w:r>
        <w:rPr>
          <w:spacing w:val="-19"/>
        </w:rPr>
        <w:t> </w:t>
      </w:r>
      <w:r>
        <w:rPr/>
        <w:t>en</w:t>
      </w:r>
      <w:r>
        <w:rPr>
          <w:spacing w:val="-18"/>
        </w:rPr>
        <w:t> </w:t>
      </w:r>
      <w:r>
        <w:rPr/>
        <w:t>desfavorecer</w:t>
      </w:r>
      <w:r>
        <w:rPr>
          <w:spacing w:val="-19"/>
        </w:rPr>
        <w:t> </w:t>
      </w:r>
      <w:r>
        <w:rPr/>
        <w:t>el</w:t>
      </w:r>
      <w:r>
        <w:rPr>
          <w:spacing w:val="-17"/>
        </w:rPr>
        <w:t> </w:t>
      </w:r>
      <w:r>
        <w:rPr/>
        <w:t>uso</w:t>
      </w:r>
      <w:r>
        <w:rPr>
          <w:spacing w:val="-18"/>
        </w:rPr>
        <w:t> </w:t>
      </w:r>
      <w:r>
        <w:rPr/>
        <w:t>de</w:t>
      </w:r>
      <w:r>
        <w:rPr>
          <w:spacing w:val="-18"/>
        </w:rPr>
        <w:t> </w:t>
      </w:r>
      <w:r>
        <w:rPr/>
        <w:t>anglicismos,</w:t>
      </w:r>
      <w:r>
        <w:rPr>
          <w:spacing w:val="-16"/>
        </w:rPr>
        <w:t> </w:t>
      </w:r>
      <w:r>
        <w:rPr/>
        <w:t>tal</w:t>
      </w:r>
      <w:r>
        <w:rPr>
          <w:spacing w:val="-17"/>
        </w:rPr>
        <w:t> </w:t>
      </w:r>
      <w:r>
        <w:rPr/>
        <w:t>como se puede interpretar a partir del mismo instrumento (ver figura</w:t>
      </w:r>
      <w:r>
        <w:rPr>
          <w:spacing w:val="-22"/>
        </w:rPr>
        <w:t> </w:t>
      </w:r>
      <w:r>
        <w:rPr/>
        <w:t>4.2.4.)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after="1"/>
        <w:rPr>
          <w:sz w:val="16"/>
        </w:rPr>
      </w:pPr>
    </w:p>
    <w:tbl>
      <w:tblPr>
        <w:tblW w:w="0" w:type="auto"/>
        <w:jc w:val="left"/>
        <w:tblInd w:w="994"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top w:w="0" w:type="dxa"/>
          <w:left w:w="0" w:type="dxa"/>
          <w:bottom w:w="0" w:type="dxa"/>
          <w:right w:w="0" w:type="dxa"/>
        </w:tblCellMar>
        <w:tblLook w:val="01E0"/>
      </w:tblPr>
      <w:tblGrid>
        <w:gridCol w:w="926"/>
        <w:gridCol w:w="972"/>
        <w:gridCol w:w="974"/>
        <w:gridCol w:w="972"/>
        <w:gridCol w:w="974"/>
        <w:gridCol w:w="972"/>
      </w:tblGrid>
      <w:tr>
        <w:trPr>
          <w:trHeight w:val="715" w:hRule="exact"/>
        </w:trPr>
        <w:tc>
          <w:tcPr>
            <w:tcW w:w="926" w:type="dxa"/>
            <w:tcBorders>
              <w:top w:val="nil"/>
              <w:left w:val="nil"/>
            </w:tcBorders>
          </w:tcPr>
          <w:p>
            <w:pPr>
              <w:pStyle w:val="TableParagraph"/>
              <w:spacing w:line="110" w:lineRule="exact"/>
              <w:ind w:right="158"/>
              <w:jc w:val="right"/>
              <w:rPr>
                <w:rFonts w:ascii="Calibri"/>
                <w:sz w:val="18"/>
              </w:rPr>
            </w:pPr>
            <w:r>
              <w:rPr>
                <w:rFonts w:ascii="Calibri"/>
                <w:color w:val="585858"/>
                <w:sz w:val="18"/>
              </w:rPr>
              <w:t>0</w:t>
            </w:r>
          </w:p>
        </w:tc>
        <w:tc>
          <w:tcPr>
            <w:tcW w:w="972" w:type="dxa"/>
            <w:tcBorders>
              <w:top w:val="nil"/>
            </w:tcBorders>
          </w:tcPr>
          <w:p>
            <w:pPr>
              <w:pStyle w:val="TableParagraph"/>
              <w:spacing w:before="57"/>
              <w:ind w:left="179" w:right="159" w:firstLine="22"/>
              <w:jc w:val="left"/>
              <w:rPr>
                <w:rFonts w:ascii="Calibri"/>
                <w:sz w:val="18"/>
              </w:rPr>
            </w:pPr>
            <w:r>
              <w:rPr>
                <w:rFonts w:ascii="Calibri"/>
                <w:color w:val="585858"/>
                <w:sz w:val="18"/>
              </w:rPr>
              <w:t>Muy de acuerdo</w:t>
            </w:r>
          </w:p>
        </w:tc>
        <w:tc>
          <w:tcPr>
            <w:tcW w:w="974" w:type="dxa"/>
            <w:tcBorders>
              <w:top w:val="nil"/>
            </w:tcBorders>
          </w:tcPr>
          <w:p>
            <w:pPr>
              <w:pStyle w:val="TableParagraph"/>
              <w:spacing w:before="57"/>
              <w:ind w:left="180" w:right="161" w:firstLine="199"/>
              <w:jc w:val="left"/>
              <w:rPr>
                <w:rFonts w:ascii="Calibri"/>
                <w:sz w:val="18"/>
              </w:rPr>
            </w:pPr>
            <w:r>
              <w:rPr>
                <w:rFonts w:ascii="Calibri"/>
                <w:color w:val="585858"/>
                <w:sz w:val="18"/>
              </w:rPr>
              <w:t>De acuerdo</w:t>
            </w:r>
          </w:p>
        </w:tc>
        <w:tc>
          <w:tcPr>
            <w:tcW w:w="972" w:type="dxa"/>
            <w:tcBorders>
              <w:top w:val="nil"/>
            </w:tcBorders>
          </w:tcPr>
          <w:p>
            <w:pPr>
              <w:pStyle w:val="TableParagraph"/>
              <w:spacing w:before="57"/>
              <w:ind w:left="357" w:right="173" w:hanging="165"/>
              <w:jc w:val="left"/>
              <w:rPr>
                <w:rFonts w:ascii="Calibri"/>
                <w:sz w:val="18"/>
              </w:rPr>
            </w:pPr>
            <w:r>
              <w:rPr>
                <w:rFonts w:ascii="Calibri"/>
                <w:color w:val="585858"/>
                <w:sz w:val="18"/>
              </w:rPr>
              <w:t>Indifere nte</w:t>
            </w:r>
          </w:p>
        </w:tc>
        <w:tc>
          <w:tcPr>
            <w:tcW w:w="974" w:type="dxa"/>
            <w:tcBorders>
              <w:top w:val="nil"/>
            </w:tcBorders>
          </w:tcPr>
          <w:p>
            <w:pPr>
              <w:pStyle w:val="TableParagraph"/>
              <w:spacing w:before="57"/>
              <w:ind w:left="148" w:right="146" w:firstLine="3"/>
              <w:rPr>
                <w:rFonts w:ascii="Calibri"/>
                <w:sz w:val="18"/>
              </w:rPr>
            </w:pPr>
            <w:r>
              <w:rPr>
                <w:rFonts w:ascii="Calibri"/>
                <w:color w:val="585858"/>
                <w:sz w:val="18"/>
              </w:rPr>
              <w:t>En  desacuer do</w:t>
            </w:r>
          </w:p>
        </w:tc>
        <w:tc>
          <w:tcPr>
            <w:tcW w:w="972" w:type="dxa"/>
            <w:tcBorders>
              <w:top w:val="nil"/>
            </w:tcBorders>
          </w:tcPr>
          <w:p>
            <w:pPr>
              <w:pStyle w:val="TableParagraph"/>
              <w:spacing w:before="57"/>
              <w:ind w:left="147" w:right="145" w:firstLine="1"/>
              <w:rPr>
                <w:rFonts w:ascii="Calibri"/>
                <w:sz w:val="18"/>
              </w:rPr>
            </w:pPr>
            <w:r>
              <w:rPr>
                <w:rFonts w:ascii="Calibri"/>
                <w:color w:val="585858"/>
                <w:sz w:val="18"/>
              </w:rPr>
              <w:t>Muy en desacuer do</w:t>
            </w:r>
          </w:p>
        </w:tc>
      </w:tr>
      <w:tr>
        <w:trPr>
          <w:trHeight w:val="288" w:hRule="exact"/>
        </w:trPr>
        <w:tc>
          <w:tcPr>
            <w:tcW w:w="926" w:type="dxa"/>
          </w:tcPr>
          <w:p>
            <w:pPr>
              <w:pStyle w:val="TableParagraph"/>
              <w:spacing w:before="13"/>
              <w:ind w:right="108"/>
              <w:jc w:val="right"/>
              <w:rPr>
                <w:rFonts w:ascii="Calibri"/>
                <w:sz w:val="18"/>
              </w:rPr>
            </w:pPr>
            <w:r>
              <w:rPr>
                <w:rFonts w:ascii="Calibri"/>
                <w:color w:val="585858"/>
                <w:sz w:val="18"/>
              </w:rPr>
              <w:t>Mujeres</w:t>
            </w:r>
          </w:p>
        </w:tc>
        <w:tc>
          <w:tcPr>
            <w:tcW w:w="972" w:type="dxa"/>
          </w:tcPr>
          <w:p>
            <w:pPr>
              <w:pStyle w:val="TableParagraph"/>
              <w:spacing w:before="18"/>
              <w:ind w:left="109" w:right="109"/>
              <w:rPr>
                <w:rFonts w:ascii="Calibri"/>
                <w:sz w:val="18"/>
              </w:rPr>
            </w:pPr>
            <w:r>
              <w:rPr>
                <w:rFonts w:ascii="Calibri"/>
                <w:color w:val="585858"/>
                <w:sz w:val="18"/>
              </w:rPr>
              <w:t>12</w:t>
            </w:r>
          </w:p>
        </w:tc>
        <w:tc>
          <w:tcPr>
            <w:tcW w:w="974" w:type="dxa"/>
          </w:tcPr>
          <w:p>
            <w:pPr>
              <w:pStyle w:val="TableParagraph"/>
              <w:spacing w:before="18"/>
              <w:ind w:left="389" w:right="161"/>
              <w:jc w:val="left"/>
              <w:rPr>
                <w:rFonts w:ascii="Calibri"/>
                <w:sz w:val="18"/>
              </w:rPr>
            </w:pPr>
            <w:r>
              <w:rPr>
                <w:rFonts w:ascii="Calibri"/>
                <w:color w:val="585858"/>
                <w:sz w:val="18"/>
              </w:rPr>
              <w:t>37</w:t>
            </w:r>
          </w:p>
        </w:tc>
        <w:tc>
          <w:tcPr>
            <w:tcW w:w="972" w:type="dxa"/>
          </w:tcPr>
          <w:p>
            <w:pPr>
              <w:pStyle w:val="TableParagraph"/>
              <w:spacing w:before="18"/>
              <w:ind w:left="109" w:right="108"/>
              <w:rPr>
                <w:rFonts w:ascii="Calibri"/>
                <w:sz w:val="18"/>
              </w:rPr>
            </w:pPr>
            <w:r>
              <w:rPr>
                <w:rFonts w:ascii="Calibri"/>
                <w:color w:val="585858"/>
                <w:sz w:val="18"/>
              </w:rPr>
              <w:t>13</w:t>
            </w:r>
          </w:p>
        </w:tc>
        <w:tc>
          <w:tcPr>
            <w:tcW w:w="974" w:type="dxa"/>
          </w:tcPr>
          <w:p>
            <w:pPr>
              <w:pStyle w:val="TableParagraph"/>
              <w:spacing w:before="18"/>
              <w:ind w:right="385"/>
              <w:jc w:val="right"/>
              <w:rPr>
                <w:rFonts w:ascii="Calibri"/>
                <w:sz w:val="18"/>
              </w:rPr>
            </w:pPr>
            <w:r>
              <w:rPr>
                <w:rFonts w:ascii="Calibri"/>
                <w:color w:val="585858"/>
                <w:sz w:val="18"/>
              </w:rPr>
              <w:t>44</w:t>
            </w:r>
          </w:p>
        </w:tc>
        <w:tc>
          <w:tcPr>
            <w:tcW w:w="972" w:type="dxa"/>
          </w:tcPr>
          <w:p>
            <w:pPr>
              <w:pStyle w:val="TableParagraph"/>
              <w:spacing w:before="18"/>
              <w:ind w:left="388" w:right="159"/>
              <w:jc w:val="left"/>
              <w:rPr>
                <w:rFonts w:ascii="Calibri"/>
                <w:sz w:val="18"/>
              </w:rPr>
            </w:pPr>
            <w:r>
              <w:rPr>
                <w:rFonts w:ascii="Calibri"/>
                <w:color w:val="585858"/>
                <w:sz w:val="18"/>
              </w:rPr>
              <w:t>14</w:t>
            </w:r>
          </w:p>
        </w:tc>
      </w:tr>
      <w:tr>
        <w:trPr>
          <w:trHeight w:val="288" w:hRule="exact"/>
        </w:trPr>
        <w:tc>
          <w:tcPr>
            <w:tcW w:w="926" w:type="dxa"/>
          </w:tcPr>
          <w:p>
            <w:pPr>
              <w:pStyle w:val="TableParagraph"/>
              <w:spacing w:before="12"/>
              <w:ind w:right="44"/>
              <w:jc w:val="right"/>
              <w:rPr>
                <w:rFonts w:ascii="Calibri"/>
                <w:sz w:val="18"/>
              </w:rPr>
            </w:pPr>
            <w:r>
              <w:rPr>
                <w:rFonts w:ascii="Calibri"/>
                <w:color w:val="585858"/>
                <w:sz w:val="18"/>
              </w:rPr>
              <w:t>Hombres</w:t>
            </w:r>
          </w:p>
        </w:tc>
        <w:tc>
          <w:tcPr>
            <w:tcW w:w="972" w:type="dxa"/>
          </w:tcPr>
          <w:p>
            <w:pPr>
              <w:pStyle w:val="TableParagraph"/>
              <w:spacing w:before="18"/>
              <w:ind w:left="109" w:right="109"/>
              <w:rPr>
                <w:rFonts w:ascii="Calibri"/>
                <w:sz w:val="18"/>
              </w:rPr>
            </w:pPr>
            <w:r>
              <w:rPr>
                <w:rFonts w:ascii="Calibri"/>
                <w:color w:val="585858"/>
                <w:sz w:val="18"/>
              </w:rPr>
              <w:t>11</w:t>
            </w:r>
          </w:p>
        </w:tc>
        <w:tc>
          <w:tcPr>
            <w:tcW w:w="974" w:type="dxa"/>
          </w:tcPr>
          <w:p>
            <w:pPr>
              <w:pStyle w:val="TableParagraph"/>
              <w:tabs>
                <w:tab w:pos="929" w:val="left" w:leader="none"/>
              </w:tabs>
              <w:spacing w:before="18"/>
              <w:ind w:left="389" w:right="-124"/>
              <w:jc w:val="left"/>
              <w:rPr>
                <w:rFonts w:ascii="Calibri"/>
                <w:sz w:val="18"/>
              </w:rPr>
            </w:pPr>
            <w:r>
              <w:rPr>
                <w:rFonts w:ascii="Calibri"/>
                <w:color w:val="585858"/>
                <w:sz w:val="18"/>
              </w:rPr>
              <w:t>41</w:t>
              <w:tab/>
              <w:t>M</w:t>
            </w:r>
          </w:p>
        </w:tc>
        <w:tc>
          <w:tcPr>
            <w:tcW w:w="972" w:type="dxa"/>
          </w:tcPr>
          <w:p>
            <w:pPr>
              <w:pStyle w:val="TableParagraph"/>
              <w:tabs>
                <w:tab w:pos="868" w:val="left" w:leader="none"/>
              </w:tabs>
              <w:spacing w:before="18"/>
              <w:ind w:left="109" w:right="-23"/>
              <w:rPr>
                <w:rFonts w:ascii="Calibri"/>
                <w:sz w:val="18"/>
              </w:rPr>
            </w:pPr>
            <w:r>
              <w:rPr>
                <w:rFonts w:ascii="Calibri"/>
                <w:color w:val="585858"/>
                <w:spacing w:val="1"/>
                <w:sz w:val="18"/>
              </w:rPr>
              <w:t>u</w:t>
            </w:r>
            <w:r>
              <w:rPr>
                <w:rFonts w:ascii="Calibri"/>
                <w:color w:val="585858"/>
                <w:spacing w:val="-1"/>
                <w:sz w:val="18"/>
              </w:rPr>
              <w:t>je</w:t>
            </w:r>
            <w:r>
              <w:rPr>
                <w:rFonts w:ascii="Calibri"/>
                <w:color w:val="585858"/>
                <w:spacing w:val="-12"/>
                <w:sz w:val="18"/>
              </w:rPr>
              <w:t>r</w:t>
            </w:r>
            <w:r>
              <w:rPr>
                <w:rFonts w:ascii="Calibri"/>
                <w:color w:val="585858"/>
                <w:spacing w:val="-80"/>
                <w:sz w:val="18"/>
              </w:rPr>
              <w:t>2</w:t>
            </w:r>
            <w:r>
              <w:rPr>
                <w:rFonts w:ascii="Calibri"/>
                <w:color w:val="585858"/>
                <w:spacing w:val="-10"/>
                <w:sz w:val="18"/>
              </w:rPr>
              <w:t>e</w:t>
            </w:r>
            <w:r>
              <w:rPr>
                <w:rFonts w:ascii="Calibri"/>
                <w:color w:val="585858"/>
                <w:spacing w:val="-83"/>
                <w:sz w:val="18"/>
              </w:rPr>
              <w:t>2</w:t>
            </w:r>
            <w:r>
              <w:rPr>
                <w:rFonts w:ascii="Calibri"/>
                <w:color w:val="585858"/>
                <w:sz w:val="18"/>
              </w:rPr>
              <w:t>s</w:t>
              <w:tab/>
              <w:t>H</w:t>
            </w:r>
          </w:p>
        </w:tc>
        <w:tc>
          <w:tcPr>
            <w:tcW w:w="974" w:type="dxa"/>
          </w:tcPr>
          <w:p>
            <w:pPr>
              <w:pStyle w:val="TableParagraph"/>
              <w:spacing w:before="18"/>
              <w:ind w:right="393"/>
              <w:jc w:val="right"/>
              <w:rPr>
                <w:rFonts w:ascii="Calibri"/>
                <w:sz w:val="18"/>
              </w:rPr>
            </w:pPr>
            <w:r>
              <w:rPr>
                <w:rFonts w:ascii="Calibri"/>
                <w:color w:val="585858"/>
                <w:spacing w:val="-2"/>
                <w:sz w:val="18"/>
              </w:rPr>
              <w:t>o</w:t>
            </w:r>
            <w:r>
              <w:rPr>
                <w:rFonts w:ascii="Calibri"/>
                <w:color w:val="585858"/>
                <w:sz w:val="18"/>
              </w:rPr>
              <w:t>m</w:t>
            </w:r>
            <w:r>
              <w:rPr>
                <w:rFonts w:ascii="Calibri"/>
                <w:color w:val="585858"/>
                <w:spacing w:val="1"/>
                <w:sz w:val="18"/>
              </w:rPr>
              <w:t>b</w:t>
            </w:r>
            <w:r>
              <w:rPr>
                <w:rFonts w:ascii="Calibri"/>
                <w:color w:val="585858"/>
                <w:spacing w:val="-16"/>
                <w:sz w:val="18"/>
              </w:rPr>
              <w:t>r</w:t>
            </w:r>
            <w:r>
              <w:rPr>
                <w:rFonts w:ascii="Calibri"/>
                <w:color w:val="585858"/>
                <w:spacing w:val="-76"/>
                <w:sz w:val="18"/>
              </w:rPr>
              <w:t>5</w:t>
            </w:r>
            <w:r>
              <w:rPr>
                <w:rFonts w:ascii="Calibri"/>
                <w:color w:val="585858"/>
                <w:spacing w:val="-14"/>
                <w:sz w:val="18"/>
              </w:rPr>
              <w:t>e</w:t>
            </w:r>
            <w:r>
              <w:rPr>
                <w:rFonts w:ascii="Calibri"/>
                <w:color w:val="585858"/>
                <w:spacing w:val="-79"/>
                <w:sz w:val="18"/>
              </w:rPr>
              <w:t>1</w:t>
            </w:r>
            <w:r>
              <w:rPr>
                <w:rFonts w:ascii="Calibri"/>
                <w:color w:val="585858"/>
                <w:sz w:val="18"/>
              </w:rPr>
              <w:t>s</w:t>
            </w:r>
          </w:p>
        </w:tc>
        <w:tc>
          <w:tcPr>
            <w:tcW w:w="972" w:type="dxa"/>
          </w:tcPr>
          <w:p>
            <w:pPr>
              <w:pStyle w:val="TableParagraph"/>
              <w:spacing w:before="18"/>
              <w:ind w:left="434"/>
              <w:jc w:val="left"/>
              <w:rPr>
                <w:rFonts w:ascii="Calibri"/>
                <w:sz w:val="18"/>
              </w:rPr>
            </w:pPr>
            <w:r>
              <w:rPr>
                <w:rFonts w:ascii="Calibri"/>
                <w:color w:val="585858"/>
                <w:sz w:val="18"/>
              </w:rPr>
              <w:t>7</w:t>
            </w:r>
          </w:p>
        </w:tc>
      </w:tr>
    </w:tbl>
    <w:p>
      <w:pPr>
        <w:spacing w:before="150"/>
        <w:ind w:left="1047" w:right="339" w:firstLine="0"/>
        <w:jc w:val="left"/>
        <w:rPr>
          <w:b/>
          <w:sz w:val="20"/>
        </w:rPr>
      </w:pPr>
      <w:r>
        <w:rPr>
          <w:b/>
          <w:sz w:val="20"/>
        </w:rPr>
        <w:t>Figura 4.2.4. Respuestas de la variable género en aseveraciones desfavorables</w:t>
      </w:r>
    </w:p>
    <w:p>
      <w:pPr>
        <w:spacing w:after="0"/>
        <w:jc w:val="left"/>
        <w:rPr>
          <w:sz w:val="20"/>
        </w:rPr>
        <w:sectPr>
          <w:pgSz w:w="12240" w:h="15840"/>
          <w:pgMar w:header="749" w:footer="1003" w:top="960" w:bottom="1200" w:left="1600" w:right="1020"/>
        </w:sect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70"/>
        <w:ind w:left="102" w:right="108" w:firstLine="707"/>
        <w:jc w:val="both"/>
      </w:pPr>
      <w:r>
        <w:rPr/>
        <w:pict>
          <v:group style="position:absolute;margin-left:100.184998pt;margin-top:133.400848pt;width:411.65pt;height:170.8pt;mso-position-horizontal-relative:page;mso-position-vertical-relative:paragraph;z-index:2152;mso-wrap-distance-left:0;mso-wrap-distance-right:0" coordorigin="2004,2668" coordsize="8233,3416">
            <v:shape style="position:absolute;left:2489;top:4344;width:7522;height:811" type="#_x0000_t75" stroked="false">
              <v:imagedata r:id="rId50" o:title=""/>
            </v:shape>
            <v:line style="position:absolute" from="4975,4749" to="10010,4749" stroked="true" strokeweight=".72pt" strokecolor="#d9d9d9"/>
            <v:line style="position:absolute" from="4704,4749" to="4786,4749" stroked="true" strokeweight=".72pt" strokecolor="#d9d9d9"/>
            <v:line style="position:absolute" from="4435,4749" to="4517,4749" stroked="true" strokeweight=".72pt" strokecolor="#d9d9d9"/>
            <v:line style="position:absolute" from="2489,4749" to="4246,4749" stroked="true" strokeweight=".72pt" strokecolor="#d9d9d9"/>
            <v:line style="position:absolute" from="2489,4344" to="10010,4344" stroked="true" strokeweight=".72pt" strokecolor="#d9d9d9"/>
            <v:line style="position:absolute" from="2489,4344" to="2489,5155" stroked="true" strokeweight=".72pt" strokecolor="#d9d9d9"/>
            <v:line style="position:absolute" from="3994,4344" to="3994,5155" stroked="true" strokeweight=".72pt" strokecolor="#d9d9d9"/>
            <v:line style="position:absolute" from="5498,4344" to="5498,5155" stroked="true" strokeweight=".72pt" strokecolor="#d9d9d9"/>
            <v:line style="position:absolute" from="7001,4344" to="7001,5155" stroked="true" strokeweight=".72pt" strokecolor="#d9d9d9"/>
            <v:line style="position:absolute" from="8506,4344" to="8506,5155" stroked="true" strokeweight=".72pt" strokecolor="#d9d9d9"/>
            <v:line style="position:absolute" from="10010,4344" to="10010,5155" stroked="true" strokeweight=".72pt" strokecolor="#d9d9d9"/>
            <v:rect style="position:absolute;left:2741;top:4912;width:190;height:242" filled="true" fillcolor="#6fac46" stroked="false">
              <v:fill type="solid"/>
            </v:rect>
            <v:rect style="position:absolute;left:4246;top:4648;width:190;height:506" filled="true" fillcolor="#6fac46" stroked="false">
              <v:fill type="solid"/>
            </v:rect>
            <v:rect style="position:absolute;left:5750;top:4912;width:190;height:242" filled="true" fillcolor="#6fac46" stroked="false">
              <v:fill type="solid"/>
            </v:rect>
            <v:rect style="position:absolute;left:7255;top:4972;width:187;height:182" filled="true" fillcolor="#6fac46" stroked="false">
              <v:fill type="solid"/>
            </v:rect>
            <v:line style="position:absolute" from="8758,5134" to="8947,5134" stroked="true" strokeweight="2.04pt" strokecolor="#6fac46"/>
            <v:rect style="position:absolute;left:3012;top:4872;width:190;height:283" filled="true" fillcolor="#4471c4" stroked="false">
              <v:fill type="solid"/>
            </v:rect>
            <v:rect style="position:absolute;left:4517;top:4588;width:187;height:566" filled="true" fillcolor="#4471c4" stroked="false">
              <v:fill type="solid"/>
            </v:rect>
            <v:rect style="position:absolute;left:6019;top:5054;width:190;height:101" filled="true" fillcolor="#4471c4" stroked="false">
              <v:fill type="solid"/>
            </v:rect>
            <v:rect style="position:absolute;left:7524;top:4912;width:190;height:242" filled="true" fillcolor="#4471c4" stroked="false">
              <v:fill type="solid"/>
            </v:rect>
            <v:line style="position:absolute" from="9029,5144" to="9218,5144" stroked="true" strokeweight="1.08pt" strokecolor="#4471c4"/>
            <v:rect style="position:absolute;left:3283;top:5032;width:187;height:122" filled="true" fillcolor="#ffc000" stroked="false">
              <v:fill type="solid"/>
            </v:rect>
            <v:rect style="position:absolute;left:4786;top:4485;width:190;height:670" filled="true" fillcolor="#ffc000" stroked="false">
              <v:fill type="solid"/>
            </v:rect>
            <v:line style="position:absolute" from="6290,5114" to="6480,5114" stroked="true" strokeweight="4.08pt" strokecolor="#ffc000"/>
            <v:rect style="position:absolute;left:7795;top:4831;width:187;height:324" filled="true" fillcolor="#ffc000" stroked="false">
              <v:fill type="solid"/>
            </v:rect>
            <v:line style="position:absolute" from="9298,5144" to="9487,5144" stroked="true" strokeweight="1.08pt" strokecolor="#ffc000"/>
            <v:rect style="position:absolute;left:3552;top:4891;width:190;height:264" filled="true" fillcolor="#43682b" stroked="false">
              <v:fill type="solid"/>
            </v:rect>
            <v:rect style="position:absolute;left:5057;top:4730;width:190;height:425" filled="true" fillcolor="#43682b" stroked="false">
              <v:fill type="solid"/>
            </v:rect>
            <v:line style="position:absolute" from="6562,5114" to="6749,5114" stroked="true" strokeweight="4.08pt" strokecolor="#43682b"/>
            <v:rect style="position:absolute;left:8064;top:4730;width:190;height:425" filled="true" fillcolor="#43682b" stroked="false">
              <v:fill type="solid"/>
            </v:rect>
            <v:line style="position:absolute" from="9569,5144" to="9758,5144" stroked="true" strokeweight="1.08pt" strokecolor="#43682b"/>
            <v:line style="position:absolute" from="2489,5155" to="10010,5155" stroked="true" strokeweight=".72pt" strokecolor="#d9d9d9"/>
            <v:line style="position:absolute" from="5332,5738" to="5332,5836" stroked="true" strokeweight="4.92pt" strokecolor="#6fac46"/>
            <v:line style="position:absolute" from="5800,5738" to="5800,5836" stroked="true" strokeweight="4.92pt" strokecolor="#4471c4"/>
            <v:line style="position:absolute" from="6265,5738" to="6265,5836" stroked="true" strokeweight="4.92pt" strokecolor="#ffc000"/>
            <v:line style="position:absolute" from="6733,5738" to="6733,5836" stroked="true" strokeweight="4.92pt" strokecolor="#43682b"/>
            <v:rect style="position:absolute;left:2011;top:2676;width:8218;height:3401" filled="false" stroked="true" strokeweight=".72pt" strokecolor="#d9d9d9"/>
            <v:shape style="position:absolute;left:3092;top:2899;width:6055;height:800" type="#_x0000_t202" filled="false" stroked="false">
              <v:textbox inset="0,0,0,0">
                <w:txbxContent>
                  <w:p>
                    <w:pPr>
                      <w:spacing w:line="367" w:lineRule="exact" w:before="0"/>
                      <w:ind w:left="0" w:right="0" w:firstLine="0"/>
                      <w:jc w:val="center"/>
                      <w:rPr>
                        <w:rFonts w:ascii="Calibri Light"/>
                        <w:b w:val="0"/>
                        <w:sz w:val="36"/>
                      </w:rPr>
                    </w:pPr>
                    <w:r>
                      <w:rPr>
                        <w:rFonts w:ascii="Calibri Light"/>
                        <w:b w:val="0"/>
                        <w:color w:val="7E7E7E"/>
                        <w:spacing w:val="-3"/>
                        <w:sz w:val="36"/>
                      </w:rPr>
                      <w:t>Respuestas </w:t>
                    </w:r>
                    <w:r>
                      <w:rPr>
                        <w:rFonts w:ascii="Calibri Light"/>
                        <w:b w:val="0"/>
                        <w:color w:val="7E7E7E"/>
                        <w:sz w:val="36"/>
                      </w:rPr>
                      <w:t>en aseveraciones </w:t>
                    </w:r>
                    <w:r>
                      <w:rPr>
                        <w:rFonts w:ascii="Calibri Light"/>
                        <w:b w:val="0"/>
                        <w:color w:val="7E7E7E"/>
                        <w:spacing w:val="-3"/>
                        <w:sz w:val="36"/>
                      </w:rPr>
                      <w:t>"Favorables"</w:t>
                    </w:r>
                  </w:p>
                  <w:p>
                    <w:pPr>
                      <w:spacing w:line="433" w:lineRule="exact" w:before="0"/>
                      <w:ind w:left="0" w:right="0" w:firstLine="0"/>
                      <w:jc w:val="center"/>
                      <w:rPr>
                        <w:rFonts w:ascii="Calibri Light"/>
                        <w:b w:val="0"/>
                        <w:sz w:val="36"/>
                      </w:rPr>
                    </w:pPr>
                    <w:r>
                      <w:rPr>
                        <w:rFonts w:ascii="Calibri Light"/>
                        <w:b w:val="0"/>
                        <w:color w:val="7E7E7E"/>
                        <w:sz w:val="36"/>
                      </w:rPr>
                      <w:t>en grupos de edad</w:t>
                    </w:r>
                  </w:p>
                </w:txbxContent>
              </v:textbox>
              <w10:wrap type="none"/>
            </v:shape>
            <v:shape style="position:absolute;left:2140;top:4261;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40</w:t>
                    </w:r>
                  </w:p>
                </w:txbxContent>
              </v:textbox>
              <w10:wrap type="none"/>
            </v:shape>
            <v:shape style="position:absolute;left:4248;top:4375;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25</w:t>
                    </w:r>
                  </w:p>
                </w:txbxContent>
              </v:textbox>
              <w10:wrap type="none"/>
            </v:shape>
            <v:shape style="position:absolute;left:4519;top:4213;width:453;height:282" type="#_x0000_t202" filled="false" stroked="false">
              <v:textbox inset="0,0,0,0">
                <w:txbxContent>
                  <w:p>
                    <w:pPr>
                      <w:spacing w:line="281" w:lineRule="exact" w:before="0"/>
                      <w:ind w:left="0" w:right="-14" w:firstLine="0"/>
                      <w:jc w:val="left"/>
                      <w:rPr>
                        <w:rFonts w:ascii="Calibri"/>
                        <w:sz w:val="18"/>
                      </w:rPr>
                    </w:pPr>
                    <w:r>
                      <w:rPr>
                        <w:rFonts w:ascii="Calibri"/>
                        <w:color w:val="404040"/>
                        <w:position w:val="-9"/>
                        <w:sz w:val="18"/>
                      </w:rPr>
                      <w:t>28  </w:t>
                    </w:r>
                    <w:r>
                      <w:rPr>
                        <w:rFonts w:ascii="Calibri"/>
                        <w:color w:val="404040"/>
                        <w:sz w:val="18"/>
                      </w:rPr>
                      <w:t>33</w:t>
                    </w:r>
                  </w:p>
                </w:txbxContent>
              </v:textbox>
              <w10:wrap type="none"/>
            </v:shape>
            <v:shape style="position:absolute;left:5060;top:4456;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21</w:t>
                    </w:r>
                  </w:p>
                </w:txbxContent>
              </v:textbox>
              <w10:wrap type="none"/>
            </v:shape>
            <v:shape style="position:absolute;left:8068;top:4456;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21</w:t>
                    </w:r>
                  </w:p>
                </w:txbxContent>
              </v:textbox>
              <w10:wrap type="none"/>
            </v:shape>
            <v:shape style="position:absolute;left:2140;top:4666;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20</w:t>
                    </w:r>
                  </w:p>
                </w:txbxContent>
              </v:textbox>
              <w10:wrap type="none"/>
            </v:shape>
            <v:shape style="position:absolute;left:2744;top:4598;width:993;height:221" type="#_x0000_t202" filled="false" stroked="false">
              <v:textbox inset="0,0,0,0">
                <w:txbxContent>
                  <w:p>
                    <w:pPr>
                      <w:tabs>
                        <w:tab w:pos="810" w:val="left" w:leader="none"/>
                      </w:tabs>
                      <w:spacing w:line="220" w:lineRule="exact" w:before="0"/>
                      <w:ind w:left="0" w:right="0" w:firstLine="0"/>
                      <w:jc w:val="left"/>
                      <w:rPr>
                        <w:rFonts w:ascii="Calibri"/>
                        <w:sz w:val="18"/>
                      </w:rPr>
                    </w:pPr>
                    <w:r>
                      <w:rPr>
                        <w:rFonts w:ascii="Calibri"/>
                        <w:color w:val="404040"/>
                        <w:position w:val="-3"/>
                        <w:sz w:val="18"/>
                      </w:rPr>
                      <w:t>12 </w:t>
                    </w:r>
                    <w:r>
                      <w:rPr>
                        <w:rFonts w:ascii="Calibri"/>
                        <w:color w:val="404040"/>
                        <w:spacing w:val="5"/>
                        <w:position w:val="-3"/>
                        <w:sz w:val="18"/>
                      </w:rPr>
                      <w:t> </w:t>
                    </w:r>
                    <w:r>
                      <w:rPr>
                        <w:rFonts w:ascii="Calibri"/>
                        <w:color w:val="404040"/>
                        <w:sz w:val="18"/>
                      </w:rPr>
                      <w:t>14</w:t>
                      <w:tab/>
                    </w:r>
                    <w:r>
                      <w:rPr>
                        <w:rFonts w:ascii="Calibri"/>
                        <w:color w:val="404040"/>
                        <w:spacing w:val="-1"/>
                        <w:position w:val="-1"/>
                        <w:sz w:val="18"/>
                      </w:rPr>
                      <w:t>13</w:t>
                    </w:r>
                  </w:p>
                </w:txbxContent>
              </v:textbox>
              <w10:wrap type="none"/>
            </v:shape>
            <v:shape style="position:absolute;left:3330;top:4760;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6</w:t>
                    </w:r>
                  </w:p>
                </w:txbxContent>
              </v:textbox>
              <w10:wrap type="none"/>
            </v:shape>
            <v:shape style="position:absolute;left:5753;top:4638;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12</w:t>
                    </w:r>
                  </w:p>
                </w:txbxContent>
              </v:textbox>
              <w10:wrap type="none"/>
            </v:shape>
            <v:shape style="position:absolute;left:6069;top:4780;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5</w:t>
                    </w:r>
                  </w:p>
                </w:txbxContent>
              </v:textbox>
              <w10:wrap type="none"/>
            </v:shape>
            <v:shape style="position:absolute;left:6339;top:4800;width:362;height:180" type="#_x0000_t202" filled="false" stroked="false">
              <v:textbox inset="0,0,0,0">
                <w:txbxContent>
                  <w:p>
                    <w:pPr>
                      <w:spacing w:line="180" w:lineRule="exact" w:before="0"/>
                      <w:ind w:left="0" w:right="-4" w:firstLine="0"/>
                      <w:jc w:val="left"/>
                      <w:rPr>
                        <w:rFonts w:ascii="Calibri"/>
                        <w:sz w:val="18"/>
                      </w:rPr>
                    </w:pPr>
                    <w:r>
                      <w:rPr>
                        <w:rFonts w:ascii="Calibri"/>
                        <w:color w:val="404040"/>
                        <w:sz w:val="18"/>
                      </w:rPr>
                      <w:t>4    4</w:t>
                    </w:r>
                  </w:p>
                </w:txbxContent>
              </v:textbox>
              <w10:wrap type="none"/>
            </v:shape>
            <v:shape style="position:absolute;left:7303;top:4557;width:678;height:322" type="#_x0000_t202" filled="false" stroked="false">
              <v:textbox inset="0,0,0,0">
                <w:txbxContent>
                  <w:p>
                    <w:pPr>
                      <w:spacing w:line="322" w:lineRule="exact" w:before="0"/>
                      <w:ind w:left="0" w:right="-2" w:firstLine="0"/>
                      <w:jc w:val="left"/>
                      <w:rPr>
                        <w:rFonts w:ascii="Calibri"/>
                        <w:sz w:val="18"/>
                      </w:rPr>
                    </w:pPr>
                    <w:r>
                      <w:rPr>
                        <w:rFonts w:ascii="Calibri"/>
                        <w:color w:val="404040"/>
                        <w:position w:val="-13"/>
                        <w:sz w:val="18"/>
                      </w:rPr>
                      <w:t>9   </w:t>
                    </w:r>
                    <w:r>
                      <w:rPr>
                        <w:rFonts w:ascii="Calibri"/>
                        <w:color w:val="404040"/>
                        <w:position w:val="-7"/>
                        <w:sz w:val="18"/>
                      </w:rPr>
                      <w:t>12  </w:t>
                    </w:r>
                    <w:r>
                      <w:rPr>
                        <w:rFonts w:ascii="Calibri"/>
                        <w:color w:val="404040"/>
                        <w:sz w:val="18"/>
                      </w:rPr>
                      <w:t>16</w:t>
                    </w:r>
                  </w:p>
                </w:txbxContent>
              </v:textbox>
              <w10:wrap type="none"/>
            </v:shape>
            <v:shape style="position:absolute;left:8808;top:4841;width:902;height:201" type="#_x0000_t202" filled="false" stroked="false">
              <v:textbox inset="0,0,0,0">
                <w:txbxContent>
                  <w:p>
                    <w:pPr>
                      <w:spacing w:line="200" w:lineRule="exact" w:before="0"/>
                      <w:ind w:left="0" w:right="-12" w:firstLine="0"/>
                      <w:jc w:val="left"/>
                      <w:rPr>
                        <w:rFonts w:ascii="Calibri"/>
                        <w:sz w:val="18"/>
                      </w:rPr>
                    </w:pPr>
                    <w:r>
                      <w:rPr>
                        <w:rFonts w:ascii="Calibri"/>
                        <w:color w:val="404040"/>
                        <w:position w:val="2"/>
                        <w:sz w:val="18"/>
                      </w:rPr>
                      <w:t>2    </w:t>
                    </w:r>
                    <w:r>
                      <w:rPr>
                        <w:rFonts w:ascii="Calibri"/>
                        <w:color w:val="404040"/>
                        <w:sz w:val="18"/>
                      </w:rPr>
                      <w:t>1    1     1</w:t>
                    </w:r>
                  </w:p>
                </w:txbxContent>
              </v:textbox>
              <w10:wrap type="none"/>
            </v:shape>
            <v:shape style="position:absolute;left:2232;top:5071;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0</w:t>
                    </w:r>
                  </w:p>
                </w:txbxContent>
              </v:textbox>
              <w10:wrap type="none"/>
            </v:shape>
            <v:shape style="position:absolute;left:2645;top:5305;width:1194;height:180" type="#_x0000_t202" filled="false" stroked="false">
              <v:textbox inset="0,0,0,0">
                <w:txbxContent>
                  <w:p>
                    <w:pPr>
                      <w:spacing w:line="180" w:lineRule="exact" w:before="0"/>
                      <w:ind w:left="0" w:right="-17" w:firstLine="0"/>
                      <w:jc w:val="left"/>
                      <w:rPr>
                        <w:rFonts w:ascii="Calibri"/>
                        <w:sz w:val="18"/>
                      </w:rPr>
                    </w:pPr>
                    <w:r>
                      <w:rPr>
                        <w:rFonts w:ascii="Calibri"/>
                        <w:color w:val="585858"/>
                        <w:sz w:val="18"/>
                      </w:rPr>
                      <w:t>Muy de</w:t>
                    </w:r>
                    <w:r>
                      <w:rPr>
                        <w:rFonts w:ascii="Calibri"/>
                        <w:color w:val="585858"/>
                        <w:spacing w:val="-4"/>
                        <w:sz w:val="18"/>
                      </w:rPr>
                      <w:t> </w:t>
                    </w:r>
                    <w:r>
                      <w:rPr>
                        <w:rFonts w:ascii="Calibri"/>
                        <w:color w:val="585858"/>
                        <w:sz w:val="18"/>
                      </w:rPr>
                      <w:t>acuerdo</w:t>
                    </w:r>
                  </w:p>
                </w:txbxContent>
              </v:textbox>
              <w10:wrap type="none"/>
            </v:shape>
            <v:shape style="position:absolute;left:4327;top:5305;width:839;height:180" type="#_x0000_t202" filled="false" stroked="false">
              <v:textbox inset="0,0,0,0">
                <w:txbxContent>
                  <w:p>
                    <w:pPr>
                      <w:spacing w:line="180" w:lineRule="exact" w:before="0"/>
                      <w:ind w:left="0" w:right="-17" w:firstLine="0"/>
                      <w:jc w:val="left"/>
                      <w:rPr>
                        <w:rFonts w:ascii="Calibri"/>
                        <w:sz w:val="18"/>
                      </w:rPr>
                    </w:pPr>
                    <w:r>
                      <w:rPr>
                        <w:rFonts w:ascii="Calibri"/>
                        <w:color w:val="585858"/>
                        <w:sz w:val="18"/>
                      </w:rPr>
                      <w:t>De</w:t>
                    </w:r>
                    <w:r>
                      <w:rPr>
                        <w:rFonts w:ascii="Calibri"/>
                        <w:color w:val="585858"/>
                        <w:spacing w:val="-4"/>
                        <w:sz w:val="18"/>
                      </w:rPr>
                      <w:t> </w:t>
                    </w:r>
                    <w:r>
                      <w:rPr>
                        <w:rFonts w:ascii="Calibri"/>
                        <w:color w:val="585858"/>
                        <w:sz w:val="18"/>
                      </w:rPr>
                      <w:t>acuerdo</w:t>
                    </w:r>
                  </w:p>
                </w:txbxContent>
              </v:textbox>
              <w10:wrap type="none"/>
            </v:shape>
            <v:shape style="position:absolute;left:5842;top:5305;width:817;height:180" type="#_x0000_t202" filled="false" stroked="false">
              <v:textbox inset="0,0,0,0">
                <w:txbxContent>
                  <w:p>
                    <w:pPr>
                      <w:spacing w:line="180" w:lineRule="exact" w:before="0"/>
                      <w:ind w:left="0" w:right="-10" w:firstLine="0"/>
                      <w:jc w:val="left"/>
                      <w:rPr>
                        <w:rFonts w:ascii="Calibri"/>
                        <w:sz w:val="18"/>
                      </w:rPr>
                    </w:pPr>
                    <w:r>
                      <w:rPr>
                        <w:rFonts w:ascii="Calibri"/>
                        <w:color w:val="585858"/>
                        <w:spacing w:val="-1"/>
                        <w:sz w:val="18"/>
                      </w:rPr>
                      <w:t>Indiferente</w:t>
                    </w:r>
                  </w:p>
                </w:txbxContent>
              </v:textbox>
              <w10:wrap type="none"/>
            </v:shape>
            <v:shape style="position:absolute;left:7217;top:5305;width:2767;height:180" type="#_x0000_t202" filled="false" stroked="false">
              <v:textbox inset="0,0,0,0">
                <w:txbxContent>
                  <w:p>
                    <w:pPr>
                      <w:tabs>
                        <w:tab w:pos="1318" w:val="left" w:leader="none"/>
                      </w:tabs>
                      <w:spacing w:line="180" w:lineRule="exact" w:before="0"/>
                      <w:ind w:left="0" w:right="0" w:firstLine="0"/>
                      <w:jc w:val="left"/>
                      <w:rPr>
                        <w:rFonts w:ascii="Calibri"/>
                        <w:sz w:val="18"/>
                      </w:rPr>
                    </w:pPr>
                    <w:r>
                      <w:rPr>
                        <w:rFonts w:ascii="Calibri"/>
                        <w:color w:val="585858"/>
                        <w:sz w:val="18"/>
                      </w:rPr>
                      <w:t>En</w:t>
                    </w:r>
                    <w:r>
                      <w:rPr>
                        <w:rFonts w:ascii="Calibri"/>
                        <w:color w:val="585858"/>
                        <w:spacing w:val="-2"/>
                        <w:sz w:val="18"/>
                      </w:rPr>
                      <w:t> </w:t>
                    </w:r>
                    <w:r>
                      <w:rPr>
                        <w:rFonts w:ascii="Calibri"/>
                        <w:color w:val="585858"/>
                        <w:sz w:val="18"/>
                      </w:rPr>
                      <w:t>desacuerdo</w:t>
                      <w:tab/>
                      <w:t>Muy en</w:t>
                    </w:r>
                    <w:r>
                      <w:rPr>
                        <w:rFonts w:ascii="Calibri"/>
                        <w:color w:val="585858"/>
                        <w:spacing w:val="-5"/>
                        <w:sz w:val="18"/>
                      </w:rPr>
                      <w:t> </w:t>
                    </w:r>
                    <w:r>
                      <w:rPr>
                        <w:rFonts w:ascii="Calibri"/>
                        <w:color w:val="585858"/>
                        <w:sz w:val="18"/>
                      </w:rPr>
                      <w:t>desacuerdo</w:t>
                    </w:r>
                  </w:p>
                </w:txbxContent>
              </v:textbox>
              <w10:wrap type="none"/>
            </v:shape>
            <v:shape style="position:absolute;left:5424;top:5704;width:1605;height:180" type="#_x0000_t202" filled="false" stroked="false">
              <v:textbox inset="0,0,0,0">
                <w:txbxContent>
                  <w:p>
                    <w:pPr>
                      <w:tabs>
                        <w:tab w:pos="467" w:val="left" w:leader="none"/>
                        <w:tab w:pos="934" w:val="left" w:leader="none"/>
                        <w:tab w:pos="1401" w:val="left" w:leader="none"/>
                      </w:tabs>
                      <w:spacing w:line="180" w:lineRule="exact" w:before="0"/>
                      <w:ind w:left="0" w:right="0" w:firstLine="0"/>
                      <w:jc w:val="left"/>
                      <w:rPr>
                        <w:rFonts w:ascii="Calibri"/>
                        <w:sz w:val="18"/>
                      </w:rPr>
                    </w:pPr>
                    <w:r>
                      <w:rPr>
                        <w:rFonts w:ascii="Calibri"/>
                        <w:color w:val="585858"/>
                        <w:sz w:val="18"/>
                      </w:rPr>
                      <w:t>G1</w:t>
                      <w:tab/>
                      <w:t>G2</w:t>
                      <w:tab/>
                      <w:t>G3</w:t>
                      <w:tab/>
                    </w:r>
                    <w:r>
                      <w:rPr>
                        <w:rFonts w:ascii="Calibri"/>
                        <w:color w:val="585858"/>
                        <w:spacing w:val="-1"/>
                        <w:sz w:val="18"/>
                      </w:rPr>
                      <w:t>G4</w:t>
                    </w:r>
                  </w:p>
                </w:txbxContent>
              </v:textbox>
              <w10:wrap type="none"/>
            </v:shape>
            <w10:wrap type="topAndBottom"/>
          </v:group>
        </w:pict>
      </w:r>
      <w:r>
        <w:rPr/>
        <w:t>En</w:t>
      </w:r>
      <w:r>
        <w:rPr>
          <w:spacing w:val="-4"/>
        </w:rPr>
        <w:t> </w:t>
      </w:r>
      <w:r>
        <w:rPr/>
        <w:t>la</w:t>
      </w:r>
      <w:r>
        <w:rPr>
          <w:spacing w:val="-6"/>
        </w:rPr>
        <w:t> </w:t>
      </w:r>
      <w:r>
        <w:rPr/>
        <w:t>variable</w:t>
      </w:r>
      <w:r>
        <w:rPr>
          <w:spacing w:val="-6"/>
        </w:rPr>
        <w:t> </w:t>
      </w:r>
      <w:r>
        <w:rPr/>
        <w:t>edad,</w:t>
      </w:r>
      <w:r>
        <w:rPr>
          <w:spacing w:val="-6"/>
        </w:rPr>
        <w:t> </w:t>
      </w:r>
      <w:r>
        <w:rPr/>
        <w:t>el</w:t>
      </w:r>
      <w:r>
        <w:rPr>
          <w:spacing w:val="-7"/>
        </w:rPr>
        <w:t> </w:t>
      </w:r>
      <w:r>
        <w:rPr/>
        <w:t>análisis</w:t>
      </w:r>
      <w:r>
        <w:rPr>
          <w:spacing w:val="-7"/>
        </w:rPr>
        <w:t> </w:t>
      </w:r>
      <w:r>
        <w:rPr/>
        <w:t>muestra</w:t>
      </w:r>
      <w:r>
        <w:rPr>
          <w:spacing w:val="-4"/>
        </w:rPr>
        <w:t> </w:t>
      </w:r>
      <w:r>
        <w:rPr/>
        <w:t>que</w:t>
      </w:r>
      <w:r>
        <w:rPr>
          <w:spacing w:val="-6"/>
        </w:rPr>
        <w:t> </w:t>
      </w:r>
      <w:r>
        <w:rPr/>
        <w:t>el</w:t>
      </w:r>
      <w:r>
        <w:rPr>
          <w:spacing w:val="-5"/>
        </w:rPr>
        <w:t> </w:t>
      </w:r>
      <w:r>
        <w:rPr/>
        <w:t>Grupo 2</w:t>
      </w:r>
      <w:r>
        <w:rPr>
          <w:spacing w:val="-4"/>
        </w:rPr>
        <w:t> </w:t>
      </w:r>
      <w:r>
        <w:rPr/>
        <w:t>(de</w:t>
      </w:r>
      <w:r>
        <w:rPr>
          <w:spacing w:val="-6"/>
        </w:rPr>
        <w:t> </w:t>
      </w:r>
      <w:r>
        <w:rPr/>
        <w:t>25</w:t>
      </w:r>
      <w:r>
        <w:rPr>
          <w:spacing w:val="-6"/>
        </w:rPr>
        <w:t> </w:t>
      </w:r>
      <w:r>
        <w:rPr/>
        <w:t>a</w:t>
      </w:r>
      <w:r>
        <w:rPr>
          <w:spacing w:val="-6"/>
        </w:rPr>
        <w:t> </w:t>
      </w:r>
      <w:r>
        <w:rPr/>
        <w:t>34</w:t>
      </w:r>
      <w:r>
        <w:rPr>
          <w:spacing w:val="-6"/>
        </w:rPr>
        <w:t> </w:t>
      </w:r>
      <w:r>
        <w:rPr/>
        <w:t>años)</w:t>
      </w:r>
      <w:r>
        <w:rPr>
          <w:spacing w:val="-5"/>
        </w:rPr>
        <w:t> </w:t>
      </w:r>
      <w:r>
        <w:rPr/>
        <w:t>es</w:t>
      </w:r>
      <w:r>
        <w:rPr>
          <w:spacing w:val="-7"/>
        </w:rPr>
        <w:t> </w:t>
      </w:r>
      <w:r>
        <w:rPr/>
        <w:t>aquel con mayor inclinación positiva ante el uso de anglicismos, mostrando 28 respuestas “de acuerdo”</w:t>
      </w:r>
      <w:r>
        <w:rPr>
          <w:spacing w:val="-12"/>
        </w:rPr>
        <w:t> </w:t>
      </w:r>
      <w:r>
        <w:rPr/>
        <w:t>y</w:t>
      </w:r>
      <w:r>
        <w:rPr>
          <w:spacing w:val="-14"/>
        </w:rPr>
        <w:t> </w:t>
      </w:r>
      <w:r>
        <w:rPr/>
        <w:t>14</w:t>
      </w:r>
      <w:r>
        <w:rPr>
          <w:spacing w:val="-11"/>
        </w:rPr>
        <w:t> </w:t>
      </w:r>
      <w:r>
        <w:rPr/>
        <w:t>“muy</w:t>
      </w:r>
      <w:r>
        <w:rPr>
          <w:spacing w:val="-14"/>
        </w:rPr>
        <w:t> </w:t>
      </w:r>
      <w:r>
        <w:rPr/>
        <w:t>de</w:t>
      </w:r>
      <w:r>
        <w:rPr>
          <w:spacing w:val="-11"/>
        </w:rPr>
        <w:t> </w:t>
      </w:r>
      <w:r>
        <w:rPr/>
        <w:t>acuerdo,</w:t>
      </w:r>
      <w:r>
        <w:rPr>
          <w:spacing w:val="-11"/>
        </w:rPr>
        <w:t> </w:t>
      </w:r>
      <w:r>
        <w:rPr/>
        <w:t>seguido</w:t>
      </w:r>
      <w:r>
        <w:rPr>
          <w:spacing w:val="-13"/>
        </w:rPr>
        <w:t> </w:t>
      </w:r>
      <w:r>
        <w:rPr/>
        <w:t>del</w:t>
      </w:r>
      <w:r>
        <w:rPr>
          <w:spacing w:val="-12"/>
        </w:rPr>
        <w:t> </w:t>
      </w:r>
      <w:r>
        <w:rPr/>
        <w:t>grupo</w:t>
      </w:r>
      <w:r>
        <w:rPr>
          <w:spacing w:val="-11"/>
        </w:rPr>
        <w:t> </w:t>
      </w:r>
      <w:r>
        <w:rPr/>
        <w:t>3</w:t>
      </w:r>
      <w:r>
        <w:rPr>
          <w:spacing w:val="-11"/>
        </w:rPr>
        <w:t> </w:t>
      </w:r>
      <w:r>
        <w:rPr/>
        <w:t>(de</w:t>
      </w:r>
      <w:r>
        <w:rPr>
          <w:spacing w:val="-13"/>
        </w:rPr>
        <w:t> </w:t>
      </w:r>
      <w:r>
        <w:rPr/>
        <w:t>35</w:t>
      </w:r>
      <w:r>
        <w:rPr>
          <w:spacing w:val="-11"/>
        </w:rPr>
        <w:t> </w:t>
      </w:r>
      <w:r>
        <w:rPr/>
        <w:t>a</w:t>
      </w:r>
      <w:r>
        <w:rPr>
          <w:spacing w:val="-11"/>
        </w:rPr>
        <w:t> </w:t>
      </w:r>
      <w:r>
        <w:rPr/>
        <w:t>44</w:t>
      </w:r>
      <w:r>
        <w:rPr>
          <w:spacing w:val="-11"/>
        </w:rPr>
        <w:t> </w:t>
      </w:r>
      <w:r>
        <w:rPr/>
        <w:t>años)</w:t>
      </w:r>
      <w:r>
        <w:rPr>
          <w:spacing w:val="-12"/>
        </w:rPr>
        <w:t> </w:t>
      </w:r>
      <w:r>
        <w:rPr/>
        <w:t>con</w:t>
      </w:r>
      <w:r>
        <w:rPr>
          <w:spacing w:val="-11"/>
        </w:rPr>
        <w:t> </w:t>
      </w:r>
      <w:r>
        <w:rPr/>
        <w:t>33</w:t>
      </w:r>
      <w:r>
        <w:rPr>
          <w:spacing w:val="-11"/>
        </w:rPr>
        <w:t> </w:t>
      </w:r>
      <w:r>
        <w:rPr/>
        <w:t>respuestas “de acuerdo” y 6 “muy de acuerdo”, el grupo 1 acumuló 25 respuestas “de acuerdo” y 12 respuestas “muy de acuerdo”. Por último, el grupo 4 (de 45 y 54 años) muestra 21 respuestas “de acuerdo” y 13 “muy de acuerdo” (Ver figura</w:t>
      </w:r>
      <w:r>
        <w:rPr>
          <w:spacing w:val="-22"/>
        </w:rPr>
        <w:t> </w:t>
      </w:r>
      <w:r>
        <w:rPr/>
        <w:t>4.2.5.).</w:t>
      </w:r>
    </w:p>
    <w:p>
      <w:pPr>
        <w:spacing w:before="0"/>
        <w:ind w:left="691" w:right="0" w:firstLine="0"/>
        <w:jc w:val="center"/>
        <w:rPr>
          <w:b/>
          <w:sz w:val="20"/>
        </w:rPr>
      </w:pPr>
      <w:r>
        <w:rPr>
          <w:b/>
          <w:sz w:val="20"/>
        </w:rPr>
        <w:t>Figura 4.2.5. Respuestas de la variable edad en aseveraciones favorables</w:t>
      </w:r>
    </w:p>
    <w:p>
      <w:pPr>
        <w:pStyle w:val="BodyText"/>
        <w:spacing w:before="2"/>
        <w:rPr>
          <w:b/>
          <w:sz w:val="27"/>
        </w:rPr>
      </w:pPr>
    </w:p>
    <w:p>
      <w:pPr>
        <w:pStyle w:val="BodyText"/>
        <w:spacing w:line="360" w:lineRule="auto" w:before="1"/>
        <w:ind w:left="102" w:right="107" w:firstLine="707"/>
        <w:jc w:val="both"/>
      </w:pPr>
      <w:r>
        <w:rPr/>
        <w:pict>
          <v:group style="position:absolute;margin-left:100.184998pt;margin-top:107.720871pt;width:411.65pt;height:170.8pt;mso-position-horizontal-relative:page;mso-position-vertical-relative:paragraph;z-index:2728;mso-wrap-distance-left:0;mso-wrap-distance-right:0" coordorigin="2004,2154" coordsize="8233,3416">
            <v:shape style="position:absolute;left:2489;top:3832;width:7522;height:811" type="#_x0000_t75" stroked="false">
              <v:imagedata r:id="rId50" o:title=""/>
            </v:shape>
            <v:line style="position:absolute" from="7982,4238" to="10010,4238" stroked="true" strokeweight=".72pt" strokecolor="#d9d9d9"/>
            <v:line style="position:absolute" from="7714,4238" to="7795,4238" stroked="true" strokeweight=".72pt" strokecolor="#d9d9d9"/>
            <v:line style="position:absolute" from="5246,4238" to="7524,4238" stroked="true" strokeweight=".72pt" strokecolor="#d9d9d9"/>
            <v:line style="position:absolute" from="2489,4238" to="5057,4238" stroked="true" strokeweight=".72pt" strokecolor="#d9d9d9"/>
            <v:line style="position:absolute" from="2489,3832" to="10010,3832" stroked="true" strokeweight=".72pt" strokecolor="#d9d9d9"/>
            <v:line style="position:absolute" from="2489,3832" to="2489,4644" stroked="true" strokeweight=".72pt" strokecolor="#d9d9d9"/>
            <v:line style="position:absolute" from="3994,3832" to="3994,4644" stroked="true" strokeweight=".72pt" strokecolor="#d9d9d9"/>
            <v:line style="position:absolute" from="5498,3832" to="5498,4644" stroked="true" strokeweight=".72pt" strokecolor="#d9d9d9"/>
            <v:line style="position:absolute" from="7001,3832" to="7001,4644" stroked="true" strokeweight=".72pt" strokecolor="#d9d9d9"/>
            <v:line style="position:absolute" from="8506,3832" to="8506,4644" stroked="true" strokeweight=".72pt" strokecolor="#d9d9d9"/>
            <v:line style="position:absolute" from="10010,3832" to="10010,4644" stroked="true" strokeweight=".72pt" strokecolor="#d9d9d9"/>
            <v:rect style="position:absolute;left:2741;top:4480;width:190;height:163" filled="true" fillcolor="#6fac46" stroked="false">
              <v:fill type="solid"/>
            </v:rect>
            <v:rect style="position:absolute;left:4246;top:4320;width:190;height:324" filled="true" fillcolor="#6fac46" stroked="false">
              <v:fill type="solid"/>
            </v:rect>
            <v:rect style="position:absolute;left:5750;top:4257;width:190;height:386" filled="true" fillcolor="#6fac46" stroked="false">
              <v:fill type="solid"/>
            </v:rect>
            <v:rect style="position:absolute;left:7255;top:4358;width:187;height:286" filled="true" fillcolor="#6fac46" stroked="false">
              <v:fill type="solid"/>
            </v:rect>
            <v:line style="position:absolute" from="8758,4612" to="8947,4612" stroked="true" strokeweight="3.12pt" strokecolor="#6fac46"/>
            <v:line style="position:absolute" from="3012,4633" to="3202,4633" stroked="true" strokeweight="1.08pt" strokecolor="#4471c4"/>
            <v:rect style="position:absolute;left:4517;top:4320;width:187;height:324" filled="true" fillcolor="#4471c4" stroked="false">
              <v:fill type="solid"/>
            </v:rect>
            <v:line style="position:absolute" from="6019,4623" to="6209,4623" stroked="true" strokeweight="2.04pt" strokecolor="#4471c4"/>
            <v:rect style="position:absolute;left:7524;top:3914;width:190;height:730" filled="true" fillcolor="#4471c4" stroked="false">
              <v:fill type="solid"/>
            </v:rect>
            <v:rect style="position:absolute;left:9029;top:4540;width:190;height:103" filled="true" fillcolor="#4471c4" stroked="false">
              <v:fill type="solid"/>
            </v:rect>
            <v:rect style="position:absolute;left:3283;top:4480;width:187;height:163" filled="true" fillcolor="#ffc000" stroked="false">
              <v:fill type="solid"/>
            </v:rect>
            <v:rect style="position:absolute;left:4786;top:4358;width:190;height:286" filled="true" fillcolor="#ffc000" stroked="false">
              <v:fill type="solid"/>
            </v:rect>
            <v:line style="position:absolute" from="6290,4603" to="6480,4603" stroked="true" strokeweight="4.08pt" strokecolor="#ffc000"/>
            <v:rect style="position:absolute;left:7795;top:4056;width:187;height:588" filled="true" fillcolor="#ffc000" stroked="false">
              <v:fill type="solid"/>
            </v:rect>
            <v:rect style="position:absolute;left:9298;top:4540;width:190;height:103" filled="true" fillcolor="#ffc000" stroked="false">
              <v:fill type="solid"/>
            </v:rect>
            <v:rect style="position:absolute;left:3552;top:4540;width:190;height:103" filled="true" fillcolor="#43682b" stroked="false">
              <v:fill type="solid"/>
            </v:rect>
            <v:rect style="position:absolute;left:5057;top:4034;width:190;height:610" filled="true" fillcolor="#43682b" stroked="false">
              <v:fill type="solid"/>
            </v:rect>
            <v:rect style="position:absolute;left:6562;top:4521;width:187;height:122" filled="true" fillcolor="#43682b" stroked="false">
              <v:fill type="solid"/>
            </v:rect>
            <v:rect style="position:absolute;left:8064;top:4380;width:190;height:264" filled="true" fillcolor="#43682b" stroked="false">
              <v:fill type="solid"/>
            </v:rect>
            <v:rect style="position:absolute;left:9569;top:4521;width:190;height:122" filled="true" fillcolor="#43682b" stroked="false">
              <v:fill type="solid"/>
            </v:rect>
            <v:line style="position:absolute" from="2489,4644" to="10010,4644" stroked="true" strokeweight=".72pt" strokecolor="#d9d9d9"/>
            <v:line style="position:absolute" from="5332,5227" to="5332,5325" stroked="true" strokeweight="4.92pt" strokecolor="#6fac46"/>
            <v:line style="position:absolute" from="5800,5227" to="5800,5325" stroked="true" strokeweight="4.92pt" strokecolor="#4471c4"/>
            <v:line style="position:absolute" from="6265,5227" to="6265,5325" stroked="true" strokeweight="4.92pt" strokecolor="#ffc000"/>
            <v:line style="position:absolute" from="6733,5227" to="6733,5325" stroked="true" strokeweight="4.92pt" strokecolor="#43682b"/>
            <v:rect style="position:absolute;left:2011;top:2162;width:8218;height:3401" filled="false" stroked="true" strokeweight=".72pt" strokecolor="#d9d9d9"/>
            <v:shape style="position:absolute;left:3594;top:2388;width:5054;height:800" type="#_x0000_t202" filled="false" stroked="false">
              <v:textbox inset="0,0,0,0">
                <w:txbxContent>
                  <w:p>
                    <w:pPr>
                      <w:spacing w:line="367" w:lineRule="exact" w:before="0"/>
                      <w:ind w:left="0" w:right="2" w:firstLine="0"/>
                      <w:jc w:val="center"/>
                      <w:rPr>
                        <w:rFonts w:ascii="Calibri Light"/>
                        <w:b w:val="0"/>
                        <w:sz w:val="36"/>
                      </w:rPr>
                    </w:pPr>
                    <w:r>
                      <w:rPr>
                        <w:rFonts w:ascii="Calibri Light"/>
                        <w:b w:val="0"/>
                        <w:color w:val="7E7E7E"/>
                        <w:spacing w:val="-3"/>
                        <w:sz w:val="36"/>
                      </w:rPr>
                      <w:t>Respuestas </w:t>
                    </w:r>
                    <w:r>
                      <w:rPr>
                        <w:rFonts w:ascii="Calibri Light"/>
                        <w:b w:val="0"/>
                        <w:color w:val="7E7E7E"/>
                        <w:sz w:val="36"/>
                      </w:rPr>
                      <w:t>en</w:t>
                    </w:r>
                    <w:r>
                      <w:rPr>
                        <w:rFonts w:ascii="Calibri Light"/>
                        <w:b w:val="0"/>
                        <w:color w:val="7E7E7E"/>
                        <w:spacing w:val="-5"/>
                        <w:sz w:val="36"/>
                      </w:rPr>
                      <w:t> </w:t>
                    </w:r>
                    <w:r>
                      <w:rPr>
                        <w:rFonts w:ascii="Calibri Light"/>
                        <w:b w:val="0"/>
                        <w:color w:val="7E7E7E"/>
                        <w:sz w:val="36"/>
                      </w:rPr>
                      <w:t>aseveraciones</w:t>
                    </w:r>
                  </w:p>
                  <w:p>
                    <w:pPr>
                      <w:spacing w:line="433" w:lineRule="exact" w:before="0"/>
                      <w:ind w:left="0" w:right="0" w:firstLine="0"/>
                      <w:jc w:val="center"/>
                      <w:rPr>
                        <w:rFonts w:ascii="Calibri Light"/>
                        <w:b w:val="0"/>
                        <w:sz w:val="36"/>
                      </w:rPr>
                    </w:pPr>
                    <w:r>
                      <w:rPr>
                        <w:rFonts w:ascii="Calibri Light"/>
                        <w:b w:val="0"/>
                        <w:color w:val="7E7E7E"/>
                        <w:spacing w:val="-3"/>
                        <w:sz w:val="36"/>
                      </w:rPr>
                      <w:t>"Desfavorables" </w:t>
                    </w:r>
                    <w:r>
                      <w:rPr>
                        <w:rFonts w:ascii="Calibri Light"/>
                        <w:b w:val="0"/>
                        <w:color w:val="7E7E7E"/>
                        <w:sz w:val="36"/>
                      </w:rPr>
                      <w:t>en grupos de edad</w:t>
                    </w:r>
                  </w:p>
                </w:txbxContent>
              </v:textbox>
              <w10:wrap type="none"/>
            </v:shape>
            <v:shape style="position:absolute;left:2140;top:3750;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40</w:t>
                    </w:r>
                  </w:p>
                </w:txbxContent>
              </v:textbox>
              <w10:wrap type="none"/>
            </v:shape>
            <v:shape style="position:absolute;left:5060;top:3763;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30</w:t>
                    </w:r>
                  </w:p>
                </w:txbxContent>
              </v:textbox>
              <w10:wrap type="none"/>
            </v:shape>
            <v:shape style="position:absolute;left:7528;top:3641;width:453;height:322" type="#_x0000_t202" filled="false" stroked="false">
              <v:textbox inset="0,0,0,0">
                <w:txbxContent>
                  <w:p>
                    <w:pPr>
                      <w:spacing w:line="144" w:lineRule="exact" w:before="0"/>
                      <w:ind w:left="0" w:right="-14" w:firstLine="0"/>
                      <w:jc w:val="left"/>
                      <w:rPr>
                        <w:rFonts w:ascii="Calibri"/>
                        <w:sz w:val="18"/>
                      </w:rPr>
                    </w:pPr>
                    <w:r>
                      <w:rPr>
                        <w:rFonts w:ascii="Calibri"/>
                        <w:color w:val="404040"/>
                        <w:sz w:val="18"/>
                      </w:rPr>
                      <w:t>36</w:t>
                    </w:r>
                  </w:p>
                  <w:p>
                    <w:pPr>
                      <w:spacing w:line="178" w:lineRule="exact" w:before="0"/>
                      <w:ind w:left="270" w:right="-20" w:firstLine="0"/>
                      <w:jc w:val="left"/>
                      <w:rPr>
                        <w:rFonts w:ascii="Calibri"/>
                        <w:sz w:val="18"/>
                      </w:rPr>
                    </w:pPr>
                    <w:r>
                      <w:rPr>
                        <w:rFonts w:ascii="Calibri"/>
                        <w:color w:val="404040"/>
                        <w:sz w:val="18"/>
                      </w:rPr>
                      <w:t>29</w:t>
                    </w:r>
                  </w:p>
                </w:txbxContent>
              </v:textbox>
              <w10:wrap type="none"/>
            </v:shape>
            <v:shape style="position:absolute;left:2140;top:4155;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20</w:t>
                    </w:r>
                  </w:p>
                </w:txbxContent>
              </v:textbox>
              <w10:wrap type="none"/>
            </v:shape>
            <v:shape style="position:absolute;left:2790;top:4208;width:632;height:322" type="#_x0000_t202" filled="false" stroked="false">
              <v:textbox inset="0,0,0,0">
                <w:txbxContent>
                  <w:p>
                    <w:pPr>
                      <w:tabs>
                        <w:tab w:pos="540" w:val="left" w:leader="none"/>
                      </w:tabs>
                      <w:spacing w:line="144" w:lineRule="exact" w:before="0"/>
                      <w:ind w:left="0" w:right="0" w:firstLine="0"/>
                      <w:jc w:val="center"/>
                      <w:rPr>
                        <w:rFonts w:ascii="Calibri"/>
                        <w:sz w:val="18"/>
                      </w:rPr>
                    </w:pPr>
                    <w:r>
                      <w:rPr>
                        <w:rFonts w:ascii="Calibri"/>
                        <w:color w:val="404040"/>
                        <w:sz w:val="18"/>
                      </w:rPr>
                      <w:t>8</w:t>
                      <w:tab/>
                      <w:t>8</w:t>
                    </w:r>
                  </w:p>
                  <w:p>
                    <w:pPr>
                      <w:spacing w:line="177" w:lineRule="exact" w:before="0"/>
                      <w:ind w:left="0" w:right="0" w:firstLine="0"/>
                      <w:jc w:val="center"/>
                      <w:rPr>
                        <w:rFonts w:ascii="Calibri"/>
                        <w:sz w:val="18"/>
                      </w:rPr>
                    </w:pPr>
                    <w:r>
                      <w:rPr>
                        <w:rFonts w:ascii="Calibri"/>
                        <w:color w:val="404040"/>
                        <w:sz w:val="18"/>
                      </w:rPr>
                      <w:t>1</w:t>
                    </w:r>
                  </w:p>
                </w:txbxContent>
              </v:textbox>
              <w10:wrap type="none"/>
            </v:shape>
            <v:shape style="position:absolute;left:4248;top:4046;width:724;height:221" type="#_x0000_t202" filled="false" stroked="false">
              <v:textbox inset="0,0,0,0">
                <w:txbxContent>
                  <w:p>
                    <w:pPr>
                      <w:spacing w:line="221" w:lineRule="exact" w:before="0"/>
                      <w:ind w:left="0" w:right="-7" w:firstLine="0"/>
                      <w:jc w:val="left"/>
                      <w:rPr>
                        <w:rFonts w:ascii="Calibri"/>
                        <w:sz w:val="18"/>
                      </w:rPr>
                    </w:pPr>
                    <w:r>
                      <w:rPr>
                        <w:rFonts w:ascii="Calibri"/>
                        <w:color w:val="404040"/>
                        <w:sz w:val="18"/>
                      </w:rPr>
                      <w:t>16  16  </w:t>
                    </w:r>
                    <w:r>
                      <w:rPr>
                        <w:rFonts w:ascii="Calibri"/>
                        <w:color w:val="404040"/>
                        <w:position w:val="-3"/>
                        <w:sz w:val="18"/>
                      </w:rPr>
                      <w:t>14</w:t>
                    </w:r>
                  </w:p>
                </w:txbxContent>
              </v:textbox>
              <w10:wrap type="none"/>
            </v:shape>
            <v:shape style="position:absolute;left:5753;top:3985;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19</w:t>
                    </w:r>
                  </w:p>
                </w:txbxContent>
              </v:textbox>
              <w10:wrap type="none"/>
            </v:shape>
            <v:shape style="position:absolute;left:7258;top:4087;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14</w:t>
                    </w:r>
                  </w:p>
                </w:txbxContent>
              </v:textbox>
              <w10:wrap type="none"/>
            </v:shape>
            <v:shape style="position:absolute;left:8068;top:4107;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13</w:t>
                    </w:r>
                  </w:p>
                </w:txbxContent>
              </v:textbox>
              <w10:wrap type="none"/>
            </v:shape>
            <v:shape style="position:absolute;left:3600;top:4269;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5</w:t>
                    </w:r>
                  </w:p>
                </w:txbxContent>
              </v:textbox>
              <w10:wrap type="none"/>
            </v:shape>
            <v:shape style="position:absolute;left:6069;top:4330;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2</w:t>
                    </w:r>
                  </w:p>
                </w:txbxContent>
              </v:textbox>
              <w10:wrap type="none"/>
            </v:shape>
            <v:shape style="position:absolute;left:6339;top:4289;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4</w:t>
                    </w:r>
                  </w:p>
                </w:txbxContent>
              </v:textbox>
              <w10:wrap type="none"/>
            </v:shape>
            <v:shape style="position:absolute;left:6610;top:4248;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6</w:t>
                    </w:r>
                  </w:p>
                </w:txbxContent>
              </v:textbox>
              <w10:wrap type="none"/>
            </v:shape>
            <v:shape style="position:absolute;left:8808;top:4309;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3</w:t>
                    </w:r>
                  </w:p>
                </w:txbxContent>
              </v:textbox>
              <w10:wrap type="none"/>
            </v:shape>
            <v:shape style="position:absolute;left:9078;top:4269;width:362;height:180" type="#_x0000_t202" filled="false" stroked="false">
              <v:textbox inset="0,0,0,0">
                <w:txbxContent>
                  <w:p>
                    <w:pPr>
                      <w:spacing w:line="180" w:lineRule="exact" w:before="0"/>
                      <w:ind w:left="0" w:right="-4" w:firstLine="0"/>
                      <w:jc w:val="left"/>
                      <w:rPr>
                        <w:rFonts w:ascii="Calibri"/>
                        <w:sz w:val="18"/>
                      </w:rPr>
                    </w:pPr>
                    <w:r>
                      <w:rPr>
                        <w:rFonts w:ascii="Calibri"/>
                        <w:color w:val="404040"/>
                        <w:sz w:val="18"/>
                      </w:rPr>
                      <w:t>5    5</w:t>
                    </w:r>
                  </w:p>
                </w:txbxContent>
              </v:textbox>
              <w10:wrap type="none"/>
            </v:shape>
            <v:shape style="position:absolute;left:9618;top:4248;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6</w:t>
                    </w:r>
                  </w:p>
                </w:txbxContent>
              </v:textbox>
              <w10:wrap type="none"/>
            </v:shape>
            <v:shape style="position:absolute;left:2232;top:4560;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0</w:t>
                    </w:r>
                  </w:p>
                </w:txbxContent>
              </v:textbox>
              <w10:wrap type="none"/>
            </v:shape>
            <v:shape style="position:absolute;left:2645;top:4794;width:1194;height:180" type="#_x0000_t202" filled="false" stroked="false">
              <v:textbox inset="0,0,0,0">
                <w:txbxContent>
                  <w:p>
                    <w:pPr>
                      <w:spacing w:line="180" w:lineRule="exact" w:before="0"/>
                      <w:ind w:left="0" w:right="-17" w:firstLine="0"/>
                      <w:jc w:val="left"/>
                      <w:rPr>
                        <w:rFonts w:ascii="Calibri"/>
                        <w:sz w:val="18"/>
                      </w:rPr>
                    </w:pPr>
                    <w:r>
                      <w:rPr>
                        <w:rFonts w:ascii="Calibri"/>
                        <w:color w:val="585858"/>
                        <w:sz w:val="18"/>
                      </w:rPr>
                      <w:t>Muy de</w:t>
                    </w:r>
                    <w:r>
                      <w:rPr>
                        <w:rFonts w:ascii="Calibri"/>
                        <w:color w:val="585858"/>
                        <w:spacing w:val="-4"/>
                        <w:sz w:val="18"/>
                      </w:rPr>
                      <w:t> </w:t>
                    </w:r>
                    <w:r>
                      <w:rPr>
                        <w:rFonts w:ascii="Calibri"/>
                        <w:color w:val="585858"/>
                        <w:sz w:val="18"/>
                      </w:rPr>
                      <w:t>acuerdo</w:t>
                    </w:r>
                  </w:p>
                </w:txbxContent>
              </v:textbox>
              <w10:wrap type="none"/>
            </v:shape>
            <v:shape style="position:absolute;left:4327;top:4794;width:839;height:180" type="#_x0000_t202" filled="false" stroked="false">
              <v:textbox inset="0,0,0,0">
                <w:txbxContent>
                  <w:p>
                    <w:pPr>
                      <w:spacing w:line="180" w:lineRule="exact" w:before="0"/>
                      <w:ind w:left="0" w:right="-17" w:firstLine="0"/>
                      <w:jc w:val="left"/>
                      <w:rPr>
                        <w:rFonts w:ascii="Calibri"/>
                        <w:sz w:val="18"/>
                      </w:rPr>
                    </w:pPr>
                    <w:r>
                      <w:rPr>
                        <w:rFonts w:ascii="Calibri"/>
                        <w:color w:val="585858"/>
                        <w:sz w:val="18"/>
                      </w:rPr>
                      <w:t>De</w:t>
                    </w:r>
                    <w:r>
                      <w:rPr>
                        <w:rFonts w:ascii="Calibri"/>
                        <w:color w:val="585858"/>
                        <w:spacing w:val="-4"/>
                        <w:sz w:val="18"/>
                      </w:rPr>
                      <w:t> </w:t>
                    </w:r>
                    <w:r>
                      <w:rPr>
                        <w:rFonts w:ascii="Calibri"/>
                        <w:color w:val="585858"/>
                        <w:sz w:val="18"/>
                      </w:rPr>
                      <w:t>acuerdo</w:t>
                    </w:r>
                  </w:p>
                </w:txbxContent>
              </v:textbox>
              <w10:wrap type="none"/>
            </v:shape>
            <v:shape style="position:absolute;left:5842;top:4794;width:817;height:180" type="#_x0000_t202" filled="false" stroked="false">
              <v:textbox inset="0,0,0,0">
                <w:txbxContent>
                  <w:p>
                    <w:pPr>
                      <w:spacing w:line="180" w:lineRule="exact" w:before="0"/>
                      <w:ind w:left="0" w:right="-10" w:firstLine="0"/>
                      <w:jc w:val="left"/>
                      <w:rPr>
                        <w:rFonts w:ascii="Calibri"/>
                        <w:sz w:val="18"/>
                      </w:rPr>
                    </w:pPr>
                    <w:r>
                      <w:rPr>
                        <w:rFonts w:ascii="Calibri"/>
                        <w:color w:val="585858"/>
                        <w:spacing w:val="-1"/>
                        <w:sz w:val="18"/>
                      </w:rPr>
                      <w:t>Indiferente</w:t>
                    </w:r>
                  </w:p>
                </w:txbxContent>
              </v:textbox>
              <w10:wrap type="none"/>
            </v:shape>
            <v:shape style="position:absolute;left:7217;top:4794;width:2767;height:180" type="#_x0000_t202" filled="false" stroked="false">
              <v:textbox inset="0,0,0,0">
                <w:txbxContent>
                  <w:p>
                    <w:pPr>
                      <w:tabs>
                        <w:tab w:pos="1318" w:val="left" w:leader="none"/>
                      </w:tabs>
                      <w:spacing w:line="180" w:lineRule="exact" w:before="0"/>
                      <w:ind w:left="0" w:right="0" w:firstLine="0"/>
                      <w:jc w:val="left"/>
                      <w:rPr>
                        <w:rFonts w:ascii="Calibri"/>
                        <w:sz w:val="18"/>
                      </w:rPr>
                    </w:pPr>
                    <w:r>
                      <w:rPr>
                        <w:rFonts w:ascii="Calibri"/>
                        <w:color w:val="585858"/>
                        <w:sz w:val="18"/>
                      </w:rPr>
                      <w:t>En</w:t>
                    </w:r>
                    <w:r>
                      <w:rPr>
                        <w:rFonts w:ascii="Calibri"/>
                        <w:color w:val="585858"/>
                        <w:spacing w:val="-2"/>
                        <w:sz w:val="18"/>
                      </w:rPr>
                      <w:t> </w:t>
                    </w:r>
                    <w:r>
                      <w:rPr>
                        <w:rFonts w:ascii="Calibri"/>
                        <w:color w:val="585858"/>
                        <w:sz w:val="18"/>
                      </w:rPr>
                      <w:t>desacuerdo</w:t>
                      <w:tab/>
                      <w:t>Muy en</w:t>
                    </w:r>
                    <w:r>
                      <w:rPr>
                        <w:rFonts w:ascii="Calibri"/>
                        <w:color w:val="585858"/>
                        <w:spacing w:val="-5"/>
                        <w:sz w:val="18"/>
                      </w:rPr>
                      <w:t> </w:t>
                    </w:r>
                    <w:r>
                      <w:rPr>
                        <w:rFonts w:ascii="Calibri"/>
                        <w:color w:val="585858"/>
                        <w:sz w:val="18"/>
                      </w:rPr>
                      <w:t>desacuerdo</w:t>
                    </w:r>
                  </w:p>
                </w:txbxContent>
              </v:textbox>
              <w10:wrap type="none"/>
            </v:shape>
            <v:shape style="position:absolute;left:5424;top:5193;width:1605;height:180" type="#_x0000_t202" filled="false" stroked="false">
              <v:textbox inset="0,0,0,0">
                <w:txbxContent>
                  <w:p>
                    <w:pPr>
                      <w:tabs>
                        <w:tab w:pos="467" w:val="left" w:leader="none"/>
                        <w:tab w:pos="934" w:val="left" w:leader="none"/>
                        <w:tab w:pos="1401" w:val="left" w:leader="none"/>
                      </w:tabs>
                      <w:spacing w:line="180" w:lineRule="exact" w:before="0"/>
                      <w:ind w:left="0" w:right="0" w:firstLine="0"/>
                      <w:jc w:val="left"/>
                      <w:rPr>
                        <w:rFonts w:ascii="Calibri"/>
                        <w:sz w:val="18"/>
                      </w:rPr>
                    </w:pPr>
                    <w:r>
                      <w:rPr>
                        <w:rFonts w:ascii="Calibri"/>
                        <w:color w:val="585858"/>
                        <w:sz w:val="18"/>
                      </w:rPr>
                      <w:t>G1</w:t>
                      <w:tab/>
                      <w:t>G2</w:t>
                      <w:tab/>
                      <w:t>G3</w:t>
                      <w:tab/>
                    </w:r>
                    <w:r>
                      <w:rPr>
                        <w:rFonts w:ascii="Calibri"/>
                        <w:color w:val="585858"/>
                        <w:spacing w:val="-1"/>
                        <w:sz w:val="18"/>
                      </w:rPr>
                      <w:t>G4</w:t>
                    </w:r>
                  </w:p>
                </w:txbxContent>
              </v:textbox>
              <w10:wrap type="none"/>
            </v:shape>
            <w10:wrap type="topAndBottom"/>
          </v:group>
        </w:pict>
      </w:r>
      <w:r>
        <w:rPr/>
        <w:t>De igual forma, en las aseveraciones con sentido desfavorable, el </w:t>
      </w:r>
      <w:r>
        <w:rPr>
          <w:i/>
        </w:rPr>
        <w:t>Grupo 2 </w:t>
      </w:r>
      <w:r>
        <w:rPr/>
        <w:t>(de 25 a 34 años de edad) muestra actitudes favorables para los anglicismos al responder 36 veces de 60 estar “en desacuerdo” con la grabación que no contenía anglicismos (Ver figura</w:t>
      </w:r>
      <w:r>
        <w:rPr>
          <w:spacing w:val="-17"/>
        </w:rPr>
        <w:t> </w:t>
      </w:r>
      <w:r>
        <w:rPr/>
        <w:t>4.2.6.),</w:t>
      </w:r>
      <w:r>
        <w:rPr>
          <w:spacing w:val="-17"/>
        </w:rPr>
        <w:t> </w:t>
      </w:r>
      <w:r>
        <w:rPr/>
        <w:t>poniendo</w:t>
      </w:r>
      <w:r>
        <w:rPr>
          <w:spacing w:val="-16"/>
        </w:rPr>
        <w:t> </w:t>
      </w:r>
      <w:r>
        <w:rPr/>
        <w:t>a</w:t>
      </w:r>
      <w:r>
        <w:rPr>
          <w:spacing w:val="-17"/>
        </w:rPr>
        <w:t> </w:t>
      </w:r>
      <w:r>
        <w:rPr/>
        <w:t>este</w:t>
      </w:r>
      <w:r>
        <w:rPr>
          <w:spacing w:val="-14"/>
        </w:rPr>
        <w:t> </w:t>
      </w:r>
      <w:r>
        <w:rPr/>
        <w:t>grupo</w:t>
      </w:r>
      <w:r>
        <w:rPr>
          <w:spacing w:val="-14"/>
        </w:rPr>
        <w:t> </w:t>
      </w:r>
      <w:r>
        <w:rPr/>
        <w:t>como</w:t>
      </w:r>
      <w:r>
        <w:rPr>
          <w:spacing w:val="-14"/>
        </w:rPr>
        <w:t> </w:t>
      </w:r>
      <w:r>
        <w:rPr/>
        <w:t>aquel</w:t>
      </w:r>
      <w:r>
        <w:rPr>
          <w:spacing w:val="-15"/>
        </w:rPr>
        <w:t> </w:t>
      </w:r>
      <w:r>
        <w:rPr/>
        <w:t>que</w:t>
      </w:r>
      <w:r>
        <w:rPr>
          <w:spacing w:val="-14"/>
        </w:rPr>
        <w:t> </w:t>
      </w:r>
      <w:r>
        <w:rPr/>
        <w:t>considera</w:t>
      </w:r>
      <w:r>
        <w:rPr>
          <w:spacing w:val="-15"/>
        </w:rPr>
        <w:t> </w:t>
      </w:r>
      <w:r>
        <w:rPr/>
        <w:t>los</w:t>
      </w:r>
      <w:r>
        <w:rPr>
          <w:spacing w:val="-17"/>
        </w:rPr>
        <w:t> </w:t>
      </w:r>
      <w:r>
        <w:rPr/>
        <w:t>anglicismos</w:t>
      </w:r>
      <w:r>
        <w:rPr>
          <w:spacing w:val="-15"/>
        </w:rPr>
        <w:t> </w:t>
      </w:r>
      <w:r>
        <w:rPr/>
        <w:t>como</w:t>
      </w:r>
      <w:r>
        <w:rPr>
          <w:spacing w:val="-17"/>
        </w:rPr>
        <w:t> </w:t>
      </w:r>
      <w:r>
        <w:rPr/>
        <w:t>una variable de</w:t>
      </w:r>
      <w:r>
        <w:rPr>
          <w:spacing w:val="-10"/>
        </w:rPr>
        <w:t> </w:t>
      </w:r>
      <w:r>
        <w:rPr/>
        <w:t>prestigio.</w:t>
      </w:r>
    </w:p>
    <w:p>
      <w:pPr>
        <w:spacing w:before="0"/>
        <w:ind w:left="690" w:right="0" w:firstLine="0"/>
        <w:jc w:val="center"/>
        <w:rPr>
          <w:b/>
          <w:sz w:val="20"/>
        </w:rPr>
      </w:pPr>
      <w:r>
        <w:rPr>
          <w:b/>
          <w:sz w:val="20"/>
        </w:rPr>
        <w:t>Figura 4.2.6. Respuestas de la variable edad en aseveraciones desfavorables</w:t>
      </w:r>
    </w:p>
    <w:p>
      <w:pPr>
        <w:spacing w:after="0"/>
        <w:jc w:val="center"/>
        <w:rPr>
          <w:sz w:val="20"/>
        </w:rPr>
        <w:sectPr>
          <w:pgSz w:w="12240" w:h="15840"/>
          <w:pgMar w:header="749" w:footer="1003" w:top="960" w:bottom="1200" w:left="1600" w:right="1020"/>
        </w:sect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70"/>
        <w:ind w:left="102" w:right="107" w:firstLine="707"/>
        <w:jc w:val="both"/>
        <w:rPr>
          <w:sz w:val="20"/>
        </w:rPr>
      </w:pPr>
      <w:r>
        <w:rPr/>
        <w:pict>
          <v:group style="position:absolute;margin-left:98.625pt;margin-top:103.040848pt;width:392.95pt;height:187.85pt;mso-position-horizontal-relative:page;mso-position-vertical-relative:paragraph;z-index:-246568" coordorigin="1973,2061" coordsize="7859,3757">
            <v:shape style="position:absolute;left:2988;top:4747;width:6778;height:14" type="#_x0000_t75" stroked="false">
              <v:imagedata r:id="rId52" o:title=""/>
            </v:shape>
            <v:shape style="position:absolute;left:2988;top:4192;width:6778;height:14" type="#_x0000_t75" stroked="false">
              <v:imagedata r:id="rId53" o:title=""/>
            </v:shape>
            <v:shape style="position:absolute;left:3290;top:4142;width:170;height:890" type="#_x0000_t75" stroked="false">
              <v:imagedata r:id="rId54" o:title=""/>
            </v:shape>
            <v:shape style="position:absolute;left:2988;top:3914;width:6778;height:14" type="#_x0000_t75" stroked="false">
              <v:imagedata r:id="rId55" o:title=""/>
            </v:shape>
            <v:shape style="position:absolute;left:2988;top:3357;width:6778;height:14" type="#_x0000_t75" stroked="false">
              <v:imagedata r:id="rId56" o:title=""/>
            </v:shape>
            <v:shape style="position:absolute;left:2988;top:3079;width:6778;height:14" type="#_x0000_t75" stroked="false">
              <v:imagedata r:id="rId57" o:title=""/>
            </v:shape>
            <v:shape style="position:absolute;left:2988;top:2803;width:6778;height:14" type="#_x0000_t75" stroked="false">
              <v:imagedata r:id="rId58" o:title=""/>
            </v:shape>
            <v:shape style="position:absolute;left:4646;top:2865;width:170;height:2167" type="#_x0000_t75" stroked="false">
              <v:imagedata r:id="rId59" o:title=""/>
            </v:shape>
            <v:shape style="position:absolute;left:6002;top:4588;width:170;height:444" type="#_x0000_t75" stroked="false">
              <v:imagedata r:id="rId60" o:title=""/>
            </v:shape>
            <v:shape style="position:absolute;left:7358;top:4200;width:170;height:833" type="#_x0000_t75" stroked="false">
              <v:imagedata r:id="rId61" o:title=""/>
            </v:shape>
            <v:shape style="position:absolute;left:8712;top:4922;width:170;height:110" type="#_x0000_t75" stroked="false">
              <v:imagedata r:id="rId62" o:title=""/>
            </v:shape>
            <v:shape style="position:absolute;left:3581;top:4365;width:170;height:667" type="#_x0000_t75" stroked="false">
              <v:imagedata r:id="rId63" o:title=""/>
            </v:shape>
            <v:shape style="position:absolute;left:4937;top:3420;width:170;height:1613" type="#_x0000_t75" stroked="false">
              <v:imagedata r:id="rId64" o:title=""/>
            </v:shape>
            <v:shape style="position:absolute;left:6293;top:4255;width:170;height:778" type="#_x0000_t75" stroked="false">
              <v:imagedata r:id="rId65" o:title=""/>
            </v:shape>
            <v:shape style="position:absolute;left:7646;top:3753;width:170;height:1279" type="#_x0000_t75" stroked="false">
              <v:imagedata r:id="rId66" o:title=""/>
            </v:shape>
            <v:shape style="position:absolute;left:9002;top:4922;width:170;height:110" type="#_x0000_t75" stroked="false">
              <v:imagedata r:id="rId67" o:title=""/>
            </v:shape>
            <v:shape style="position:absolute;left:3871;top:4087;width:170;height:946" type="#_x0000_t75" stroked="false">
              <v:imagedata r:id="rId68" o:title=""/>
            </v:shape>
            <v:shape style="position:absolute;left:5227;top:2865;width:170;height:2167" type="#_x0000_t75" stroked="false">
              <v:imagedata r:id="rId69" o:title=""/>
            </v:shape>
            <v:shape style="position:absolute;left:6581;top:4310;width:170;height:722" type="#_x0000_t75" stroked="false">
              <v:imagedata r:id="rId70" o:title=""/>
            </v:shape>
            <v:shape style="position:absolute;left:7937;top:3921;width:170;height:1111" type="#_x0000_t75" stroked="false">
              <v:imagedata r:id="rId71" o:title=""/>
            </v:shape>
            <v:shape style="position:absolute;left:9293;top:4977;width:170;height:55" type="#_x0000_t75" stroked="false">
              <v:imagedata r:id="rId72" o:title=""/>
            </v:shape>
            <v:line style="position:absolute" from="2988,5032" to="9766,5032" stroked="true" strokeweight=".72pt" strokecolor="#d9d9d9"/>
            <v:shape style="position:absolute;left:2988;top:2524;width:6778;height:14" type="#_x0000_t75" stroked="false">
              <v:imagedata r:id="rId73" o:title=""/>
            </v:shape>
            <v:shape style="position:absolute;left:3036;top:5589;width:98;height:98" type="#_x0000_t75" stroked="false">
              <v:imagedata r:id="rId74" o:title=""/>
            </v:shape>
            <v:shape style="position:absolute;left:4740;top:5589;width:98;height:98" type="#_x0000_t75" stroked="false">
              <v:imagedata r:id="rId75" o:title=""/>
            </v:shape>
            <v:shape style="position:absolute;left:6619;top:5589;width:98;height:98" type="#_x0000_t75" stroked="false">
              <v:imagedata r:id="rId76" o:title=""/>
            </v:shape>
            <v:rect style="position:absolute;left:1980;top:2068;width:7843;height:3742" filled="false" stroked="true" strokeweight=".72pt" strokecolor="#d9d9d9"/>
            <v:shape style="position:absolute;left:2892;top:2148;width:6423;height:322" type="#_x0000_t202" filled="false" stroked="true" strokeweight=".96pt" strokecolor="#4471c4">
              <v:textbox inset="0,0,0,0">
                <w:txbxContent>
                  <w:p>
                    <w:pPr>
                      <w:spacing w:line="241" w:lineRule="exact" w:before="61"/>
                      <w:ind w:left="1099" w:right="0" w:firstLine="0"/>
                      <w:jc w:val="left"/>
                      <w:rPr>
                        <w:rFonts w:ascii="Calibri"/>
                        <w:sz w:val="22"/>
                      </w:rPr>
                    </w:pPr>
                    <w:r>
                      <w:rPr>
                        <w:rFonts w:ascii="Calibri"/>
                        <w:sz w:val="22"/>
                      </w:rPr>
                      <w:t>Aseveraciones favorables por Nivel de Estudios</w:t>
                    </w:r>
                  </w:p>
                </w:txbxContent>
              </v:textbox>
              <w10:wrap type="none"/>
            </v:shape>
            <v:shape style="position:absolute;left:2640;top:2447;width:183;height:2682"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45</w:t>
                    </w:r>
                  </w:p>
                  <w:p>
                    <w:pPr>
                      <w:spacing w:before="58"/>
                      <w:ind w:left="0" w:right="-20" w:firstLine="0"/>
                      <w:jc w:val="left"/>
                      <w:rPr>
                        <w:rFonts w:ascii="Calibri"/>
                        <w:sz w:val="18"/>
                      </w:rPr>
                    </w:pPr>
                    <w:r>
                      <w:rPr>
                        <w:rFonts w:ascii="Calibri"/>
                        <w:color w:val="585858"/>
                        <w:sz w:val="18"/>
                      </w:rPr>
                      <w:t>40</w:t>
                    </w:r>
                  </w:p>
                  <w:p>
                    <w:pPr>
                      <w:spacing w:before="58"/>
                      <w:ind w:left="0" w:right="-20" w:firstLine="0"/>
                      <w:jc w:val="left"/>
                      <w:rPr>
                        <w:rFonts w:ascii="Calibri"/>
                        <w:sz w:val="18"/>
                      </w:rPr>
                    </w:pPr>
                    <w:r>
                      <w:rPr>
                        <w:rFonts w:ascii="Calibri"/>
                        <w:color w:val="585858"/>
                        <w:sz w:val="18"/>
                      </w:rPr>
                      <w:t>35</w:t>
                    </w:r>
                  </w:p>
                  <w:p>
                    <w:pPr>
                      <w:spacing w:before="58"/>
                      <w:ind w:left="0" w:right="-20" w:firstLine="0"/>
                      <w:jc w:val="left"/>
                      <w:rPr>
                        <w:rFonts w:ascii="Calibri"/>
                        <w:sz w:val="18"/>
                      </w:rPr>
                    </w:pPr>
                    <w:r>
                      <w:rPr>
                        <w:rFonts w:ascii="Calibri"/>
                        <w:color w:val="585858"/>
                        <w:sz w:val="18"/>
                      </w:rPr>
                      <w:t>30</w:t>
                    </w:r>
                  </w:p>
                  <w:p>
                    <w:pPr>
                      <w:spacing w:before="58"/>
                      <w:ind w:left="0" w:right="-20" w:firstLine="0"/>
                      <w:jc w:val="left"/>
                      <w:rPr>
                        <w:rFonts w:ascii="Calibri"/>
                        <w:sz w:val="18"/>
                      </w:rPr>
                    </w:pPr>
                    <w:r>
                      <w:rPr>
                        <w:rFonts w:ascii="Calibri"/>
                        <w:color w:val="585858"/>
                        <w:sz w:val="18"/>
                      </w:rPr>
                      <w:t>25</w:t>
                    </w:r>
                  </w:p>
                  <w:p>
                    <w:pPr>
                      <w:spacing w:before="58"/>
                      <w:ind w:left="0" w:right="-20" w:firstLine="0"/>
                      <w:jc w:val="left"/>
                      <w:rPr>
                        <w:rFonts w:ascii="Calibri"/>
                        <w:sz w:val="18"/>
                      </w:rPr>
                    </w:pPr>
                    <w:r>
                      <w:rPr>
                        <w:rFonts w:ascii="Calibri"/>
                        <w:color w:val="585858"/>
                        <w:sz w:val="18"/>
                      </w:rPr>
                      <w:t>20</w:t>
                    </w:r>
                  </w:p>
                  <w:p>
                    <w:pPr>
                      <w:spacing w:before="58"/>
                      <w:ind w:left="0" w:right="-20" w:firstLine="0"/>
                      <w:jc w:val="left"/>
                      <w:rPr>
                        <w:rFonts w:ascii="Calibri"/>
                        <w:sz w:val="18"/>
                      </w:rPr>
                    </w:pPr>
                    <w:r>
                      <w:rPr>
                        <w:rFonts w:ascii="Calibri"/>
                        <w:color w:val="585858"/>
                        <w:sz w:val="18"/>
                      </w:rPr>
                      <w:t>15</w:t>
                    </w:r>
                  </w:p>
                  <w:p>
                    <w:pPr>
                      <w:spacing w:before="58"/>
                      <w:ind w:left="0" w:right="-20" w:firstLine="0"/>
                      <w:jc w:val="left"/>
                      <w:rPr>
                        <w:rFonts w:ascii="Calibri"/>
                        <w:sz w:val="18"/>
                      </w:rPr>
                    </w:pPr>
                    <w:r>
                      <w:rPr>
                        <w:rFonts w:ascii="Calibri"/>
                        <w:color w:val="585858"/>
                        <w:sz w:val="18"/>
                      </w:rPr>
                      <w:t>10</w:t>
                    </w:r>
                  </w:p>
                  <w:p>
                    <w:pPr>
                      <w:spacing w:before="58"/>
                      <w:ind w:left="91" w:right="0" w:firstLine="0"/>
                      <w:jc w:val="left"/>
                      <w:rPr>
                        <w:rFonts w:ascii="Calibri"/>
                        <w:sz w:val="18"/>
                      </w:rPr>
                    </w:pPr>
                    <w:r>
                      <w:rPr>
                        <w:rFonts w:ascii="Calibri"/>
                        <w:color w:val="585858"/>
                        <w:sz w:val="18"/>
                      </w:rPr>
                      <w:t>5</w:t>
                    </w:r>
                  </w:p>
                  <w:p>
                    <w:pPr>
                      <w:spacing w:line="216" w:lineRule="exact" w:before="58"/>
                      <w:ind w:left="91" w:right="0" w:firstLine="0"/>
                      <w:jc w:val="left"/>
                      <w:rPr>
                        <w:rFonts w:ascii="Calibri"/>
                        <w:sz w:val="18"/>
                      </w:rPr>
                    </w:pPr>
                    <w:r>
                      <w:rPr>
                        <w:rFonts w:ascii="Calibri"/>
                        <w:color w:val="585858"/>
                        <w:sz w:val="18"/>
                      </w:rPr>
                      <w:t>0</w:t>
                    </w:r>
                  </w:p>
                </w:txbxContent>
              </v:textbox>
              <w10:wrap type="none"/>
            </v:shape>
            <v:shape style="position:absolute;left:4642;top:2591;width:763;height:180" type="#_x0000_t202" filled="false" stroked="false">
              <v:textbox inset="0,0,0,0">
                <w:txbxContent>
                  <w:p>
                    <w:pPr>
                      <w:tabs>
                        <w:tab w:pos="579" w:val="left" w:leader="none"/>
                      </w:tabs>
                      <w:spacing w:line="180" w:lineRule="exact" w:before="0"/>
                      <w:ind w:left="0" w:right="0" w:firstLine="0"/>
                      <w:jc w:val="left"/>
                      <w:rPr>
                        <w:rFonts w:ascii="Calibri"/>
                        <w:sz w:val="18"/>
                      </w:rPr>
                    </w:pPr>
                    <w:r>
                      <w:rPr>
                        <w:rFonts w:ascii="Calibri"/>
                        <w:color w:val="404040"/>
                        <w:sz w:val="18"/>
                      </w:rPr>
                      <w:t>39</w:t>
                      <w:tab/>
                      <w:t>39</w:t>
                    </w:r>
                  </w:p>
                </w:txbxContent>
              </v:textbox>
              <w10:wrap type="none"/>
            </v:shape>
            <v:shape style="position:absolute;left:2988;top:3147;width:6778;height:903" type="#_x0000_t202" filled="false" stroked="false">
              <v:textbox inset="0,0,0,0">
                <w:txbxContent>
                  <w:p>
                    <w:pPr>
                      <w:spacing w:line="183" w:lineRule="exact" w:before="0"/>
                      <w:ind w:left="1943" w:right="0" w:firstLine="0"/>
                      <w:jc w:val="left"/>
                      <w:rPr>
                        <w:rFonts w:ascii="Calibri"/>
                        <w:sz w:val="18"/>
                      </w:rPr>
                    </w:pPr>
                    <w:r>
                      <w:rPr>
                        <w:rFonts w:ascii="Calibri"/>
                        <w:color w:val="404040"/>
                        <w:sz w:val="18"/>
                      </w:rPr>
                      <w:t>29</w:t>
                    </w:r>
                  </w:p>
                  <w:p>
                    <w:pPr>
                      <w:tabs>
                        <w:tab w:pos="4655" w:val="left" w:leader="none"/>
                        <w:tab w:pos="6777" w:val="left" w:leader="none"/>
                      </w:tabs>
                      <w:spacing w:line="193" w:lineRule="exact" w:before="114"/>
                      <w:ind w:left="0" w:right="0" w:firstLine="0"/>
                      <w:jc w:val="left"/>
                      <w:rPr>
                        <w:rFonts w:ascii="Calibri"/>
                        <w:sz w:val="18"/>
                      </w:rPr>
                    </w:pPr>
                    <w:r>
                      <w:rPr>
                        <w:rFonts w:ascii="Calibri"/>
                        <w:color w:val="404040"/>
                        <w:sz w:val="18"/>
                        <w:u w:val="single" w:color="000000"/>
                      </w:rPr>
                      <w:t> </w:t>
                      <w:tab/>
                      <w:t>23</w:t>
                      <w:tab/>
                    </w:r>
                  </w:p>
                  <w:p>
                    <w:pPr>
                      <w:spacing w:line="193" w:lineRule="exact" w:before="0"/>
                      <w:ind w:left="0" w:right="1647" w:firstLine="0"/>
                      <w:jc w:val="right"/>
                      <w:rPr>
                        <w:rFonts w:ascii="Calibri"/>
                        <w:sz w:val="18"/>
                      </w:rPr>
                    </w:pPr>
                    <w:r>
                      <w:rPr>
                        <w:rFonts w:ascii="Calibri"/>
                        <w:color w:val="404040"/>
                        <w:sz w:val="18"/>
                      </w:rPr>
                      <w:t>20</w:t>
                    </w:r>
                  </w:p>
                  <w:p>
                    <w:pPr>
                      <w:spacing w:line="216" w:lineRule="exact" w:before="2"/>
                      <w:ind w:left="298" w:right="0" w:firstLine="0"/>
                      <w:jc w:val="left"/>
                      <w:rPr>
                        <w:rFonts w:ascii="Calibri"/>
                        <w:sz w:val="18"/>
                      </w:rPr>
                    </w:pPr>
                    <w:r>
                      <w:rPr>
                        <w:rFonts w:ascii="Calibri"/>
                        <w:color w:val="404040"/>
                        <w:sz w:val="18"/>
                      </w:rPr>
                      <w:t>16</w:t>
                    </w:r>
                  </w:p>
                </w:txbxContent>
              </v:textbox>
              <w10:wrap type="none"/>
            </v:shape>
            <v:shape style="position:absolute;left:3866;top:3814;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17</w:t>
                    </w:r>
                  </w:p>
                </w:txbxContent>
              </v:textbox>
              <w10:wrap type="none"/>
            </v:shape>
            <v:shape style="position:absolute;left:7354;top:3925;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15</w:t>
                    </w:r>
                  </w:p>
                </w:txbxContent>
              </v:textbox>
              <w10:wrap type="none"/>
            </v:shape>
            <v:shape style="position:absolute;left:3576;top:4092;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12</w:t>
                    </w:r>
                  </w:p>
                </w:txbxContent>
              </v:textbox>
              <w10:wrap type="none"/>
            </v:shape>
            <v:shape style="position:absolute;left:6288;top:3981;width:473;height:236" type="#_x0000_t202" filled="false" stroked="false">
              <v:textbox inset="0,0,0,0">
                <w:txbxContent>
                  <w:p>
                    <w:pPr>
                      <w:spacing w:line="236" w:lineRule="exact" w:before="0"/>
                      <w:ind w:left="0" w:right="0" w:firstLine="0"/>
                      <w:jc w:val="left"/>
                      <w:rPr>
                        <w:rFonts w:ascii="Calibri"/>
                        <w:sz w:val="18"/>
                      </w:rPr>
                    </w:pPr>
                    <w:r>
                      <w:rPr>
                        <w:rFonts w:ascii="Calibri"/>
                        <w:color w:val="404040"/>
                        <w:sz w:val="18"/>
                      </w:rPr>
                      <w:t>14  </w:t>
                    </w:r>
                    <w:r>
                      <w:rPr>
                        <w:rFonts w:ascii="Calibri"/>
                        <w:color w:val="404040"/>
                        <w:position w:val="-5"/>
                        <w:sz w:val="18"/>
                      </w:rPr>
                      <w:t>13</w:t>
                    </w:r>
                  </w:p>
                </w:txbxContent>
              </v:textbox>
              <w10:wrap type="none"/>
            </v:shape>
            <v:shape style="position:absolute;left:2988;top:4314;width:6778;height:514" type="#_x0000_t202" filled="false" stroked="false">
              <v:textbox inset="0,0,0,0">
                <w:txbxContent>
                  <w:p>
                    <w:pPr>
                      <w:tabs>
                        <w:tab w:pos="3055" w:val="left" w:leader="none"/>
                        <w:tab w:pos="6777" w:val="left" w:leader="none"/>
                      </w:tabs>
                      <w:spacing w:line="183" w:lineRule="exact" w:before="0"/>
                      <w:ind w:left="0" w:right="0" w:firstLine="0"/>
                      <w:jc w:val="left"/>
                      <w:rPr>
                        <w:rFonts w:ascii="Calibri"/>
                        <w:sz w:val="18"/>
                      </w:rPr>
                    </w:pPr>
                    <w:r>
                      <w:rPr>
                        <w:rFonts w:ascii="Calibri"/>
                        <w:color w:val="404040"/>
                        <w:sz w:val="18"/>
                        <w:u w:val="single" w:color="000000"/>
                      </w:rPr>
                      <w:t> </w:t>
                      <w:tab/>
                      <w:t>8</w:t>
                      <w:tab/>
                    </w:r>
                  </w:p>
                  <w:p>
                    <w:pPr>
                      <w:spacing w:line="216" w:lineRule="exact" w:before="114"/>
                      <w:ind w:left="0" w:right="627" w:firstLine="0"/>
                      <w:jc w:val="right"/>
                      <w:rPr>
                        <w:rFonts w:ascii="Calibri"/>
                        <w:sz w:val="18"/>
                      </w:rPr>
                    </w:pPr>
                    <w:r>
                      <w:rPr>
                        <w:rFonts w:ascii="Calibri"/>
                        <w:color w:val="404040"/>
                        <w:sz w:val="18"/>
                      </w:rPr>
                      <w:t>2    2</w:t>
                    </w:r>
                  </w:p>
                </w:txbxContent>
              </v:textbox>
              <w10:wrap type="none"/>
            </v:shape>
            <v:shape style="position:absolute;left:9335;top:4703;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1</w:t>
                    </w:r>
                  </w:p>
                </w:txbxContent>
              </v:textbox>
              <w10:wrap type="none"/>
            </v:shape>
            <v:shape style="position:absolute;left:3070;top:5183;width:1194;height:552" type="#_x0000_t202" filled="false" stroked="false">
              <v:textbox inset="0,0,0,0">
                <w:txbxContent>
                  <w:p>
                    <w:pPr>
                      <w:spacing w:line="183" w:lineRule="exact" w:before="0"/>
                      <w:ind w:left="0" w:right="-17" w:firstLine="0"/>
                      <w:jc w:val="left"/>
                      <w:rPr>
                        <w:rFonts w:ascii="Calibri"/>
                        <w:sz w:val="18"/>
                      </w:rPr>
                    </w:pPr>
                    <w:r>
                      <w:rPr>
                        <w:rFonts w:ascii="Calibri"/>
                        <w:color w:val="585858"/>
                        <w:sz w:val="18"/>
                      </w:rPr>
                      <w:t>Muy de</w:t>
                    </w:r>
                    <w:r>
                      <w:rPr>
                        <w:rFonts w:ascii="Calibri"/>
                        <w:color w:val="585858"/>
                        <w:spacing w:val="-4"/>
                        <w:sz w:val="18"/>
                      </w:rPr>
                      <w:t> </w:t>
                    </w:r>
                    <w:r>
                      <w:rPr>
                        <w:rFonts w:ascii="Calibri"/>
                        <w:color w:val="585858"/>
                        <w:sz w:val="18"/>
                      </w:rPr>
                      <w:t>acuerdo</w:t>
                    </w:r>
                  </w:p>
                  <w:p>
                    <w:pPr>
                      <w:spacing w:line="216" w:lineRule="exact" w:before="152"/>
                      <w:ind w:left="107" w:right="-17" w:firstLine="0"/>
                      <w:jc w:val="left"/>
                      <w:rPr>
                        <w:rFonts w:ascii="Calibri" w:hAnsi="Calibri"/>
                        <w:sz w:val="18"/>
                      </w:rPr>
                    </w:pPr>
                    <w:r>
                      <w:rPr>
                        <w:rFonts w:ascii="Calibri" w:hAnsi="Calibri"/>
                        <w:color w:val="585858"/>
                        <w:sz w:val="18"/>
                      </w:rPr>
                      <w:t>N. Básico</w:t>
                    </w:r>
                  </w:p>
                </w:txbxContent>
              </v:textbox>
              <w10:wrap type="none"/>
            </v:shape>
            <v:shape style="position:absolute;left:4603;top:5183;width:1123;height:552" type="#_x0000_t202" filled="false" stroked="false">
              <v:textbox inset="0,0,0,0">
                <w:txbxContent>
                  <w:p>
                    <w:pPr>
                      <w:spacing w:line="183" w:lineRule="exact" w:before="0"/>
                      <w:ind w:left="0" w:right="-17" w:firstLine="0"/>
                      <w:jc w:val="left"/>
                      <w:rPr>
                        <w:rFonts w:ascii="Calibri"/>
                        <w:sz w:val="18"/>
                      </w:rPr>
                    </w:pPr>
                    <w:r>
                      <w:rPr>
                        <w:rFonts w:ascii="Calibri"/>
                        <w:color w:val="585858"/>
                        <w:sz w:val="18"/>
                      </w:rPr>
                      <w:t>De acuerdo</w:t>
                    </w:r>
                  </w:p>
                  <w:p>
                    <w:pPr>
                      <w:spacing w:line="216" w:lineRule="exact" w:before="152"/>
                      <w:ind w:left="278" w:right="-17" w:firstLine="0"/>
                      <w:jc w:val="left"/>
                      <w:rPr>
                        <w:rFonts w:ascii="Calibri"/>
                        <w:sz w:val="18"/>
                      </w:rPr>
                    </w:pPr>
                    <w:r>
                      <w:rPr>
                        <w:rFonts w:ascii="Calibri"/>
                        <w:color w:val="585858"/>
                        <w:sz w:val="18"/>
                      </w:rPr>
                      <w:t>N. Medio</w:t>
                    </w:r>
                    <w:r>
                      <w:rPr>
                        <w:rFonts w:ascii="Calibri"/>
                        <w:color w:val="585858"/>
                        <w:spacing w:val="-4"/>
                        <w:sz w:val="18"/>
                      </w:rPr>
                      <w:t> </w:t>
                    </w:r>
                    <w:r>
                      <w:rPr>
                        <w:rFonts w:ascii="Calibri"/>
                        <w:color w:val="585858"/>
                        <w:sz w:val="18"/>
                      </w:rPr>
                      <w:t>S.</w:t>
                    </w:r>
                  </w:p>
                </w:txbxContent>
              </v:textbox>
              <w10:wrap type="none"/>
            </v:shape>
            <v:shape style="position:absolute;left:5970;top:5183;width:817;height:180" type="#_x0000_t202" filled="false" stroked="false">
              <v:textbox inset="0,0,0,0">
                <w:txbxContent>
                  <w:p>
                    <w:pPr>
                      <w:spacing w:line="180" w:lineRule="exact" w:before="0"/>
                      <w:ind w:left="0" w:right="-10" w:firstLine="0"/>
                      <w:jc w:val="left"/>
                      <w:rPr>
                        <w:rFonts w:ascii="Calibri"/>
                        <w:sz w:val="18"/>
                      </w:rPr>
                    </w:pPr>
                    <w:r>
                      <w:rPr>
                        <w:rFonts w:ascii="Calibri"/>
                        <w:color w:val="585858"/>
                        <w:spacing w:val="-1"/>
                        <w:sz w:val="18"/>
                      </w:rPr>
                      <w:t>Indiferente</w:t>
                    </w:r>
                  </w:p>
                </w:txbxContent>
              </v:textbox>
              <w10:wrap type="none"/>
            </v:shape>
            <v:shape style="position:absolute;left:7196;top:5183;width:2321;height:400" type="#_x0000_t202" filled="false" stroked="false">
              <v:textbox inset="0,0,0,0">
                <w:txbxContent>
                  <w:p>
                    <w:pPr>
                      <w:tabs>
                        <w:tab w:pos="1616" w:val="left" w:leader="none"/>
                      </w:tabs>
                      <w:spacing w:line="183" w:lineRule="exact" w:before="0"/>
                      <w:ind w:left="0" w:right="0" w:firstLine="0"/>
                      <w:jc w:val="left"/>
                      <w:rPr>
                        <w:rFonts w:ascii="Calibri"/>
                        <w:sz w:val="18"/>
                      </w:rPr>
                    </w:pPr>
                    <w:r>
                      <w:rPr>
                        <w:rFonts w:ascii="Calibri"/>
                        <w:color w:val="585858"/>
                        <w:sz w:val="18"/>
                      </w:rPr>
                      <w:t>En</w:t>
                    </w:r>
                    <w:r>
                      <w:rPr>
                        <w:rFonts w:ascii="Calibri"/>
                        <w:color w:val="585858"/>
                        <w:spacing w:val="-2"/>
                        <w:sz w:val="18"/>
                      </w:rPr>
                      <w:t> </w:t>
                    </w:r>
                    <w:r>
                      <w:rPr>
                        <w:rFonts w:ascii="Calibri"/>
                        <w:color w:val="585858"/>
                        <w:sz w:val="18"/>
                      </w:rPr>
                      <w:t>desacuerdo</w:t>
                      <w:tab/>
                      <w:t>Muy</w:t>
                    </w:r>
                    <w:r>
                      <w:rPr>
                        <w:rFonts w:ascii="Calibri"/>
                        <w:color w:val="585858"/>
                        <w:spacing w:val="-1"/>
                        <w:sz w:val="18"/>
                      </w:rPr>
                      <w:t> </w:t>
                    </w:r>
                    <w:r>
                      <w:rPr>
                        <w:rFonts w:ascii="Calibri"/>
                        <w:color w:val="585858"/>
                        <w:sz w:val="18"/>
                      </w:rPr>
                      <w:t>en</w:t>
                    </w:r>
                  </w:p>
                  <w:p>
                    <w:pPr>
                      <w:spacing w:line="216" w:lineRule="exact" w:before="0"/>
                      <w:ind w:left="1467" w:right="-20" w:firstLine="0"/>
                      <w:jc w:val="left"/>
                      <w:rPr>
                        <w:rFonts w:ascii="Calibri"/>
                        <w:sz w:val="18"/>
                      </w:rPr>
                    </w:pPr>
                    <w:r>
                      <w:rPr>
                        <w:rFonts w:ascii="Calibri"/>
                        <w:color w:val="585858"/>
                        <w:sz w:val="18"/>
                      </w:rPr>
                      <w:t>desacuerdo</w:t>
                    </w:r>
                  </w:p>
                </w:txbxContent>
              </v:textbox>
              <w10:wrap type="none"/>
            </v:shape>
            <v:shape style="position:absolute;left:6761;top:5555;width:826;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N. Superior</w:t>
                    </w:r>
                  </w:p>
                </w:txbxContent>
              </v:textbox>
              <w10:wrap type="none"/>
            </v:shape>
            <w10:wrap type="none"/>
          </v:group>
        </w:pict>
      </w:r>
      <w:r>
        <w:rPr/>
        <w:t>Finalmente, por nivel de estudios se puede apreciar en la tabla 4.2.7 que tanto el nivel básico como el medio superior presentan el mismo número de respuestas “de acuerdo” con las aseveraciones favorables. No obstante, el nivel superior presenta una mayoría de respuestas “muy de acuerdo” a favor de los anglicismos; esto, lo posiciona como el nivel de estudios con mayor preferencia ante su uso</w:t>
      </w:r>
      <w:r>
        <w:rPr>
          <w:sz w:val="20"/>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32"/>
        </w:rPr>
      </w:pPr>
    </w:p>
    <w:p>
      <w:pPr>
        <w:spacing w:before="0"/>
        <w:ind w:left="102" w:right="339" w:firstLine="0"/>
        <w:jc w:val="left"/>
        <w:rPr>
          <w:b/>
          <w:sz w:val="20"/>
        </w:rPr>
      </w:pPr>
      <w:r>
        <w:rPr>
          <w:b/>
          <w:sz w:val="20"/>
        </w:rPr>
        <w:t>Figura 4.2.7. Respuestas de la variable nivel de estudios en aseveraciones favorables</w:t>
      </w:r>
    </w:p>
    <w:p>
      <w:pPr>
        <w:pStyle w:val="BodyText"/>
        <w:spacing w:before="5"/>
        <w:rPr>
          <w:b/>
          <w:sz w:val="27"/>
        </w:rPr>
      </w:pPr>
    </w:p>
    <w:p>
      <w:pPr>
        <w:pStyle w:val="BodyText"/>
        <w:spacing w:line="360" w:lineRule="auto"/>
        <w:ind w:left="102" w:right="113" w:firstLine="707"/>
        <w:jc w:val="both"/>
      </w:pPr>
      <w:r>
        <w:rPr/>
        <w:t>Al</w:t>
      </w:r>
      <w:r>
        <w:rPr>
          <w:spacing w:val="-14"/>
        </w:rPr>
        <w:t> </w:t>
      </w:r>
      <w:r>
        <w:rPr/>
        <w:t>comprobar</w:t>
      </w:r>
      <w:r>
        <w:rPr>
          <w:spacing w:val="-14"/>
        </w:rPr>
        <w:t> </w:t>
      </w:r>
      <w:r>
        <w:rPr/>
        <w:t>con</w:t>
      </w:r>
      <w:r>
        <w:rPr>
          <w:spacing w:val="-13"/>
        </w:rPr>
        <w:t> </w:t>
      </w:r>
      <w:r>
        <w:rPr/>
        <w:t>las</w:t>
      </w:r>
      <w:r>
        <w:rPr>
          <w:spacing w:val="-14"/>
        </w:rPr>
        <w:t> </w:t>
      </w:r>
      <w:r>
        <w:rPr/>
        <w:t>aseveraciones</w:t>
      </w:r>
      <w:r>
        <w:rPr>
          <w:spacing w:val="-14"/>
        </w:rPr>
        <w:t> </w:t>
      </w:r>
      <w:r>
        <w:rPr/>
        <w:t>desfavorables</w:t>
      </w:r>
      <w:r>
        <w:rPr>
          <w:spacing w:val="-13"/>
        </w:rPr>
        <w:t> </w:t>
      </w:r>
      <w:r>
        <w:rPr/>
        <w:t>(ver</w:t>
      </w:r>
      <w:r>
        <w:rPr>
          <w:spacing w:val="-14"/>
        </w:rPr>
        <w:t> </w:t>
      </w:r>
      <w:r>
        <w:rPr/>
        <w:t>figura</w:t>
      </w:r>
      <w:r>
        <w:rPr>
          <w:spacing w:val="-7"/>
        </w:rPr>
        <w:t> </w:t>
      </w:r>
      <w:r>
        <w:rPr/>
        <w:t>4.2.8.),</w:t>
      </w:r>
      <w:r>
        <w:rPr>
          <w:spacing w:val="-13"/>
        </w:rPr>
        <w:t> </w:t>
      </w:r>
      <w:r>
        <w:rPr/>
        <w:t>una</w:t>
      </w:r>
      <w:r>
        <w:rPr>
          <w:spacing w:val="-13"/>
        </w:rPr>
        <w:t> </w:t>
      </w:r>
      <w:r>
        <w:rPr/>
        <w:t>mayoría de respuestas “en desacuerdo” permite deducir que el nivel superior considera a los anglicismos de gran prestigio al considerar sus actitudes</w:t>
      </w:r>
      <w:r>
        <w:rPr>
          <w:spacing w:val="-18"/>
        </w:rPr>
        <w:t> </w:t>
      </w:r>
      <w:r>
        <w:rPr/>
        <w:t>lingüísticas.</w:t>
      </w:r>
    </w:p>
    <w:p>
      <w:pPr>
        <w:pStyle w:val="BodyText"/>
        <w:spacing w:before="8"/>
        <w:rPr>
          <w:sz w:val="13"/>
        </w:rPr>
      </w:pPr>
      <w:r>
        <w:rPr/>
        <w:pict>
          <v:group style="position:absolute;margin-left:118.065002pt;margin-top:9.8689pt;width:402.75pt;height:202.15pt;mso-position-horizontal-relative:page;mso-position-vertical-relative:paragraph;z-index:3376;mso-wrap-distance-left:0;mso-wrap-distance-right:0" coordorigin="2361,197" coordsize="8055,4043">
            <v:shape style="position:absolute;left:3401;top:3056;width:6814;height:14" type="#_x0000_t75" stroked="false">
              <v:imagedata r:id="rId77" o:title=""/>
            </v:shape>
            <v:shape style="position:absolute;left:3401;top:2662;width:6814;height:14" type="#_x0000_t75" stroked="false">
              <v:imagedata r:id="rId78" o:title=""/>
            </v:shape>
            <v:shape style="position:absolute;left:3401;top:2269;width:6814;height:14" type="#_x0000_t75" stroked="false">
              <v:imagedata r:id="rId79" o:title=""/>
            </v:shape>
            <v:shape style="position:absolute;left:3706;top:2197;width:173;height:1260" type="#_x0000_t75" stroked="false">
              <v:imagedata r:id="rId80" o:title=""/>
            </v:shape>
            <v:shape style="position:absolute;left:3401;top:1875;width:6814;height:14" type="#_x0000_t75" stroked="false">
              <v:imagedata r:id="rId81" o:title=""/>
            </v:shape>
            <v:shape style="position:absolute;left:5069;top:1882;width:170;height:1574" type="#_x0000_t75" stroked="false">
              <v:imagedata r:id="rId82" o:title=""/>
            </v:shape>
            <v:shape style="position:absolute;left:6432;top:2590;width:170;height:866" type="#_x0000_t75" stroked="false">
              <v:imagedata r:id="rId83" o:title=""/>
            </v:shape>
            <v:shape style="position:absolute;left:3401;top:1482;width:6814;height:14" type="#_x0000_t75" stroked="false">
              <v:imagedata r:id="rId84" o:title=""/>
            </v:shape>
            <v:shape style="position:absolute;left:3401;top:1088;width:6814;height:14" type="#_x0000_t75" stroked="false">
              <v:imagedata r:id="rId85" o:title=""/>
            </v:shape>
            <v:shape style="position:absolute;left:7795;top:1095;width:170;height:2362" type="#_x0000_t75" stroked="false">
              <v:imagedata r:id="rId86" o:title=""/>
            </v:shape>
            <v:shape style="position:absolute;left:9156;top:3222;width:173;height:235" type="#_x0000_t75" stroked="false">
              <v:imagedata r:id="rId87" o:title=""/>
            </v:shape>
            <v:shape style="position:absolute;left:3998;top:3301;width:170;height:156" type="#_x0000_t75" stroked="false">
              <v:imagedata r:id="rId88" o:title=""/>
            </v:shape>
            <v:shape style="position:absolute;left:5359;top:1333;width:173;height:2124" type="#_x0000_t75" stroked="false">
              <v:imagedata r:id="rId89" o:title=""/>
            </v:shape>
            <v:shape style="position:absolute;left:6722;top:2276;width:173;height:1181" type="#_x0000_t75" stroked="false">
              <v:imagedata r:id="rId90" o:title=""/>
            </v:shape>
            <v:shape style="position:absolute;left:8086;top:1095;width:170;height:2362" type="#_x0000_t75" stroked="false">
              <v:imagedata r:id="rId91" o:title=""/>
            </v:shape>
            <v:shape style="position:absolute;left:9449;top:2984;width:170;height:473" type="#_x0000_t75" stroked="false">
              <v:imagedata r:id="rId92" o:title=""/>
            </v:shape>
            <v:shape style="position:absolute;left:4289;top:3142;width:170;height:314" type="#_x0000_t75" stroked="false">
              <v:imagedata r:id="rId93" o:title=""/>
            </v:shape>
            <v:shape style="position:absolute;left:5652;top:1174;width:170;height:2282" type="#_x0000_t75" stroked="false">
              <v:imagedata r:id="rId94" o:title=""/>
            </v:shape>
            <v:shape style="position:absolute;left:7015;top:3063;width:170;height:394" type="#_x0000_t75" stroked="false">
              <v:imagedata r:id="rId95" o:title=""/>
            </v:shape>
            <v:shape style="position:absolute;left:8376;top:939;width:173;height:2518" type="#_x0000_t75" stroked="false">
              <v:imagedata r:id="rId96" o:title=""/>
            </v:shape>
            <v:shape style="position:absolute;left:9739;top:2670;width:173;height:787" type="#_x0000_t75" stroked="false">
              <v:imagedata r:id="rId97" o:title=""/>
            </v:shape>
            <v:line style="position:absolute" from="3401,3457" to="10214,3457" stroked="true" strokeweight=".72pt" strokecolor="#d9d9d9"/>
            <v:shape style="position:absolute;left:3401;top:694;width:6814;height:14" type="#_x0000_t75" stroked="false">
              <v:imagedata r:id="rId98" o:title=""/>
            </v:shape>
            <v:shape style="position:absolute;left:3430;top:4016;width:98;height:98" type="#_x0000_t75" stroked="false">
              <v:imagedata r:id="rId99" o:title=""/>
            </v:shape>
            <v:shape style="position:absolute;left:5174;top:4016;width:98;height:98" type="#_x0000_t75" stroked="false">
              <v:imagedata r:id="rId75" o:title=""/>
            </v:shape>
            <v:shape style="position:absolute;left:7092;top:4016;width:101;height:98" type="#_x0000_t75" stroked="false">
              <v:imagedata r:id="rId100" o:title=""/>
            </v:shape>
            <v:rect style="position:absolute;left:2369;top:205;width:8040;height:4027" filled="false" stroked="true" strokeweight=".72pt" strokecolor="#d9d9d9"/>
            <v:rect style="position:absolute;left:3247;top:301;width:6943;height:348" filled="false" stroked="true" strokeweight=".96pt" strokecolor="#4471c4"/>
            <v:shape style="position:absolute;left:3053;top:619;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35</w:t>
                    </w:r>
                  </w:p>
                </w:txbxContent>
              </v:textbox>
              <w10:wrap type="none"/>
            </v:shape>
            <v:shape style="position:absolute;left:4462;top:417;width:4513;height:428" type="#_x0000_t202" filled="false" stroked="false">
              <v:textbox inset="0,0,0,0">
                <w:txbxContent>
                  <w:p>
                    <w:pPr>
                      <w:spacing w:line="218" w:lineRule="exact" w:before="0"/>
                      <w:ind w:left="0" w:right="-19" w:firstLine="0"/>
                      <w:jc w:val="left"/>
                      <w:rPr>
                        <w:rFonts w:ascii="Calibri"/>
                        <w:sz w:val="22"/>
                      </w:rPr>
                    </w:pPr>
                    <w:r>
                      <w:rPr>
                        <w:rFonts w:ascii="Calibri"/>
                        <w:sz w:val="22"/>
                      </w:rPr>
                      <w:t>Aseveraciones desfavorables por Nivel de Estudios</w:t>
                    </w:r>
                  </w:p>
                  <w:p>
                    <w:pPr>
                      <w:spacing w:line="210" w:lineRule="exact" w:before="0"/>
                      <w:ind w:left="0" w:right="417" w:firstLine="0"/>
                      <w:jc w:val="right"/>
                      <w:rPr>
                        <w:rFonts w:ascii="Calibri"/>
                        <w:sz w:val="18"/>
                      </w:rPr>
                    </w:pPr>
                    <w:r>
                      <w:rPr>
                        <w:rFonts w:ascii="Calibri"/>
                        <w:color w:val="404040"/>
                        <w:sz w:val="18"/>
                      </w:rPr>
                      <w:t>32</w:t>
                    </w:r>
                  </w:p>
                </w:txbxContent>
              </v:textbox>
              <w10:wrap type="none"/>
            </v:shape>
            <v:shape style="position:absolute;left:3053;top:1013;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30</w:t>
                    </w:r>
                  </w:p>
                </w:txbxContent>
              </v:textbox>
              <w10:wrap type="none"/>
            </v:shape>
            <v:shape style="position:absolute;left:5647;top:902;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29</w:t>
                    </w:r>
                  </w:p>
                </w:txbxContent>
              </v:textbox>
              <w10:wrap type="none"/>
            </v:shape>
            <v:shape style="position:absolute;left:7790;top:822;width:474;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30  30</w:t>
                    </w:r>
                  </w:p>
                </w:txbxContent>
              </v:textbox>
              <w10:wrap type="none"/>
            </v:shape>
            <v:shape style="position:absolute;left:5355;top:1059;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27</w:t>
                    </w:r>
                  </w:p>
                </w:txbxContent>
              </v:textbox>
              <w10:wrap type="none"/>
            </v:shape>
            <v:shape style="position:absolute;left:3053;top:1406;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25</w:t>
                    </w:r>
                  </w:p>
                </w:txbxContent>
              </v:textbox>
              <w10:wrap type="none"/>
            </v:shape>
            <v:shape style="position:absolute;left:5064;top:1610;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20</w:t>
                    </w:r>
                  </w:p>
                </w:txbxContent>
              </v:textbox>
              <w10:wrap type="none"/>
            </v:shape>
            <v:shape style="position:absolute;left:3053;top:1800;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20</w:t>
                    </w:r>
                  </w:p>
                </w:txbxContent>
              </v:textbox>
              <w10:wrap type="none"/>
            </v:shape>
            <v:shape style="position:absolute;left:3701;top:1925;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16</w:t>
                    </w:r>
                  </w:p>
                </w:txbxContent>
              </v:textbox>
              <w10:wrap type="none"/>
            </v:shape>
            <v:shape style="position:absolute;left:6719;top:2004;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15</w:t>
                    </w:r>
                  </w:p>
                </w:txbxContent>
              </v:textbox>
              <w10:wrap type="none"/>
            </v:shape>
            <v:shape style="position:absolute;left:3053;top:2194;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15</w:t>
                    </w:r>
                  </w:p>
                </w:txbxContent>
              </v:textbox>
              <w10:wrap type="none"/>
            </v:shape>
            <v:shape style="position:absolute;left:6427;top:2319;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11</w:t>
                    </w:r>
                  </w:p>
                </w:txbxContent>
              </v:textbox>
              <w10:wrap type="none"/>
            </v:shape>
            <v:shape style="position:absolute;left:9736;top:2398;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10</w:t>
                    </w:r>
                  </w:p>
                </w:txbxContent>
              </v:textbox>
              <w10:wrap type="none"/>
            </v:shape>
            <v:shape style="position:absolute;left:3053;top:2587;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10</w:t>
                    </w:r>
                  </w:p>
                </w:txbxContent>
              </v:textbox>
              <w10:wrap type="none"/>
            </v:shape>
            <v:shape style="position:absolute;left:9491;top:2713;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6</w:t>
                    </w:r>
                  </w:p>
                </w:txbxContent>
              </v:textbox>
              <w10:wrap type="none"/>
            </v:shape>
            <v:shape style="position:absolute;left:3144;top:2981;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5</w:t>
                    </w:r>
                  </w:p>
                </w:txbxContent>
              </v:textbox>
              <w10:wrap type="none"/>
            </v:shape>
            <v:shape style="position:absolute;left:4330;top:2870;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4</w:t>
                    </w:r>
                  </w:p>
                </w:txbxContent>
              </v:textbox>
              <w10:wrap type="none"/>
            </v:shape>
            <v:shape style="position:absolute;left:7056;top:2791;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5</w:t>
                    </w:r>
                  </w:p>
                </w:txbxContent>
              </v:textbox>
              <w10:wrap type="none"/>
            </v:shape>
            <v:shape style="position:absolute;left:4038;top:3028;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2</w:t>
                    </w:r>
                  </w:p>
                </w:txbxContent>
              </v:textbox>
              <w10:wrap type="none"/>
            </v:shape>
            <v:shape style="position:absolute;left:9199;top:2949;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3</w:t>
                    </w:r>
                  </w:p>
                </w:txbxContent>
              </v:textbox>
              <w10:wrap type="none"/>
            </v:shape>
            <v:shape style="position:absolute;left:3144;top:3375;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0</w:t>
                    </w:r>
                  </w:p>
                </w:txbxContent>
              </v:textbox>
              <w10:wrap type="none"/>
            </v:shape>
            <v:shape style="position:absolute;left:3487;top:3609;width:2379;height:180" type="#_x0000_t202" filled="false" stroked="false">
              <v:textbox inset="0,0,0,0">
                <w:txbxContent>
                  <w:p>
                    <w:pPr>
                      <w:tabs>
                        <w:tab w:pos="1540" w:val="left" w:leader="none"/>
                      </w:tabs>
                      <w:spacing w:line="180" w:lineRule="exact" w:before="0"/>
                      <w:ind w:left="0" w:right="0" w:firstLine="0"/>
                      <w:jc w:val="left"/>
                      <w:rPr>
                        <w:rFonts w:ascii="Calibri"/>
                        <w:sz w:val="18"/>
                      </w:rPr>
                    </w:pPr>
                    <w:r>
                      <w:rPr>
                        <w:rFonts w:ascii="Calibri"/>
                        <w:color w:val="585858"/>
                        <w:sz w:val="18"/>
                      </w:rPr>
                      <w:t>Muy</w:t>
                    </w:r>
                    <w:r>
                      <w:rPr>
                        <w:rFonts w:ascii="Calibri"/>
                        <w:color w:val="585858"/>
                        <w:spacing w:val="-3"/>
                        <w:sz w:val="18"/>
                      </w:rPr>
                      <w:t> </w:t>
                    </w:r>
                    <w:r>
                      <w:rPr>
                        <w:rFonts w:ascii="Calibri"/>
                        <w:color w:val="585858"/>
                        <w:sz w:val="18"/>
                      </w:rPr>
                      <w:t>de</w:t>
                    </w:r>
                    <w:r>
                      <w:rPr>
                        <w:rFonts w:ascii="Calibri"/>
                        <w:color w:val="585858"/>
                        <w:spacing w:val="-1"/>
                        <w:sz w:val="18"/>
                      </w:rPr>
                      <w:t> </w:t>
                    </w:r>
                    <w:r>
                      <w:rPr>
                        <w:rFonts w:ascii="Calibri"/>
                        <w:color w:val="585858"/>
                        <w:sz w:val="18"/>
                      </w:rPr>
                      <w:t>acuerdo</w:t>
                      <w:tab/>
                      <w:t>De</w:t>
                    </w:r>
                    <w:r>
                      <w:rPr>
                        <w:rFonts w:ascii="Calibri"/>
                        <w:color w:val="585858"/>
                        <w:spacing w:val="-4"/>
                        <w:sz w:val="18"/>
                      </w:rPr>
                      <w:t> </w:t>
                    </w:r>
                    <w:r>
                      <w:rPr>
                        <w:rFonts w:ascii="Calibri"/>
                        <w:color w:val="585858"/>
                        <w:sz w:val="18"/>
                      </w:rPr>
                      <w:t>acuerdo</w:t>
                    </w:r>
                  </w:p>
                </w:txbxContent>
              </v:textbox>
              <w10:wrap type="none"/>
            </v:shape>
            <v:shape style="position:absolute;left:6401;top:3609;width:817;height:180" type="#_x0000_t202" filled="false" stroked="false">
              <v:textbox inset="0,0,0,0">
                <w:txbxContent>
                  <w:p>
                    <w:pPr>
                      <w:spacing w:line="180" w:lineRule="exact" w:before="0"/>
                      <w:ind w:left="0" w:right="-10" w:firstLine="0"/>
                      <w:jc w:val="left"/>
                      <w:rPr>
                        <w:rFonts w:ascii="Calibri"/>
                        <w:sz w:val="18"/>
                      </w:rPr>
                    </w:pPr>
                    <w:r>
                      <w:rPr>
                        <w:rFonts w:ascii="Calibri"/>
                        <w:color w:val="585858"/>
                        <w:spacing w:val="-1"/>
                        <w:sz w:val="18"/>
                      </w:rPr>
                      <w:t>Indiferente</w:t>
                    </w:r>
                  </w:p>
                </w:txbxContent>
              </v:textbox>
              <w10:wrap type="none"/>
            </v:shape>
            <v:shape style="position:absolute;left:7634;top:3609;width:2328;height:400" type="#_x0000_t202" filled="false" stroked="false">
              <v:textbox inset="0,0,0,0">
                <w:txbxContent>
                  <w:p>
                    <w:pPr>
                      <w:tabs>
                        <w:tab w:pos="1624" w:val="left" w:leader="none"/>
                      </w:tabs>
                      <w:spacing w:line="183" w:lineRule="exact" w:before="0"/>
                      <w:ind w:left="0" w:right="0" w:firstLine="0"/>
                      <w:jc w:val="left"/>
                      <w:rPr>
                        <w:rFonts w:ascii="Calibri"/>
                        <w:sz w:val="18"/>
                      </w:rPr>
                    </w:pPr>
                    <w:r>
                      <w:rPr>
                        <w:rFonts w:ascii="Calibri"/>
                        <w:color w:val="585858"/>
                        <w:sz w:val="18"/>
                      </w:rPr>
                      <w:t>En</w:t>
                    </w:r>
                    <w:r>
                      <w:rPr>
                        <w:rFonts w:ascii="Calibri"/>
                        <w:color w:val="585858"/>
                        <w:spacing w:val="-2"/>
                        <w:sz w:val="18"/>
                      </w:rPr>
                      <w:t> </w:t>
                    </w:r>
                    <w:r>
                      <w:rPr>
                        <w:rFonts w:ascii="Calibri"/>
                        <w:color w:val="585858"/>
                        <w:sz w:val="18"/>
                      </w:rPr>
                      <w:t>desacuerdo</w:t>
                      <w:tab/>
                      <w:t>Muy</w:t>
                    </w:r>
                    <w:r>
                      <w:rPr>
                        <w:rFonts w:ascii="Calibri"/>
                        <w:color w:val="585858"/>
                        <w:spacing w:val="-1"/>
                        <w:sz w:val="18"/>
                      </w:rPr>
                      <w:t> </w:t>
                    </w:r>
                    <w:r>
                      <w:rPr>
                        <w:rFonts w:ascii="Calibri"/>
                        <w:color w:val="585858"/>
                        <w:sz w:val="18"/>
                      </w:rPr>
                      <w:t>en</w:t>
                    </w:r>
                  </w:p>
                  <w:p>
                    <w:pPr>
                      <w:spacing w:line="216" w:lineRule="exact" w:before="0"/>
                      <w:ind w:left="1475" w:right="-11" w:firstLine="0"/>
                      <w:jc w:val="left"/>
                      <w:rPr>
                        <w:rFonts w:ascii="Calibri"/>
                        <w:sz w:val="18"/>
                      </w:rPr>
                    </w:pPr>
                    <w:r>
                      <w:rPr>
                        <w:rFonts w:ascii="Calibri"/>
                        <w:color w:val="585858"/>
                        <w:spacing w:val="-1"/>
                        <w:sz w:val="18"/>
                      </w:rPr>
                      <w:t>desacuerdo</w:t>
                    </w:r>
                  </w:p>
                </w:txbxContent>
              </v:textbox>
              <w10:wrap type="none"/>
            </v:shape>
            <v:shape style="position:absolute;left:3571;top:3983;width:4490;height:180" type="#_x0000_t202" filled="false" stroked="false">
              <v:textbox inset="0,0,0,0">
                <w:txbxContent>
                  <w:p>
                    <w:pPr>
                      <w:tabs>
                        <w:tab w:pos="1743" w:val="left" w:leader="none"/>
                        <w:tab w:pos="3664" w:val="left" w:leader="none"/>
                      </w:tabs>
                      <w:spacing w:line="180" w:lineRule="exact" w:before="0"/>
                      <w:ind w:left="0" w:right="0" w:firstLine="0"/>
                      <w:jc w:val="left"/>
                      <w:rPr>
                        <w:rFonts w:ascii="Calibri" w:hAnsi="Calibri"/>
                        <w:sz w:val="18"/>
                      </w:rPr>
                    </w:pPr>
                    <w:r>
                      <w:rPr>
                        <w:rFonts w:ascii="Calibri" w:hAnsi="Calibri"/>
                        <w:color w:val="585858"/>
                        <w:sz w:val="18"/>
                      </w:rPr>
                      <w:t>N.</w:t>
                    </w:r>
                    <w:r>
                      <w:rPr>
                        <w:rFonts w:ascii="Calibri" w:hAnsi="Calibri"/>
                        <w:color w:val="585858"/>
                        <w:spacing w:val="-2"/>
                        <w:sz w:val="18"/>
                      </w:rPr>
                      <w:t> </w:t>
                    </w:r>
                    <w:r>
                      <w:rPr>
                        <w:rFonts w:ascii="Calibri" w:hAnsi="Calibri"/>
                        <w:color w:val="585858"/>
                        <w:sz w:val="18"/>
                      </w:rPr>
                      <w:t>Básico</w:t>
                      <w:tab/>
                      <w:t>N.</w:t>
                    </w:r>
                    <w:r>
                      <w:rPr>
                        <w:rFonts w:ascii="Calibri" w:hAnsi="Calibri"/>
                        <w:color w:val="585858"/>
                        <w:spacing w:val="-2"/>
                        <w:sz w:val="18"/>
                      </w:rPr>
                      <w:t> </w:t>
                    </w:r>
                    <w:r>
                      <w:rPr>
                        <w:rFonts w:ascii="Calibri" w:hAnsi="Calibri"/>
                        <w:color w:val="585858"/>
                        <w:sz w:val="18"/>
                      </w:rPr>
                      <w:t>Medio</w:t>
                    </w:r>
                    <w:r>
                      <w:rPr>
                        <w:rFonts w:ascii="Calibri" w:hAnsi="Calibri"/>
                        <w:color w:val="585858"/>
                        <w:spacing w:val="-1"/>
                        <w:sz w:val="18"/>
                      </w:rPr>
                      <w:t> </w:t>
                    </w:r>
                    <w:r>
                      <w:rPr>
                        <w:rFonts w:ascii="Calibri" w:hAnsi="Calibri"/>
                        <w:color w:val="585858"/>
                        <w:sz w:val="18"/>
                      </w:rPr>
                      <w:t>S.</w:t>
                      <w:tab/>
                      <w:t>N.</w:t>
                    </w:r>
                    <w:r>
                      <w:rPr>
                        <w:rFonts w:ascii="Calibri" w:hAnsi="Calibri"/>
                        <w:color w:val="585858"/>
                        <w:spacing w:val="-3"/>
                        <w:sz w:val="18"/>
                      </w:rPr>
                      <w:t> </w:t>
                    </w:r>
                    <w:r>
                      <w:rPr>
                        <w:rFonts w:ascii="Calibri" w:hAnsi="Calibri"/>
                        <w:color w:val="585858"/>
                        <w:sz w:val="18"/>
                      </w:rPr>
                      <w:t>Superior</w:t>
                    </w:r>
                  </w:p>
                </w:txbxContent>
              </v:textbox>
              <w10:wrap type="none"/>
            </v:shape>
            <w10:wrap type="topAndBottom"/>
          </v:group>
        </w:pict>
      </w:r>
    </w:p>
    <w:p>
      <w:pPr>
        <w:pStyle w:val="BodyText"/>
        <w:spacing w:before="5"/>
      </w:pPr>
    </w:p>
    <w:p>
      <w:pPr>
        <w:spacing w:before="1"/>
        <w:ind w:left="922" w:right="26" w:firstLine="0"/>
        <w:jc w:val="left"/>
        <w:rPr>
          <w:b/>
          <w:sz w:val="20"/>
        </w:rPr>
      </w:pPr>
      <w:r>
        <w:rPr>
          <w:b/>
          <w:sz w:val="20"/>
        </w:rPr>
        <w:t>Figura 4.2.8. Respuestas de la variable nivel de estudios en aseveraciones desfavorables</w:t>
      </w:r>
    </w:p>
    <w:p>
      <w:pPr>
        <w:spacing w:after="0"/>
        <w:jc w:val="left"/>
        <w:rPr>
          <w:sz w:val="20"/>
        </w:rPr>
        <w:sectPr>
          <w:footerReference w:type="default" r:id="rId51"/>
          <w:pgSz w:w="12240" w:h="15840"/>
          <w:pgMar w:footer="1003" w:header="749" w:top="960" w:bottom="1200" w:left="1600" w:right="1020"/>
        </w:sect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70"/>
        <w:ind w:left="102" w:right="107" w:firstLine="707"/>
        <w:jc w:val="both"/>
      </w:pPr>
      <w:r>
        <w:rPr/>
        <w:t>En</w:t>
      </w:r>
      <w:r>
        <w:rPr>
          <w:spacing w:val="-12"/>
        </w:rPr>
        <w:t> </w:t>
      </w:r>
      <w:r>
        <w:rPr/>
        <w:t>general</w:t>
      </w:r>
      <w:r>
        <w:rPr>
          <w:spacing w:val="-13"/>
        </w:rPr>
        <w:t> </w:t>
      </w:r>
      <w:r>
        <w:rPr/>
        <w:t>se</w:t>
      </w:r>
      <w:r>
        <w:rPr>
          <w:spacing w:val="-14"/>
        </w:rPr>
        <w:t> </w:t>
      </w:r>
      <w:r>
        <w:rPr/>
        <w:t>puede</w:t>
      </w:r>
      <w:r>
        <w:rPr>
          <w:spacing w:val="-12"/>
        </w:rPr>
        <w:t> </w:t>
      </w:r>
      <w:r>
        <w:rPr/>
        <w:t>resumir</w:t>
      </w:r>
      <w:r>
        <w:rPr>
          <w:spacing w:val="-14"/>
        </w:rPr>
        <w:t> </w:t>
      </w:r>
      <w:r>
        <w:rPr/>
        <w:t>que</w:t>
      </w:r>
      <w:r>
        <w:rPr>
          <w:spacing w:val="-9"/>
        </w:rPr>
        <w:t> </w:t>
      </w:r>
      <w:r>
        <w:rPr/>
        <w:t>de</w:t>
      </w:r>
      <w:r>
        <w:rPr>
          <w:spacing w:val="-14"/>
        </w:rPr>
        <w:t> </w:t>
      </w:r>
      <w:r>
        <w:rPr/>
        <w:t>los</w:t>
      </w:r>
      <w:r>
        <w:rPr>
          <w:spacing w:val="-12"/>
        </w:rPr>
        <w:t> </w:t>
      </w:r>
      <w:r>
        <w:rPr/>
        <w:t>24</w:t>
      </w:r>
      <w:r>
        <w:rPr>
          <w:spacing w:val="-12"/>
        </w:rPr>
        <w:t> </w:t>
      </w:r>
      <w:r>
        <w:rPr/>
        <w:t>sujetos</w:t>
      </w:r>
      <w:r>
        <w:rPr>
          <w:spacing w:val="-15"/>
        </w:rPr>
        <w:t> </w:t>
      </w:r>
      <w:r>
        <w:rPr/>
        <w:t>encuestados</w:t>
      </w:r>
      <w:r>
        <w:rPr>
          <w:spacing w:val="-13"/>
        </w:rPr>
        <w:t> </w:t>
      </w:r>
      <w:r>
        <w:rPr/>
        <w:t>se</w:t>
      </w:r>
      <w:r>
        <w:rPr>
          <w:spacing w:val="-14"/>
        </w:rPr>
        <w:t> </w:t>
      </w:r>
      <w:r>
        <w:rPr/>
        <w:t>obtuvo</w:t>
      </w:r>
      <w:r>
        <w:rPr>
          <w:spacing w:val="-8"/>
        </w:rPr>
        <w:t> </w:t>
      </w:r>
      <w:r>
        <w:rPr/>
        <w:t>un</w:t>
      </w:r>
      <w:r>
        <w:rPr>
          <w:spacing w:val="-12"/>
        </w:rPr>
        <w:t> </w:t>
      </w:r>
      <w:r>
        <w:rPr/>
        <w:t>45% de actitudes favorables ante las grabaciones que incluían anglicismos. De esa totalidad, los hombres presentan mayor porcentaje de actitudes positivas con un 64% frente a un 49% de las</w:t>
      </w:r>
      <w:r>
        <w:rPr>
          <w:spacing w:val="-6"/>
        </w:rPr>
        <w:t> </w:t>
      </w:r>
      <w:r>
        <w:rPr/>
        <w:t>mujeres.</w:t>
      </w:r>
    </w:p>
    <w:p>
      <w:pPr>
        <w:pStyle w:val="BodyText"/>
        <w:spacing w:line="360" w:lineRule="auto" w:before="163"/>
        <w:ind w:left="102" w:right="108" w:firstLine="707"/>
        <w:jc w:val="both"/>
      </w:pPr>
      <w:r>
        <w:rPr/>
        <w:t>En</w:t>
      </w:r>
      <w:r>
        <w:rPr>
          <w:spacing w:val="-11"/>
        </w:rPr>
        <w:t> </w:t>
      </w:r>
      <w:r>
        <w:rPr/>
        <w:t>cuanto</w:t>
      </w:r>
      <w:r>
        <w:rPr>
          <w:spacing w:val="-13"/>
        </w:rPr>
        <w:t> </w:t>
      </w:r>
      <w:r>
        <w:rPr/>
        <w:t>a</w:t>
      </w:r>
      <w:r>
        <w:rPr>
          <w:spacing w:val="-11"/>
        </w:rPr>
        <w:t> </w:t>
      </w:r>
      <w:r>
        <w:rPr/>
        <w:t>grupo</w:t>
      </w:r>
      <w:r>
        <w:rPr>
          <w:spacing w:val="-13"/>
        </w:rPr>
        <w:t> </w:t>
      </w:r>
      <w:r>
        <w:rPr/>
        <w:t>de</w:t>
      </w:r>
      <w:r>
        <w:rPr>
          <w:spacing w:val="-13"/>
        </w:rPr>
        <w:t> </w:t>
      </w:r>
      <w:r>
        <w:rPr/>
        <w:t>edad</w:t>
      </w:r>
      <w:r>
        <w:rPr>
          <w:spacing w:val="-13"/>
        </w:rPr>
        <w:t> </w:t>
      </w:r>
      <w:r>
        <w:rPr/>
        <w:t>las</w:t>
      </w:r>
      <w:r>
        <w:rPr>
          <w:spacing w:val="-13"/>
        </w:rPr>
        <w:t> </w:t>
      </w:r>
      <w:r>
        <w:rPr/>
        <w:t>actitudes</w:t>
      </w:r>
      <w:r>
        <w:rPr>
          <w:spacing w:val="-16"/>
        </w:rPr>
        <w:t> </w:t>
      </w:r>
      <w:r>
        <w:rPr/>
        <w:t>favorables</w:t>
      </w:r>
      <w:r>
        <w:rPr>
          <w:spacing w:val="-11"/>
        </w:rPr>
        <w:t> </w:t>
      </w:r>
      <w:r>
        <w:rPr/>
        <w:t>se</w:t>
      </w:r>
      <w:r>
        <w:rPr>
          <w:spacing w:val="-13"/>
        </w:rPr>
        <w:t> </w:t>
      </w:r>
      <w:r>
        <w:rPr/>
        <w:t>posicionaron</w:t>
      </w:r>
      <w:r>
        <w:rPr>
          <w:spacing w:val="-15"/>
        </w:rPr>
        <w:t> </w:t>
      </w:r>
      <w:r>
        <w:rPr/>
        <w:t>de</w:t>
      </w:r>
      <w:r>
        <w:rPr>
          <w:spacing w:val="-11"/>
        </w:rPr>
        <w:t> </w:t>
      </w:r>
      <w:r>
        <w:rPr/>
        <w:t>la</w:t>
      </w:r>
      <w:r>
        <w:rPr>
          <w:spacing w:val="-13"/>
        </w:rPr>
        <w:t> </w:t>
      </w:r>
      <w:r>
        <w:rPr/>
        <w:t>siguiente manera:</w:t>
      </w:r>
      <w:r>
        <w:rPr>
          <w:spacing w:val="-6"/>
        </w:rPr>
        <w:t> </w:t>
      </w:r>
      <w:r>
        <w:rPr/>
        <w:t>en</w:t>
      </w:r>
      <w:r>
        <w:rPr>
          <w:spacing w:val="-6"/>
        </w:rPr>
        <w:t> </w:t>
      </w:r>
      <w:r>
        <w:rPr/>
        <w:t>primer</w:t>
      </w:r>
      <w:r>
        <w:rPr>
          <w:spacing w:val="-5"/>
        </w:rPr>
        <w:t> </w:t>
      </w:r>
      <w:r>
        <w:rPr/>
        <w:t>lugar</w:t>
      </w:r>
      <w:r>
        <w:rPr>
          <w:spacing w:val="-5"/>
        </w:rPr>
        <w:t> </w:t>
      </w:r>
      <w:r>
        <w:rPr/>
        <w:t>se</w:t>
      </w:r>
      <w:r>
        <w:rPr>
          <w:spacing w:val="-6"/>
        </w:rPr>
        <w:t> </w:t>
      </w:r>
      <w:r>
        <w:rPr/>
        <w:t>ubica</w:t>
      </w:r>
      <w:r>
        <w:rPr>
          <w:spacing w:val="-6"/>
        </w:rPr>
        <w:t> </w:t>
      </w:r>
      <w:r>
        <w:rPr/>
        <w:t>el</w:t>
      </w:r>
      <w:r>
        <w:rPr>
          <w:spacing w:val="-4"/>
        </w:rPr>
        <w:t> </w:t>
      </w:r>
      <w:r>
        <w:rPr>
          <w:i/>
        </w:rPr>
        <w:t>grupo</w:t>
      </w:r>
      <w:r>
        <w:rPr>
          <w:i/>
          <w:spacing w:val="-6"/>
        </w:rPr>
        <w:t> </w:t>
      </w:r>
      <w:r>
        <w:rPr>
          <w:i/>
        </w:rPr>
        <w:t>2</w:t>
      </w:r>
      <w:r>
        <w:rPr/>
        <w:t>,</w:t>
      </w:r>
      <w:r>
        <w:rPr>
          <w:spacing w:val="-9"/>
        </w:rPr>
        <w:t> </w:t>
      </w:r>
      <w:r>
        <w:rPr/>
        <w:t>en</w:t>
      </w:r>
      <w:r>
        <w:rPr>
          <w:spacing w:val="-4"/>
        </w:rPr>
        <w:t> </w:t>
      </w:r>
      <w:r>
        <w:rPr/>
        <w:t>segundo</w:t>
      </w:r>
      <w:r>
        <w:rPr>
          <w:spacing w:val="-4"/>
        </w:rPr>
        <w:t> </w:t>
      </w:r>
      <w:r>
        <w:rPr/>
        <w:t>lugar</w:t>
      </w:r>
      <w:r>
        <w:rPr>
          <w:spacing w:val="-7"/>
        </w:rPr>
        <w:t> </w:t>
      </w:r>
      <w:r>
        <w:rPr/>
        <w:t>el</w:t>
      </w:r>
      <w:r>
        <w:rPr>
          <w:spacing w:val="-2"/>
        </w:rPr>
        <w:t> </w:t>
      </w:r>
      <w:r>
        <w:rPr>
          <w:i/>
        </w:rPr>
        <w:t>grupo</w:t>
      </w:r>
      <w:r>
        <w:rPr>
          <w:i/>
          <w:spacing w:val="-6"/>
        </w:rPr>
        <w:t> </w:t>
      </w:r>
      <w:r>
        <w:rPr>
          <w:i/>
        </w:rPr>
        <w:t>3</w:t>
      </w:r>
      <w:r>
        <w:rPr/>
        <w:t>,</w:t>
      </w:r>
      <w:r>
        <w:rPr>
          <w:spacing w:val="-6"/>
        </w:rPr>
        <w:t> </w:t>
      </w:r>
      <w:r>
        <w:rPr/>
        <w:t>en</w:t>
      </w:r>
      <w:r>
        <w:rPr>
          <w:spacing w:val="-4"/>
        </w:rPr>
        <w:t> </w:t>
      </w:r>
      <w:r>
        <w:rPr/>
        <w:t>tercer</w:t>
      </w:r>
      <w:r>
        <w:rPr>
          <w:spacing w:val="-5"/>
        </w:rPr>
        <w:t> </w:t>
      </w:r>
      <w:r>
        <w:rPr/>
        <w:t>lugar se encuentra el </w:t>
      </w:r>
      <w:r>
        <w:rPr>
          <w:i/>
        </w:rPr>
        <w:t>grupo 1 </w:t>
      </w:r>
      <w:r>
        <w:rPr/>
        <w:t>y finalmente el </w:t>
      </w:r>
      <w:r>
        <w:rPr>
          <w:i/>
        </w:rPr>
        <w:t>grupo 4</w:t>
      </w:r>
      <w:r>
        <w:rPr/>
        <w:t>. Y el nivel de estudios superior es aquel con mayor número de respuestas “de acuerdo” y “muy de acuerdo” con el uso de anglicismos en la</w:t>
      </w:r>
      <w:r>
        <w:rPr>
          <w:spacing w:val="-7"/>
        </w:rPr>
        <w:t> </w:t>
      </w:r>
      <w:r>
        <w:rPr/>
        <w:t>grabación.</w:t>
      </w:r>
    </w:p>
    <w:p>
      <w:pPr>
        <w:pStyle w:val="BodyText"/>
        <w:spacing w:line="360" w:lineRule="auto" w:before="163"/>
        <w:ind w:left="102" w:right="107" w:firstLine="707"/>
        <w:jc w:val="both"/>
        <w:rPr>
          <w:i/>
        </w:rPr>
      </w:pPr>
      <w:r>
        <w:rPr/>
        <w:t>También, se concluye que la validez del instrumento es confiable, ya que al contrastar los resultados anteriores de las aseveraciones favorables con las desfavorables, los resultados son los mismos: el 46% se encuentra en desacuerdo ante las aseveraciones desfavorables para el uso de anglicismos, los hombres desfavorecen en</w:t>
      </w:r>
      <w:r>
        <w:rPr>
          <w:spacing w:val="-19"/>
        </w:rPr>
        <w:t> </w:t>
      </w:r>
      <w:r>
        <w:rPr/>
        <w:t>mayor</w:t>
      </w:r>
      <w:r>
        <w:rPr>
          <w:spacing w:val="-18"/>
        </w:rPr>
        <w:t> </w:t>
      </w:r>
      <w:r>
        <w:rPr/>
        <w:t>número</w:t>
      </w:r>
      <w:r>
        <w:rPr>
          <w:spacing w:val="-17"/>
        </w:rPr>
        <w:t> </w:t>
      </w:r>
      <w:r>
        <w:rPr/>
        <w:t>las</w:t>
      </w:r>
      <w:r>
        <w:rPr>
          <w:spacing w:val="-17"/>
        </w:rPr>
        <w:t> </w:t>
      </w:r>
      <w:r>
        <w:rPr/>
        <w:t>aseveraciones</w:t>
      </w:r>
      <w:r>
        <w:rPr>
          <w:spacing w:val="-20"/>
        </w:rPr>
        <w:t> </w:t>
      </w:r>
      <w:r>
        <w:rPr/>
        <w:t>negativas</w:t>
      </w:r>
      <w:r>
        <w:rPr>
          <w:spacing w:val="-17"/>
        </w:rPr>
        <w:t> </w:t>
      </w:r>
      <w:r>
        <w:rPr/>
        <w:t>en</w:t>
      </w:r>
      <w:r>
        <w:rPr>
          <w:spacing w:val="-19"/>
        </w:rPr>
        <w:t> </w:t>
      </w:r>
      <w:r>
        <w:rPr/>
        <w:t>un</w:t>
      </w:r>
      <w:r>
        <w:rPr>
          <w:spacing w:val="-17"/>
        </w:rPr>
        <w:t> </w:t>
      </w:r>
      <w:r>
        <w:rPr/>
        <w:t>51%</w:t>
      </w:r>
      <w:r>
        <w:rPr>
          <w:spacing w:val="-20"/>
        </w:rPr>
        <w:t> </w:t>
      </w:r>
      <w:r>
        <w:rPr/>
        <w:t>frente</w:t>
      </w:r>
      <w:r>
        <w:rPr>
          <w:spacing w:val="-19"/>
        </w:rPr>
        <w:t> </w:t>
      </w:r>
      <w:r>
        <w:rPr/>
        <w:t>a</w:t>
      </w:r>
      <w:r>
        <w:rPr>
          <w:spacing w:val="-19"/>
        </w:rPr>
        <w:t> </w:t>
      </w:r>
      <w:r>
        <w:rPr/>
        <w:t>un</w:t>
      </w:r>
      <w:r>
        <w:rPr>
          <w:spacing w:val="-17"/>
        </w:rPr>
        <w:t> </w:t>
      </w:r>
      <w:r>
        <w:rPr/>
        <w:t>44%</w:t>
      </w:r>
      <w:r>
        <w:rPr>
          <w:spacing w:val="-20"/>
        </w:rPr>
        <w:t> </w:t>
      </w:r>
      <w:r>
        <w:rPr/>
        <w:t>de</w:t>
      </w:r>
      <w:r>
        <w:rPr>
          <w:spacing w:val="-19"/>
        </w:rPr>
        <w:t> </w:t>
      </w:r>
      <w:r>
        <w:rPr/>
        <w:t>las</w:t>
      </w:r>
      <w:r>
        <w:rPr>
          <w:spacing w:val="-19"/>
        </w:rPr>
        <w:t> </w:t>
      </w:r>
      <w:r>
        <w:rPr/>
        <w:t>mujeres. Los grupos de edad retoman las mismas posiciones (</w:t>
      </w:r>
      <w:r>
        <w:rPr>
          <w:i/>
        </w:rPr>
        <w:t>grupo 2, grupo 3, grupo 1 </w:t>
      </w:r>
      <w:r>
        <w:rPr/>
        <w:t>y </w:t>
      </w:r>
      <w:r>
        <w:rPr>
          <w:spacing w:val="52"/>
        </w:rPr>
        <w:t> </w:t>
      </w:r>
      <w:r>
        <w:rPr>
          <w:i/>
        </w:rPr>
        <w:t>grupo</w:t>
      </w:r>
    </w:p>
    <w:p>
      <w:pPr>
        <w:pStyle w:val="BodyText"/>
        <w:spacing w:line="362" w:lineRule="auto" w:before="2"/>
        <w:ind w:left="102" w:right="339"/>
      </w:pPr>
      <w:r>
        <w:rPr>
          <w:i/>
        </w:rPr>
        <w:t>4</w:t>
      </w:r>
      <w:r>
        <w:rPr/>
        <w:t>) con actitudes negativas a desfavorecer los anglicismos y de igual forma el nivel superior presenta mayor porcentaje de respuestas en desacuerdo.</w:t>
      </w:r>
    </w:p>
    <w:p>
      <w:pPr>
        <w:pStyle w:val="BodyText"/>
        <w:spacing w:line="360" w:lineRule="auto" w:before="161"/>
        <w:ind w:left="102" w:right="110" w:firstLine="707"/>
        <w:jc w:val="both"/>
      </w:pPr>
      <w:r>
        <w:rPr/>
        <w:t>Los datos presentados en este trabajo son concisos y significativos para poder llegar a una determinación muy precisa que será mejor descrita en el siguiente apartado de Conclusiones. No obstante, se puntualiza para el lector que debido a la muestra pequeña</w:t>
      </w:r>
      <w:r>
        <w:rPr>
          <w:spacing w:val="-5"/>
        </w:rPr>
        <w:t> </w:t>
      </w:r>
      <w:r>
        <w:rPr/>
        <w:t>de</w:t>
      </w:r>
      <w:r>
        <w:rPr>
          <w:spacing w:val="-5"/>
        </w:rPr>
        <w:t> </w:t>
      </w:r>
      <w:r>
        <w:rPr/>
        <w:t>sujetos</w:t>
      </w:r>
      <w:r>
        <w:rPr>
          <w:spacing w:val="-5"/>
        </w:rPr>
        <w:t> </w:t>
      </w:r>
      <w:r>
        <w:rPr/>
        <w:t>de</w:t>
      </w:r>
      <w:r>
        <w:rPr>
          <w:spacing w:val="-7"/>
        </w:rPr>
        <w:t> </w:t>
      </w:r>
      <w:r>
        <w:rPr/>
        <w:t>investigación,</w:t>
      </w:r>
      <w:r>
        <w:rPr>
          <w:spacing w:val="-5"/>
        </w:rPr>
        <w:t> </w:t>
      </w:r>
      <w:r>
        <w:rPr/>
        <w:t>aunque</w:t>
      </w:r>
      <w:r>
        <w:rPr>
          <w:spacing w:val="-7"/>
        </w:rPr>
        <w:t> </w:t>
      </w:r>
      <w:r>
        <w:rPr/>
        <w:t>los</w:t>
      </w:r>
      <w:r>
        <w:rPr>
          <w:spacing w:val="-5"/>
        </w:rPr>
        <w:t> </w:t>
      </w:r>
      <w:r>
        <w:rPr/>
        <w:t>datos</w:t>
      </w:r>
      <w:r>
        <w:rPr>
          <w:spacing w:val="-5"/>
        </w:rPr>
        <w:t> </w:t>
      </w:r>
      <w:r>
        <w:rPr/>
        <w:t>sean</w:t>
      </w:r>
      <w:r>
        <w:rPr>
          <w:spacing w:val="-5"/>
        </w:rPr>
        <w:t> </w:t>
      </w:r>
      <w:r>
        <w:rPr/>
        <w:t>determinantes,</w:t>
      </w:r>
      <w:r>
        <w:rPr>
          <w:spacing w:val="-5"/>
        </w:rPr>
        <w:t> </w:t>
      </w:r>
      <w:r>
        <w:rPr/>
        <w:t>sólo</w:t>
      </w:r>
      <w:r>
        <w:rPr>
          <w:spacing w:val="-5"/>
        </w:rPr>
        <w:t> </w:t>
      </w:r>
      <w:r>
        <w:rPr/>
        <w:t>aplican para lograr los objetivos de esta investigación y no pueden ser generalizados como representativos de toda la población procedente de la Ciudad de</w:t>
      </w:r>
      <w:r>
        <w:rPr>
          <w:spacing w:val="-24"/>
        </w:rPr>
        <w:t> </w:t>
      </w:r>
      <w:r>
        <w:rPr/>
        <w:t>Toluca.</w:t>
      </w:r>
    </w:p>
    <w:p>
      <w:pPr>
        <w:spacing w:after="0" w:line="360" w:lineRule="auto"/>
        <w:jc w:val="both"/>
        <w:sectPr>
          <w:footerReference w:type="default" r:id="rId101"/>
          <w:pgSz w:w="12240" w:h="15840"/>
          <w:pgMar w:footer="1003" w:header="749" w:top="960" w:bottom="1200" w:left="1600" w:right="1020"/>
        </w:sectPr>
      </w:pPr>
    </w:p>
    <w:p>
      <w:pPr>
        <w:pStyle w:val="BodyText"/>
        <w:spacing w:before="4"/>
        <w:rPr>
          <w:sz w:val="11"/>
        </w:rPr>
      </w:pPr>
    </w:p>
    <w:p>
      <w:pPr>
        <w:pStyle w:val="Heading1"/>
        <w:spacing w:before="69"/>
        <w:ind w:left="423" w:right="432"/>
        <w:jc w:val="center"/>
      </w:pPr>
      <w:r>
        <w:rPr/>
        <w:t>DISCUSIÓN</w:t>
      </w:r>
    </w:p>
    <w:p>
      <w:pPr>
        <w:pStyle w:val="BodyText"/>
        <w:spacing w:before="4"/>
        <w:rPr>
          <w:b/>
          <w:sz w:val="29"/>
        </w:rPr>
      </w:pPr>
    </w:p>
    <w:p>
      <w:pPr>
        <w:pStyle w:val="BodyText"/>
        <w:spacing w:line="360" w:lineRule="auto" w:before="1"/>
        <w:ind w:left="102" w:right="108" w:firstLine="707"/>
        <w:jc w:val="both"/>
      </w:pPr>
      <w:r>
        <w:rPr/>
        <w:t>La discusión aquí expuesta se presenta con el propósito de declarar algunas afirmaciones provenientes de los hallazgos en este trabajo de investigación.</w:t>
      </w:r>
    </w:p>
    <w:p>
      <w:pPr>
        <w:pStyle w:val="BodyText"/>
        <w:spacing w:line="360" w:lineRule="auto" w:before="204"/>
        <w:ind w:left="23" w:right="109" w:firstLine="707"/>
        <w:jc w:val="right"/>
      </w:pPr>
      <w:r>
        <w:rPr/>
        <w:t>Como primer punto a tratar se menciona que el efecto que produce el uso de</w:t>
      </w:r>
      <w:r>
        <w:rPr>
          <w:w w:val="99"/>
        </w:rPr>
        <w:t> </w:t>
      </w:r>
      <w:r>
        <w:rPr/>
        <w:t>anglicismos en el oyente es del tipo positivo. El uso de esta variable se asocia con lo que</w:t>
      </w:r>
      <w:r>
        <w:rPr>
          <w:w w:val="99"/>
        </w:rPr>
        <w:t> </w:t>
      </w:r>
      <w:r>
        <w:rPr/>
        <w:t>es preciso, apropiado, poco común y que representa un amplio vocabulario. Se asocia</w:t>
      </w:r>
      <w:r>
        <w:rPr>
          <w:w w:val="99"/>
        </w:rPr>
        <w:t> </w:t>
      </w:r>
      <w:r>
        <w:rPr/>
        <w:t>con puestos de profesionales importantes como líderes</w:t>
      </w:r>
      <w:r>
        <w:rPr>
          <w:spacing w:val="66"/>
        </w:rPr>
        <w:t> </w:t>
      </w:r>
      <w:r>
        <w:rPr/>
        <w:t>empresariales, ingenieros,</w:t>
      </w:r>
      <w:r>
        <w:rPr>
          <w:w w:val="100"/>
        </w:rPr>
        <w:t> </w:t>
      </w:r>
      <w:r>
        <w:rPr/>
        <w:t>políticos, comunicólogos, profesores, etc.; y no con empleados, obreros o comerciantes.</w:t>
      </w:r>
    </w:p>
    <w:p>
      <w:pPr>
        <w:pStyle w:val="BodyText"/>
        <w:spacing w:line="360" w:lineRule="auto" w:before="204"/>
        <w:ind w:left="102" w:right="117" w:firstLine="707"/>
        <w:jc w:val="both"/>
      </w:pPr>
      <w:r>
        <w:rPr/>
        <w:t>Se supone ser usados en entornos y contextos formales y poco familiares, con la intención de causar buena reputación y autoridad; para provocar asombro, fama y renombre, según así lo indicaron los informantes en el cuestionario aplicado.</w:t>
      </w:r>
    </w:p>
    <w:p>
      <w:pPr>
        <w:pStyle w:val="BodyText"/>
        <w:spacing w:line="360" w:lineRule="auto" w:before="202"/>
        <w:ind w:left="102" w:right="107" w:firstLine="707"/>
        <w:jc w:val="both"/>
      </w:pPr>
      <w:r>
        <w:rPr/>
        <w:t>En segundo lugar, la edad influye en la aceptación del uso </w:t>
      </w:r>
      <w:r>
        <w:rPr>
          <w:spacing w:val="4"/>
        </w:rPr>
        <w:t>de </w:t>
      </w:r>
      <w:r>
        <w:rPr/>
        <w:t>anglicismos. Siguiendo con Labov (en Coupland y Jaworski, 1997:193) la habilidad de realizar el cambio</w:t>
      </w:r>
      <w:r>
        <w:rPr>
          <w:spacing w:val="-12"/>
        </w:rPr>
        <w:t> </w:t>
      </w:r>
      <w:r>
        <w:rPr/>
        <w:t>de</w:t>
      </w:r>
      <w:r>
        <w:rPr>
          <w:spacing w:val="-12"/>
        </w:rPr>
        <w:t> </w:t>
      </w:r>
      <w:r>
        <w:rPr/>
        <w:t>estilo</w:t>
      </w:r>
      <w:r>
        <w:rPr>
          <w:spacing w:val="-12"/>
        </w:rPr>
        <w:t> </w:t>
      </w:r>
      <w:r>
        <w:rPr/>
        <w:t>en</w:t>
      </w:r>
      <w:r>
        <w:rPr>
          <w:spacing w:val="-12"/>
        </w:rPr>
        <w:t> </w:t>
      </w:r>
      <w:r>
        <w:rPr/>
        <w:t>una</w:t>
      </w:r>
      <w:r>
        <w:rPr>
          <w:spacing w:val="-12"/>
        </w:rPr>
        <w:t> </w:t>
      </w:r>
      <w:r>
        <w:rPr/>
        <w:t>conversación,</w:t>
      </w:r>
      <w:r>
        <w:rPr>
          <w:spacing w:val="-12"/>
        </w:rPr>
        <w:t> </w:t>
      </w:r>
      <w:r>
        <w:rPr/>
        <w:t>se</w:t>
      </w:r>
      <w:r>
        <w:rPr>
          <w:spacing w:val="-14"/>
        </w:rPr>
        <w:t> </w:t>
      </w:r>
      <w:r>
        <w:rPr/>
        <w:t>adquiere</w:t>
      </w:r>
      <w:r>
        <w:rPr>
          <w:spacing w:val="-12"/>
        </w:rPr>
        <w:t> </w:t>
      </w:r>
      <w:r>
        <w:rPr/>
        <w:t>a</w:t>
      </w:r>
      <w:r>
        <w:rPr>
          <w:spacing w:val="-14"/>
        </w:rPr>
        <w:t> </w:t>
      </w:r>
      <w:r>
        <w:rPr/>
        <w:t>los</w:t>
      </w:r>
      <w:r>
        <w:rPr>
          <w:spacing w:val="-12"/>
        </w:rPr>
        <w:t> </w:t>
      </w:r>
      <w:r>
        <w:rPr/>
        <w:t>catorce</w:t>
      </w:r>
      <w:r>
        <w:rPr>
          <w:spacing w:val="-15"/>
        </w:rPr>
        <w:t> </w:t>
      </w:r>
      <w:r>
        <w:rPr/>
        <w:t>años</w:t>
      </w:r>
      <w:r>
        <w:rPr>
          <w:spacing w:val="-13"/>
        </w:rPr>
        <w:t> </w:t>
      </w:r>
      <w:r>
        <w:rPr/>
        <w:t>de</w:t>
      </w:r>
      <w:r>
        <w:rPr>
          <w:spacing w:val="-14"/>
        </w:rPr>
        <w:t> </w:t>
      </w:r>
      <w:r>
        <w:rPr/>
        <w:t>edad,</w:t>
      </w:r>
      <w:r>
        <w:rPr>
          <w:spacing w:val="-5"/>
        </w:rPr>
        <w:t> </w:t>
      </w:r>
      <w:r>
        <w:rPr/>
        <w:t>lo</w:t>
      </w:r>
      <w:r>
        <w:rPr>
          <w:spacing w:val="-12"/>
        </w:rPr>
        <w:t> </w:t>
      </w:r>
      <w:r>
        <w:rPr/>
        <w:t>anterior indicaría que de acuerdo con los grupos de edad establecidos en esta investigación cualquier sujeto de los informantes ya tiene la habilidad y sensibilidad para modificar su discurso dependiendo de sus propios intereses y del contexto y personas con las que</w:t>
      </w:r>
      <w:r>
        <w:rPr>
          <w:spacing w:val="-43"/>
        </w:rPr>
        <w:t> </w:t>
      </w:r>
      <w:r>
        <w:rPr/>
        <w:t>se encuentre.</w:t>
      </w:r>
    </w:p>
    <w:p>
      <w:pPr>
        <w:pStyle w:val="BodyText"/>
        <w:spacing w:line="360" w:lineRule="auto" w:before="204"/>
        <w:ind w:left="102" w:right="108" w:firstLine="707"/>
        <w:jc w:val="both"/>
      </w:pPr>
      <w:r>
        <w:rPr/>
        <w:t>Se</w:t>
      </w:r>
      <w:r>
        <w:rPr>
          <w:spacing w:val="-4"/>
        </w:rPr>
        <w:t> </w:t>
      </w:r>
      <w:r>
        <w:rPr/>
        <w:t>considera</w:t>
      </w:r>
      <w:r>
        <w:rPr>
          <w:spacing w:val="-4"/>
        </w:rPr>
        <w:t> </w:t>
      </w:r>
      <w:r>
        <w:rPr/>
        <w:t>que</w:t>
      </w:r>
      <w:r>
        <w:rPr>
          <w:spacing w:val="-4"/>
        </w:rPr>
        <w:t> </w:t>
      </w:r>
      <w:r>
        <w:rPr/>
        <w:t>el</w:t>
      </w:r>
      <w:r>
        <w:rPr>
          <w:spacing w:val="-5"/>
        </w:rPr>
        <w:t> </w:t>
      </w:r>
      <w:r>
        <w:rPr/>
        <w:t>grupo</w:t>
      </w:r>
      <w:r>
        <w:rPr>
          <w:spacing w:val="-4"/>
        </w:rPr>
        <w:t> </w:t>
      </w:r>
      <w:r>
        <w:rPr/>
        <w:t>2</w:t>
      </w:r>
      <w:r>
        <w:rPr>
          <w:spacing w:val="-4"/>
        </w:rPr>
        <w:t> </w:t>
      </w:r>
      <w:r>
        <w:rPr/>
        <w:t>con</w:t>
      </w:r>
      <w:r>
        <w:rPr>
          <w:spacing w:val="-4"/>
        </w:rPr>
        <w:t> </w:t>
      </w:r>
      <w:r>
        <w:rPr/>
        <w:t>edades</w:t>
      </w:r>
      <w:r>
        <w:rPr>
          <w:spacing w:val="-4"/>
        </w:rPr>
        <w:t> </w:t>
      </w:r>
      <w:r>
        <w:rPr/>
        <w:t>entre</w:t>
      </w:r>
      <w:r>
        <w:rPr>
          <w:spacing w:val="-4"/>
        </w:rPr>
        <w:t> </w:t>
      </w:r>
      <w:r>
        <w:rPr/>
        <w:t>los</w:t>
      </w:r>
      <w:r>
        <w:rPr>
          <w:spacing w:val="-4"/>
        </w:rPr>
        <w:t> </w:t>
      </w:r>
      <w:r>
        <w:rPr/>
        <w:t>25</w:t>
      </w:r>
      <w:r>
        <w:rPr>
          <w:spacing w:val="-4"/>
        </w:rPr>
        <w:t> </w:t>
      </w:r>
      <w:r>
        <w:rPr/>
        <w:t>y</w:t>
      </w:r>
      <w:r>
        <w:rPr>
          <w:spacing w:val="-7"/>
        </w:rPr>
        <w:t> </w:t>
      </w:r>
      <w:r>
        <w:rPr/>
        <w:t>34</w:t>
      </w:r>
      <w:r>
        <w:rPr>
          <w:spacing w:val="-4"/>
        </w:rPr>
        <w:t> </w:t>
      </w:r>
      <w:r>
        <w:rPr/>
        <w:t>años</w:t>
      </w:r>
      <w:r>
        <w:rPr>
          <w:spacing w:val="-4"/>
        </w:rPr>
        <w:t> </w:t>
      </w:r>
      <w:r>
        <w:rPr/>
        <w:t>de</w:t>
      </w:r>
      <w:r>
        <w:rPr>
          <w:spacing w:val="-6"/>
        </w:rPr>
        <w:t> </w:t>
      </w:r>
      <w:r>
        <w:rPr/>
        <w:t>edad</w:t>
      </w:r>
      <w:r>
        <w:rPr>
          <w:spacing w:val="-6"/>
        </w:rPr>
        <w:t> </w:t>
      </w:r>
      <w:r>
        <w:rPr/>
        <w:t>fue</w:t>
      </w:r>
      <w:r>
        <w:rPr>
          <w:spacing w:val="-6"/>
        </w:rPr>
        <w:t> </w:t>
      </w:r>
      <w:r>
        <w:rPr/>
        <w:t>aquel que presentó mayor preferencia por los anglicismos debido a que por experiencia ha aprendido</w:t>
      </w:r>
      <w:r>
        <w:rPr>
          <w:spacing w:val="-20"/>
        </w:rPr>
        <w:t> </w:t>
      </w:r>
      <w:r>
        <w:rPr/>
        <w:t>a</w:t>
      </w:r>
      <w:r>
        <w:rPr>
          <w:spacing w:val="-18"/>
        </w:rPr>
        <w:t> </w:t>
      </w:r>
      <w:r>
        <w:rPr/>
        <w:t>modificar</w:t>
      </w:r>
      <w:r>
        <w:rPr>
          <w:spacing w:val="-19"/>
        </w:rPr>
        <w:t> </w:t>
      </w:r>
      <w:r>
        <w:rPr/>
        <w:t>su</w:t>
      </w:r>
      <w:r>
        <w:rPr>
          <w:spacing w:val="-18"/>
        </w:rPr>
        <w:t> </w:t>
      </w:r>
      <w:r>
        <w:rPr/>
        <w:t>discurso</w:t>
      </w:r>
      <w:r>
        <w:rPr>
          <w:spacing w:val="-18"/>
        </w:rPr>
        <w:t> </w:t>
      </w:r>
      <w:r>
        <w:rPr/>
        <w:t>a</w:t>
      </w:r>
      <w:r>
        <w:rPr>
          <w:spacing w:val="-18"/>
        </w:rPr>
        <w:t> </w:t>
      </w:r>
      <w:r>
        <w:rPr/>
        <w:t>su</w:t>
      </w:r>
      <w:r>
        <w:rPr>
          <w:spacing w:val="-18"/>
        </w:rPr>
        <w:t> </w:t>
      </w:r>
      <w:r>
        <w:rPr/>
        <w:t>propia</w:t>
      </w:r>
      <w:r>
        <w:rPr>
          <w:spacing w:val="-18"/>
        </w:rPr>
        <w:t> </w:t>
      </w:r>
      <w:r>
        <w:rPr/>
        <w:t>conveniencia</w:t>
      </w:r>
      <w:r>
        <w:rPr>
          <w:spacing w:val="-21"/>
        </w:rPr>
        <w:t> </w:t>
      </w:r>
      <w:r>
        <w:rPr/>
        <w:t>en</w:t>
      </w:r>
      <w:r>
        <w:rPr>
          <w:spacing w:val="-20"/>
        </w:rPr>
        <w:t> </w:t>
      </w:r>
      <w:r>
        <w:rPr/>
        <w:t>mayor</w:t>
      </w:r>
      <w:r>
        <w:rPr>
          <w:spacing w:val="-13"/>
        </w:rPr>
        <w:t> </w:t>
      </w:r>
      <w:r>
        <w:rPr/>
        <w:t>medida</w:t>
      </w:r>
      <w:r>
        <w:rPr>
          <w:spacing w:val="-18"/>
        </w:rPr>
        <w:t> </w:t>
      </w:r>
      <w:r>
        <w:rPr/>
        <w:t>que</w:t>
      </w:r>
      <w:r>
        <w:rPr>
          <w:spacing w:val="-18"/>
        </w:rPr>
        <w:t> </w:t>
      </w:r>
      <w:r>
        <w:rPr/>
        <w:t>el</w:t>
      </w:r>
      <w:r>
        <w:rPr>
          <w:spacing w:val="-19"/>
        </w:rPr>
        <w:t> </w:t>
      </w:r>
      <w:r>
        <w:rPr/>
        <w:t>grupo 1,</w:t>
      </w:r>
      <w:r>
        <w:rPr>
          <w:spacing w:val="-13"/>
        </w:rPr>
        <w:t> </w:t>
      </w:r>
      <w:r>
        <w:rPr/>
        <w:t>por</w:t>
      </w:r>
      <w:r>
        <w:rPr>
          <w:spacing w:val="-15"/>
        </w:rPr>
        <w:t> </w:t>
      </w:r>
      <w:r>
        <w:rPr/>
        <w:t>ejemplo.</w:t>
      </w:r>
      <w:r>
        <w:rPr>
          <w:spacing w:val="-13"/>
        </w:rPr>
        <w:t> </w:t>
      </w:r>
      <w:r>
        <w:rPr/>
        <w:t>Además,</w:t>
      </w:r>
      <w:r>
        <w:rPr>
          <w:spacing w:val="-12"/>
        </w:rPr>
        <w:t> </w:t>
      </w:r>
      <w:r>
        <w:rPr/>
        <w:t>su</w:t>
      </w:r>
      <w:r>
        <w:rPr>
          <w:spacing w:val="-13"/>
        </w:rPr>
        <w:t> </w:t>
      </w:r>
      <w:r>
        <w:rPr/>
        <w:t>posición</w:t>
      </w:r>
      <w:r>
        <w:rPr>
          <w:spacing w:val="-12"/>
        </w:rPr>
        <w:t> </w:t>
      </w:r>
      <w:r>
        <w:rPr/>
        <w:t>como</w:t>
      </w:r>
      <w:r>
        <w:rPr>
          <w:spacing w:val="-13"/>
        </w:rPr>
        <w:t> </w:t>
      </w:r>
      <w:r>
        <w:rPr/>
        <w:t>ente</w:t>
      </w:r>
      <w:r>
        <w:rPr>
          <w:spacing w:val="-13"/>
        </w:rPr>
        <w:t> </w:t>
      </w:r>
      <w:r>
        <w:rPr/>
        <w:t>productivo</w:t>
      </w:r>
      <w:r>
        <w:rPr>
          <w:spacing w:val="-12"/>
        </w:rPr>
        <w:t> </w:t>
      </w:r>
      <w:r>
        <w:rPr/>
        <w:t>dentro</w:t>
      </w:r>
      <w:r>
        <w:rPr>
          <w:spacing w:val="-13"/>
        </w:rPr>
        <w:t> </w:t>
      </w:r>
      <w:r>
        <w:rPr/>
        <w:t>de</w:t>
      </w:r>
      <w:r>
        <w:rPr>
          <w:spacing w:val="-13"/>
        </w:rPr>
        <w:t> </w:t>
      </w:r>
      <w:r>
        <w:rPr/>
        <w:t>la</w:t>
      </w:r>
      <w:r>
        <w:rPr>
          <w:spacing w:val="-12"/>
        </w:rPr>
        <w:t> </w:t>
      </w:r>
      <w:r>
        <w:rPr/>
        <w:t>sociedad</w:t>
      </w:r>
      <w:r>
        <w:rPr>
          <w:spacing w:val="-13"/>
        </w:rPr>
        <w:t> </w:t>
      </w:r>
      <w:r>
        <w:rPr/>
        <w:t>lo</w:t>
      </w:r>
      <w:r>
        <w:rPr>
          <w:spacing w:val="-13"/>
        </w:rPr>
        <w:t> </w:t>
      </w:r>
      <w:r>
        <w:rPr/>
        <w:t>obliga a pertenecer a una categoría social específica: con una ocupación específica, una percepción económica específica y una educación específica; y que bajo ese parámetro lo ayuden a crear redes sociales que lo ayuden en su crecimiento de tal forma que prefieran discursos con variables lingüísticas con prestigio (Coupland y Jaworski, 1997:212).</w:t>
      </w:r>
    </w:p>
    <w:p>
      <w:pPr>
        <w:pStyle w:val="BodyText"/>
        <w:rPr>
          <w:sz w:val="20"/>
        </w:rPr>
      </w:pPr>
    </w:p>
    <w:p>
      <w:pPr>
        <w:pStyle w:val="BodyText"/>
        <w:rPr>
          <w:sz w:val="20"/>
        </w:rPr>
      </w:pPr>
    </w:p>
    <w:p>
      <w:pPr>
        <w:pStyle w:val="BodyText"/>
        <w:spacing w:before="7"/>
        <w:rPr>
          <w:sz w:val="17"/>
        </w:rPr>
      </w:pPr>
    </w:p>
    <w:p>
      <w:pPr>
        <w:spacing w:before="56"/>
        <w:ind w:left="423" w:right="427" w:firstLine="0"/>
        <w:jc w:val="center"/>
        <w:rPr>
          <w:rFonts w:ascii="Calibri"/>
          <w:sz w:val="22"/>
        </w:rPr>
      </w:pPr>
      <w:r>
        <w:rPr>
          <w:rFonts w:ascii="Calibri"/>
          <w:sz w:val="22"/>
        </w:rPr>
        <w:t>82</w:t>
      </w:r>
    </w:p>
    <w:p>
      <w:pPr>
        <w:spacing w:after="0"/>
        <w:jc w:val="center"/>
        <w:rPr>
          <w:rFonts w:ascii="Calibri"/>
          <w:sz w:val="22"/>
        </w:rPr>
        <w:sectPr>
          <w:headerReference w:type="default" r:id="rId102"/>
          <w:footerReference w:type="default" r:id="rId103"/>
          <w:pgSz w:w="12240" w:h="15840"/>
          <w:pgMar w:header="0" w:footer="0" w:top="1500" w:bottom="280" w:left="1600" w:right="1020"/>
        </w:sectPr>
      </w:pPr>
    </w:p>
    <w:p>
      <w:pPr>
        <w:pStyle w:val="BodyText"/>
        <w:rPr>
          <w:rFonts w:ascii="Calibri"/>
          <w:sz w:val="20"/>
        </w:rPr>
      </w:pPr>
    </w:p>
    <w:p>
      <w:pPr>
        <w:pStyle w:val="BodyText"/>
        <w:rPr>
          <w:rFonts w:ascii="Calibri"/>
          <w:sz w:val="20"/>
        </w:rPr>
      </w:pPr>
    </w:p>
    <w:p>
      <w:pPr>
        <w:pStyle w:val="BodyText"/>
        <w:spacing w:before="10"/>
        <w:rPr>
          <w:rFonts w:ascii="Calibri"/>
          <w:sz w:val="19"/>
        </w:rPr>
      </w:pPr>
    </w:p>
    <w:p>
      <w:pPr>
        <w:pStyle w:val="BodyText"/>
        <w:spacing w:line="360" w:lineRule="auto"/>
        <w:ind w:left="102" w:right="109" w:firstLine="707"/>
        <w:jc w:val="both"/>
      </w:pPr>
      <w:r>
        <w:rPr/>
        <w:t>En un tercer punto, las diferencias de género resultan complejas si se considera que en la sociedad de la actualidad los roles de género no parecen ser tan marcados como en el pasado. Probablemente debido a que la mujer cada vez toma más parte en ámbitos en los que, en algún tiempo, sólo el hombre tenía lugar. Ambos roles de género se</w:t>
      </w:r>
      <w:r>
        <w:rPr>
          <w:spacing w:val="-8"/>
        </w:rPr>
        <w:t> </w:t>
      </w:r>
      <w:r>
        <w:rPr/>
        <w:t>ven</w:t>
      </w:r>
      <w:r>
        <w:rPr>
          <w:spacing w:val="-11"/>
        </w:rPr>
        <w:t> </w:t>
      </w:r>
      <w:r>
        <w:rPr/>
        <w:t>invadidos</w:t>
      </w:r>
      <w:r>
        <w:rPr>
          <w:spacing w:val="-12"/>
        </w:rPr>
        <w:t> </w:t>
      </w:r>
      <w:r>
        <w:rPr/>
        <w:t>por</w:t>
      </w:r>
      <w:r>
        <w:rPr>
          <w:spacing w:val="-12"/>
        </w:rPr>
        <w:t> </w:t>
      </w:r>
      <w:r>
        <w:rPr/>
        <w:t>las</w:t>
      </w:r>
      <w:r>
        <w:rPr>
          <w:spacing w:val="-9"/>
        </w:rPr>
        <w:t> </w:t>
      </w:r>
      <w:r>
        <w:rPr/>
        <w:t>dos</w:t>
      </w:r>
      <w:r>
        <w:rPr>
          <w:spacing w:val="-14"/>
        </w:rPr>
        <w:t> </w:t>
      </w:r>
      <w:r>
        <w:rPr/>
        <w:t>partes</w:t>
      </w:r>
      <w:r>
        <w:rPr>
          <w:spacing w:val="-12"/>
        </w:rPr>
        <w:t> </w:t>
      </w:r>
      <w:r>
        <w:rPr/>
        <w:t>debido</w:t>
      </w:r>
      <w:r>
        <w:rPr>
          <w:spacing w:val="-11"/>
        </w:rPr>
        <w:t> </w:t>
      </w:r>
      <w:r>
        <w:rPr/>
        <w:t>a</w:t>
      </w:r>
      <w:r>
        <w:rPr>
          <w:spacing w:val="-8"/>
        </w:rPr>
        <w:t> </w:t>
      </w:r>
      <w:r>
        <w:rPr/>
        <w:t>la</w:t>
      </w:r>
      <w:r>
        <w:rPr>
          <w:spacing w:val="-8"/>
        </w:rPr>
        <w:t> </w:t>
      </w:r>
      <w:r>
        <w:rPr/>
        <w:t>necesidad</w:t>
      </w:r>
      <w:r>
        <w:rPr>
          <w:spacing w:val="-11"/>
        </w:rPr>
        <w:t> </w:t>
      </w:r>
      <w:r>
        <w:rPr/>
        <w:t>de</w:t>
      </w:r>
      <w:r>
        <w:rPr>
          <w:spacing w:val="-11"/>
        </w:rPr>
        <w:t> </w:t>
      </w:r>
      <w:r>
        <w:rPr/>
        <w:t>formar</w:t>
      </w:r>
      <w:r>
        <w:rPr>
          <w:spacing w:val="-12"/>
        </w:rPr>
        <w:t> </w:t>
      </w:r>
      <w:r>
        <w:rPr/>
        <w:t>parte</w:t>
      </w:r>
      <w:r>
        <w:rPr>
          <w:spacing w:val="-11"/>
        </w:rPr>
        <w:t> </w:t>
      </w:r>
      <w:r>
        <w:rPr/>
        <w:t>de</w:t>
      </w:r>
      <w:r>
        <w:rPr>
          <w:spacing w:val="-11"/>
        </w:rPr>
        <w:t> </w:t>
      </w:r>
      <w:r>
        <w:rPr/>
        <w:t>un</w:t>
      </w:r>
      <w:r>
        <w:rPr>
          <w:spacing w:val="-11"/>
        </w:rPr>
        <w:t> </w:t>
      </w:r>
      <w:r>
        <w:rPr/>
        <w:t>mercado más accesible en donde se argumenta</w:t>
      </w:r>
      <w:r>
        <w:rPr>
          <w:spacing w:val="-16"/>
        </w:rPr>
        <w:t> </w:t>
      </w:r>
      <w:r>
        <w:rPr/>
        <w:t>igualdad.</w:t>
      </w:r>
    </w:p>
    <w:p>
      <w:pPr>
        <w:pStyle w:val="BodyText"/>
        <w:spacing w:line="360" w:lineRule="auto" w:before="204"/>
        <w:ind w:left="102" w:right="105" w:firstLine="707"/>
        <w:jc w:val="both"/>
      </w:pPr>
      <w:r>
        <w:rPr/>
        <w:t>Dicha</w:t>
      </w:r>
      <w:r>
        <w:rPr>
          <w:spacing w:val="-6"/>
        </w:rPr>
        <w:t> </w:t>
      </w:r>
      <w:r>
        <w:rPr/>
        <w:t>necesidad</w:t>
      </w:r>
      <w:r>
        <w:rPr>
          <w:spacing w:val="-6"/>
        </w:rPr>
        <w:t> </w:t>
      </w:r>
      <w:r>
        <w:rPr/>
        <w:t>social</w:t>
      </w:r>
      <w:r>
        <w:rPr>
          <w:spacing w:val="-7"/>
        </w:rPr>
        <w:t> </w:t>
      </w:r>
      <w:r>
        <w:rPr/>
        <w:t>hace</w:t>
      </w:r>
      <w:r>
        <w:rPr>
          <w:spacing w:val="-6"/>
        </w:rPr>
        <w:t> </w:t>
      </w:r>
      <w:r>
        <w:rPr/>
        <w:t>creer</w:t>
      </w:r>
      <w:r>
        <w:rPr>
          <w:spacing w:val="-7"/>
        </w:rPr>
        <w:t> </w:t>
      </w:r>
      <w:r>
        <w:rPr/>
        <w:t>que</w:t>
      </w:r>
      <w:r>
        <w:rPr>
          <w:spacing w:val="-6"/>
        </w:rPr>
        <w:t> </w:t>
      </w:r>
      <w:r>
        <w:rPr/>
        <w:t>es</w:t>
      </w:r>
      <w:r>
        <w:rPr>
          <w:spacing w:val="-7"/>
        </w:rPr>
        <w:t> </w:t>
      </w:r>
      <w:r>
        <w:rPr/>
        <w:t>la</w:t>
      </w:r>
      <w:r>
        <w:rPr>
          <w:spacing w:val="-6"/>
        </w:rPr>
        <w:t> </w:t>
      </w:r>
      <w:r>
        <w:rPr/>
        <w:t>razón</w:t>
      </w:r>
      <w:r>
        <w:rPr>
          <w:spacing w:val="-6"/>
        </w:rPr>
        <w:t> </w:t>
      </w:r>
      <w:r>
        <w:rPr/>
        <w:t>por</w:t>
      </w:r>
      <w:r>
        <w:rPr>
          <w:spacing w:val="-7"/>
        </w:rPr>
        <w:t> </w:t>
      </w:r>
      <w:r>
        <w:rPr/>
        <w:t>la</w:t>
      </w:r>
      <w:r>
        <w:rPr>
          <w:spacing w:val="-6"/>
        </w:rPr>
        <w:t> </w:t>
      </w:r>
      <w:r>
        <w:rPr/>
        <w:t>cual</w:t>
      </w:r>
      <w:r>
        <w:rPr>
          <w:spacing w:val="-7"/>
        </w:rPr>
        <w:t> </w:t>
      </w:r>
      <w:r>
        <w:rPr/>
        <w:t>el</w:t>
      </w:r>
      <w:r>
        <w:rPr>
          <w:spacing w:val="-7"/>
        </w:rPr>
        <w:t> </w:t>
      </w:r>
      <w:r>
        <w:rPr/>
        <w:t>género</w:t>
      </w:r>
      <w:r>
        <w:rPr>
          <w:spacing w:val="-7"/>
        </w:rPr>
        <w:t> </w:t>
      </w:r>
      <w:r>
        <w:rPr/>
        <w:t>masculino en</w:t>
      </w:r>
      <w:r>
        <w:rPr>
          <w:spacing w:val="-8"/>
        </w:rPr>
        <w:t> </w:t>
      </w:r>
      <w:r>
        <w:rPr/>
        <w:t>esta</w:t>
      </w:r>
      <w:r>
        <w:rPr>
          <w:spacing w:val="-8"/>
        </w:rPr>
        <w:t> </w:t>
      </w:r>
      <w:r>
        <w:rPr/>
        <w:t>investigación</w:t>
      </w:r>
      <w:r>
        <w:rPr>
          <w:spacing w:val="-8"/>
        </w:rPr>
        <w:t> </w:t>
      </w:r>
      <w:r>
        <w:rPr/>
        <w:t>son</w:t>
      </w:r>
      <w:r>
        <w:rPr>
          <w:spacing w:val="-8"/>
        </w:rPr>
        <w:t> </w:t>
      </w:r>
      <w:r>
        <w:rPr/>
        <w:t>aquellos</w:t>
      </w:r>
      <w:r>
        <w:rPr>
          <w:spacing w:val="-9"/>
        </w:rPr>
        <w:t> </w:t>
      </w:r>
      <w:r>
        <w:rPr/>
        <w:t>con</w:t>
      </w:r>
      <w:r>
        <w:rPr>
          <w:spacing w:val="-8"/>
        </w:rPr>
        <w:t> </w:t>
      </w:r>
      <w:r>
        <w:rPr/>
        <w:t>mayor</w:t>
      </w:r>
      <w:r>
        <w:rPr>
          <w:spacing w:val="-12"/>
        </w:rPr>
        <w:t> </w:t>
      </w:r>
      <w:r>
        <w:rPr/>
        <w:t>aceptación</w:t>
      </w:r>
      <w:r>
        <w:rPr>
          <w:spacing w:val="-8"/>
        </w:rPr>
        <w:t> </w:t>
      </w:r>
      <w:r>
        <w:rPr/>
        <w:t>hacia</w:t>
      </w:r>
      <w:r>
        <w:rPr>
          <w:spacing w:val="-9"/>
        </w:rPr>
        <w:t> </w:t>
      </w:r>
      <w:r>
        <w:rPr/>
        <w:t>el</w:t>
      </w:r>
      <w:r>
        <w:rPr>
          <w:spacing w:val="-10"/>
        </w:rPr>
        <w:t> </w:t>
      </w:r>
      <w:r>
        <w:rPr/>
        <w:t>uso</w:t>
      </w:r>
      <w:r>
        <w:rPr>
          <w:spacing w:val="-8"/>
        </w:rPr>
        <w:t> </w:t>
      </w:r>
      <w:r>
        <w:rPr/>
        <w:t>de</w:t>
      </w:r>
      <w:r>
        <w:rPr>
          <w:spacing w:val="-8"/>
        </w:rPr>
        <w:t> </w:t>
      </w:r>
      <w:r>
        <w:rPr/>
        <w:t>anglicismos</w:t>
      </w:r>
      <w:r>
        <w:rPr>
          <w:spacing w:val="-9"/>
        </w:rPr>
        <w:t> </w:t>
      </w:r>
      <w:r>
        <w:rPr/>
        <w:t>por considerarlos prestigiosos, pudiera hablarse de un estrategia lingüística para recuperar posición</w:t>
      </w:r>
      <w:r>
        <w:rPr>
          <w:spacing w:val="-16"/>
        </w:rPr>
        <w:t> </w:t>
      </w:r>
      <w:r>
        <w:rPr/>
        <w:t>social.</w:t>
      </w:r>
      <w:r>
        <w:rPr>
          <w:spacing w:val="-16"/>
        </w:rPr>
        <w:t> </w:t>
      </w:r>
      <w:r>
        <w:rPr/>
        <w:t>Eckert</w:t>
      </w:r>
      <w:r>
        <w:rPr>
          <w:spacing w:val="-17"/>
        </w:rPr>
        <w:t> </w:t>
      </w:r>
      <w:r>
        <w:rPr/>
        <w:t>(en</w:t>
      </w:r>
      <w:r>
        <w:rPr>
          <w:spacing w:val="-15"/>
        </w:rPr>
        <w:t> </w:t>
      </w:r>
      <w:r>
        <w:rPr/>
        <w:t>Coupland</w:t>
      </w:r>
      <w:r>
        <w:rPr>
          <w:spacing w:val="-15"/>
        </w:rPr>
        <w:t> </w:t>
      </w:r>
      <w:r>
        <w:rPr/>
        <w:t>y</w:t>
      </w:r>
      <w:r>
        <w:rPr>
          <w:spacing w:val="-19"/>
        </w:rPr>
        <w:t> </w:t>
      </w:r>
      <w:r>
        <w:rPr/>
        <w:t>Jaworski,</w:t>
      </w:r>
      <w:r>
        <w:rPr>
          <w:spacing w:val="-15"/>
        </w:rPr>
        <w:t> </w:t>
      </w:r>
      <w:r>
        <w:rPr/>
        <w:t>1997:214)</w:t>
      </w:r>
      <w:r>
        <w:rPr>
          <w:spacing w:val="-17"/>
        </w:rPr>
        <w:t> </w:t>
      </w:r>
      <w:r>
        <w:rPr/>
        <w:t>afirma</w:t>
      </w:r>
      <w:r>
        <w:rPr>
          <w:spacing w:val="-16"/>
        </w:rPr>
        <w:t> </w:t>
      </w:r>
      <w:r>
        <w:rPr/>
        <w:t>que</w:t>
      </w:r>
      <w:r>
        <w:rPr>
          <w:spacing w:val="-16"/>
        </w:rPr>
        <w:t> </w:t>
      </w:r>
      <w:r>
        <w:rPr/>
        <w:t>los</w:t>
      </w:r>
      <w:r>
        <w:rPr>
          <w:spacing w:val="-16"/>
        </w:rPr>
        <w:t> </w:t>
      </w:r>
      <w:r>
        <w:rPr/>
        <w:t>roles</w:t>
      </w:r>
      <w:r>
        <w:rPr>
          <w:spacing w:val="-19"/>
        </w:rPr>
        <w:t> </w:t>
      </w:r>
      <w:r>
        <w:rPr/>
        <w:t>de</w:t>
      </w:r>
      <w:r>
        <w:rPr>
          <w:spacing w:val="-16"/>
        </w:rPr>
        <w:t> </w:t>
      </w:r>
      <w:r>
        <w:rPr/>
        <w:t>género y las ideologías hacen que se tenga diferente perspectiva de acuerdo a las vivencias y experiencias</w:t>
      </w:r>
      <w:r>
        <w:rPr>
          <w:spacing w:val="-4"/>
        </w:rPr>
        <w:t> </w:t>
      </w:r>
      <w:r>
        <w:rPr/>
        <w:t>de</w:t>
      </w:r>
      <w:r>
        <w:rPr>
          <w:spacing w:val="-4"/>
        </w:rPr>
        <w:t> </w:t>
      </w:r>
      <w:r>
        <w:rPr/>
        <w:t>la</w:t>
      </w:r>
      <w:r>
        <w:rPr>
          <w:spacing w:val="-4"/>
        </w:rPr>
        <w:t> </w:t>
      </w:r>
      <w:r>
        <w:rPr/>
        <w:t>cultura</w:t>
      </w:r>
      <w:r>
        <w:rPr>
          <w:spacing w:val="-4"/>
        </w:rPr>
        <w:t> </w:t>
      </w:r>
      <w:r>
        <w:rPr/>
        <w:t>y</w:t>
      </w:r>
      <w:r>
        <w:rPr>
          <w:spacing w:val="-7"/>
        </w:rPr>
        <w:t> </w:t>
      </w:r>
      <w:r>
        <w:rPr/>
        <w:t>la</w:t>
      </w:r>
      <w:r>
        <w:rPr>
          <w:spacing w:val="-4"/>
        </w:rPr>
        <w:t> </w:t>
      </w:r>
      <w:r>
        <w:rPr/>
        <w:t>sociedad</w:t>
      </w:r>
      <w:r>
        <w:rPr>
          <w:spacing w:val="-6"/>
        </w:rPr>
        <w:t> </w:t>
      </w:r>
      <w:r>
        <w:rPr/>
        <w:t>a</w:t>
      </w:r>
      <w:r>
        <w:rPr>
          <w:spacing w:val="-4"/>
        </w:rPr>
        <w:t> </w:t>
      </w:r>
      <w:r>
        <w:rPr/>
        <w:t>la</w:t>
      </w:r>
      <w:r>
        <w:rPr>
          <w:spacing w:val="-6"/>
        </w:rPr>
        <w:t> </w:t>
      </w:r>
      <w:r>
        <w:rPr/>
        <w:t>que</w:t>
      </w:r>
      <w:r>
        <w:rPr>
          <w:spacing w:val="-4"/>
        </w:rPr>
        <w:t> </w:t>
      </w:r>
      <w:r>
        <w:rPr/>
        <w:t>hacen</w:t>
      </w:r>
      <w:r>
        <w:rPr>
          <w:spacing w:val="-6"/>
        </w:rPr>
        <w:t> </w:t>
      </w:r>
      <w:r>
        <w:rPr/>
        <w:t>frente.</w:t>
      </w:r>
      <w:r>
        <w:rPr>
          <w:spacing w:val="-6"/>
        </w:rPr>
        <w:t> </w:t>
      </w:r>
      <w:r>
        <w:rPr/>
        <w:t>Esto</w:t>
      </w:r>
      <w:r>
        <w:rPr>
          <w:spacing w:val="-6"/>
        </w:rPr>
        <w:t> </w:t>
      </w:r>
      <w:r>
        <w:rPr/>
        <w:t>hace</w:t>
      </w:r>
      <w:r>
        <w:rPr>
          <w:spacing w:val="-4"/>
        </w:rPr>
        <w:t> </w:t>
      </w:r>
      <w:r>
        <w:rPr/>
        <w:t>suponer</w:t>
      </w:r>
      <w:r>
        <w:rPr>
          <w:spacing w:val="-5"/>
        </w:rPr>
        <w:t> </w:t>
      </w:r>
      <w:r>
        <w:rPr/>
        <w:t>que</w:t>
      </w:r>
      <w:r>
        <w:rPr>
          <w:spacing w:val="-6"/>
        </w:rPr>
        <w:t> </w:t>
      </w:r>
      <w:r>
        <w:rPr/>
        <w:t>no hay</w:t>
      </w:r>
      <w:r>
        <w:rPr>
          <w:spacing w:val="-14"/>
        </w:rPr>
        <w:t> </w:t>
      </w:r>
      <w:r>
        <w:rPr/>
        <w:t>razón</w:t>
      </w:r>
      <w:r>
        <w:rPr>
          <w:spacing w:val="-11"/>
        </w:rPr>
        <w:t> </w:t>
      </w:r>
      <w:r>
        <w:rPr/>
        <w:t>aparente</w:t>
      </w:r>
      <w:r>
        <w:rPr>
          <w:spacing w:val="-10"/>
        </w:rPr>
        <w:t> </w:t>
      </w:r>
      <w:r>
        <w:rPr/>
        <w:t>para</w:t>
      </w:r>
      <w:r>
        <w:rPr>
          <w:spacing w:val="-11"/>
        </w:rPr>
        <w:t> </w:t>
      </w:r>
      <w:r>
        <w:rPr/>
        <w:t>decir</w:t>
      </w:r>
      <w:r>
        <w:rPr>
          <w:spacing w:val="-13"/>
        </w:rPr>
        <w:t> </w:t>
      </w:r>
      <w:r>
        <w:rPr/>
        <w:t>que</w:t>
      </w:r>
      <w:r>
        <w:rPr>
          <w:spacing w:val="-11"/>
        </w:rPr>
        <w:t> </w:t>
      </w:r>
      <w:r>
        <w:rPr/>
        <w:t>existe</w:t>
      </w:r>
      <w:r>
        <w:rPr>
          <w:spacing w:val="-11"/>
        </w:rPr>
        <w:t> </w:t>
      </w:r>
      <w:r>
        <w:rPr/>
        <w:t>una</w:t>
      </w:r>
      <w:r>
        <w:rPr>
          <w:spacing w:val="-11"/>
        </w:rPr>
        <w:t> </w:t>
      </w:r>
      <w:r>
        <w:rPr/>
        <w:t>relación</w:t>
      </w:r>
      <w:r>
        <w:rPr>
          <w:spacing w:val="-11"/>
        </w:rPr>
        <w:t> </w:t>
      </w:r>
      <w:r>
        <w:rPr/>
        <w:t>constante</w:t>
      </w:r>
      <w:r>
        <w:rPr>
          <w:spacing w:val="-13"/>
        </w:rPr>
        <w:t> </w:t>
      </w:r>
      <w:r>
        <w:rPr/>
        <w:t>entre</w:t>
      </w:r>
      <w:r>
        <w:rPr>
          <w:spacing w:val="-11"/>
        </w:rPr>
        <w:t> </w:t>
      </w:r>
      <w:r>
        <w:rPr/>
        <w:t>variación,</w:t>
      </w:r>
      <w:r>
        <w:rPr>
          <w:spacing w:val="-11"/>
        </w:rPr>
        <w:t> </w:t>
      </w:r>
      <w:r>
        <w:rPr/>
        <w:t>es</w:t>
      </w:r>
      <w:r>
        <w:rPr>
          <w:spacing w:val="-12"/>
        </w:rPr>
        <w:t> </w:t>
      </w:r>
      <w:r>
        <w:rPr/>
        <w:t>decir, no siempre las mujeres tendrán que estar relacionadas con las variables </w:t>
      </w:r>
      <w:r>
        <w:rPr>
          <w:spacing w:val="5"/>
        </w:rPr>
        <w:t>de </w:t>
      </w:r>
      <w:r>
        <w:rPr/>
        <w:t>prestigio como lo afirmaba Labov; cada situación, aplicará en cierto</w:t>
      </w:r>
      <w:r>
        <w:rPr>
          <w:spacing w:val="-21"/>
        </w:rPr>
        <w:t> </w:t>
      </w:r>
      <w:r>
        <w:rPr/>
        <w:t>caso.</w:t>
      </w:r>
    </w:p>
    <w:p>
      <w:pPr>
        <w:pStyle w:val="BodyText"/>
        <w:spacing w:line="360" w:lineRule="auto" w:before="204"/>
        <w:ind w:left="102" w:right="112" w:firstLine="707"/>
        <w:jc w:val="both"/>
      </w:pPr>
      <w:r>
        <w:rPr/>
        <w:t>En una última declaración, se considera que la variación lingüística está directamente</w:t>
      </w:r>
      <w:r>
        <w:rPr>
          <w:spacing w:val="-13"/>
        </w:rPr>
        <w:t> </w:t>
      </w:r>
      <w:r>
        <w:rPr/>
        <w:t>relacionada</w:t>
      </w:r>
      <w:r>
        <w:rPr>
          <w:spacing w:val="-13"/>
        </w:rPr>
        <w:t> </w:t>
      </w:r>
      <w:r>
        <w:rPr/>
        <w:t>con</w:t>
      </w:r>
      <w:r>
        <w:rPr>
          <w:spacing w:val="-12"/>
        </w:rPr>
        <w:t> </w:t>
      </w:r>
      <w:r>
        <w:rPr/>
        <w:t>las</w:t>
      </w:r>
      <w:r>
        <w:rPr>
          <w:spacing w:val="-13"/>
        </w:rPr>
        <w:t> </w:t>
      </w:r>
      <w:r>
        <w:rPr/>
        <w:t>características</w:t>
      </w:r>
      <w:r>
        <w:rPr>
          <w:spacing w:val="-14"/>
        </w:rPr>
        <w:t> </w:t>
      </w:r>
      <w:r>
        <w:rPr/>
        <w:t>sociológicas</w:t>
      </w:r>
      <w:r>
        <w:rPr>
          <w:spacing w:val="-13"/>
        </w:rPr>
        <w:t> </w:t>
      </w:r>
      <w:r>
        <w:rPr/>
        <w:t>de</w:t>
      </w:r>
      <w:r>
        <w:rPr>
          <w:spacing w:val="-15"/>
        </w:rPr>
        <w:t> </w:t>
      </w:r>
      <w:r>
        <w:rPr/>
        <w:t>los</w:t>
      </w:r>
      <w:r>
        <w:rPr>
          <w:spacing w:val="-18"/>
        </w:rPr>
        <w:t> </w:t>
      </w:r>
      <w:r>
        <w:rPr/>
        <w:t>hablantes</w:t>
      </w:r>
      <w:r>
        <w:rPr>
          <w:spacing w:val="-16"/>
        </w:rPr>
        <w:t> </w:t>
      </w:r>
      <w:r>
        <w:rPr/>
        <w:t>(Coupland y Jaworski, 1997:185), y que la frecuencia en el uso de la lengua no estándar es congruente con las redes sociales. Hecho que no sólo involucra el estrato edad, sino el nivel</w:t>
      </w:r>
      <w:r>
        <w:rPr>
          <w:spacing w:val="-15"/>
        </w:rPr>
        <w:t> </w:t>
      </w:r>
      <w:r>
        <w:rPr/>
        <w:t>educativo</w:t>
      </w:r>
      <w:r>
        <w:rPr>
          <w:spacing w:val="-14"/>
        </w:rPr>
        <w:t> </w:t>
      </w:r>
      <w:r>
        <w:rPr/>
        <w:t>también;</w:t>
      </w:r>
      <w:r>
        <w:rPr>
          <w:spacing w:val="-14"/>
        </w:rPr>
        <w:t> </w:t>
      </w:r>
      <w:r>
        <w:rPr/>
        <w:t>ya</w:t>
      </w:r>
      <w:r>
        <w:rPr>
          <w:spacing w:val="-14"/>
        </w:rPr>
        <w:t> </w:t>
      </w:r>
      <w:r>
        <w:rPr/>
        <w:t>que</w:t>
      </w:r>
      <w:r>
        <w:rPr>
          <w:spacing w:val="-17"/>
        </w:rPr>
        <w:t> </w:t>
      </w:r>
      <w:r>
        <w:rPr/>
        <w:t>muchos</w:t>
      </w:r>
      <w:r>
        <w:rPr>
          <w:spacing w:val="-17"/>
        </w:rPr>
        <w:t> </w:t>
      </w:r>
      <w:r>
        <w:rPr/>
        <w:t>de</w:t>
      </w:r>
      <w:r>
        <w:rPr>
          <w:spacing w:val="-16"/>
        </w:rPr>
        <w:t> </w:t>
      </w:r>
      <w:r>
        <w:rPr/>
        <w:t>los</w:t>
      </w:r>
      <w:r>
        <w:rPr>
          <w:spacing w:val="-15"/>
        </w:rPr>
        <w:t> </w:t>
      </w:r>
      <w:r>
        <w:rPr/>
        <w:t>contactos</w:t>
      </w:r>
      <w:r>
        <w:rPr>
          <w:spacing w:val="-17"/>
        </w:rPr>
        <w:t> </w:t>
      </w:r>
      <w:r>
        <w:rPr/>
        <w:t>sociales</w:t>
      </w:r>
      <w:r>
        <w:rPr>
          <w:spacing w:val="-17"/>
        </w:rPr>
        <w:t> </w:t>
      </w:r>
      <w:r>
        <w:rPr/>
        <w:t>del</w:t>
      </w:r>
      <w:r>
        <w:rPr>
          <w:spacing w:val="-15"/>
        </w:rPr>
        <w:t> </w:t>
      </w:r>
      <w:r>
        <w:rPr/>
        <w:t>hablante</w:t>
      </w:r>
      <w:r>
        <w:rPr>
          <w:spacing w:val="-16"/>
        </w:rPr>
        <w:t> </w:t>
      </w:r>
      <w:r>
        <w:rPr/>
        <w:t>tienen</w:t>
      </w:r>
      <w:r>
        <w:rPr>
          <w:spacing w:val="-16"/>
        </w:rPr>
        <w:t> </w:t>
      </w:r>
      <w:r>
        <w:rPr/>
        <w:t>que ver con su entorno laboral y/o</w:t>
      </w:r>
      <w:r>
        <w:rPr>
          <w:spacing w:val="-15"/>
        </w:rPr>
        <w:t> </w:t>
      </w:r>
      <w:r>
        <w:rPr/>
        <w:t>educativo.</w:t>
      </w:r>
    </w:p>
    <w:p>
      <w:pPr>
        <w:pStyle w:val="BodyText"/>
        <w:spacing w:line="360" w:lineRule="auto" w:before="204"/>
        <w:ind w:left="102" w:right="107" w:firstLine="707"/>
        <w:jc w:val="both"/>
      </w:pPr>
      <w:r>
        <w:rPr/>
        <w:t>En este trabajo de investigación, la congruencia entre el grupo de edad entre 25</w:t>
      </w:r>
      <w:r>
        <w:rPr>
          <w:spacing w:val="-46"/>
        </w:rPr>
        <w:t> </w:t>
      </w:r>
      <w:r>
        <w:rPr/>
        <w:t>y 34 años de edad con mayor número de actitudes positivas ante el uso de anglicismos y el nivel de estudios superior que presentó una alta en la preferencia de dicha variación también, se relaciona de manera directa. Ya que comúnmente en ese rango de edad los sujetos en comunidad ya podrían haber concluido sus estudios superiores y se encuentran en una continua competencia por un lugar prestigioso y remunerativo dentro de  la  sociedad  como  ya  se  había  mencionado  anteriormente.  En  este  punto   </w:t>
      </w:r>
      <w:r>
        <w:rPr>
          <w:spacing w:val="57"/>
        </w:rPr>
        <w:t> </w:t>
      </w:r>
      <w:r>
        <w:rPr/>
        <w:t>de</w:t>
      </w:r>
    </w:p>
    <w:p>
      <w:pPr>
        <w:spacing w:after="0" w:line="360" w:lineRule="auto"/>
        <w:jc w:val="both"/>
        <w:sectPr>
          <w:headerReference w:type="default" r:id="rId104"/>
          <w:footerReference w:type="default" r:id="rId105"/>
          <w:pgSz w:w="12240" w:h="15840"/>
          <w:pgMar w:header="749" w:footer="1003" w:top="960" w:bottom="1200" w:left="1600" w:right="1020"/>
          <w:pgNumType w:start="83"/>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339"/>
      </w:pPr>
      <w:r>
        <w:rPr/>
        <w:t>experiencia vivencial, todas las estrategias que beneficien su crecimiento social (incluyendo las lingüísticas) son válidas para lograrlo.</w:t>
      </w:r>
    </w:p>
    <w:p>
      <w:pPr>
        <w:pStyle w:val="BodyText"/>
        <w:spacing w:line="360" w:lineRule="auto" w:before="204"/>
        <w:ind w:left="102" w:right="107" w:firstLine="707"/>
        <w:jc w:val="both"/>
      </w:pPr>
      <w:r>
        <w:rPr/>
        <w:t>La relevancia del punto anterior con la creencia de que los anglicismos son variables prestigiosas dentro del español, radica en el uso de las formas lingüísticas del propio hablante. Los sujetos con nivel educativo superior son parte de la comunidad productiva de una sociedad, en su entorno educativo o laboral se relacionan con las últimas</w:t>
      </w:r>
      <w:r>
        <w:rPr>
          <w:spacing w:val="-19"/>
        </w:rPr>
        <w:t> </w:t>
      </w:r>
      <w:r>
        <w:rPr/>
        <w:t>tecnologías,</w:t>
      </w:r>
      <w:r>
        <w:rPr>
          <w:spacing w:val="-16"/>
        </w:rPr>
        <w:t> </w:t>
      </w:r>
      <w:r>
        <w:rPr/>
        <w:t>de</w:t>
      </w:r>
      <w:r>
        <w:rPr>
          <w:spacing w:val="-18"/>
        </w:rPr>
        <w:t> </w:t>
      </w:r>
      <w:r>
        <w:rPr/>
        <w:t>las</w:t>
      </w:r>
      <w:r>
        <w:rPr>
          <w:spacing w:val="-16"/>
        </w:rPr>
        <w:t> </w:t>
      </w:r>
      <w:r>
        <w:rPr/>
        <w:t>cuales</w:t>
      </w:r>
      <w:r>
        <w:rPr>
          <w:spacing w:val="-16"/>
        </w:rPr>
        <w:t> </w:t>
      </w:r>
      <w:r>
        <w:rPr/>
        <w:t>(como</w:t>
      </w:r>
      <w:r>
        <w:rPr>
          <w:spacing w:val="-16"/>
        </w:rPr>
        <w:t> </w:t>
      </w:r>
      <w:r>
        <w:rPr/>
        <w:t>se</w:t>
      </w:r>
      <w:r>
        <w:rPr>
          <w:spacing w:val="-18"/>
        </w:rPr>
        <w:t> </w:t>
      </w:r>
      <w:r>
        <w:rPr/>
        <w:t>veía</w:t>
      </w:r>
      <w:r>
        <w:rPr>
          <w:spacing w:val="-16"/>
        </w:rPr>
        <w:t> </w:t>
      </w:r>
      <w:r>
        <w:rPr/>
        <w:t>anteriormente</w:t>
      </w:r>
      <w:r>
        <w:rPr>
          <w:spacing w:val="-12"/>
        </w:rPr>
        <w:t> </w:t>
      </w:r>
      <w:r>
        <w:rPr/>
        <w:t>en</w:t>
      </w:r>
      <w:r>
        <w:rPr>
          <w:spacing w:val="-16"/>
        </w:rPr>
        <w:t> </w:t>
      </w:r>
      <w:r>
        <w:rPr/>
        <w:t>el</w:t>
      </w:r>
      <w:r>
        <w:rPr>
          <w:spacing w:val="-19"/>
        </w:rPr>
        <w:t> </w:t>
      </w:r>
      <w:r>
        <w:rPr/>
        <w:t>Capítulo</w:t>
      </w:r>
      <w:r>
        <w:rPr>
          <w:spacing w:val="-15"/>
        </w:rPr>
        <w:t> </w:t>
      </w:r>
      <w:r>
        <w:rPr/>
        <w:t>1),</w:t>
      </w:r>
      <w:r>
        <w:rPr>
          <w:spacing w:val="-19"/>
        </w:rPr>
        <w:t> </w:t>
      </w:r>
      <w:r>
        <w:rPr/>
        <w:t>proviene el</w:t>
      </w:r>
      <w:r>
        <w:rPr>
          <w:spacing w:val="-5"/>
        </w:rPr>
        <w:t> </w:t>
      </w:r>
      <w:r>
        <w:rPr/>
        <w:t>mayor</w:t>
      </w:r>
      <w:r>
        <w:rPr>
          <w:spacing w:val="-5"/>
        </w:rPr>
        <w:t> </w:t>
      </w:r>
      <w:r>
        <w:rPr/>
        <w:t>número</w:t>
      </w:r>
      <w:r>
        <w:rPr>
          <w:spacing w:val="-7"/>
        </w:rPr>
        <w:t> </w:t>
      </w:r>
      <w:r>
        <w:rPr/>
        <w:t>de</w:t>
      </w:r>
      <w:r>
        <w:rPr>
          <w:spacing w:val="-4"/>
        </w:rPr>
        <w:t> </w:t>
      </w:r>
      <w:r>
        <w:rPr/>
        <w:t>anglicismos</w:t>
      </w:r>
      <w:r>
        <w:rPr>
          <w:spacing w:val="-1"/>
        </w:rPr>
        <w:t> </w:t>
      </w:r>
      <w:r>
        <w:rPr/>
        <w:t>introducidos</w:t>
      </w:r>
      <w:r>
        <w:rPr>
          <w:spacing w:val="-4"/>
        </w:rPr>
        <w:t> </w:t>
      </w:r>
      <w:r>
        <w:rPr/>
        <w:t>al</w:t>
      </w:r>
      <w:r>
        <w:rPr>
          <w:spacing w:val="-5"/>
        </w:rPr>
        <w:t> </w:t>
      </w:r>
      <w:r>
        <w:rPr/>
        <w:t>español</w:t>
      </w:r>
      <w:r>
        <w:rPr>
          <w:spacing w:val="-5"/>
        </w:rPr>
        <w:t> </w:t>
      </w:r>
      <w:r>
        <w:rPr/>
        <w:t>de</w:t>
      </w:r>
      <w:r>
        <w:rPr>
          <w:spacing w:val="-4"/>
        </w:rPr>
        <w:t> </w:t>
      </w:r>
      <w:r>
        <w:rPr/>
        <w:t>los</w:t>
      </w:r>
      <w:r>
        <w:rPr>
          <w:spacing w:val="-4"/>
        </w:rPr>
        <w:t> </w:t>
      </w:r>
      <w:r>
        <w:rPr/>
        <w:t>cuales.</w:t>
      </w:r>
      <w:r>
        <w:rPr>
          <w:spacing w:val="-4"/>
        </w:rPr>
        <w:t> </w:t>
      </w:r>
      <w:r>
        <w:rPr/>
        <w:t>Así</w:t>
      </w:r>
      <w:r>
        <w:rPr>
          <w:spacing w:val="-6"/>
        </w:rPr>
        <w:t> </w:t>
      </w:r>
      <w:r>
        <w:rPr/>
        <w:t>se</w:t>
      </w:r>
      <w:r>
        <w:rPr>
          <w:spacing w:val="-4"/>
        </w:rPr>
        <w:t> </w:t>
      </w:r>
      <w:r>
        <w:rPr/>
        <w:t>infiere</w:t>
      </w:r>
      <w:r>
        <w:rPr>
          <w:spacing w:val="-4"/>
        </w:rPr>
        <w:t> </w:t>
      </w:r>
      <w:r>
        <w:rPr/>
        <w:t>que dichos sujetos conocen los anglicismos aquí usados, dominan su significado e indudablemente los emplean como parte de su discurso diario; y si los consideran prestigiosos,</w:t>
      </w:r>
      <w:r>
        <w:rPr>
          <w:spacing w:val="-13"/>
        </w:rPr>
        <w:t> </w:t>
      </w:r>
      <w:r>
        <w:rPr/>
        <w:t>seguramente</w:t>
      </w:r>
      <w:r>
        <w:rPr>
          <w:spacing w:val="-13"/>
        </w:rPr>
        <w:t> </w:t>
      </w:r>
      <w:r>
        <w:rPr/>
        <w:t>los</w:t>
      </w:r>
      <w:r>
        <w:rPr>
          <w:spacing w:val="-13"/>
        </w:rPr>
        <w:t> </w:t>
      </w:r>
      <w:r>
        <w:rPr/>
        <w:t>usan</w:t>
      </w:r>
      <w:r>
        <w:rPr>
          <w:spacing w:val="-13"/>
        </w:rPr>
        <w:t> </w:t>
      </w:r>
      <w:r>
        <w:rPr/>
        <w:t>en</w:t>
      </w:r>
      <w:r>
        <w:rPr>
          <w:spacing w:val="-13"/>
        </w:rPr>
        <w:t> </w:t>
      </w:r>
      <w:r>
        <w:rPr/>
        <w:t>aras</w:t>
      </w:r>
      <w:r>
        <w:rPr>
          <w:spacing w:val="-14"/>
        </w:rPr>
        <w:t> </w:t>
      </w:r>
      <w:r>
        <w:rPr/>
        <w:t>de</w:t>
      </w:r>
      <w:r>
        <w:rPr>
          <w:spacing w:val="-13"/>
        </w:rPr>
        <w:t> </w:t>
      </w:r>
      <w:r>
        <w:rPr/>
        <w:t>conseguir</w:t>
      </w:r>
      <w:r>
        <w:rPr>
          <w:spacing w:val="-15"/>
        </w:rPr>
        <w:t> </w:t>
      </w:r>
      <w:r>
        <w:rPr/>
        <w:t>una</w:t>
      </w:r>
      <w:r>
        <w:rPr>
          <w:spacing w:val="-16"/>
        </w:rPr>
        <w:t> </w:t>
      </w:r>
      <w:r>
        <w:rPr/>
        <w:t>posición</w:t>
      </w:r>
      <w:r>
        <w:rPr>
          <w:spacing w:val="-13"/>
        </w:rPr>
        <w:t> </w:t>
      </w:r>
      <w:r>
        <w:rPr/>
        <w:t>privilegiada</w:t>
      </w:r>
      <w:r>
        <w:rPr>
          <w:spacing w:val="-13"/>
        </w:rPr>
        <w:t> </w:t>
      </w:r>
      <w:r>
        <w:rPr/>
        <w:t>dentro de la</w:t>
      </w:r>
      <w:r>
        <w:rPr>
          <w:spacing w:val="-4"/>
        </w:rPr>
        <w:t> </w:t>
      </w:r>
      <w:r>
        <w:rPr/>
        <w:t>sociedad.</w:t>
      </w:r>
    </w:p>
    <w:p>
      <w:pPr>
        <w:pStyle w:val="BodyText"/>
        <w:spacing w:line="360" w:lineRule="auto" w:before="204"/>
        <w:ind w:left="102" w:right="106" w:firstLine="707"/>
        <w:jc w:val="both"/>
      </w:pPr>
      <w:r>
        <w:rPr/>
        <w:t>En general se puede decir que los sujetos buscan formas lingüísticas con cierto prestigio para marcar y dejar bien definido su estatus social, y en el uso de anglicismos han encontrado la forma de utilizar patrones de estilo inusuales de la lengua que </w:t>
      </w:r>
      <w:r>
        <w:rPr>
          <w:spacing w:val="2"/>
        </w:rPr>
        <w:t>dan </w:t>
      </w:r>
      <w:r>
        <w:rPr/>
        <w:t>muestra</w:t>
      </w:r>
      <w:r>
        <w:rPr>
          <w:spacing w:val="-18"/>
        </w:rPr>
        <w:t> </w:t>
      </w:r>
      <w:r>
        <w:rPr/>
        <w:t>latente</w:t>
      </w:r>
      <w:r>
        <w:rPr>
          <w:spacing w:val="-20"/>
        </w:rPr>
        <w:t> </w:t>
      </w:r>
      <w:r>
        <w:rPr/>
        <w:t>de</w:t>
      </w:r>
      <w:r>
        <w:rPr>
          <w:spacing w:val="-20"/>
        </w:rPr>
        <w:t> </w:t>
      </w:r>
      <w:r>
        <w:rPr/>
        <w:t>un</w:t>
      </w:r>
      <w:r>
        <w:rPr>
          <w:spacing w:val="-18"/>
        </w:rPr>
        <w:t> </w:t>
      </w:r>
      <w:r>
        <w:rPr/>
        <w:t>cambio</w:t>
      </w:r>
      <w:r>
        <w:rPr>
          <w:spacing w:val="-18"/>
        </w:rPr>
        <w:t> </w:t>
      </w:r>
      <w:r>
        <w:rPr/>
        <w:t>de</w:t>
      </w:r>
      <w:r>
        <w:rPr>
          <w:spacing w:val="-20"/>
        </w:rPr>
        <w:t> </w:t>
      </w:r>
      <w:r>
        <w:rPr/>
        <w:t>estilo</w:t>
      </w:r>
      <w:r>
        <w:rPr>
          <w:spacing w:val="-18"/>
        </w:rPr>
        <w:t> </w:t>
      </w:r>
      <w:r>
        <w:rPr/>
        <w:t>en</w:t>
      </w:r>
      <w:r>
        <w:rPr>
          <w:spacing w:val="-18"/>
        </w:rPr>
        <w:t> </w:t>
      </w:r>
      <w:r>
        <w:rPr/>
        <w:t>progreso</w:t>
      </w:r>
      <w:r>
        <w:rPr>
          <w:spacing w:val="-12"/>
        </w:rPr>
        <w:t> </w:t>
      </w:r>
      <w:r>
        <w:rPr/>
        <w:t>(Labov</w:t>
      </w:r>
      <w:r>
        <w:rPr>
          <w:spacing w:val="-20"/>
        </w:rPr>
        <w:t> </w:t>
      </w:r>
      <w:r>
        <w:rPr/>
        <w:t>en</w:t>
      </w:r>
      <w:r>
        <w:rPr>
          <w:spacing w:val="-18"/>
        </w:rPr>
        <w:t> </w:t>
      </w:r>
      <w:r>
        <w:rPr/>
        <w:t>Chambers</w:t>
      </w:r>
      <w:r>
        <w:rPr>
          <w:spacing w:val="-19"/>
        </w:rPr>
        <w:t> </w:t>
      </w:r>
      <w:r>
        <w:rPr/>
        <w:t>y</w:t>
      </w:r>
      <w:r>
        <w:rPr>
          <w:spacing w:val="-21"/>
        </w:rPr>
        <w:t> </w:t>
      </w:r>
      <w:r>
        <w:rPr/>
        <w:t>Trudgill,</w:t>
      </w:r>
      <w:r>
        <w:rPr>
          <w:spacing w:val="-19"/>
        </w:rPr>
        <w:t> </w:t>
      </w:r>
      <w:r>
        <w:rPr/>
        <w:t>1998). Dicho cambio de estilo en habla de los sujetos, justifica la razón del porqué estudiar el uso de anglicismos en este trabajo de investigación, y como acierto, se ha podido establecer uno de los porqué los sujetos los prefieren frente a la existencia de los equivalentes en</w:t>
      </w:r>
      <w:r>
        <w:rPr>
          <w:spacing w:val="-8"/>
        </w:rPr>
        <w:t> </w:t>
      </w:r>
      <w:r>
        <w:rPr/>
        <w:t>español.</w:t>
      </w:r>
    </w:p>
    <w:p>
      <w:pPr>
        <w:spacing w:after="0" w:line="360" w:lineRule="auto"/>
        <w:jc w:val="both"/>
        <w:sectPr>
          <w:pgSz w:w="12240" w:h="15840"/>
          <w:pgMar w:header="749" w:footer="1003" w:top="960" w:bottom="1200" w:left="1600" w:right="1020"/>
        </w:sectPr>
      </w:pPr>
    </w:p>
    <w:p>
      <w:pPr>
        <w:pStyle w:val="BodyText"/>
        <w:spacing w:before="4"/>
        <w:rPr>
          <w:sz w:val="11"/>
        </w:rPr>
      </w:pPr>
    </w:p>
    <w:p>
      <w:pPr>
        <w:pStyle w:val="Heading1"/>
        <w:spacing w:before="69"/>
        <w:ind w:left="423" w:right="434"/>
        <w:jc w:val="center"/>
      </w:pPr>
      <w:bookmarkStart w:name="_TOC_250001" w:id="1"/>
      <w:bookmarkEnd w:id="1"/>
      <w:r>
        <w:rPr/>
        <w:t>CONCLUSIONES</w:t>
      </w:r>
    </w:p>
    <w:p>
      <w:pPr>
        <w:pStyle w:val="BodyText"/>
        <w:spacing w:before="4"/>
        <w:rPr>
          <w:b/>
          <w:sz w:val="29"/>
        </w:rPr>
      </w:pPr>
    </w:p>
    <w:p>
      <w:pPr>
        <w:pStyle w:val="BodyText"/>
        <w:spacing w:line="360" w:lineRule="auto" w:before="1"/>
        <w:ind w:left="102" w:right="106" w:firstLine="707"/>
        <w:jc w:val="both"/>
      </w:pPr>
      <w:r>
        <w:rPr/>
        <w:t>Resulta sustancial estudiar los anglicismos en el campo de la sociolingüística, ya que</w:t>
      </w:r>
      <w:r>
        <w:rPr>
          <w:spacing w:val="-6"/>
        </w:rPr>
        <w:t> </w:t>
      </w:r>
      <w:r>
        <w:rPr/>
        <w:t>permite</w:t>
      </w:r>
      <w:r>
        <w:rPr>
          <w:spacing w:val="-6"/>
        </w:rPr>
        <w:t> </w:t>
      </w:r>
      <w:r>
        <w:rPr/>
        <w:t>conocer</w:t>
      </w:r>
      <w:r>
        <w:rPr>
          <w:spacing w:val="-7"/>
        </w:rPr>
        <w:t> </w:t>
      </w:r>
      <w:r>
        <w:rPr/>
        <w:t>más</w:t>
      </w:r>
      <w:r>
        <w:rPr>
          <w:spacing w:val="-7"/>
        </w:rPr>
        <w:t> </w:t>
      </w:r>
      <w:r>
        <w:rPr/>
        <w:t>del</w:t>
      </w:r>
      <w:r>
        <w:rPr>
          <w:spacing w:val="-7"/>
        </w:rPr>
        <w:t> </w:t>
      </w:r>
      <w:r>
        <w:rPr/>
        <w:t>uso</w:t>
      </w:r>
      <w:r>
        <w:rPr>
          <w:spacing w:val="-8"/>
        </w:rPr>
        <w:t> </w:t>
      </w:r>
      <w:r>
        <w:rPr/>
        <w:t>de</w:t>
      </w:r>
      <w:r>
        <w:rPr>
          <w:spacing w:val="-6"/>
        </w:rPr>
        <w:t> </w:t>
      </w:r>
      <w:r>
        <w:rPr/>
        <w:t>la</w:t>
      </w:r>
      <w:r>
        <w:rPr>
          <w:spacing w:val="-6"/>
        </w:rPr>
        <w:t> </w:t>
      </w:r>
      <w:r>
        <w:rPr/>
        <w:t>lengua</w:t>
      </w:r>
      <w:r>
        <w:rPr>
          <w:spacing w:val="-8"/>
        </w:rPr>
        <w:t> </w:t>
      </w:r>
      <w:r>
        <w:rPr/>
        <w:t>de</w:t>
      </w:r>
      <w:r>
        <w:rPr>
          <w:spacing w:val="-6"/>
        </w:rPr>
        <w:t> </w:t>
      </w:r>
      <w:r>
        <w:rPr/>
        <w:t>acuerdo</w:t>
      </w:r>
      <w:r>
        <w:rPr>
          <w:spacing w:val="-6"/>
        </w:rPr>
        <w:t> </w:t>
      </w:r>
      <w:r>
        <w:rPr/>
        <w:t>al</w:t>
      </w:r>
      <w:r>
        <w:rPr>
          <w:spacing w:val="-7"/>
        </w:rPr>
        <w:t> </w:t>
      </w:r>
      <w:r>
        <w:rPr/>
        <w:t>contexto</w:t>
      </w:r>
      <w:r>
        <w:rPr>
          <w:spacing w:val="-6"/>
        </w:rPr>
        <w:t> </w:t>
      </w:r>
      <w:r>
        <w:rPr/>
        <w:t>social</w:t>
      </w:r>
      <w:r>
        <w:rPr>
          <w:spacing w:val="-7"/>
        </w:rPr>
        <w:t> </w:t>
      </w:r>
      <w:r>
        <w:rPr/>
        <w:t>en</w:t>
      </w:r>
      <w:r>
        <w:rPr>
          <w:spacing w:val="-6"/>
        </w:rPr>
        <w:t> </w:t>
      </w:r>
      <w:r>
        <w:rPr/>
        <w:t>el</w:t>
      </w:r>
      <w:r>
        <w:rPr>
          <w:spacing w:val="-7"/>
        </w:rPr>
        <w:t> </w:t>
      </w:r>
      <w:r>
        <w:rPr/>
        <w:t>que</w:t>
      </w:r>
      <w:r>
        <w:rPr>
          <w:spacing w:val="-6"/>
        </w:rPr>
        <w:t> </w:t>
      </w:r>
      <w:r>
        <w:rPr/>
        <w:t>se emplea, además, permite estudiar los anglicismos como parte de la variación lingüística de una comunidad y la percepción que se tiene de</w:t>
      </w:r>
      <w:r>
        <w:rPr>
          <w:spacing w:val="-16"/>
        </w:rPr>
        <w:t> </w:t>
      </w:r>
      <w:r>
        <w:rPr/>
        <w:t>ellos.</w:t>
      </w:r>
    </w:p>
    <w:p>
      <w:pPr>
        <w:pStyle w:val="BodyText"/>
        <w:spacing w:line="360" w:lineRule="auto" w:before="204"/>
        <w:ind w:left="102" w:right="108" w:firstLine="707"/>
        <w:jc w:val="both"/>
      </w:pPr>
      <w:r>
        <w:rPr/>
        <w:t>En</w:t>
      </w:r>
      <w:r>
        <w:rPr>
          <w:spacing w:val="-6"/>
        </w:rPr>
        <w:t> </w:t>
      </w:r>
      <w:r>
        <w:rPr/>
        <w:t>este</w:t>
      </w:r>
      <w:r>
        <w:rPr>
          <w:spacing w:val="-6"/>
        </w:rPr>
        <w:t> </w:t>
      </w:r>
      <w:r>
        <w:rPr/>
        <w:t>apartado</w:t>
      </w:r>
      <w:r>
        <w:rPr>
          <w:spacing w:val="-6"/>
        </w:rPr>
        <w:t> </w:t>
      </w:r>
      <w:r>
        <w:rPr/>
        <w:t>se</w:t>
      </w:r>
      <w:r>
        <w:rPr>
          <w:spacing w:val="-6"/>
        </w:rPr>
        <w:t> </w:t>
      </w:r>
      <w:r>
        <w:rPr/>
        <w:t>cierra</w:t>
      </w:r>
      <w:r>
        <w:rPr>
          <w:spacing w:val="-6"/>
        </w:rPr>
        <w:t> </w:t>
      </w:r>
      <w:r>
        <w:rPr/>
        <w:t>estableciendo</w:t>
      </w:r>
      <w:r>
        <w:rPr>
          <w:spacing w:val="-6"/>
        </w:rPr>
        <w:t> </w:t>
      </w:r>
      <w:r>
        <w:rPr/>
        <w:t>la</w:t>
      </w:r>
      <w:r>
        <w:rPr>
          <w:spacing w:val="-6"/>
        </w:rPr>
        <w:t> </w:t>
      </w:r>
      <w:r>
        <w:rPr/>
        <w:t>relación</w:t>
      </w:r>
      <w:r>
        <w:rPr>
          <w:spacing w:val="-6"/>
        </w:rPr>
        <w:t> </w:t>
      </w:r>
      <w:r>
        <w:rPr/>
        <w:t>que</w:t>
      </w:r>
      <w:r>
        <w:rPr>
          <w:spacing w:val="-8"/>
        </w:rPr>
        <w:t> </w:t>
      </w:r>
      <w:r>
        <w:rPr/>
        <w:t>existe</w:t>
      </w:r>
      <w:r>
        <w:rPr>
          <w:spacing w:val="-6"/>
        </w:rPr>
        <w:t> </w:t>
      </w:r>
      <w:r>
        <w:rPr/>
        <w:t>entre</w:t>
      </w:r>
      <w:r>
        <w:rPr>
          <w:spacing w:val="-6"/>
        </w:rPr>
        <w:t> </w:t>
      </w:r>
      <w:r>
        <w:rPr/>
        <w:t>la</w:t>
      </w:r>
      <w:r>
        <w:rPr>
          <w:spacing w:val="-6"/>
        </w:rPr>
        <w:t> </w:t>
      </w:r>
      <w:r>
        <w:rPr/>
        <w:t>hipótesis y objetivos planteados, con los resultados de la investigación realizada. Lo anterior, con apoyo del marco teórico y metodológico especificado</w:t>
      </w:r>
      <w:r>
        <w:rPr>
          <w:spacing w:val="-24"/>
        </w:rPr>
        <w:t> </w:t>
      </w:r>
      <w:r>
        <w:rPr/>
        <w:t>previamente.</w:t>
      </w:r>
    </w:p>
    <w:p>
      <w:pPr>
        <w:pStyle w:val="BodyText"/>
        <w:spacing w:line="360" w:lineRule="auto" w:before="204"/>
        <w:ind w:left="102" w:right="107" w:firstLine="707"/>
        <w:jc w:val="right"/>
      </w:pPr>
      <w:r>
        <w:rPr/>
        <w:t>Como objetivo general se planteó analizar las actitudes lingüísticas</w:t>
      </w:r>
      <w:r>
        <w:rPr>
          <w:spacing w:val="14"/>
        </w:rPr>
        <w:t> </w:t>
      </w:r>
      <w:r>
        <w:rPr/>
        <w:t>de</w:t>
      </w:r>
      <w:r>
        <w:rPr>
          <w:spacing w:val="7"/>
        </w:rPr>
        <w:t> </w:t>
      </w:r>
      <w:r>
        <w:rPr/>
        <w:t>hablantes y oyentes de anglicismos léxicos con el fin de identificar su prestigio lingüístico,</w:t>
      </w:r>
      <w:r>
        <w:rPr>
          <w:spacing w:val="13"/>
        </w:rPr>
        <w:t> </w:t>
      </w:r>
      <w:r>
        <w:rPr/>
        <w:t>en</w:t>
      </w:r>
      <w:r>
        <w:rPr>
          <w:spacing w:val="5"/>
        </w:rPr>
        <w:t> </w:t>
      </w:r>
      <w:r>
        <w:rPr/>
        <w:t>este</w:t>
      </w:r>
      <w:r>
        <w:rPr>
          <w:w w:val="99"/>
        </w:rPr>
        <w:t> </w:t>
      </w:r>
      <w:r>
        <w:rPr/>
        <w:t>respecto</w:t>
      </w:r>
      <w:r>
        <w:rPr>
          <w:spacing w:val="35"/>
        </w:rPr>
        <w:t> </w:t>
      </w:r>
      <w:r>
        <w:rPr/>
        <w:t>se</w:t>
      </w:r>
      <w:r>
        <w:rPr>
          <w:spacing w:val="36"/>
        </w:rPr>
        <w:t> </w:t>
      </w:r>
      <w:r>
        <w:rPr/>
        <w:t>concluye</w:t>
      </w:r>
      <w:r>
        <w:rPr>
          <w:spacing w:val="36"/>
        </w:rPr>
        <w:t> </w:t>
      </w:r>
      <w:r>
        <w:rPr/>
        <w:t>que</w:t>
      </w:r>
      <w:r>
        <w:rPr>
          <w:spacing w:val="36"/>
        </w:rPr>
        <w:t> </w:t>
      </w:r>
      <w:r>
        <w:rPr/>
        <w:t>existe</w:t>
      </w:r>
      <w:r>
        <w:rPr>
          <w:spacing w:val="36"/>
        </w:rPr>
        <w:t> </w:t>
      </w:r>
      <w:r>
        <w:rPr/>
        <w:t>cierta</w:t>
      </w:r>
      <w:r>
        <w:rPr>
          <w:spacing w:val="36"/>
        </w:rPr>
        <w:t> </w:t>
      </w:r>
      <w:r>
        <w:rPr/>
        <w:t>inclinación</w:t>
      </w:r>
      <w:r>
        <w:rPr>
          <w:spacing w:val="37"/>
        </w:rPr>
        <w:t> </w:t>
      </w:r>
      <w:r>
        <w:rPr/>
        <w:t>(del</w:t>
      </w:r>
      <w:r>
        <w:rPr>
          <w:spacing w:val="35"/>
        </w:rPr>
        <w:t> </w:t>
      </w:r>
      <w:r>
        <w:rPr/>
        <w:t>64%</w:t>
      </w:r>
      <w:r>
        <w:rPr>
          <w:spacing w:val="36"/>
        </w:rPr>
        <w:t> </w:t>
      </w:r>
      <w:r>
        <w:rPr/>
        <w:t>considerando</w:t>
      </w:r>
      <w:r>
        <w:rPr>
          <w:spacing w:val="36"/>
        </w:rPr>
        <w:t> </w:t>
      </w:r>
      <w:r>
        <w:rPr/>
        <w:t>respuestas “muy de acuerdo” y de “acuerdo” en aseveraciones favorables) a afirmar</w:t>
      </w:r>
      <w:r>
        <w:rPr>
          <w:spacing w:val="15"/>
        </w:rPr>
        <w:t> </w:t>
      </w:r>
      <w:r>
        <w:rPr/>
        <w:t>que</w:t>
      </w:r>
      <w:r>
        <w:rPr>
          <w:spacing w:val="4"/>
        </w:rPr>
        <w:t> </w:t>
      </w:r>
      <w:r>
        <w:rPr/>
        <w:t>los</w:t>
      </w:r>
      <w:r>
        <w:rPr>
          <w:w w:val="99"/>
        </w:rPr>
        <w:t> </w:t>
      </w:r>
      <w:r>
        <w:rPr/>
        <w:t>anglicismos</w:t>
      </w:r>
      <w:r>
        <w:rPr>
          <w:spacing w:val="-13"/>
        </w:rPr>
        <w:t> </w:t>
      </w:r>
      <w:r>
        <w:rPr/>
        <w:t>son</w:t>
      </w:r>
      <w:r>
        <w:rPr>
          <w:spacing w:val="-12"/>
        </w:rPr>
        <w:t> </w:t>
      </w:r>
      <w:r>
        <w:rPr/>
        <w:t>variables</w:t>
      </w:r>
      <w:r>
        <w:rPr>
          <w:spacing w:val="-12"/>
        </w:rPr>
        <w:t> </w:t>
      </w:r>
      <w:r>
        <w:rPr/>
        <w:t>de</w:t>
      </w:r>
      <w:r>
        <w:rPr>
          <w:spacing w:val="-14"/>
        </w:rPr>
        <w:t> </w:t>
      </w:r>
      <w:r>
        <w:rPr/>
        <w:t>prestigio</w:t>
      </w:r>
      <w:r>
        <w:rPr>
          <w:spacing w:val="-12"/>
        </w:rPr>
        <w:t> </w:t>
      </w:r>
      <w:r>
        <w:rPr/>
        <w:t>ya</w:t>
      </w:r>
      <w:r>
        <w:rPr>
          <w:spacing w:val="-12"/>
        </w:rPr>
        <w:t> </w:t>
      </w:r>
      <w:r>
        <w:rPr/>
        <w:t>que</w:t>
      </w:r>
      <w:r>
        <w:rPr>
          <w:spacing w:val="-14"/>
        </w:rPr>
        <w:t> </w:t>
      </w:r>
      <w:r>
        <w:rPr/>
        <w:t>se</w:t>
      </w:r>
      <w:r>
        <w:rPr>
          <w:spacing w:val="-12"/>
        </w:rPr>
        <w:t> </w:t>
      </w:r>
      <w:r>
        <w:rPr/>
        <w:t>asocian</w:t>
      </w:r>
      <w:r>
        <w:rPr>
          <w:spacing w:val="-14"/>
        </w:rPr>
        <w:t> </w:t>
      </w:r>
      <w:r>
        <w:rPr/>
        <w:t>a</w:t>
      </w:r>
      <w:r>
        <w:rPr>
          <w:spacing w:val="-14"/>
        </w:rPr>
        <w:t> </w:t>
      </w:r>
      <w:r>
        <w:rPr/>
        <w:t>puestos</w:t>
      </w:r>
      <w:r>
        <w:rPr>
          <w:spacing w:val="-15"/>
        </w:rPr>
        <w:t> </w:t>
      </w:r>
      <w:r>
        <w:rPr/>
        <w:t>de</w:t>
      </w:r>
      <w:r>
        <w:rPr>
          <w:spacing w:val="-12"/>
        </w:rPr>
        <w:t> </w:t>
      </w:r>
      <w:r>
        <w:rPr/>
        <w:t>trabajo</w:t>
      </w:r>
      <w:r>
        <w:rPr>
          <w:spacing w:val="-14"/>
        </w:rPr>
        <w:t> </w:t>
      </w:r>
      <w:r>
        <w:rPr/>
        <w:t>honorables</w:t>
      </w:r>
      <w:r>
        <w:rPr>
          <w:w w:val="99"/>
        </w:rPr>
        <w:t> </w:t>
      </w:r>
      <w:r>
        <w:rPr/>
        <w:t>dentro</w:t>
      </w:r>
      <w:r>
        <w:rPr>
          <w:spacing w:val="-19"/>
        </w:rPr>
        <w:t> </w:t>
      </w:r>
      <w:r>
        <w:rPr/>
        <w:t>de</w:t>
      </w:r>
      <w:r>
        <w:rPr>
          <w:spacing w:val="-17"/>
        </w:rPr>
        <w:t> </w:t>
      </w:r>
      <w:r>
        <w:rPr/>
        <w:t>la</w:t>
      </w:r>
      <w:r>
        <w:rPr>
          <w:spacing w:val="-17"/>
        </w:rPr>
        <w:t> </w:t>
      </w:r>
      <w:r>
        <w:rPr/>
        <w:t>sociedad</w:t>
      </w:r>
      <w:r>
        <w:rPr>
          <w:spacing w:val="-17"/>
        </w:rPr>
        <w:t> </w:t>
      </w:r>
      <w:r>
        <w:rPr/>
        <w:t>y</w:t>
      </w:r>
      <w:r>
        <w:rPr>
          <w:spacing w:val="-20"/>
        </w:rPr>
        <w:t> </w:t>
      </w:r>
      <w:r>
        <w:rPr/>
        <w:t>relacionados</w:t>
      </w:r>
      <w:r>
        <w:rPr>
          <w:spacing w:val="-17"/>
        </w:rPr>
        <w:t> </w:t>
      </w:r>
      <w:r>
        <w:rPr/>
        <w:t>con</w:t>
      </w:r>
      <w:r>
        <w:rPr>
          <w:spacing w:val="-19"/>
        </w:rPr>
        <w:t> </w:t>
      </w:r>
      <w:r>
        <w:rPr/>
        <w:t>adjetivos</w:t>
      </w:r>
      <w:r>
        <w:rPr>
          <w:spacing w:val="-17"/>
        </w:rPr>
        <w:t> </w:t>
      </w:r>
      <w:r>
        <w:rPr/>
        <w:t>referentes</w:t>
      </w:r>
      <w:r>
        <w:rPr>
          <w:spacing w:val="-20"/>
        </w:rPr>
        <w:t> </w:t>
      </w:r>
      <w:r>
        <w:rPr/>
        <w:t>a</w:t>
      </w:r>
      <w:r>
        <w:rPr>
          <w:spacing w:val="-19"/>
        </w:rPr>
        <w:t> </w:t>
      </w:r>
      <w:r>
        <w:rPr/>
        <w:t>la</w:t>
      </w:r>
      <w:r>
        <w:rPr>
          <w:spacing w:val="-19"/>
        </w:rPr>
        <w:t> </w:t>
      </w:r>
      <w:r>
        <w:rPr/>
        <w:t>precisión</w:t>
      </w:r>
      <w:r>
        <w:rPr>
          <w:spacing w:val="-17"/>
        </w:rPr>
        <w:t> </w:t>
      </w:r>
      <w:r>
        <w:rPr/>
        <w:t>en</w:t>
      </w:r>
      <w:r>
        <w:rPr>
          <w:spacing w:val="-19"/>
        </w:rPr>
        <w:t> </w:t>
      </w:r>
      <w:r>
        <w:rPr/>
        <w:t>el</w:t>
      </w:r>
      <w:r>
        <w:rPr>
          <w:spacing w:val="-18"/>
        </w:rPr>
        <w:t> </w:t>
      </w:r>
      <w:r>
        <w:rPr/>
        <w:t>discurso, la</w:t>
      </w:r>
      <w:r>
        <w:rPr>
          <w:spacing w:val="26"/>
        </w:rPr>
        <w:t> </w:t>
      </w:r>
      <w:r>
        <w:rPr/>
        <w:t>autoridad,</w:t>
      </w:r>
      <w:r>
        <w:rPr>
          <w:spacing w:val="24"/>
        </w:rPr>
        <w:t> </w:t>
      </w:r>
      <w:r>
        <w:rPr/>
        <w:t>la</w:t>
      </w:r>
      <w:r>
        <w:rPr>
          <w:spacing w:val="24"/>
        </w:rPr>
        <w:t> </w:t>
      </w:r>
      <w:r>
        <w:rPr/>
        <w:t>reputación,</w:t>
      </w:r>
      <w:r>
        <w:rPr>
          <w:spacing w:val="26"/>
        </w:rPr>
        <w:t> </w:t>
      </w:r>
      <w:r>
        <w:rPr/>
        <w:t>la</w:t>
      </w:r>
      <w:r>
        <w:rPr>
          <w:spacing w:val="26"/>
        </w:rPr>
        <w:t> </w:t>
      </w:r>
      <w:r>
        <w:rPr/>
        <w:t>influencia,</w:t>
      </w:r>
      <w:r>
        <w:rPr>
          <w:spacing w:val="24"/>
        </w:rPr>
        <w:t> </w:t>
      </w:r>
      <w:r>
        <w:rPr/>
        <w:t>lo</w:t>
      </w:r>
      <w:r>
        <w:rPr>
          <w:spacing w:val="22"/>
        </w:rPr>
        <w:t> </w:t>
      </w:r>
      <w:r>
        <w:rPr/>
        <w:t>apropiado,</w:t>
      </w:r>
      <w:r>
        <w:rPr>
          <w:spacing w:val="24"/>
        </w:rPr>
        <w:t> </w:t>
      </w:r>
      <w:r>
        <w:rPr/>
        <w:t>lo</w:t>
      </w:r>
      <w:r>
        <w:rPr>
          <w:spacing w:val="22"/>
        </w:rPr>
        <w:t> </w:t>
      </w:r>
      <w:r>
        <w:rPr/>
        <w:t>famoso</w:t>
      </w:r>
      <w:r>
        <w:rPr>
          <w:spacing w:val="23"/>
        </w:rPr>
        <w:t> </w:t>
      </w:r>
      <w:r>
        <w:rPr/>
        <w:t>y</w:t>
      </w:r>
      <w:r>
        <w:rPr>
          <w:spacing w:val="23"/>
        </w:rPr>
        <w:t> </w:t>
      </w:r>
      <w:r>
        <w:rPr/>
        <w:t>el</w:t>
      </w:r>
      <w:r>
        <w:rPr>
          <w:spacing w:val="25"/>
        </w:rPr>
        <w:t> </w:t>
      </w:r>
      <w:r>
        <w:rPr/>
        <w:t>renombre,</w:t>
      </w:r>
      <w:r>
        <w:rPr>
          <w:spacing w:val="24"/>
        </w:rPr>
        <w:t> </w:t>
      </w:r>
      <w:r>
        <w:rPr/>
        <w:t>todos ellos</w:t>
      </w:r>
      <w:r>
        <w:rPr>
          <w:spacing w:val="-8"/>
        </w:rPr>
        <w:t> </w:t>
      </w:r>
      <w:r>
        <w:rPr/>
        <w:t>incluidos</w:t>
      </w:r>
      <w:r>
        <w:rPr>
          <w:spacing w:val="-9"/>
        </w:rPr>
        <w:t> </w:t>
      </w:r>
      <w:r>
        <w:rPr/>
        <w:t>en</w:t>
      </w:r>
      <w:r>
        <w:rPr>
          <w:spacing w:val="-9"/>
        </w:rPr>
        <w:t> </w:t>
      </w:r>
      <w:r>
        <w:rPr/>
        <w:t>la</w:t>
      </w:r>
      <w:r>
        <w:rPr>
          <w:spacing w:val="-7"/>
        </w:rPr>
        <w:t> </w:t>
      </w:r>
      <w:r>
        <w:rPr/>
        <w:t>aseveraciones</w:t>
      </w:r>
      <w:r>
        <w:rPr>
          <w:spacing w:val="-8"/>
        </w:rPr>
        <w:t> </w:t>
      </w:r>
      <w:r>
        <w:rPr/>
        <w:t>que</w:t>
      </w:r>
      <w:r>
        <w:rPr>
          <w:spacing w:val="-9"/>
        </w:rPr>
        <w:t> </w:t>
      </w:r>
      <w:r>
        <w:rPr/>
        <w:t>miden</w:t>
      </w:r>
      <w:r>
        <w:rPr>
          <w:spacing w:val="-7"/>
        </w:rPr>
        <w:t> </w:t>
      </w:r>
      <w:r>
        <w:rPr/>
        <w:t>tanto</w:t>
      </w:r>
      <w:r>
        <w:rPr>
          <w:spacing w:val="-9"/>
        </w:rPr>
        <w:t> </w:t>
      </w:r>
      <w:r>
        <w:rPr/>
        <w:t>prestigio</w:t>
      </w:r>
      <w:r>
        <w:rPr>
          <w:spacing w:val="-7"/>
        </w:rPr>
        <w:t> </w:t>
      </w:r>
      <w:r>
        <w:rPr/>
        <w:t>como</w:t>
      </w:r>
      <w:r>
        <w:rPr>
          <w:spacing w:val="-9"/>
        </w:rPr>
        <w:t> </w:t>
      </w:r>
      <w:r>
        <w:rPr/>
        <w:t>actitudes</w:t>
      </w:r>
      <w:r>
        <w:rPr>
          <w:spacing w:val="-8"/>
        </w:rPr>
        <w:t> </w:t>
      </w:r>
      <w:r>
        <w:rPr/>
        <w:t>lingüísticas.</w:t>
      </w:r>
    </w:p>
    <w:p>
      <w:pPr>
        <w:pStyle w:val="BodyText"/>
        <w:spacing w:line="360" w:lineRule="auto" w:before="204"/>
        <w:ind w:left="102" w:right="107" w:firstLine="707"/>
        <w:jc w:val="both"/>
      </w:pPr>
      <w:r>
        <w:rPr/>
        <w:t>Así también, se formularon objetivos específicos como 1) comparar las actitudes lingüísticas de los distintos grupos de edad, de los cuales, el grupo 2 (25 a 34 años de edad), fue aquel con mayor número de actitudes favorables ante el uso de  anglicismos;</w:t>
      </w:r>
    </w:p>
    <w:p>
      <w:pPr>
        <w:pStyle w:val="BodyText"/>
        <w:spacing w:line="360" w:lineRule="auto" w:before="2"/>
        <w:ind w:left="102" w:right="108"/>
        <w:jc w:val="both"/>
      </w:pPr>
      <w:r>
        <w:rPr/>
        <w:t>2) contrastar las actitudes lingüísticas de los distintos niveles de estudio, de los que destaca</w:t>
      </w:r>
      <w:r>
        <w:rPr>
          <w:spacing w:val="-6"/>
        </w:rPr>
        <w:t> </w:t>
      </w:r>
      <w:r>
        <w:rPr/>
        <w:t>el</w:t>
      </w:r>
      <w:r>
        <w:rPr>
          <w:spacing w:val="-7"/>
        </w:rPr>
        <w:t> </w:t>
      </w:r>
      <w:r>
        <w:rPr/>
        <w:t>nivel</w:t>
      </w:r>
      <w:r>
        <w:rPr>
          <w:spacing w:val="-7"/>
        </w:rPr>
        <w:t> </w:t>
      </w:r>
      <w:r>
        <w:rPr/>
        <w:t>superior</w:t>
      </w:r>
      <w:r>
        <w:rPr>
          <w:spacing w:val="-7"/>
        </w:rPr>
        <w:t> </w:t>
      </w:r>
      <w:r>
        <w:rPr/>
        <w:t>a</w:t>
      </w:r>
      <w:r>
        <w:rPr>
          <w:spacing w:val="-6"/>
        </w:rPr>
        <w:t> </w:t>
      </w:r>
      <w:r>
        <w:rPr/>
        <w:t>favorecer</w:t>
      </w:r>
      <w:r>
        <w:rPr>
          <w:spacing w:val="-7"/>
        </w:rPr>
        <w:t> </w:t>
      </w:r>
      <w:r>
        <w:rPr/>
        <w:t>la</w:t>
      </w:r>
      <w:r>
        <w:rPr>
          <w:spacing w:val="-6"/>
        </w:rPr>
        <w:t> </w:t>
      </w:r>
      <w:r>
        <w:rPr/>
        <w:t>hipótesis</w:t>
      </w:r>
      <w:r>
        <w:rPr>
          <w:spacing w:val="-7"/>
        </w:rPr>
        <w:t> </w:t>
      </w:r>
      <w:r>
        <w:rPr/>
        <w:t>de</w:t>
      </w:r>
      <w:r>
        <w:rPr>
          <w:spacing w:val="-6"/>
        </w:rPr>
        <w:t> </w:t>
      </w:r>
      <w:r>
        <w:rPr/>
        <w:t>prestigio;</w:t>
      </w:r>
      <w:r>
        <w:rPr>
          <w:spacing w:val="-6"/>
        </w:rPr>
        <w:t> </w:t>
      </w:r>
      <w:r>
        <w:rPr/>
        <w:t>y</w:t>
      </w:r>
      <w:r>
        <w:rPr>
          <w:spacing w:val="-9"/>
        </w:rPr>
        <w:t> </w:t>
      </w:r>
      <w:r>
        <w:rPr/>
        <w:t>3)</w:t>
      </w:r>
      <w:r>
        <w:rPr>
          <w:spacing w:val="-7"/>
        </w:rPr>
        <w:t> </w:t>
      </w:r>
      <w:r>
        <w:rPr/>
        <w:t>identificar</w:t>
      </w:r>
      <w:r>
        <w:rPr>
          <w:spacing w:val="-7"/>
        </w:rPr>
        <w:t> </w:t>
      </w:r>
      <w:r>
        <w:rPr/>
        <w:t>las</w:t>
      </w:r>
      <w:r>
        <w:rPr>
          <w:spacing w:val="-6"/>
        </w:rPr>
        <w:t> </w:t>
      </w:r>
      <w:r>
        <w:rPr/>
        <w:t>actitudes lingüísticas entre géneros, donde el género masculino predomina en las actitudes positivas.</w:t>
      </w:r>
    </w:p>
    <w:p>
      <w:pPr>
        <w:pStyle w:val="BodyText"/>
        <w:spacing w:before="205"/>
        <w:ind w:left="102"/>
        <w:jc w:val="both"/>
      </w:pPr>
      <w:r>
        <w:rPr/>
        <w:t>Se presentaron tres hipótesis del tipo correlativas descriptivas:</w:t>
      </w:r>
    </w:p>
    <w:p>
      <w:pPr>
        <w:pStyle w:val="BodyText"/>
        <w:spacing w:before="2"/>
        <w:rPr>
          <w:sz w:val="29"/>
        </w:rPr>
      </w:pPr>
    </w:p>
    <w:p>
      <w:pPr>
        <w:pStyle w:val="BodyText"/>
        <w:spacing w:line="362" w:lineRule="auto"/>
        <w:ind w:left="102" w:right="106"/>
        <w:jc w:val="both"/>
      </w:pPr>
      <w:r>
        <w:rPr>
          <w:position w:val="1"/>
        </w:rPr>
        <w:t>La H</w:t>
      </w:r>
      <w:r>
        <w:rPr>
          <w:sz w:val="16"/>
        </w:rPr>
        <w:t>1 </w:t>
      </w:r>
      <w:r>
        <w:rPr>
          <w:position w:val="1"/>
        </w:rPr>
        <w:t>indica que las actitudes lingüísticas ante el uso de anglicismos determinan su </w:t>
      </w:r>
      <w:r>
        <w:rPr/>
        <w:t>prestigio</w:t>
      </w:r>
      <w:r>
        <w:rPr>
          <w:spacing w:val="-6"/>
        </w:rPr>
        <w:t> </w:t>
      </w:r>
      <w:r>
        <w:rPr/>
        <w:t>o</w:t>
      </w:r>
      <w:r>
        <w:rPr>
          <w:spacing w:val="-8"/>
        </w:rPr>
        <w:t> </w:t>
      </w:r>
      <w:r>
        <w:rPr/>
        <w:t>desprestigio.</w:t>
      </w:r>
      <w:r>
        <w:rPr>
          <w:spacing w:val="-6"/>
        </w:rPr>
        <w:t> </w:t>
      </w:r>
      <w:r>
        <w:rPr/>
        <w:t>A</w:t>
      </w:r>
      <w:r>
        <w:rPr>
          <w:spacing w:val="-8"/>
        </w:rPr>
        <w:t> </w:t>
      </w:r>
      <w:r>
        <w:rPr/>
        <w:t>partir</w:t>
      </w:r>
      <w:r>
        <w:rPr>
          <w:spacing w:val="-7"/>
        </w:rPr>
        <w:t> </w:t>
      </w:r>
      <w:r>
        <w:rPr/>
        <w:t>del</w:t>
      </w:r>
      <w:r>
        <w:rPr>
          <w:spacing w:val="-10"/>
        </w:rPr>
        <w:t> </w:t>
      </w:r>
      <w:r>
        <w:rPr/>
        <w:t>instrumento</w:t>
      </w:r>
      <w:r>
        <w:rPr>
          <w:spacing w:val="-8"/>
        </w:rPr>
        <w:t> </w:t>
      </w:r>
      <w:r>
        <w:rPr/>
        <w:t>de</w:t>
      </w:r>
      <w:r>
        <w:rPr>
          <w:spacing w:val="-8"/>
        </w:rPr>
        <w:t> </w:t>
      </w:r>
      <w:r>
        <w:rPr/>
        <w:t>investigación,</w:t>
      </w:r>
      <w:r>
        <w:rPr>
          <w:spacing w:val="-9"/>
        </w:rPr>
        <w:t> </w:t>
      </w:r>
      <w:r>
        <w:rPr/>
        <w:t>esta</w:t>
      </w:r>
      <w:r>
        <w:rPr>
          <w:spacing w:val="-8"/>
        </w:rPr>
        <w:t> </w:t>
      </w:r>
      <w:r>
        <w:rPr/>
        <w:t>hipótesis</w:t>
      </w:r>
      <w:r>
        <w:rPr>
          <w:spacing w:val="-7"/>
        </w:rPr>
        <w:t> </w:t>
      </w:r>
      <w:r>
        <w:rPr/>
        <w:t>pudo</w:t>
      </w:r>
      <w:r>
        <w:rPr>
          <w:spacing w:val="-8"/>
        </w:rPr>
        <w:t> </w:t>
      </w:r>
      <w:r>
        <w:rPr/>
        <w:t>ser</w:t>
      </w:r>
    </w:p>
    <w:p>
      <w:pPr>
        <w:pStyle w:val="BodyText"/>
        <w:rPr>
          <w:sz w:val="20"/>
        </w:rPr>
      </w:pPr>
    </w:p>
    <w:p>
      <w:pPr>
        <w:pStyle w:val="BodyText"/>
        <w:rPr>
          <w:sz w:val="20"/>
        </w:rPr>
      </w:pPr>
    </w:p>
    <w:p>
      <w:pPr>
        <w:pStyle w:val="BodyText"/>
        <w:rPr>
          <w:sz w:val="20"/>
        </w:rPr>
      </w:pPr>
    </w:p>
    <w:p>
      <w:pPr>
        <w:pStyle w:val="BodyText"/>
        <w:spacing w:before="11"/>
        <w:rPr>
          <w:sz w:val="15"/>
        </w:rPr>
      </w:pPr>
    </w:p>
    <w:p>
      <w:pPr>
        <w:spacing w:before="56"/>
        <w:ind w:left="423" w:right="427" w:firstLine="0"/>
        <w:jc w:val="center"/>
        <w:rPr>
          <w:rFonts w:ascii="Calibri"/>
          <w:sz w:val="22"/>
        </w:rPr>
      </w:pPr>
      <w:r>
        <w:rPr>
          <w:rFonts w:ascii="Calibri"/>
          <w:sz w:val="22"/>
        </w:rPr>
        <w:t>85</w:t>
      </w:r>
    </w:p>
    <w:p>
      <w:pPr>
        <w:spacing w:after="0"/>
        <w:jc w:val="center"/>
        <w:rPr>
          <w:rFonts w:ascii="Calibri"/>
          <w:sz w:val="22"/>
        </w:rPr>
        <w:sectPr>
          <w:headerReference w:type="default" r:id="rId106"/>
          <w:footerReference w:type="default" r:id="rId107"/>
          <w:pgSz w:w="12240" w:h="15840"/>
          <w:pgMar w:header="0" w:footer="0" w:top="1500" w:bottom="280" w:left="1600" w:right="1020"/>
        </w:sectPr>
      </w:pPr>
    </w:p>
    <w:p>
      <w:pPr>
        <w:pStyle w:val="BodyText"/>
        <w:rPr>
          <w:rFonts w:ascii="Calibri"/>
          <w:sz w:val="20"/>
        </w:rPr>
      </w:pPr>
    </w:p>
    <w:p>
      <w:pPr>
        <w:pStyle w:val="BodyText"/>
        <w:rPr>
          <w:rFonts w:ascii="Calibri"/>
          <w:sz w:val="20"/>
        </w:rPr>
      </w:pPr>
    </w:p>
    <w:p>
      <w:pPr>
        <w:pStyle w:val="BodyText"/>
        <w:spacing w:before="10"/>
        <w:rPr>
          <w:rFonts w:ascii="Calibri"/>
          <w:sz w:val="19"/>
        </w:rPr>
      </w:pPr>
    </w:p>
    <w:p>
      <w:pPr>
        <w:pStyle w:val="BodyText"/>
        <w:spacing w:line="360" w:lineRule="auto"/>
        <w:ind w:left="102" w:right="26"/>
      </w:pPr>
      <w:r>
        <w:rPr/>
        <w:t>aprobada como afirmativa, ya que resultó ser el medio ideal para determinar el prestigio de las variables.</w:t>
      </w:r>
    </w:p>
    <w:p>
      <w:pPr>
        <w:pStyle w:val="BodyText"/>
        <w:spacing w:line="360" w:lineRule="auto" w:before="4"/>
        <w:ind w:left="102" w:right="111" w:firstLine="707"/>
        <w:jc w:val="both"/>
      </w:pPr>
      <w:r>
        <w:rPr>
          <w:position w:val="1"/>
        </w:rPr>
        <w:t>La H</w:t>
      </w:r>
      <w:r>
        <w:rPr>
          <w:sz w:val="16"/>
        </w:rPr>
        <w:t>2 </w:t>
      </w:r>
      <w:r>
        <w:rPr>
          <w:position w:val="1"/>
        </w:rPr>
        <w:t>señala que las actitudes lingüísticas son favorables a menor edad de los </w:t>
      </w:r>
      <w:r>
        <w:rPr/>
        <w:t>sujetos en oposición a los de mayor edad. En este rubro, se considera que la hipótesis fue parcialmente afirmativa, el grupo que se esperaba con mayor afectividad ante los anglicismos</w:t>
      </w:r>
      <w:r>
        <w:rPr>
          <w:spacing w:val="-7"/>
        </w:rPr>
        <w:t> </w:t>
      </w:r>
      <w:r>
        <w:rPr/>
        <w:t>era</w:t>
      </w:r>
      <w:r>
        <w:rPr>
          <w:spacing w:val="-7"/>
        </w:rPr>
        <w:t> </w:t>
      </w:r>
      <w:r>
        <w:rPr/>
        <w:t>el</w:t>
      </w:r>
      <w:r>
        <w:rPr>
          <w:spacing w:val="-5"/>
        </w:rPr>
        <w:t> </w:t>
      </w:r>
      <w:r>
        <w:rPr>
          <w:i/>
        </w:rPr>
        <w:t>grupo</w:t>
      </w:r>
      <w:r>
        <w:rPr>
          <w:i/>
          <w:spacing w:val="-6"/>
        </w:rPr>
        <w:t> </w:t>
      </w:r>
      <w:r>
        <w:rPr>
          <w:i/>
        </w:rPr>
        <w:t>1</w:t>
      </w:r>
      <w:r>
        <w:rPr/>
        <w:t>,</w:t>
      </w:r>
      <w:r>
        <w:rPr>
          <w:spacing w:val="-6"/>
        </w:rPr>
        <w:t> </w:t>
      </w:r>
      <w:r>
        <w:rPr/>
        <w:t>no</w:t>
      </w:r>
      <w:r>
        <w:rPr>
          <w:spacing w:val="-6"/>
        </w:rPr>
        <w:t> </w:t>
      </w:r>
      <w:r>
        <w:rPr/>
        <w:t>obstante</w:t>
      </w:r>
      <w:r>
        <w:rPr>
          <w:spacing w:val="-4"/>
        </w:rPr>
        <w:t> </w:t>
      </w:r>
      <w:r>
        <w:rPr/>
        <w:t>lo</w:t>
      </w:r>
      <w:r>
        <w:rPr>
          <w:spacing w:val="-9"/>
        </w:rPr>
        <w:t> </w:t>
      </w:r>
      <w:r>
        <w:rPr/>
        <w:t>fue</w:t>
      </w:r>
      <w:r>
        <w:rPr>
          <w:spacing w:val="-4"/>
        </w:rPr>
        <w:t> </w:t>
      </w:r>
      <w:r>
        <w:rPr/>
        <w:t>el</w:t>
      </w:r>
      <w:r>
        <w:rPr>
          <w:spacing w:val="-5"/>
        </w:rPr>
        <w:t> </w:t>
      </w:r>
      <w:r>
        <w:rPr>
          <w:i/>
        </w:rPr>
        <w:t>grupo</w:t>
      </w:r>
      <w:r>
        <w:rPr>
          <w:i/>
          <w:spacing w:val="-6"/>
        </w:rPr>
        <w:t> </w:t>
      </w:r>
      <w:r>
        <w:rPr>
          <w:i/>
        </w:rPr>
        <w:t>2</w:t>
      </w:r>
      <w:r>
        <w:rPr>
          <w:i/>
          <w:spacing w:val="-5"/>
        </w:rPr>
        <w:t> </w:t>
      </w:r>
      <w:r>
        <w:rPr/>
        <w:t>y</w:t>
      </w:r>
      <w:r>
        <w:rPr>
          <w:spacing w:val="-7"/>
        </w:rPr>
        <w:t> </w:t>
      </w:r>
      <w:r>
        <w:rPr/>
        <w:t>el</w:t>
      </w:r>
      <w:r>
        <w:rPr>
          <w:spacing w:val="-5"/>
        </w:rPr>
        <w:t> </w:t>
      </w:r>
      <w:r>
        <w:rPr/>
        <w:t>resto</w:t>
      </w:r>
      <w:r>
        <w:rPr>
          <w:spacing w:val="-8"/>
        </w:rPr>
        <w:t> </w:t>
      </w:r>
      <w:r>
        <w:rPr/>
        <w:t>de</w:t>
      </w:r>
      <w:r>
        <w:rPr>
          <w:spacing w:val="-4"/>
        </w:rPr>
        <w:t> </w:t>
      </w:r>
      <w:r>
        <w:rPr/>
        <w:t>los</w:t>
      </w:r>
      <w:r>
        <w:rPr>
          <w:spacing w:val="-4"/>
        </w:rPr>
        <w:t> </w:t>
      </w:r>
      <w:r>
        <w:rPr/>
        <w:t>grupos</w:t>
      </w:r>
      <w:r>
        <w:rPr>
          <w:spacing w:val="-4"/>
        </w:rPr>
        <w:t> </w:t>
      </w:r>
      <w:r>
        <w:rPr/>
        <w:t>siguió</w:t>
      </w:r>
      <w:r>
        <w:rPr>
          <w:spacing w:val="-6"/>
        </w:rPr>
        <w:t> </w:t>
      </w:r>
      <w:r>
        <w:rPr/>
        <w:t>la </w:t>
      </w:r>
      <w:r>
        <w:rPr>
          <w:position w:val="1"/>
        </w:rPr>
        <w:t>secuencia descendente. En el caso de la H</w:t>
      </w:r>
      <w:r>
        <w:rPr>
          <w:sz w:val="16"/>
        </w:rPr>
        <w:t>3</w:t>
      </w:r>
      <w:r>
        <w:rPr>
          <w:position w:val="1"/>
        </w:rPr>
        <w:t>: las actitudes lingüísticas son favorables a </w:t>
      </w:r>
      <w:r>
        <w:rPr/>
        <w:t>mayor nivel académico que a menor nivel académico, la hipótesis fue considerada nula debido a la obtención de resultados contrarios. El nivel superior despunto entre los otros grupos de su clasificación con mayor número de actitudes</w:t>
      </w:r>
      <w:r>
        <w:rPr>
          <w:spacing w:val="-23"/>
        </w:rPr>
        <w:t> </w:t>
      </w:r>
      <w:r>
        <w:rPr/>
        <w:t>favorables.</w:t>
      </w:r>
    </w:p>
    <w:p>
      <w:pPr>
        <w:pStyle w:val="BodyText"/>
        <w:spacing w:line="360" w:lineRule="auto" w:before="5"/>
        <w:ind w:left="102" w:right="111" w:firstLine="707"/>
        <w:jc w:val="both"/>
      </w:pPr>
      <w:r>
        <w:rPr/>
        <w:t>Con respecto a la hipótesis descriptiva simple aplicada a la variable de género se concluye lo siguiente:</w:t>
      </w:r>
    </w:p>
    <w:p>
      <w:pPr>
        <w:pStyle w:val="BodyText"/>
        <w:spacing w:line="360" w:lineRule="auto" w:before="4"/>
        <w:ind w:left="102" w:right="110" w:firstLine="707"/>
        <w:jc w:val="both"/>
      </w:pPr>
      <w:r>
        <w:rPr>
          <w:position w:val="1"/>
        </w:rPr>
        <w:t>La</w:t>
      </w:r>
      <w:r>
        <w:rPr>
          <w:spacing w:val="-17"/>
          <w:position w:val="1"/>
        </w:rPr>
        <w:t> </w:t>
      </w:r>
      <w:r>
        <w:rPr>
          <w:position w:val="1"/>
        </w:rPr>
        <w:t>H</w:t>
      </w:r>
      <w:r>
        <w:rPr>
          <w:sz w:val="16"/>
        </w:rPr>
        <w:t>4</w:t>
      </w:r>
      <w:r>
        <w:rPr>
          <w:spacing w:val="-12"/>
          <w:sz w:val="16"/>
        </w:rPr>
        <w:t> </w:t>
      </w:r>
      <w:r>
        <w:rPr>
          <w:position w:val="1"/>
        </w:rPr>
        <w:t>indica</w:t>
      </w:r>
      <w:r>
        <w:rPr>
          <w:spacing w:val="-17"/>
          <w:position w:val="1"/>
        </w:rPr>
        <w:t> </w:t>
      </w:r>
      <w:r>
        <w:rPr>
          <w:position w:val="1"/>
        </w:rPr>
        <w:t>que</w:t>
      </w:r>
      <w:r>
        <w:rPr>
          <w:spacing w:val="-17"/>
          <w:position w:val="1"/>
        </w:rPr>
        <w:t> </w:t>
      </w:r>
      <w:r>
        <w:rPr>
          <w:position w:val="1"/>
        </w:rPr>
        <w:t>el</w:t>
      </w:r>
      <w:r>
        <w:rPr>
          <w:spacing w:val="-18"/>
          <w:position w:val="1"/>
        </w:rPr>
        <w:t> </w:t>
      </w:r>
      <w:r>
        <w:rPr>
          <w:position w:val="1"/>
        </w:rPr>
        <w:t>género</w:t>
      </w:r>
      <w:r>
        <w:rPr>
          <w:spacing w:val="-20"/>
          <w:position w:val="1"/>
        </w:rPr>
        <w:t> </w:t>
      </w:r>
      <w:r>
        <w:rPr>
          <w:position w:val="1"/>
        </w:rPr>
        <w:t>femenino</w:t>
      </w:r>
      <w:r>
        <w:rPr>
          <w:spacing w:val="-16"/>
          <w:position w:val="1"/>
        </w:rPr>
        <w:t> </w:t>
      </w:r>
      <w:r>
        <w:rPr>
          <w:position w:val="1"/>
        </w:rPr>
        <w:t>presenta</w:t>
      </w:r>
      <w:r>
        <w:rPr>
          <w:spacing w:val="-19"/>
          <w:position w:val="1"/>
        </w:rPr>
        <w:t> </w:t>
      </w:r>
      <w:r>
        <w:rPr>
          <w:position w:val="1"/>
        </w:rPr>
        <w:t>actitudes</w:t>
      </w:r>
      <w:r>
        <w:rPr>
          <w:spacing w:val="-17"/>
          <w:position w:val="1"/>
        </w:rPr>
        <w:t> </w:t>
      </w:r>
      <w:r>
        <w:rPr>
          <w:position w:val="1"/>
        </w:rPr>
        <w:t>lingüísticas</w:t>
      </w:r>
      <w:r>
        <w:rPr>
          <w:spacing w:val="-17"/>
          <w:position w:val="1"/>
        </w:rPr>
        <w:t> </w:t>
      </w:r>
      <w:r>
        <w:rPr>
          <w:position w:val="1"/>
        </w:rPr>
        <w:t>favorables</w:t>
      </w:r>
      <w:r>
        <w:rPr>
          <w:spacing w:val="-17"/>
          <w:position w:val="1"/>
        </w:rPr>
        <w:t> </w:t>
      </w:r>
      <w:r>
        <w:rPr>
          <w:position w:val="1"/>
        </w:rPr>
        <w:t>ante </w:t>
      </w:r>
      <w:r>
        <w:rPr/>
        <w:t>el uso de anglicismos léxicos al contrario del género masculino. A pesar del respaldo encontrado en el trabajo de Labov (1984) donde se establece que las mujeres prefieren y</w:t>
      </w:r>
      <w:r>
        <w:rPr>
          <w:spacing w:val="-14"/>
        </w:rPr>
        <w:t> </w:t>
      </w:r>
      <w:r>
        <w:rPr/>
        <w:t>emplean</w:t>
      </w:r>
      <w:r>
        <w:rPr>
          <w:spacing w:val="-13"/>
        </w:rPr>
        <w:t> </w:t>
      </w:r>
      <w:r>
        <w:rPr/>
        <w:t>variables</w:t>
      </w:r>
      <w:r>
        <w:rPr>
          <w:spacing w:val="-11"/>
        </w:rPr>
        <w:t> </w:t>
      </w:r>
      <w:r>
        <w:rPr/>
        <w:t>de</w:t>
      </w:r>
      <w:r>
        <w:rPr>
          <w:spacing w:val="-13"/>
        </w:rPr>
        <w:t> </w:t>
      </w:r>
      <w:r>
        <w:rPr/>
        <w:t>prestigio,</w:t>
      </w:r>
      <w:r>
        <w:rPr>
          <w:spacing w:val="-11"/>
        </w:rPr>
        <w:t> </w:t>
      </w:r>
      <w:r>
        <w:rPr/>
        <w:t>este</w:t>
      </w:r>
      <w:r>
        <w:rPr>
          <w:spacing w:val="-13"/>
        </w:rPr>
        <w:t> </w:t>
      </w:r>
      <w:r>
        <w:rPr/>
        <w:t>estudio</w:t>
      </w:r>
      <w:r>
        <w:rPr>
          <w:spacing w:val="-13"/>
        </w:rPr>
        <w:t> </w:t>
      </w:r>
      <w:r>
        <w:rPr/>
        <w:t>muestra</w:t>
      </w:r>
      <w:r>
        <w:rPr>
          <w:spacing w:val="-11"/>
        </w:rPr>
        <w:t> </w:t>
      </w:r>
      <w:r>
        <w:rPr/>
        <w:t>que</w:t>
      </w:r>
      <w:r>
        <w:rPr>
          <w:spacing w:val="-11"/>
        </w:rPr>
        <w:t> </w:t>
      </w:r>
      <w:r>
        <w:rPr/>
        <w:t>las</w:t>
      </w:r>
      <w:r>
        <w:rPr>
          <w:spacing w:val="-13"/>
        </w:rPr>
        <w:t> </w:t>
      </w:r>
      <w:r>
        <w:rPr/>
        <w:t>mujeres</w:t>
      </w:r>
      <w:r>
        <w:rPr>
          <w:spacing w:val="-12"/>
        </w:rPr>
        <w:t> </w:t>
      </w:r>
      <w:r>
        <w:rPr/>
        <w:t>no</w:t>
      </w:r>
      <w:r>
        <w:rPr>
          <w:spacing w:val="-11"/>
        </w:rPr>
        <w:t> </w:t>
      </w:r>
      <w:r>
        <w:rPr/>
        <w:t>consideran</w:t>
      </w:r>
      <w:r>
        <w:rPr>
          <w:spacing w:val="-11"/>
        </w:rPr>
        <w:t> </w:t>
      </w:r>
      <w:r>
        <w:rPr/>
        <w:t>del todo a los anglicismos como prestigiosos. Sin embargo, el mismo autor indica que los hombres son más propensos al uso de variables, es decir, los prefieren en su discurso, esta</w:t>
      </w:r>
      <w:r>
        <w:rPr>
          <w:spacing w:val="-18"/>
        </w:rPr>
        <w:t> </w:t>
      </w:r>
      <w:r>
        <w:rPr/>
        <w:t>pudiera</w:t>
      </w:r>
      <w:r>
        <w:rPr>
          <w:spacing w:val="-18"/>
        </w:rPr>
        <w:t> </w:t>
      </w:r>
      <w:r>
        <w:rPr/>
        <w:t>ser</w:t>
      </w:r>
      <w:r>
        <w:rPr>
          <w:spacing w:val="-19"/>
        </w:rPr>
        <w:t> </w:t>
      </w:r>
      <w:r>
        <w:rPr/>
        <w:t>la</w:t>
      </w:r>
      <w:r>
        <w:rPr>
          <w:spacing w:val="-18"/>
        </w:rPr>
        <w:t> </w:t>
      </w:r>
      <w:r>
        <w:rPr/>
        <w:t>razón</w:t>
      </w:r>
      <w:r>
        <w:rPr>
          <w:spacing w:val="-18"/>
        </w:rPr>
        <w:t> </w:t>
      </w:r>
      <w:r>
        <w:rPr/>
        <w:t>de</w:t>
      </w:r>
      <w:r>
        <w:rPr>
          <w:spacing w:val="-18"/>
        </w:rPr>
        <w:t> </w:t>
      </w:r>
      <w:r>
        <w:rPr/>
        <w:t>porqué</w:t>
      </w:r>
      <w:r>
        <w:rPr>
          <w:spacing w:val="-18"/>
        </w:rPr>
        <w:t> </w:t>
      </w:r>
      <w:r>
        <w:rPr/>
        <w:t>ellos</w:t>
      </w:r>
      <w:r>
        <w:rPr>
          <w:spacing w:val="-19"/>
        </w:rPr>
        <w:t> </w:t>
      </w:r>
      <w:r>
        <w:rPr/>
        <w:t>sí</w:t>
      </w:r>
      <w:r>
        <w:rPr>
          <w:spacing w:val="-21"/>
        </w:rPr>
        <w:t> </w:t>
      </w:r>
      <w:r>
        <w:rPr/>
        <w:t>consideraron</w:t>
      </w:r>
      <w:r>
        <w:rPr>
          <w:spacing w:val="-20"/>
        </w:rPr>
        <w:t> </w:t>
      </w:r>
      <w:r>
        <w:rPr/>
        <w:t>a</w:t>
      </w:r>
      <w:r>
        <w:rPr>
          <w:spacing w:val="-18"/>
        </w:rPr>
        <w:t> </w:t>
      </w:r>
      <w:r>
        <w:rPr/>
        <w:t>los</w:t>
      </w:r>
      <w:r>
        <w:rPr>
          <w:spacing w:val="-18"/>
        </w:rPr>
        <w:t> </w:t>
      </w:r>
      <w:r>
        <w:rPr/>
        <w:t>anglicismos</w:t>
      </w:r>
      <w:r>
        <w:rPr>
          <w:spacing w:val="-19"/>
        </w:rPr>
        <w:t> </w:t>
      </w:r>
      <w:r>
        <w:rPr/>
        <w:t>como</w:t>
      </w:r>
      <w:r>
        <w:rPr>
          <w:spacing w:val="-18"/>
        </w:rPr>
        <w:t> </w:t>
      </w:r>
      <w:r>
        <w:rPr/>
        <w:t>variables de prestigio, porque resultan innovadores en su</w:t>
      </w:r>
      <w:r>
        <w:rPr>
          <w:spacing w:val="-18"/>
        </w:rPr>
        <w:t> </w:t>
      </w:r>
      <w:r>
        <w:rPr/>
        <w:t>producción.</w:t>
      </w:r>
    </w:p>
    <w:p>
      <w:pPr>
        <w:pStyle w:val="BodyText"/>
        <w:spacing w:line="360" w:lineRule="auto" w:before="2"/>
        <w:ind w:left="102" w:right="107" w:firstLine="707"/>
        <w:jc w:val="both"/>
      </w:pPr>
      <w:r>
        <w:rPr/>
        <w:t>No cabe duda que en los estudios de variación léxica (Moreno, F. 1998), como el uso de anglicismos, demuestran que en este tipo de variación influyen principalmente factores</w:t>
      </w:r>
      <w:r>
        <w:rPr>
          <w:spacing w:val="-6"/>
        </w:rPr>
        <w:t> </w:t>
      </w:r>
      <w:r>
        <w:rPr/>
        <w:t>extralingüísticos</w:t>
      </w:r>
      <w:r>
        <w:rPr>
          <w:spacing w:val="-5"/>
        </w:rPr>
        <w:t> </w:t>
      </w:r>
      <w:r>
        <w:rPr/>
        <w:t>como</w:t>
      </w:r>
      <w:r>
        <w:rPr>
          <w:spacing w:val="-6"/>
        </w:rPr>
        <w:t> </w:t>
      </w:r>
      <w:r>
        <w:rPr/>
        <w:t>los</w:t>
      </w:r>
      <w:r>
        <w:rPr>
          <w:spacing w:val="-6"/>
        </w:rPr>
        <w:t> </w:t>
      </w:r>
      <w:r>
        <w:rPr/>
        <w:t>rasgos</w:t>
      </w:r>
      <w:r>
        <w:rPr>
          <w:spacing w:val="-7"/>
        </w:rPr>
        <w:t> </w:t>
      </w:r>
      <w:r>
        <w:rPr/>
        <w:t>sociológicos</w:t>
      </w:r>
      <w:r>
        <w:rPr>
          <w:spacing w:val="-6"/>
        </w:rPr>
        <w:t> </w:t>
      </w:r>
      <w:r>
        <w:rPr/>
        <w:t>de</w:t>
      </w:r>
      <w:r>
        <w:rPr>
          <w:spacing w:val="-6"/>
        </w:rPr>
        <w:t> </w:t>
      </w:r>
      <w:r>
        <w:rPr/>
        <w:t>los</w:t>
      </w:r>
      <w:r>
        <w:rPr>
          <w:spacing w:val="-6"/>
        </w:rPr>
        <w:t> </w:t>
      </w:r>
      <w:r>
        <w:rPr/>
        <w:t>hablantes,</w:t>
      </w:r>
      <w:r>
        <w:rPr>
          <w:spacing w:val="-2"/>
        </w:rPr>
        <w:t> </w:t>
      </w:r>
      <w:r>
        <w:rPr/>
        <w:t>el</w:t>
      </w:r>
      <w:r>
        <w:rPr>
          <w:spacing w:val="-7"/>
        </w:rPr>
        <w:t> </w:t>
      </w:r>
      <w:r>
        <w:rPr/>
        <w:t>contexto,</w:t>
      </w:r>
      <w:r>
        <w:rPr>
          <w:spacing w:val="-6"/>
        </w:rPr>
        <w:t> </w:t>
      </w:r>
      <w:r>
        <w:rPr/>
        <w:t>sus creencias</w:t>
      </w:r>
      <w:r>
        <w:rPr>
          <w:spacing w:val="-18"/>
        </w:rPr>
        <w:t> </w:t>
      </w:r>
      <w:r>
        <w:rPr/>
        <w:t>y</w:t>
      </w:r>
      <w:r>
        <w:rPr>
          <w:spacing w:val="-21"/>
        </w:rPr>
        <w:t> </w:t>
      </w:r>
      <w:r>
        <w:rPr/>
        <w:t>actitudes.</w:t>
      </w:r>
      <w:r>
        <w:rPr>
          <w:spacing w:val="-21"/>
        </w:rPr>
        <w:t> </w:t>
      </w:r>
      <w:r>
        <w:rPr/>
        <w:t>No</w:t>
      </w:r>
      <w:r>
        <w:rPr>
          <w:spacing w:val="-18"/>
        </w:rPr>
        <w:t> </w:t>
      </w:r>
      <w:r>
        <w:rPr/>
        <w:t>obstante,</w:t>
      </w:r>
      <w:r>
        <w:rPr>
          <w:spacing w:val="-21"/>
        </w:rPr>
        <w:t> </w:t>
      </w:r>
      <w:r>
        <w:rPr/>
        <w:t>factores</w:t>
      </w:r>
      <w:r>
        <w:rPr>
          <w:spacing w:val="-19"/>
        </w:rPr>
        <w:t> </w:t>
      </w:r>
      <w:r>
        <w:rPr/>
        <w:t>lingüísticos</w:t>
      </w:r>
      <w:r>
        <w:rPr>
          <w:spacing w:val="-19"/>
        </w:rPr>
        <w:t> </w:t>
      </w:r>
      <w:r>
        <w:rPr/>
        <w:t>también</w:t>
      </w:r>
      <w:r>
        <w:rPr>
          <w:spacing w:val="-18"/>
        </w:rPr>
        <w:t> </w:t>
      </w:r>
      <w:r>
        <w:rPr/>
        <w:t>pueden</w:t>
      </w:r>
      <w:r>
        <w:rPr>
          <w:spacing w:val="-18"/>
        </w:rPr>
        <w:t> </w:t>
      </w:r>
      <w:r>
        <w:rPr/>
        <w:t>estar</w:t>
      </w:r>
      <w:r>
        <w:rPr>
          <w:spacing w:val="-19"/>
        </w:rPr>
        <w:t> </w:t>
      </w:r>
      <w:r>
        <w:rPr/>
        <w:t>implicados, tales como el ritmo del habla, las repeticiones (el caso que se mencionaba de usar anglicismos como un recurso extra de sinonimia) o la lengua origen de las unidades léxicas (la influencia y el prestigio del</w:t>
      </w:r>
      <w:r>
        <w:rPr>
          <w:spacing w:val="-11"/>
        </w:rPr>
        <w:t> </w:t>
      </w:r>
      <w:r>
        <w:rPr/>
        <w:t>inglés).</w:t>
      </w:r>
    </w:p>
    <w:p>
      <w:pPr>
        <w:pStyle w:val="BodyText"/>
        <w:spacing w:line="360" w:lineRule="auto" w:before="204"/>
        <w:ind w:left="102" w:right="115" w:firstLine="707"/>
        <w:jc w:val="both"/>
      </w:pPr>
      <w:r>
        <w:rPr/>
        <w:t>Por último, se reconocen las limitantes de la investigación, entre las cuales se encuentra el tiempo para la aplicación del instrumento, a partir del cual, se pudo abarcar</w:t>
      </w:r>
    </w:p>
    <w:p>
      <w:pPr>
        <w:spacing w:after="0" w:line="360" w:lineRule="auto"/>
        <w:jc w:val="both"/>
        <w:sectPr>
          <w:headerReference w:type="default" r:id="rId108"/>
          <w:footerReference w:type="default" r:id="rId109"/>
          <w:pgSz w:w="12240" w:h="15840"/>
          <w:pgMar w:header="749" w:footer="1003" w:top="960" w:bottom="1200" w:left="1600" w:right="1020"/>
          <w:pgNumType w:start="86"/>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06"/>
        <w:jc w:val="both"/>
      </w:pPr>
      <w:r>
        <w:rPr/>
        <w:t>una muestra de población más amplia que permitiera obtener resultados más claros por así conjeturar. De igual forma, el abarcar más variables de estudio como el nivel socioeconómico</w:t>
      </w:r>
      <w:r>
        <w:rPr>
          <w:spacing w:val="-16"/>
        </w:rPr>
        <w:t> </w:t>
      </w:r>
      <w:r>
        <w:rPr/>
        <w:t>o</w:t>
      </w:r>
      <w:r>
        <w:rPr>
          <w:spacing w:val="-16"/>
        </w:rPr>
        <w:t> </w:t>
      </w:r>
      <w:r>
        <w:rPr/>
        <w:t>redes</w:t>
      </w:r>
      <w:r>
        <w:rPr>
          <w:spacing w:val="-16"/>
        </w:rPr>
        <w:t> </w:t>
      </w:r>
      <w:r>
        <w:rPr/>
        <w:t>sociales,</w:t>
      </w:r>
      <w:r>
        <w:rPr>
          <w:spacing w:val="-16"/>
        </w:rPr>
        <w:t> </w:t>
      </w:r>
      <w:r>
        <w:rPr/>
        <w:t>entre</w:t>
      </w:r>
      <w:r>
        <w:rPr>
          <w:spacing w:val="-18"/>
        </w:rPr>
        <w:t> </w:t>
      </w:r>
      <w:r>
        <w:rPr/>
        <w:t>otras</w:t>
      </w:r>
      <w:r>
        <w:rPr>
          <w:spacing w:val="-19"/>
        </w:rPr>
        <w:t> </w:t>
      </w:r>
      <w:r>
        <w:rPr/>
        <w:t>variables</w:t>
      </w:r>
      <w:r>
        <w:rPr>
          <w:spacing w:val="-16"/>
        </w:rPr>
        <w:t> </w:t>
      </w:r>
      <w:r>
        <w:rPr/>
        <w:t>más.</w:t>
      </w:r>
      <w:r>
        <w:rPr>
          <w:spacing w:val="-16"/>
        </w:rPr>
        <w:t> </w:t>
      </w:r>
      <w:r>
        <w:rPr/>
        <w:t>Así</w:t>
      </w:r>
      <w:r>
        <w:rPr>
          <w:spacing w:val="-18"/>
        </w:rPr>
        <w:t> </w:t>
      </w:r>
      <w:r>
        <w:rPr/>
        <w:t>también,</w:t>
      </w:r>
      <w:r>
        <w:rPr>
          <w:spacing w:val="-16"/>
        </w:rPr>
        <w:t> </w:t>
      </w:r>
      <w:r>
        <w:rPr/>
        <w:t>pudiera</w:t>
      </w:r>
      <w:r>
        <w:rPr>
          <w:spacing w:val="-16"/>
        </w:rPr>
        <w:t> </w:t>
      </w:r>
      <w:r>
        <w:rPr/>
        <w:t>resultar enriquecedor para este trabajo estudiar y contrastar estos resultados obtenidos en la ciudad de Toluca, con otra región de la República Mexicana, donde las percepciones pudieran</w:t>
      </w:r>
      <w:r>
        <w:rPr>
          <w:spacing w:val="-6"/>
        </w:rPr>
        <w:t> </w:t>
      </w:r>
      <w:r>
        <w:rPr/>
        <w:t>cambiar.</w:t>
      </w:r>
    </w:p>
    <w:p>
      <w:pPr>
        <w:pStyle w:val="BodyText"/>
        <w:spacing w:line="360" w:lineRule="auto" w:before="204"/>
        <w:ind w:left="102" w:right="111" w:firstLine="707"/>
        <w:jc w:val="both"/>
      </w:pPr>
      <w:r>
        <w:rPr/>
        <w:t>Cabe resaltar que los anteriores, no eran aspectos a tratar en esta investigación</w:t>
      </w:r>
      <w:r>
        <w:rPr>
          <w:spacing w:val="-41"/>
        </w:rPr>
        <w:t> </w:t>
      </w:r>
      <w:r>
        <w:rPr/>
        <w:t>y se dejan como puntos a desarrollar en futuras investigaciones. Conjuntamente, se deja en claro que los objetivos planteados fueron alcanzados satisfactoriamente y responden a las preguntas de</w:t>
      </w:r>
      <w:r>
        <w:rPr>
          <w:spacing w:val="-12"/>
        </w:rPr>
        <w:t> </w:t>
      </w:r>
      <w:r>
        <w:rPr/>
        <w:t>investigación.</w:t>
      </w:r>
    </w:p>
    <w:p>
      <w:pPr>
        <w:pStyle w:val="BodyText"/>
        <w:spacing w:line="360" w:lineRule="auto" w:before="204"/>
        <w:ind w:left="102" w:right="113" w:firstLine="707"/>
        <w:jc w:val="both"/>
      </w:pPr>
      <w:r>
        <w:rPr/>
        <w:t>Finalmente, resulta imprescindible aclarar que este trabajo de investigación no desacredita el prestigio de la lengua española, al contrario, se reitera la creencia de que los anglicismos dentro de dicha lengua no son muestra de desplazamiento, sino de enriquecimiento. Y que a pesar de ser variables lingüísticas de prestigio como así lo determinaron los resultados dentro de la investigación, existen otro tipo de variables</w:t>
      </w:r>
      <w:r>
        <w:rPr>
          <w:spacing w:val="-32"/>
        </w:rPr>
        <w:t> </w:t>
      </w:r>
      <w:r>
        <w:rPr/>
        <w:t>que no son del tipo “prestamos” que representan las mismas formas prestigiosa y que los usuarios las emplean como herramienta para lograr una mejor fluidez y para mostrar mayor competencia léxica dentro de su discurso y que son ellos mismos quienes determinan tal prestigio a través de sus actitudes</w:t>
      </w:r>
      <w:r>
        <w:rPr>
          <w:spacing w:val="-16"/>
        </w:rPr>
        <w:t> </w:t>
      </w:r>
      <w:r>
        <w:rPr/>
        <w:t>lingüísticas.</w:t>
      </w:r>
    </w:p>
    <w:p>
      <w:pPr>
        <w:spacing w:after="0" w:line="360" w:lineRule="auto"/>
        <w:jc w:val="both"/>
        <w:sectPr>
          <w:pgSz w:w="12240" w:h="15840"/>
          <w:pgMar w:header="749" w:footer="1003" w:top="960" w:bottom="1200" w:left="1600" w:right="1020"/>
        </w:sectPr>
      </w:pPr>
    </w:p>
    <w:p>
      <w:pPr>
        <w:pStyle w:val="BodyText"/>
        <w:spacing w:before="4"/>
        <w:rPr>
          <w:sz w:val="11"/>
        </w:rPr>
      </w:pPr>
    </w:p>
    <w:p>
      <w:pPr>
        <w:pStyle w:val="Heading1"/>
        <w:spacing w:before="69"/>
        <w:ind w:left="423" w:right="433"/>
        <w:jc w:val="center"/>
      </w:pPr>
      <w:bookmarkStart w:name="_TOC_250000" w:id="2"/>
      <w:bookmarkEnd w:id="2"/>
      <w:r>
        <w:rPr/>
        <w:t>REFERENCIAS</w:t>
      </w:r>
    </w:p>
    <w:p>
      <w:pPr>
        <w:pStyle w:val="BodyText"/>
        <w:spacing w:before="2"/>
        <w:rPr>
          <w:b/>
          <w:sz w:val="29"/>
        </w:rPr>
      </w:pPr>
    </w:p>
    <w:p>
      <w:pPr>
        <w:spacing w:line="360" w:lineRule="auto" w:before="0"/>
        <w:ind w:left="810" w:right="26" w:hanging="708"/>
        <w:jc w:val="left"/>
        <w:rPr>
          <w:sz w:val="24"/>
        </w:rPr>
      </w:pPr>
      <w:r>
        <w:rPr>
          <w:sz w:val="24"/>
        </w:rPr>
        <w:t>AGHEYISI, R. Y FISHMAN, J. (1970) </w:t>
      </w:r>
      <w:r>
        <w:rPr>
          <w:i/>
          <w:sz w:val="24"/>
        </w:rPr>
        <w:t>Language Attitude Studies: A brief Survey of </w:t>
      </w:r>
      <w:r>
        <w:rPr>
          <w:i/>
          <w:sz w:val="24"/>
        </w:rPr>
        <w:t>Methological Approaches. Anthropological Linguistics</w:t>
      </w:r>
      <w:r>
        <w:rPr>
          <w:sz w:val="24"/>
        </w:rPr>
        <w:t>. En FASOLD, R. (1997) The </w:t>
      </w:r>
      <w:r>
        <w:rPr>
          <w:i/>
          <w:sz w:val="24"/>
        </w:rPr>
        <w:t>Sociolinguistics of Society</w:t>
      </w:r>
      <w:r>
        <w:rPr>
          <w:sz w:val="24"/>
        </w:rPr>
        <w:t>. Oxford: Blackwell.</w:t>
      </w:r>
    </w:p>
    <w:p>
      <w:pPr>
        <w:pStyle w:val="BodyText"/>
      </w:pPr>
    </w:p>
    <w:p>
      <w:pPr>
        <w:spacing w:line="360" w:lineRule="auto" w:before="142"/>
        <w:ind w:left="810" w:right="26" w:hanging="708"/>
        <w:jc w:val="left"/>
        <w:rPr>
          <w:sz w:val="24"/>
        </w:rPr>
      </w:pPr>
      <w:r>
        <w:rPr>
          <w:sz w:val="24"/>
        </w:rPr>
        <w:t>ALFARO, R. J. (1970) </w:t>
      </w:r>
      <w:r>
        <w:rPr>
          <w:i/>
          <w:color w:val="212121"/>
          <w:sz w:val="24"/>
        </w:rPr>
        <w:t>Diccionario de anglicismos</w:t>
      </w:r>
      <w:r>
        <w:rPr>
          <w:color w:val="212121"/>
          <w:sz w:val="24"/>
        </w:rPr>
        <w:t>. Editorial Gredos. En </w:t>
      </w:r>
      <w:r>
        <w:rPr>
          <w:sz w:val="24"/>
        </w:rPr>
        <w:t>MORENO de Alba, F. (1998) </w:t>
      </w:r>
      <w:r>
        <w:rPr>
          <w:i/>
          <w:sz w:val="24"/>
        </w:rPr>
        <w:t>Principios de Sociolingüística y sociología del lenguaje</w:t>
      </w:r>
      <w:r>
        <w:rPr>
          <w:sz w:val="24"/>
        </w:rPr>
        <w:t>. Barcelona: Ariel, S.A.</w:t>
      </w:r>
    </w:p>
    <w:p>
      <w:pPr>
        <w:pStyle w:val="BodyText"/>
      </w:pPr>
    </w:p>
    <w:p>
      <w:pPr>
        <w:pStyle w:val="BodyText"/>
        <w:spacing w:line="360" w:lineRule="auto" w:before="142"/>
        <w:ind w:left="810" w:right="339" w:hanging="708"/>
      </w:pPr>
      <w:r>
        <w:rPr/>
        <w:t>ANDER-EGG, E. Técnicas de Investigación social. (24ª Ed.) Buenos Aires, Argentina: editorial Luamen</w:t>
      </w:r>
    </w:p>
    <w:p>
      <w:pPr>
        <w:pStyle w:val="BodyText"/>
      </w:pPr>
    </w:p>
    <w:p>
      <w:pPr>
        <w:spacing w:line="360" w:lineRule="auto" w:before="139"/>
        <w:ind w:left="810" w:right="339" w:hanging="708"/>
        <w:jc w:val="left"/>
        <w:rPr>
          <w:sz w:val="24"/>
        </w:rPr>
      </w:pPr>
      <w:r>
        <w:rPr>
          <w:sz w:val="24"/>
        </w:rPr>
        <w:t>ANDERSON, S. SWEENEY, D., y WILLIAMS, T. (2012) </w:t>
      </w:r>
      <w:r>
        <w:rPr>
          <w:i/>
          <w:sz w:val="24"/>
        </w:rPr>
        <w:t>Estadística para negocios y </w:t>
      </w:r>
      <w:r>
        <w:rPr>
          <w:i/>
          <w:sz w:val="24"/>
        </w:rPr>
        <w:t>economía</w:t>
      </w:r>
      <w:r>
        <w:rPr>
          <w:sz w:val="24"/>
        </w:rPr>
        <w:t>. 11ª ed. México: Cengage Learning.</w:t>
      </w:r>
    </w:p>
    <w:p>
      <w:pPr>
        <w:pStyle w:val="BodyText"/>
      </w:pPr>
    </w:p>
    <w:p>
      <w:pPr>
        <w:spacing w:before="142"/>
        <w:ind w:left="102" w:right="26" w:firstLine="0"/>
        <w:jc w:val="left"/>
        <w:rPr>
          <w:i/>
          <w:sz w:val="24"/>
        </w:rPr>
      </w:pPr>
      <w:r>
        <w:rPr>
          <w:sz w:val="24"/>
        </w:rPr>
        <w:t>APPEL, R. Y  MUYSKEN P. (1996) </w:t>
      </w:r>
      <w:r>
        <w:rPr>
          <w:i/>
          <w:sz w:val="24"/>
        </w:rPr>
        <w:t>Bilingüismo y contacto de lenguas. Barcelona: Ariel</w:t>
      </w:r>
    </w:p>
    <w:p>
      <w:pPr>
        <w:pStyle w:val="BodyText"/>
        <w:rPr>
          <w:i/>
        </w:rPr>
      </w:pPr>
    </w:p>
    <w:p>
      <w:pPr>
        <w:pStyle w:val="BodyText"/>
        <w:rPr>
          <w:i/>
        </w:rPr>
      </w:pPr>
    </w:p>
    <w:p>
      <w:pPr>
        <w:spacing w:before="139"/>
        <w:ind w:left="102" w:right="339" w:firstLine="0"/>
        <w:jc w:val="left"/>
        <w:rPr>
          <w:sz w:val="24"/>
        </w:rPr>
      </w:pPr>
      <w:r>
        <w:rPr>
          <w:sz w:val="24"/>
        </w:rPr>
        <w:t>BAKER, C. (1992) </w:t>
      </w:r>
      <w:r>
        <w:rPr>
          <w:i/>
          <w:sz w:val="24"/>
        </w:rPr>
        <w:t>Attitudes and language</w:t>
      </w:r>
      <w:r>
        <w:rPr>
          <w:sz w:val="24"/>
        </w:rPr>
        <w:t>. Clevedon: Multilingual Matters Ltd.</w:t>
      </w:r>
    </w:p>
    <w:p>
      <w:pPr>
        <w:pStyle w:val="BodyText"/>
      </w:pPr>
    </w:p>
    <w:p>
      <w:pPr>
        <w:pStyle w:val="BodyText"/>
        <w:spacing w:before="10"/>
        <w:rPr>
          <w:sz w:val="35"/>
        </w:rPr>
      </w:pPr>
    </w:p>
    <w:p>
      <w:pPr>
        <w:spacing w:line="362" w:lineRule="auto" w:before="0"/>
        <w:ind w:left="810" w:right="26" w:hanging="708"/>
        <w:jc w:val="left"/>
        <w:rPr>
          <w:sz w:val="24"/>
        </w:rPr>
      </w:pPr>
      <w:r>
        <w:rPr>
          <w:sz w:val="24"/>
        </w:rPr>
        <w:t>BAKER,</w:t>
      </w:r>
      <w:r>
        <w:rPr>
          <w:spacing w:val="-19"/>
          <w:sz w:val="24"/>
        </w:rPr>
        <w:t> </w:t>
      </w:r>
      <w:r>
        <w:rPr>
          <w:sz w:val="24"/>
        </w:rPr>
        <w:t>C.</w:t>
      </w:r>
      <w:r>
        <w:rPr>
          <w:spacing w:val="-19"/>
          <w:sz w:val="24"/>
        </w:rPr>
        <w:t> </w:t>
      </w:r>
      <w:r>
        <w:rPr>
          <w:sz w:val="24"/>
        </w:rPr>
        <w:t>(2001)</w:t>
      </w:r>
      <w:r>
        <w:rPr>
          <w:spacing w:val="-18"/>
          <w:sz w:val="24"/>
        </w:rPr>
        <w:t> </w:t>
      </w:r>
      <w:r>
        <w:rPr>
          <w:i/>
          <w:sz w:val="24"/>
        </w:rPr>
        <w:t>Foundations</w:t>
      </w:r>
      <w:r>
        <w:rPr>
          <w:i/>
          <w:spacing w:val="-19"/>
          <w:sz w:val="24"/>
        </w:rPr>
        <w:t> </w:t>
      </w:r>
      <w:r>
        <w:rPr>
          <w:i/>
          <w:sz w:val="24"/>
        </w:rPr>
        <w:t>of</w:t>
      </w:r>
      <w:r>
        <w:rPr>
          <w:i/>
          <w:spacing w:val="-18"/>
          <w:sz w:val="24"/>
        </w:rPr>
        <w:t> </w:t>
      </w:r>
      <w:r>
        <w:rPr>
          <w:i/>
          <w:sz w:val="24"/>
        </w:rPr>
        <w:t>bilingual</w:t>
      </w:r>
      <w:r>
        <w:rPr>
          <w:i/>
          <w:spacing w:val="-19"/>
          <w:sz w:val="24"/>
        </w:rPr>
        <w:t> </w:t>
      </w:r>
      <w:r>
        <w:rPr>
          <w:i/>
          <w:sz w:val="24"/>
        </w:rPr>
        <w:t>education</w:t>
      </w:r>
      <w:r>
        <w:rPr>
          <w:i/>
          <w:spacing w:val="-18"/>
          <w:sz w:val="24"/>
        </w:rPr>
        <w:t> </w:t>
      </w:r>
      <w:r>
        <w:rPr>
          <w:i/>
          <w:sz w:val="24"/>
        </w:rPr>
        <w:t>and</w:t>
      </w:r>
      <w:r>
        <w:rPr>
          <w:i/>
          <w:spacing w:val="-20"/>
          <w:sz w:val="24"/>
        </w:rPr>
        <w:t> </w:t>
      </w:r>
      <w:r>
        <w:rPr>
          <w:i/>
          <w:sz w:val="24"/>
        </w:rPr>
        <w:t>bilingualism</w:t>
      </w:r>
      <w:r>
        <w:rPr>
          <w:sz w:val="24"/>
        </w:rPr>
        <w:t>.</w:t>
      </w:r>
      <w:r>
        <w:rPr>
          <w:spacing w:val="-17"/>
          <w:sz w:val="24"/>
        </w:rPr>
        <w:t> </w:t>
      </w:r>
      <w:r>
        <w:rPr>
          <w:sz w:val="24"/>
        </w:rPr>
        <w:t>(3a</w:t>
      </w:r>
      <w:r>
        <w:rPr>
          <w:spacing w:val="-18"/>
          <w:sz w:val="24"/>
        </w:rPr>
        <w:t> </w:t>
      </w:r>
      <w:r>
        <w:rPr>
          <w:sz w:val="24"/>
        </w:rPr>
        <w:t>Ed.)</w:t>
      </w:r>
      <w:r>
        <w:rPr>
          <w:spacing w:val="-19"/>
          <w:sz w:val="24"/>
        </w:rPr>
        <w:t> </w:t>
      </w:r>
      <w:r>
        <w:rPr>
          <w:sz w:val="24"/>
        </w:rPr>
        <w:t>Clevedon: Multilingual</w:t>
      </w:r>
      <w:r>
        <w:rPr>
          <w:spacing w:val="-4"/>
          <w:sz w:val="24"/>
        </w:rPr>
        <w:t> </w:t>
      </w:r>
      <w:r>
        <w:rPr>
          <w:sz w:val="24"/>
        </w:rPr>
        <w:t>matters.</w:t>
      </w:r>
    </w:p>
    <w:p>
      <w:pPr>
        <w:pStyle w:val="BodyText"/>
        <w:spacing w:before="10"/>
        <w:rPr>
          <w:sz w:val="35"/>
        </w:rPr>
      </w:pPr>
    </w:p>
    <w:p>
      <w:pPr>
        <w:spacing w:line="360" w:lineRule="auto" w:before="0"/>
        <w:ind w:left="810" w:right="481" w:hanging="708"/>
        <w:jc w:val="left"/>
        <w:rPr>
          <w:sz w:val="24"/>
        </w:rPr>
      </w:pPr>
      <w:r>
        <w:rPr>
          <w:sz w:val="24"/>
        </w:rPr>
        <w:t>BARRIGA, R. y M. BUTRAGUEÑO (2010) </w:t>
      </w:r>
      <w:r>
        <w:rPr>
          <w:i/>
          <w:sz w:val="24"/>
        </w:rPr>
        <w:t>Historia Sociolingüística de México. </w:t>
      </w:r>
      <w:r>
        <w:rPr>
          <w:sz w:val="24"/>
        </w:rPr>
        <w:t>Vol. 2 México: El Colegio de México, Centro de Estudios Lingüísticos y Literarios</w:t>
      </w:r>
    </w:p>
    <w:p>
      <w:pPr>
        <w:pStyle w:val="BodyText"/>
      </w:pPr>
    </w:p>
    <w:p>
      <w:pPr>
        <w:spacing w:line="362" w:lineRule="auto" w:before="140"/>
        <w:ind w:left="810" w:right="480" w:hanging="708"/>
        <w:jc w:val="left"/>
        <w:rPr>
          <w:sz w:val="24"/>
        </w:rPr>
      </w:pPr>
      <w:r>
        <w:rPr>
          <w:sz w:val="24"/>
        </w:rPr>
        <w:t>BAZANT, M. (2006) </w:t>
      </w:r>
      <w:r>
        <w:rPr>
          <w:i/>
          <w:sz w:val="24"/>
        </w:rPr>
        <w:t>Historia de la Educación durante el porfiriato</w:t>
      </w:r>
      <w:r>
        <w:rPr>
          <w:sz w:val="24"/>
        </w:rPr>
        <w:t>. México: El Colegio de México, Centro de Estudios Históricos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2"/>
        </w:rPr>
      </w:pPr>
    </w:p>
    <w:p>
      <w:pPr>
        <w:spacing w:before="56"/>
        <w:ind w:left="423" w:right="427" w:firstLine="0"/>
        <w:jc w:val="center"/>
        <w:rPr>
          <w:rFonts w:ascii="Calibri"/>
          <w:sz w:val="22"/>
        </w:rPr>
      </w:pPr>
      <w:r>
        <w:rPr>
          <w:rFonts w:ascii="Calibri"/>
          <w:sz w:val="22"/>
        </w:rPr>
        <w:t>88</w:t>
      </w:r>
    </w:p>
    <w:p>
      <w:pPr>
        <w:spacing w:after="0"/>
        <w:jc w:val="center"/>
        <w:rPr>
          <w:rFonts w:ascii="Calibri"/>
          <w:sz w:val="22"/>
        </w:rPr>
        <w:sectPr>
          <w:headerReference w:type="default" r:id="rId110"/>
          <w:footerReference w:type="default" r:id="rId111"/>
          <w:pgSz w:w="12240" w:h="15840"/>
          <w:pgMar w:header="0" w:footer="0" w:top="1500" w:bottom="280" w:left="1600" w:right="1020"/>
        </w:sectPr>
      </w:pPr>
    </w:p>
    <w:p>
      <w:pPr>
        <w:pStyle w:val="BodyText"/>
        <w:rPr>
          <w:rFonts w:ascii="Calibri"/>
          <w:sz w:val="20"/>
        </w:rPr>
      </w:pPr>
    </w:p>
    <w:p>
      <w:pPr>
        <w:pStyle w:val="BodyText"/>
        <w:rPr>
          <w:rFonts w:ascii="Calibri"/>
          <w:sz w:val="20"/>
        </w:rPr>
      </w:pPr>
    </w:p>
    <w:p>
      <w:pPr>
        <w:pStyle w:val="BodyText"/>
        <w:spacing w:before="7"/>
        <w:rPr>
          <w:rFonts w:ascii="Calibri"/>
          <w:sz w:val="19"/>
        </w:rPr>
      </w:pPr>
    </w:p>
    <w:p>
      <w:pPr>
        <w:spacing w:line="360" w:lineRule="auto" w:before="1"/>
        <w:ind w:left="810" w:right="26" w:hanging="708"/>
        <w:jc w:val="left"/>
        <w:rPr>
          <w:sz w:val="24"/>
        </w:rPr>
      </w:pPr>
      <w:r>
        <w:rPr>
          <w:color w:val="212121"/>
          <w:sz w:val="24"/>
        </w:rPr>
        <w:t>BERICAT, E. (1998). </w:t>
      </w:r>
      <w:r>
        <w:rPr>
          <w:i/>
          <w:color w:val="212121"/>
          <w:sz w:val="24"/>
        </w:rPr>
        <w:t>La integración de los métodos cuantitativo y cualitativo en la </w:t>
      </w:r>
      <w:r>
        <w:rPr>
          <w:i/>
          <w:color w:val="212121"/>
          <w:sz w:val="24"/>
        </w:rPr>
        <w:t>investigación social: Significado y medida</w:t>
      </w:r>
      <w:r>
        <w:rPr>
          <w:color w:val="212121"/>
          <w:sz w:val="24"/>
        </w:rPr>
        <w:t>. En </w:t>
      </w:r>
      <w:r>
        <w:rPr>
          <w:sz w:val="24"/>
        </w:rPr>
        <w:t>SANDÍN, M.P. (2003) </w:t>
      </w:r>
      <w:r>
        <w:rPr>
          <w:i/>
          <w:sz w:val="24"/>
        </w:rPr>
        <w:t>Investigación </w:t>
      </w:r>
      <w:r>
        <w:rPr>
          <w:i/>
          <w:sz w:val="24"/>
        </w:rPr>
        <w:t>cualitativa en educación. Fundamentos y tradiciones</w:t>
      </w:r>
      <w:r>
        <w:rPr>
          <w:sz w:val="24"/>
        </w:rPr>
        <w:t>. Madrid, McGraw Hill</w:t>
      </w:r>
    </w:p>
    <w:p>
      <w:pPr>
        <w:pStyle w:val="BodyText"/>
      </w:pPr>
    </w:p>
    <w:p>
      <w:pPr>
        <w:spacing w:line="360" w:lineRule="auto" w:before="142"/>
        <w:ind w:left="810" w:right="339" w:hanging="708"/>
        <w:jc w:val="left"/>
        <w:rPr>
          <w:sz w:val="24"/>
        </w:rPr>
      </w:pPr>
      <w:r>
        <w:rPr>
          <w:sz w:val="24"/>
        </w:rPr>
        <w:t>BLAS, J. (2005) </w:t>
      </w:r>
      <w:r>
        <w:rPr>
          <w:i/>
          <w:sz w:val="24"/>
        </w:rPr>
        <w:t>Sociolingüística del español: desarrollo y perspectivas en el estudio </w:t>
      </w:r>
      <w:r>
        <w:rPr>
          <w:i/>
          <w:sz w:val="24"/>
        </w:rPr>
        <w:t>de la lengua Española en el contexto social</w:t>
      </w:r>
      <w:r>
        <w:rPr>
          <w:sz w:val="24"/>
        </w:rPr>
        <w:t>. Madrid: Cátedra</w:t>
      </w:r>
    </w:p>
    <w:p>
      <w:pPr>
        <w:pStyle w:val="BodyText"/>
      </w:pPr>
    </w:p>
    <w:p>
      <w:pPr>
        <w:spacing w:line="362" w:lineRule="auto" w:before="142"/>
        <w:ind w:left="810" w:right="339" w:hanging="708"/>
        <w:jc w:val="left"/>
        <w:rPr>
          <w:sz w:val="24"/>
        </w:rPr>
      </w:pPr>
      <w:r>
        <w:rPr>
          <w:sz w:val="24"/>
        </w:rPr>
        <w:t>BLAS ARROYO, J.L. (1995) </w:t>
      </w:r>
      <w:r>
        <w:rPr>
          <w:i/>
          <w:sz w:val="24"/>
        </w:rPr>
        <w:t>De nuevo el  español  y  el  catalán,  juntos  y  en  </w:t>
      </w:r>
      <w:r>
        <w:rPr>
          <w:i/>
          <w:sz w:val="24"/>
        </w:rPr>
        <w:t>contraste. Estudio de actitudes Lingüísticas</w:t>
      </w:r>
      <w:r>
        <w:rPr>
          <w:sz w:val="24"/>
        </w:rPr>
        <w:t>. Revista. Sintagma: Revista de Lingüística No. 7 p. 29-41 Universidad. Jaume I. Consultado el 26.03.2013 Disponible en</w:t>
      </w:r>
      <w:r>
        <w:rPr>
          <w:spacing w:val="-27"/>
          <w:sz w:val="24"/>
        </w:rPr>
        <w:t> </w:t>
      </w:r>
      <w:hyperlink r:id="rId114">
        <w:r>
          <w:rPr>
            <w:color w:val="0462C1"/>
            <w:sz w:val="24"/>
          </w:rPr>
          <w:t>http</w:t>
        </w:r>
      </w:hyperlink>
      <w:hyperlink r:id="rId114">
        <w:r>
          <w:rPr>
            <w:color w:val="0462C1"/>
            <w:sz w:val="24"/>
          </w:rPr>
          <w:t>://</w:t>
        </w:r>
      </w:hyperlink>
      <w:hyperlink r:id="rId114">
        <w:r>
          <w:rPr>
            <w:color w:val="0462C1"/>
            <w:sz w:val="24"/>
          </w:rPr>
          <w:t>dialnet.unirioja.es/servlet/articulo?codigo=760026</w:t>
        </w:r>
      </w:hyperlink>
    </w:p>
    <w:p>
      <w:pPr>
        <w:pStyle w:val="BodyText"/>
        <w:spacing w:before="10"/>
        <w:rPr>
          <w:sz w:val="35"/>
        </w:rPr>
      </w:pPr>
    </w:p>
    <w:p>
      <w:pPr>
        <w:pStyle w:val="BodyText"/>
        <w:spacing w:line="360" w:lineRule="auto"/>
        <w:ind w:left="810" w:right="106" w:hanging="708"/>
      </w:pPr>
      <w:r>
        <w:rPr/>
        <w:t>BRIONES,</w:t>
      </w:r>
      <w:r>
        <w:rPr>
          <w:spacing w:val="-13"/>
        </w:rPr>
        <w:t> </w:t>
      </w:r>
      <w:r>
        <w:rPr/>
        <w:t>G.</w:t>
      </w:r>
      <w:r>
        <w:rPr>
          <w:spacing w:val="-11"/>
        </w:rPr>
        <w:t> </w:t>
      </w:r>
      <w:r>
        <w:rPr/>
        <w:t>(1996)</w:t>
      </w:r>
      <w:r>
        <w:rPr>
          <w:spacing w:val="-13"/>
        </w:rPr>
        <w:t> </w:t>
      </w:r>
      <w:r>
        <w:rPr>
          <w:i/>
        </w:rPr>
        <w:t>Metodología</w:t>
      </w:r>
      <w:r>
        <w:rPr>
          <w:i/>
          <w:spacing w:val="-11"/>
        </w:rPr>
        <w:t> </w:t>
      </w:r>
      <w:r>
        <w:rPr>
          <w:i/>
        </w:rPr>
        <w:t>de</w:t>
      </w:r>
      <w:r>
        <w:rPr>
          <w:i/>
          <w:spacing w:val="-11"/>
        </w:rPr>
        <w:t> </w:t>
      </w:r>
      <w:r>
        <w:rPr>
          <w:i/>
        </w:rPr>
        <w:t>la</w:t>
      </w:r>
      <w:r>
        <w:rPr>
          <w:i/>
          <w:spacing w:val="-11"/>
        </w:rPr>
        <w:t> </w:t>
      </w:r>
      <w:r>
        <w:rPr>
          <w:i/>
        </w:rPr>
        <w:t>investigación</w:t>
      </w:r>
      <w:r>
        <w:rPr>
          <w:i/>
          <w:spacing w:val="-13"/>
        </w:rPr>
        <w:t> </w:t>
      </w:r>
      <w:r>
        <w:rPr>
          <w:i/>
        </w:rPr>
        <w:t>cuantitativa</w:t>
      </w:r>
      <w:r>
        <w:rPr>
          <w:i/>
          <w:spacing w:val="-11"/>
        </w:rPr>
        <w:t> </w:t>
      </w:r>
      <w:r>
        <w:rPr>
          <w:i/>
        </w:rPr>
        <w:t>en</w:t>
      </w:r>
      <w:r>
        <w:rPr>
          <w:i/>
          <w:spacing w:val="-11"/>
        </w:rPr>
        <w:t> </w:t>
      </w:r>
      <w:r>
        <w:rPr>
          <w:i/>
        </w:rPr>
        <w:t>las</w:t>
      </w:r>
      <w:r>
        <w:rPr>
          <w:i/>
          <w:spacing w:val="-11"/>
        </w:rPr>
        <w:t> </w:t>
      </w:r>
      <w:r>
        <w:rPr>
          <w:i/>
        </w:rPr>
        <w:t>ciencias</w:t>
      </w:r>
      <w:r>
        <w:rPr>
          <w:i/>
          <w:spacing w:val="-11"/>
        </w:rPr>
        <w:t> </w:t>
      </w:r>
      <w:r>
        <w:rPr>
          <w:i/>
        </w:rPr>
        <w:t>sociales </w:t>
      </w:r>
      <w:r>
        <w:rPr/>
        <w:t>Bogotá, Colombia: Instituto colombiano para el fomento de la educación superior, ICFES. Consultado el 10.10.2014 Disponible en </w:t>
      </w:r>
      <w:hyperlink r:id="rId115">
        <w:r>
          <w:rPr>
            <w:color w:val="0462C1"/>
          </w:rPr>
          <w:t>http://ebevidencia.com/wp-</w:t>
        </w:r>
      </w:hyperlink>
      <w:r>
        <w:rPr>
          <w:color w:val="0462C1"/>
        </w:rPr>
        <w:t> </w:t>
      </w:r>
      <w:hyperlink r:id="rId115">
        <w:r>
          <w:rPr>
            <w:color w:val="0462C1"/>
          </w:rPr>
          <w:t>content/uploads/2014/02/Metodolog%C3%ADa-de-la-investigaci%C3%B3n-</w:t>
        </w:r>
      </w:hyperlink>
      <w:r>
        <w:rPr>
          <w:color w:val="0462C1"/>
        </w:rPr>
        <w:t> </w:t>
      </w:r>
      <w:hyperlink r:id="rId115">
        <w:r>
          <w:rPr>
            <w:color w:val="0462C1"/>
          </w:rPr>
          <w:t>cuantitativa-en-las-ciencias-sociales.pdf</w:t>
        </w:r>
      </w:hyperlink>
    </w:p>
    <w:p>
      <w:pPr>
        <w:pStyle w:val="BodyText"/>
        <w:spacing w:before="11"/>
        <w:rPr>
          <w:sz w:val="35"/>
        </w:rPr>
      </w:pPr>
    </w:p>
    <w:p>
      <w:pPr>
        <w:tabs>
          <w:tab w:pos="2052" w:val="left" w:leader="none"/>
          <w:tab w:pos="3411" w:val="left" w:leader="none"/>
          <w:tab w:pos="5038" w:val="left" w:leader="none"/>
          <w:tab w:pos="6105" w:val="left" w:leader="none"/>
          <w:tab w:pos="7424" w:val="left" w:leader="none"/>
          <w:tab w:pos="7971" w:val="left" w:leader="none"/>
          <w:tab w:pos="9105" w:val="left" w:leader="none"/>
        </w:tabs>
        <w:spacing w:line="360" w:lineRule="auto" w:before="0"/>
        <w:ind w:left="810" w:right="107" w:hanging="708"/>
        <w:jc w:val="left"/>
        <w:rPr>
          <w:sz w:val="24"/>
        </w:rPr>
      </w:pPr>
      <w:r>
        <w:rPr>
          <w:sz w:val="24"/>
        </w:rPr>
        <w:t>CARRANZA, M. Y BOUCHARD, E. (1975) </w:t>
      </w:r>
      <w:r>
        <w:rPr>
          <w:i/>
          <w:sz w:val="24"/>
        </w:rPr>
        <w:t>Evaluative reactions of bilingual Anglo and </w:t>
      </w:r>
      <w:r>
        <w:rPr>
          <w:i/>
          <w:sz w:val="24"/>
        </w:rPr>
        <w:t>Mexican</w:t>
        <w:tab/>
        <w:t>American</w:t>
        <w:tab/>
        <w:t>adolescents</w:t>
        <w:tab/>
        <w:t>toward</w:t>
        <w:tab/>
        <w:t>speakers</w:t>
        <w:tab/>
        <w:t>of</w:t>
        <w:tab/>
        <w:t>English</w:t>
        <w:tab/>
        <w:t>and Spanish</w:t>
      </w:r>
      <w:r>
        <w:rPr>
          <w:sz w:val="24"/>
        </w:rPr>
        <w:t>. </w:t>
      </w:r>
      <w:r>
        <w:rPr>
          <w:i/>
          <w:sz w:val="24"/>
        </w:rPr>
        <w:t>International journal of the sociology of language</w:t>
      </w:r>
      <w:r>
        <w:rPr>
          <w:sz w:val="24"/>
        </w:rPr>
        <w:t>, vol. 1975, no 6, p. 83- 104.</w:t>
      </w:r>
    </w:p>
    <w:p>
      <w:pPr>
        <w:pStyle w:val="BodyText"/>
      </w:pPr>
    </w:p>
    <w:p>
      <w:pPr>
        <w:spacing w:line="360" w:lineRule="auto" w:before="139"/>
        <w:ind w:left="810" w:right="1480" w:hanging="708"/>
        <w:jc w:val="left"/>
        <w:rPr>
          <w:sz w:val="24"/>
        </w:rPr>
      </w:pPr>
      <w:r>
        <w:rPr>
          <w:sz w:val="24"/>
        </w:rPr>
        <w:t>CEA D’ANCONA (1998) </w:t>
      </w:r>
      <w:r>
        <w:rPr>
          <w:i/>
          <w:sz w:val="24"/>
        </w:rPr>
        <w:t>Metodología cuantitativa, estrategias y técnicas de </w:t>
      </w:r>
      <w:r>
        <w:rPr>
          <w:i/>
          <w:sz w:val="24"/>
        </w:rPr>
        <w:t>investigación social. </w:t>
      </w:r>
      <w:r>
        <w:rPr>
          <w:sz w:val="24"/>
        </w:rPr>
        <w:t>Madrid: Síntesis.</w:t>
      </w:r>
    </w:p>
    <w:p>
      <w:pPr>
        <w:pStyle w:val="BodyText"/>
      </w:pPr>
    </w:p>
    <w:p>
      <w:pPr>
        <w:pStyle w:val="BodyText"/>
        <w:spacing w:line="362" w:lineRule="auto" w:before="142"/>
        <w:ind w:left="810" w:right="606" w:hanging="708"/>
      </w:pPr>
      <w:r>
        <w:rPr/>
        <w:t>CHAMBERS, J. y P. TRUDGILL (1998) </w:t>
      </w:r>
      <w:r>
        <w:rPr>
          <w:i/>
        </w:rPr>
        <w:t>Dialectology </w:t>
      </w:r>
      <w:r>
        <w:rPr/>
        <w:t>(2ª ed.). Cambridge: University Press</w:t>
      </w:r>
    </w:p>
    <w:p>
      <w:pPr>
        <w:spacing w:after="0" w:line="362" w:lineRule="auto"/>
        <w:sectPr>
          <w:headerReference w:type="default" r:id="rId112"/>
          <w:footerReference w:type="default" r:id="rId113"/>
          <w:pgSz w:w="12240" w:h="15840"/>
          <w:pgMar w:header="749" w:footer="1003" w:top="960" w:bottom="1200" w:left="1600" w:right="1020"/>
          <w:pgNumType w:start="8"/>
        </w:sectPr>
      </w:pPr>
    </w:p>
    <w:p>
      <w:pPr>
        <w:pStyle w:val="BodyText"/>
        <w:rPr>
          <w:sz w:val="20"/>
        </w:rPr>
      </w:pPr>
    </w:p>
    <w:p>
      <w:pPr>
        <w:pStyle w:val="BodyText"/>
        <w:rPr>
          <w:sz w:val="20"/>
        </w:rPr>
      </w:pPr>
    </w:p>
    <w:p>
      <w:pPr>
        <w:pStyle w:val="BodyText"/>
        <w:spacing w:before="3"/>
        <w:rPr>
          <w:sz w:val="17"/>
        </w:rPr>
      </w:pPr>
    </w:p>
    <w:p>
      <w:pPr>
        <w:spacing w:line="360" w:lineRule="auto" w:before="69"/>
        <w:ind w:left="810" w:right="654" w:hanging="708"/>
        <w:jc w:val="left"/>
        <w:rPr>
          <w:sz w:val="24"/>
        </w:rPr>
      </w:pPr>
      <w:r>
        <w:rPr>
          <w:sz w:val="24"/>
        </w:rPr>
        <w:t>CHILD, J. (1992) </w:t>
      </w:r>
      <w:r>
        <w:rPr>
          <w:i/>
          <w:sz w:val="24"/>
        </w:rPr>
        <w:t>Introduction to Spanish Translation</w:t>
      </w:r>
      <w:r>
        <w:rPr>
          <w:sz w:val="24"/>
        </w:rPr>
        <w:t>. LANHAM: University Press of America</w:t>
      </w:r>
    </w:p>
    <w:p>
      <w:pPr>
        <w:pStyle w:val="BodyText"/>
      </w:pPr>
    </w:p>
    <w:p>
      <w:pPr>
        <w:spacing w:before="139"/>
        <w:ind w:left="102" w:right="339" w:firstLine="0"/>
        <w:jc w:val="left"/>
        <w:rPr>
          <w:sz w:val="24"/>
        </w:rPr>
      </w:pPr>
      <w:r>
        <w:rPr>
          <w:sz w:val="24"/>
        </w:rPr>
        <w:t>COOK, G. (2003) </w:t>
      </w:r>
      <w:r>
        <w:rPr>
          <w:i/>
          <w:sz w:val="24"/>
        </w:rPr>
        <w:t>Applied Linguistics</w:t>
      </w:r>
      <w:r>
        <w:rPr>
          <w:sz w:val="24"/>
        </w:rPr>
        <w:t>. Oxford: Oxford University Press</w:t>
      </w:r>
    </w:p>
    <w:p>
      <w:pPr>
        <w:pStyle w:val="BodyText"/>
      </w:pPr>
    </w:p>
    <w:p>
      <w:pPr>
        <w:pStyle w:val="BodyText"/>
      </w:pPr>
    </w:p>
    <w:p>
      <w:pPr>
        <w:spacing w:line="360" w:lineRule="auto" w:before="0"/>
        <w:ind w:left="810" w:right="106" w:hanging="708"/>
        <w:jc w:val="both"/>
        <w:rPr>
          <w:sz w:val="24"/>
        </w:rPr>
      </w:pPr>
      <w:r>
        <w:rPr>
          <w:sz w:val="24"/>
        </w:rPr>
        <w:t>COOPER,</w:t>
      </w:r>
      <w:r>
        <w:rPr>
          <w:spacing w:val="-15"/>
          <w:sz w:val="24"/>
        </w:rPr>
        <w:t> </w:t>
      </w:r>
      <w:r>
        <w:rPr>
          <w:sz w:val="24"/>
        </w:rPr>
        <w:t>R.</w:t>
      </w:r>
      <w:r>
        <w:rPr>
          <w:spacing w:val="-15"/>
          <w:sz w:val="24"/>
        </w:rPr>
        <w:t> </w:t>
      </w:r>
      <w:r>
        <w:rPr>
          <w:sz w:val="24"/>
        </w:rPr>
        <w:t>y</w:t>
      </w:r>
      <w:r>
        <w:rPr>
          <w:spacing w:val="-17"/>
          <w:sz w:val="24"/>
        </w:rPr>
        <w:t> </w:t>
      </w:r>
      <w:r>
        <w:rPr>
          <w:sz w:val="24"/>
        </w:rPr>
        <w:t>FISHMAN,</w:t>
      </w:r>
      <w:r>
        <w:rPr>
          <w:spacing w:val="-15"/>
          <w:sz w:val="24"/>
        </w:rPr>
        <w:t> </w:t>
      </w:r>
      <w:r>
        <w:rPr>
          <w:sz w:val="24"/>
        </w:rPr>
        <w:t>J.</w:t>
      </w:r>
      <w:r>
        <w:rPr>
          <w:spacing w:val="-14"/>
          <w:sz w:val="24"/>
        </w:rPr>
        <w:t> </w:t>
      </w:r>
      <w:r>
        <w:rPr>
          <w:sz w:val="24"/>
        </w:rPr>
        <w:t>(1974)</w:t>
      </w:r>
      <w:r>
        <w:rPr>
          <w:spacing w:val="-13"/>
          <w:sz w:val="24"/>
        </w:rPr>
        <w:t> </w:t>
      </w:r>
      <w:r>
        <w:rPr>
          <w:i/>
          <w:sz w:val="24"/>
        </w:rPr>
        <w:t>The</w:t>
      </w:r>
      <w:r>
        <w:rPr>
          <w:i/>
          <w:spacing w:val="-14"/>
          <w:sz w:val="24"/>
        </w:rPr>
        <w:t> </w:t>
      </w:r>
      <w:r>
        <w:rPr>
          <w:i/>
          <w:sz w:val="24"/>
        </w:rPr>
        <w:t>study</w:t>
      </w:r>
      <w:r>
        <w:rPr>
          <w:i/>
          <w:spacing w:val="-15"/>
          <w:sz w:val="24"/>
        </w:rPr>
        <w:t> </w:t>
      </w:r>
      <w:r>
        <w:rPr>
          <w:i/>
          <w:sz w:val="24"/>
        </w:rPr>
        <w:t>of</w:t>
      </w:r>
      <w:r>
        <w:rPr>
          <w:i/>
          <w:spacing w:val="-14"/>
          <w:sz w:val="24"/>
        </w:rPr>
        <w:t> </w:t>
      </w:r>
      <w:r>
        <w:rPr>
          <w:i/>
          <w:sz w:val="24"/>
        </w:rPr>
        <w:t>language</w:t>
      </w:r>
      <w:r>
        <w:rPr>
          <w:i/>
          <w:spacing w:val="-12"/>
          <w:sz w:val="24"/>
        </w:rPr>
        <w:t> </w:t>
      </w:r>
      <w:r>
        <w:rPr>
          <w:i/>
          <w:sz w:val="24"/>
        </w:rPr>
        <w:t>attitudes</w:t>
      </w:r>
      <w:r>
        <w:rPr>
          <w:sz w:val="24"/>
        </w:rPr>
        <w:t>.</w:t>
      </w:r>
      <w:r>
        <w:rPr>
          <w:spacing w:val="-17"/>
          <w:sz w:val="24"/>
        </w:rPr>
        <w:t> </w:t>
      </w:r>
      <w:r>
        <w:rPr>
          <w:sz w:val="24"/>
        </w:rPr>
        <w:t>International</w:t>
      </w:r>
      <w:r>
        <w:rPr>
          <w:spacing w:val="-15"/>
          <w:sz w:val="24"/>
        </w:rPr>
        <w:t> </w:t>
      </w:r>
      <w:r>
        <w:rPr>
          <w:sz w:val="24"/>
        </w:rPr>
        <w:t>Journal of</w:t>
      </w:r>
      <w:r>
        <w:rPr>
          <w:spacing w:val="-15"/>
          <w:sz w:val="24"/>
        </w:rPr>
        <w:t> </w:t>
      </w:r>
      <w:r>
        <w:rPr>
          <w:sz w:val="24"/>
        </w:rPr>
        <w:t>the</w:t>
      </w:r>
      <w:r>
        <w:rPr>
          <w:spacing w:val="-17"/>
          <w:sz w:val="24"/>
        </w:rPr>
        <w:t> </w:t>
      </w:r>
      <w:r>
        <w:rPr>
          <w:sz w:val="24"/>
        </w:rPr>
        <w:t>sociology</w:t>
      </w:r>
      <w:r>
        <w:rPr>
          <w:spacing w:val="-19"/>
          <w:sz w:val="24"/>
        </w:rPr>
        <w:t> </w:t>
      </w:r>
      <w:r>
        <w:rPr>
          <w:sz w:val="24"/>
        </w:rPr>
        <w:t>of</w:t>
      </w:r>
      <w:r>
        <w:rPr>
          <w:spacing w:val="-15"/>
          <w:sz w:val="24"/>
        </w:rPr>
        <w:t> </w:t>
      </w:r>
      <w:r>
        <w:rPr>
          <w:sz w:val="24"/>
        </w:rPr>
        <w:t>language.</w:t>
      </w:r>
      <w:r>
        <w:rPr>
          <w:spacing w:val="-17"/>
          <w:sz w:val="24"/>
        </w:rPr>
        <w:t> </w:t>
      </w:r>
      <w:r>
        <w:rPr>
          <w:sz w:val="24"/>
        </w:rPr>
        <w:t>En</w:t>
      </w:r>
      <w:r>
        <w:rPr>
          <w:spacing w:val="-17"/>
          <w:sz w:val="24"/>
        </w:rPr>
        <w:t> </w:t>
      </w:r>
      <w:r>
        <w:rPr>
          <w:sz w:val="24"/>
        </w:rPr>
        <w:t>FASOLD,</w:t>
      </w:r>
      <w:r>
        <w:rPr>
          <w:spacing w:val="-17"/>
          <w:sz w:val="24"/>
        </w:rPr>
        <w:t> </w:t>
      </w:r>
      <w:r>
        <w:rPr>
          <w:sz w:val="24"/>
        </w:rPr>
        <w:t>R.</w:t>
      </w:r>
      <w:r>
        <w:rPr>
          <w:spacing w:val="-19"/>
          <w:sz w:val="24"/>
        </w:rPr>
        <w:t> </w:t>
      </w:r>
      <w:r>
        <w:rPr>
          <w:sz w:val="24"/>
        </w:rPr>
        <w:t>(1997)</w:t>
      </w:r>
      <w:r>
        <w:rPr>
          <w:spacing w:val="-14"/>
          <w:sz w:val="24"/>
        </w:rPr>
        <w:t> </w:t>
      </w:r>
      <w:r>
        <w:rPr>
          <w:i/>
          <w:sz w:val="24"/>
        </w:rPr>
        <w:t>The</w:t>
      </w:r>
      <w:r>
        <w:rPr>
          <w:i/>
          <w:spacing w:val="-17"/>
          <w:sz w:val="24"/>
        </w:rPr>
        <w:t> </w:t>
      </w:r>
      <w:r>
        <w:rPr>
          <w:i/>
          <w:sz w:val="24"/>
        </w:rPr>
        <w:t>sociolinguistics</w:t>
      </w:r>
      <w:r>
        <w:rPr>
          <w:i/>
          <w:spacing w:val="-18"/>
          <w:sz w:val="24"/>
        </w:rPr>
        <w:t> </w:t>
      </w:r>
      <w:r>
        <w:rPr>
          <w:i/>
          <w:sz w:val="24"/>
        </w:rPr>
        <w:t>of</w:t>
      </w:r>
      <w:r>
        <w:rPr>
          <w:i/>
          <w:spacing w:val="-17"/>
          <w:sz w:val="24"/>
        </w:rPr>
        <w:t> </w:t>
      </w:r>
      <w:r>
        <w:rPr>
          <w:i/>
          <w:sz w:val="24"/>
        </w:rPr>
        <w:t>society</w:t>
      </w:r>
      <w:r>
        <w:rPr>
          <w:sz w:val="24"/>
        </w:rPr>
        <w:t>. Oxford UK:</w:t>
      </w:r>
      <w:r>
        <w:rPr>
          <w:spacing w:val="-5"/>
          <w:sz w:val="24"/>
        </w:rPr>
        <w:t> </w:t>
      </w:r>
      <w:r>
        <w:rPr>
          <w:sz w:val="24"/>
        </w:rPr>
        <w:t>Blackwell</w:t>
      </w:r>
    </w:p>
    <w:p>
      <w:pPr>
        <w:pStyle w:val="BodyText"/>
      </w:pPr>
    </w:p>
    <w:p>
      <w:pPr>
        <w:spacing w:line="360" w:lineRule="auto" w:before="140"/>
        <w:ind w:left="810" w:right="1054" w:hanging="708"/>
        <w:jc w:val="left"/>
        <w:rPr>
          <w:sz w:val="24"/>
        </w:rPr>
      </w:pPr>
      <w:r>
        <w:rPr>
          <w:sz w:val="24"/>
        </w:rPr>
        <w:t>COUPLAND, N. y JAWORSKY, A. (1950) </w:t>
      </w:r>
      <w:r>
        <w:rPr>
          <w:i/>
          <w:sz w:val="24"/>
        </w:rPr>
        <w:t>Sociolinguistics: A reader and course </w:t>
      </w:r>
      <w:r>
        <w:rPr>
          <w:i/>
          <w:sz w:val="24"/>
        </w:rPr>
        <w:t>book</w:t>
      </w:r>
      <w:r>
        <w:rPr>
          <w:sz w:val="24"/>
        </w:rPr>
        <w:t>. St. Martin’s Press: Palgrave</w:t>
      </w:r>
    </w:p>
    <w:p>
      <w:pPr>
        <w:pStyle w:val="BodyText"/>
      </w:pPr>
    </w:p>
    <w:p>
      <w:pPr>
        <w:spacing w:before="142"/>
        <w:ind w:left="102" w:right="339" w:firstLine="0"/>
        <w:jc w:val="left"/>
        <w:rPr>
          <w:sz w:val="24"/>
        </w:rPr>
      </w:pPr>
      <w:r>
        <w:rPr>
          <w:sz w:val="24"/>
        </w:rPr>
        <w:t>COUPLAND, N. y JAWORSKY, A. (1997) </w:t>
      </w:r>
      <w:r>
        <w:rPr>
          <w:i/>
          <w:sz w:val="24"/>
        </w:rPr>
        <w:t>Sociolinguistics: A reader and course book</w:t>
      </w:r>
      <w:r>
        <w:rPr>
          <w:sz w:val="24"/>
        </w:rPr>
        <w:t>.</w:t>
      </w:r>
    </w:p>
    <w:p>
      <w:pPr>
        <w:pStyle w:val="BodyText"/>
        <w:spacing w:before="139"/>
        <w:ind w:left="810" w:right="339"/>
      </w:pPr>
      <w:r>
        <w:rPr/>
        <w:t>St. Martin’s Press: Palgrave</w:t>
      </w:r>
    </w:p>
    <w:p>
      <w:pPr>
        <w:spacing w:line="828" w:lineRule="exact" w:before="112"/>
        <w:ind w:left="102" w:right="960" w:firstLine="0"/>
        <w:jc w:val="left"/>
        <w:rPr>
          <w:sz w:val="24"/>
        </w:rPr>
      </w:pPr>
      <w:r>
        <w:rPr>
          <w:sz w:val="24"/>
        </w:rPr>
        <w:t>EBNETER, T. (1982) </w:t>
      </w:r>
      <w:r>
        <w:rPr>
          <w:i/>
          <w:sz w:val="24"/>
        </w:rPr>
        <w:t>Lingüística Aplicada: Introducción</w:t>
      </w:r>
      <w:r>
        <w:rPr>
          <w:sz w:val="24"/>
        </w:rPr>
        <w:t>. Madrid: Gredos ECKERT</w:t>
      </w:r>
      <w:r>
        <w:rPr>
          <w:color w:val="212121"/>
          <w:sz w:val="24"/>
        </w:rPr>
        <w:t>, P. (1989). </w:t>
      </w:r>
      <w:r>
        <w:rPr>
          <w:i/>
          <w:color w:val="212121"/>
          <w:sz w:val="24"/>
        </w:rPr>
        <w:t>The whole woman: Sex and gender differences in variation</w:t>
      </w:r>
      <w:r>
        <w:rPr>
          <w:color w:val="212121"/>
          <w:sz w:val="24"/>
        </w:rPr>
        <w:t>.</w:t>
      </w:r>
    </w:p>
    <w:p>
      <w:pPr>
        <w:spacing w:before="22"/>
        <w:ind w:left="810" w:right="26" w:firstLine="0"/>
        <w:jc w:val="left"/>
        <w:rPr>
          <w:sz w:val="24"/>
        </w:rPr>
      </w:pPr>
      <w:r>
        <w:rPr>
          <w:i/>
          <w:color w:val="212121"/>
          <w:sz w:val="24"/>
        </w:rPr>
        <w:t>Language variation and  change</w:t>
      </w:r>
      <w:r>
        <w:rPr>
          <w:color w:val="212121"/>
          <w:sz w:val="20"/>
        </w:rPr>
        <w:t>.  </w:t>
      </w:r>
      <w:r>
        <w:rPr>
          <w:sz w:val="24"/>
        </w:rPr>
        <w:t>En COUPLAND,  N. y JAWORSKY,  A.   (1997)</w:t>
      </w:r>
    </w:p>
    <w:p>
      <w:pPr>
        <w:spacing w:before="139"/>
        <w:ind w:left="810" w:right="339" w:firstLine="0"/>
        <w:jc w:val="left"/>
        <w:rPr>
          <w:sz w:val="24"/>
        </w:rPr>
      </w:pPr>
      <w:r>
        <w:rPr>
          <w:i/>
          <w:sz w:val="24"/>
        </w:rPr>
        <w:t>Sociolinguistics: A reader and course book</w:t>
      </w:r>
      <w:r>
        <w:rPr>
          <w:sz w:val="24"/>
        </w:rPr>
        <w:t>. St. Martin’s Press: Palgrave</w:t>
      </w:r>
    </w:p>
    <w:p>
      <w:pPr>
        <w:pStyle w:val="BodyText"/>
      </w:pPr>
    </w:p>
    <w:p>
      <w:pPr>
        <w:pStyle w:val="BodyText"/>
      </w:pPr>
    </w:p>
    <w:p>
      <w:pPr>
        <w:spacing w:line="360" w:lineRule="auto" w:before="0"/>
        <w:ind w:left="810" w:right="1267" w:hanging="708"/>
        <w:jc w:val="left"/>
        <w:rPr>
          <w:sz w:val="24"/>
        </w:rPr>
      </w:pPr>
      <w:r>
        <w:rPr>
          <w:sz w:val="24"/>
        </w:rPr>
        <w:t>FASOLD, R. (1997) </w:t>
      </w:r>
      <w:r>
        <w:rPr>
          <w:i/>
          <w:sz w:val="24"/>
        </w:rPr>
        <w:t>The sociolinguistics of language</w:t>
      </w:r>
      <w:r>
        <w:rPr>
          <w:sz w:val="24"/>
        </w:rPr>
        <w:t>. Cambridge, Mass: Basil Blackwell</w:t>
      </w:r>
    </w:p>
    <w:p>
      <w:pPr>
        <w:pStyle w:val="BodyText"/>
      </w:pPr>
    </w:p>
    <w:p>
      <w:pPr>
        <w:spacing w:line="362" w:lineRule="auto" w:before="139"/>
        <w:ind w:left="810" w:right="466" w:hanging="708"/>
        <w:jc w:val="left"/>
        <w:rPr>
          <w:sz w:val="24"/>
        </w:rPr>
      </w:pPr>
      <w:r>
        <w:rPr>
          <w:sz w:val="24"/>
        </w:rPr>
        <w:t>FERADO, A. (2008) </w:t>
      </w:r>
      <w:r>
        <w:rPr>
          <w:i/>
          <w:sz w:val="24"/>
        </w:rPr>
        <w:t>Análisis morfosintáctico del gerundio y del participio presente en </w:t>
      </w:r>
      <w:r>
        <w:rPr>
          <w:i/>
          <w:sz w:val="24"/>
        </w:rPr>
        <w:t>inglés y francés con su traducción al español</w:t>
      </w:r>
      <w:r>
        <w:rPr>
          <w:sz w:val="24"/>
        </w:rPr>
        <w:t>.  Tesis (Maestría) Toluca: UAEM</w:t>
      </w:r>
    </w:p>
    <w:p>
      <w:pPr>
        <w:spacing w:after="0" w:line="362" w:lineRule="auto"/>
        <w:jc w:val="left"/>
        <w:rPr>
          <w:sz w:val="24"/>
        </w:rPr>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spacing w:line="357" w:lineRule="auto" w:before="70"/>
        <w:ind w:left="810" w:right="13" w:hanging="708"/>
        <w:jc w:val="left"/>
        <w:rPr>
          <w:sz w:val="24"/>
        </w:rPr>
      </w:pPr>
      <w:r>
        <w:rPr>
          <w:color w:val="212121"/>
          <w:sz w:val="24"/>
        </w:rPr>
        <w:t>FERGUSON, C. A. (1994). Dialect, register, and genre: Working assumptions about conventionalization. </w:t>
      </w:r>
      <w:r>
        <w:rPr>
          <w:i/>
          <w:color w:val="212121"/>
          <w:sz w:val="24"/>
        </w:rPr>
        <w:t>Sociolinguistic perspectives on register</w:t>
      </w:r>
      <w:r>
        <w:rPr>
          <w:color w:val="212121"/>
          <w:sz w:val="24"/>
        </w:rPr>
        <w:t>. En </w:t>
      </w:r>
      <w:r>
        <w:rPr>
          <w:sz w:val="24"/>
        </w:rPr>
        <w:t>WARDHAUGH, R. (2010) </w:t>
      </w:r>
      <w:r>
        <w:rPr>
          <w:i/>
          <w:sz w:val="24"/>
        </w:rPr>
        <w:t>An introduction to sociolinguistics </w:t>
      </w:r>
      <w:r>
        <w:rPr>
          <w:sz w:val="24"/>
        </w:rPr>
        <w:t>(6</w:t>
      </w:r>
      <w:r>
        <w:rPr>
          <w:position w:val="8"/>
          <w:sz w:val="16"/>
        </w:rPr>
        <w:t>a </w:t>
      </w:r>
      <w:r>
        <w:rPr>
          <w:sz w:val="24"/>
        </w:rPr>
        <w:t>ed.). Oxford: Oxford</w:t>
      </w:r>
    </w:p>
    <w:p>
      <w:pPr>
        <w:pStyle w:val="BodyText"/>
        <w:spacing w:before="4"/>
        <w:ind w:left="810" w:right="339"/>
      </w:pPr>
      <w:r>
        <w:rPr/>
        <w:t>University Press.</w:t>
      </w:r>
    </w:p>
    <w:p>
      <w:pPr>
        <w:pStyle w:val="BodyText"/>
      </w:pPr>
    </w:p>
    <w:p>
      <w:pPr>
        <w:pStyle w:val="BodyText"/>
        <w:spacing w:before="9"/>
        <w:rPr>
          <w:sz w:val="23"/>
        </w:rPr>
      </w:pPr>
    </w:p>
    <w:p>
      <w:pPr>
        <w:spacing w:before="0"/>
        <w:ind w:left="102" w:right="339" w:firstLine="0"/>
        <w:jc w:val="left"/>
        <w:rPr>
          <w:i/>
          <w:sz w:val="24"/>
        </w:rPr>
      </w:pPr>
      <w:r>
        <w:rPr>
          <w:sz w:val="24"/>
        </w:rPr>
        <w:t>FERNÁNDEZ, C. (2001) </w:t>
      </w:r>
      <w:r>
        <w:rPr>
          <w:i/>
          <w:sz w:val="24"/>
        </w:rPr>
        <w:t>La comunicación humana en el mundo contemporáneo.</w:t>
      </w:r>
    </w:p>
    <w:p>
      <w:pPr>
        <w:pStyle w:val="BodyText"/>
        <w:spacing w:before="141"/>
        <w:ind w:left="810" w:right="339"/>
      </w:pPr>
      <w:r>
        <w:rPr/>
        <w:t>España: McGrawhill</w:t>
      </w:r>
    </w:p>
    <w:p>
      <w:pPr>
        <w:pStyle w:val="BodyText"/>
      </w:pPr>
    </w:p>
    <w:p>
      <w:pPr>
        <w:pStyle w:val="BodyText"/>
        <w:spacing w:before="9"/>
        <w:rPr>
          <w:sz w:val="23"/>
        </w:rPr>
      </w:pPr>
    </w:p>
    <w:p>
      <w:pPr>
        <w:spacing w:line="360" w:lineRule="auto" w:before="0"/>
        <w:ind w:left="102" w:right="133" w:firstLine="0"/>
        <w:jc w:val="left"/>
        <w:rPr>
          <w:i/>
          <w:sz w:val="24"/>
        </w:rPr>
      </w:pPr>
      <w:r>
        <w:rPr>
          <w:sz w:val="24"/>
        </w:rPr>
        <w:t>FERRIS, J. (2008) </w:t>
      </w:r>
      <w:r>
        <w:rPr>
          <w:i/>
          <w:sz w:val="24"/>
        </w:rPr>
        <w:t>Estadística para las ciencias sociales</w:t>
      </w:r>
      <w:r>
        <w:rPr>
          <w:sz w:val="24"/>
        </w:rPr>
        <w:t>. 2da ed. México: McGrawHill FISHBEIN, M. y AJZEN, I. (1975) </w:t>
      </w:r>
      <w:r>
        <w:rPr>
          <w:i/>
          <w:sz w:val="24"/>
        </w:rPr>
        <w:t>Belief, attitude, intention and behavior. An introduction</w:t>
      </w:r>
    </w:p>
    <w:p>
      <w:pPr>
        <w:spacing w:before="5"/>
        <w:ind w:left="810" w:right="339" w:firstLine="0"/>
        <w:jc w:val="left"/>
        <w:rPr>
          <w:sz w:val="24"/>
        </w:rPr>
      </w:pPr>
      <w:r>
        <w:rPr>
          <w:i/>
          <w:sz w:val="24"/>
        </w:rPr>
        <w:t>to theory and research</w:t>
      </w:r>
      <w:r>
        <w:rPr>
          <w:sz w:val="24"/>
        </w:rPr>
        <w:t>. Reading, MA: Addison-Wesley</w:t>
      </w:r>
    </w:p>
    <w:p>
      <w:pPr>
        <w:pStyle w:val="BodyText"/>
      </w:pPr>
    </w:p>
    <w:p>
      <w:pPr>
        <w:pStyle w:val="BodyText"/>
      </w:pPr>
    </w:p>
    <w:p>
      <w:pPr>
        <w:spacing w:line="360" w:lineRule="auto" w:before="0"/>
        <w:ind w:left="810" w:right="339" w:hanging="708"/>
        <w:jc w:val="left"/>
        <w:rPr>
          <w:sz w:val="24"/>
        </w:rPr>
      </w:pPr>
      <w:r>
        <w:rPr>
          <w:sz w:val="24"/>
        </w:rPr>
        <w:t>FISHMAN, J. (1972) </w:t>
      </w:r>
      <w:r>
        <w:rPr>
          <w:i/>
          <w:sz w:val="24"/>
        </w:rPr>
        <w:t>The sociology of Language: An interdisciplinary social science </w:t>
      </w:r>
      <w:r>
        <w:rPr>
          <w:i/>
          <w:sz w:val="24"/>
        </w:rPr>
        <w:t>approach to language in society</w:t>
      </w:r>
      <w:r>
        <w:rPr>
          <w:sz w:val="24"/>
        </w:rPr>
        <w:t>. Rowley, mass: Newbury house.</w:t>
      </w:r>
    </w:p>
    <w:p>
      <w:pPr>
        <w:pStyle w:val="BodyText"/>
      </w:pPr>
    </w:p>
    <w:p>
      <w:pPr>
        <w:spacing w:line="360" w:lineRule="auto" w:before="142"/>
        <w:ind w:left="810" w:right="91" w:hanging="708"/>
        <w:jc w:val="left"/>
        <w:rPr>
          <w:sz w:val="24"/>
        </w:rPr>
      </w:pPr>
      <w:r>
        <w:rPr>
          <w:sz w:val="24"/>
        </w:rPr>
        <w:t>FISHMAN, J. (1991) </w:t>
      </w:r>
      <w:r>
        <w:rPr>
          <w:i/>
          <w:sz w:val="24"/>
        </w:rPr>
        <w:t>Reversing language shift: Theory and Practice of Assistance to </w:t>
      </w:r>
      <w:r>
        <w:rPr>
          <w:i/>
          <w:sz w:val="24"/>
        </w:rPr>
        <w:t>Threatened Languages</w:t>
      </w:r>
      <w:r>
        <w:rPr>
          <w:sz w:val="24"/>
        </w:rPr>
        <w:t>. Clevedon, Multilingual Matters. En BAKER, C. (2001) </w:t>
      </w:r>
      <w:r>
        <w:rPr>
          <w:i/>
          <w:sz w:val="24"/>
        </w:rPr>
        <w:t>Foundation of Bilingual Education and Bilingualism </w:t>
      </w:r>
      <w:r>
        <w:rPr>
          <w:sz w:val="24"/>
        </w:rPr>
        <w:t>(3a ed.) Clevedon, Multilingual Matters.</w:t>
      </w:r>
    </w:p>
    <w:p>
      <w:pPr>
        <w:pStyle w:val="BodyText"/>
      </w:pPr>
    </w:p>
    <w:p>
      <w:pPr>
        <w:spacing w:line="360" w:lineRule="auto" w:before="139"/>
        <w:ind w:left="810" w:right="481" w:hanging="708"/>
        <w:jc w:val="left"/>
        <w:rPr>
          <w:sz w:val="24"/>
        </w:rPr>
      </w:pPr>
      <w:r>
        <w:rPr>
          <w:sz w:val="24"/>
        </w:rPr>
        <w:t>GARCÍA, J. (2011) </w:t>
      </w:r>
      <w:r>
        <w:rPr>
          <w:i/>
          <w:sz w:val="24"/>
        </w:rPr>
        <w:t>Análisis del uso de anglicismos en relación con los medios </w:t>
      </w:r>
      <w:r>
        <w:rPr>
          <w:i/>
          <w:sz w:val="24"/>
        </w:rPr>
        <w:t>masivos de comunicación</w:t>
      </w:r>
      <w:r>
        <w:rPr>
          <w:sz w:val="24"/>
        </w:rPr>
        <w:t>. Tesis (Licenciatura) México: UAEMéx.</w:t>
      </w:r>
    </w:p>
    <w:p>
      <w:pPr>
        <w:pStyle w:val="BodyText"/>
      </w:pPr>
    </w:p>
    <w:p>
      <w:pPr>
        <w:spacing w:before="142"/>
        <w:ind w:left="102" w:right="339" w:firstLine="0"/>
        <w:jc w:val="left"/>
        <w:rPr>
          <w:sz w:val="24"/>
        </w:rPr>
      </w:pPr>
      <w:r>
        <w:rPr>
          <w:sz w:val="24"/>
        </w:rPr>
        <w:t>GARCÍA, V. (2005) </w:t>
      </w:r>
      <w:r>
        <w:rPr>
          <w:i/>
          <w:sz w:val="24"/>
        </w:rPr>
        <w:t>El buen uso de las palabras </w:t>
      </w:r>
      <w:r>
        <w:rPr>
          <w:sz w:val="24"/>
        </w:rPr>
        <w:t>(2ª ed.), Madrid: Gredos</w:t>
      </w:r>
    </w:p>
    <w:p>
      <w:pPr>
        <w:pStyle w:val="BodyText"/>
      </w:pPr>
    </w:p>
    <w:p>
      <w:pPr>
        <w:pStyle w:val="BodyText"/>
      </w:pPr>
    </w:p>
    <w:p>
      <w:pPr>
        <w:spacing w:line="360" w:lineRule="auto" w:before="0"/>
        <w:ind w:left="810" w:right="252" w:hanging="708"/>
        <w:jc w:val="left"/>
        <w:rPr>
          <w:sz w:val="24"/>
        </w:rPr>
      </w:pPr>
      <w:r>
        <w:rPr>
          <w:sz w:val="24"/>
        </w:rPr>
        <w:t>GARCÍA (1993) En PASCUAL, J. et al. (2003) </w:t>
      </w:r>
      <w:r>
        <w:rPr>
          <w:i/>
          <w:sz w:val="24"/>
        </w:rPr>
        <w:t>Interculturalidad y diversidad lingüística: </w:t>
      </w:r>
      <w:r>
        <w:rPr>
          <w:i/>
          <w:sz w:val="24"/>
        </w:rPr>
        <w:t>estudio de las actitudes lingüísticas y sus aplicaciones didácticas</w:t>
      </w:r>
      <w:r>
        <w:rPr>
          <w:sz w:val="24"/>
        </w:rPr>
        <w:t>. Austrias: KRK</w:t>
      </w:r>
    </w:p>
    <w:p>
      <w:pPr>
        <w:spacing w:after="0" w:line="360" w:lineRule="auto"/>
        <w:jc w:val="left"/>
        <w:rPr>
          <w:sz w:val="24"/>
        </w:rPr>
        <w:sectPr>
          <w:footerReference w:type="default" r:id="rId116"/>
          <w:pgSz w:w="12240" w:h="15840"/>
          <w:pgMar w:footer="1003" w:header="749" w:top="960" w:bottom="1200" w:left="1600" w:right="1020"/>
          <w:pgNumType w:start="91"/>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810" w:right="339" w:hanging="708"/>
      </w:pPr>
      <w:r>
        <w:rPr/>
        <w:t>GARDNER, R. y LAMBERT, W. (1972) Attitudes and motivation in second language learning. Rowley, Ma. Newburry House. En BAKER, C. (1992) Attitudes and language. Clevedon: Multilingual Matters Ltd.</w:t>
      </w:r>
    </w:p>
    <w:p>
      <w:pPr>
        <w:pStyle w:val="BodyText"/>
      </w:pPr>
    </w:p>
    <w:p>
      <w:pPr>
        <w:spacing w:line="360" w:lineRule="auto" w:before="139"/>
        <w:ind w:left="810" w:right="772" w:hanging="708"/>
        <w:jc w:val="left"/>
        <w:rPr>
          <w:sz w:val="24"/>
        </w:rPr>
      </w:pPr>
      <w:r>
        <w:rPr>
          <w:sz w:val="24"/>
        </w:rPr>
        <w:t>GARVIN P. y Y. LASTRA (1974) </w:t>
      </w:r>
      <w:r>
        <w:rPr>
          <w:i/>
          <w:sz w:val="24"/>
        </w:rPr>
        <w:t>Antología de Estudios de Etnolingüística y </w:t>
      </w:r>
      <w:r>
        <w:rPr>
          <w:i/>
          <w:sz w:val="24"/>
        </w:rPr>
        <w:t>Sociolingüística</w:t>
      </w:r>
      <w:r>
        <w:rPr>
          <w:sz w:val="24"/>
        </w:rPr>
        <w:t>. México: UNAM Instituto de Investigaciones Antropológicas</w:t>
      </w:r>
    </w:p>
    <w:p>
      <w:pPr>
        <w:pStyle w:val="BodyText"/>
      </w:pPr>
    </w:p>
    <w:p>
      <w:pPr>
        <w:spacing w:before="142"/>
        <w:ind w:left="102" w:right="339" w:firstLine="0"/>
        <w:jc w:val="left"/>
        <w:rPr>
          <w:sz w:val="24"/>
        </w:rPr>
      </w:pPr>
      <w:r>
        <w:rPr>
          <w:sz w:val="24"/>
        </w:rPr>
        <w:t>GONZÁLEZ, J. (2008) </w:t>
      </w:r>
      <w:r>
        <w:rPr>
          <w:i/>
          <w:sz w:val="24"/>
        </w:rPr>
        <w:t>Metodología para el estudio de las actitudes lingüísticas</w:t>
      </w:r>
      <w:r>
        <w:rPr>
          <w:sz w:val="24"/>
        </w:rPr>
        <w:t>.</w:t>
      </w:r>
    </w:p>
    <w:p>
      <w:pPr>
        <w:pStyle w:val="BodyText"/>
        <w:spacing w:before="142"/>
        <w:ind w:left="810"/>
        <w:jc w:val="both"/>
      </w:pPr>
      <w:r>
        <w:rPr/>
        <w:t>Actas del XXXVII Simposio Internacional de la Sociedad Española de</w:t>
      </w:r>
    </w:p>
    <w:p>
      <w:pPr>
        <w:pStyle w:val="BodyText"/>
        <w:tabs>
          <w:tab w:pos="3182" w:val="left" w:leader="none"/>
          <w:tab w:pos="4530" w:val="left" w:leader="none"/>
          <w:tab w:pos="6961" w:val="left" w:leader="none"/>
          <w:tab w:pos="9240" w:val="left" w:leader="none"/>
        </w:tabs>
        <w:spacing w:line="360" w:lineRule="auto" w:before="137"/>
        <w:ind w:left="810" w:right="112"/>
        <w:jc w:val="both"/>
      </w:pPr>
      <w:r>
        <w:rPr/>
        <w:t>Lingüística (SEL), Servicio de Publicaciones de la Universidad de Navarra. Consultado</w:t>
        <w:tab/>
        <w:t>el</w:t>
        <w:tab/>
        <w:t>21.03.2013.</w:t>
        <w:tab/>
        <w:t>Disponible</w:t>
        <w:tab/>
        <w:t>en</w:t>
      </w:r>
      <w:r>
        <w:rPr>
          <w:w w:val="99"/>
        </w:rPr>
        <w:t> </w:t>
      </w:r>
      <w:hyperlink r:id="rId117">
        <w:r>
          <w:rPr>
            <w:color w:val="0462C1"/>
          </w:rPr>
          <w:t>http</w:t>
        </w:r>
      </w:hyperlink>
      <w:hyperlink r:id="rId117">
        <w:r>
          <w:rPr>
            <w:color w:val="0462C1"/>
          </w:rPr>
          <w:t>://</w:t>
        </w:r>
      </w:hyperlink>
      <w:hyperlink r:id="rId117">
        <w:r>
          <w:rPr>
            <w:color w:val="0462C1"/>
          </w:rPr>
          <w:t>www.unav.es/linguis/simposiosel/actas/act/20.pdf</w:t>
        </w:r>
      </w:hyperlink>
    </w:p>
    <w:p>
      <w:pPr>
        <w:pStyle w:val="BodyText"/>
      </w:pPr>
    </w:p>
    <w:p>
      <w:pPr>
        <w:spacing w:before="139"/>
        <w:ind w:left="102" w:right="26" w:firstLine="0"/>
        <w:jc w:val="left"/>
        <w:rPr>
          <w:i/>
          <w:sz w:val="24"/>
        </w:rPr>
      </w:pPr>
      <w:r>
        <w:rPr>
          <w:sz w:val="24"/>
        </w:rPr>
        <w:t>HERNÁNDEZ SAMPIERI, R.; FERNANDEZ, C. Y BAPTISTA, P</w:t>
      </w:r>
      <w:r>
        <w:rPr>
          <w:i/>
          <w:sz w:val="24"/>
        </w:rPr>
        <w:t>. </w:t>
      </w:r>
      <w:r>
        <w:rPr>
          <w:sz w:val="24"/>
        </w:rPr>
        <w:t>(2008) </w:t>
      </w:r>
      <w:r>
        <w:rPr>
          <w:i/>
          <w:sz w:val="24"/>
        </w:rPr>
        <w:t>Metodología de</w:t>
      </w:r>
    </w:p>
    <w:p>
      <w:pPr>
        <w:spacing w:before="139"/>
        <w:ind w:left="810" w:right="0" w:firstLine="0"/>
        <w:jc w:val="both"/>
        <w:rPr>
          <w:sz w:val="24"/>
        </w:rPr>
      </w:pPr>
      <w:r>
        <w:rPr>
          <w:i/>
          <w:sz w:val="24"/>
        </w:rPr>
        <w:t>la investigación </w:t>
      </w:r>
      <w:r>
        <w:rPr>
          <w:sz w:val="24"/>
        </w:rPr>
        <w:t>(2ª ed.) México: McGraw-Hill</w:t>
      </w:r>
    </w:p>
    <w:p>
      <w:pPr>
        <w:pStyle w:val="BodyText"/>
      </w:pPr>
    </w:p>
    <w:p>
      <w:pPr>
        <w:pStyle w:val="BodyText"/>
      </w:pPr>
    </w:p>
    <w:p>
      <w:pPr>
        <w:spacing w:before="0"/>
        <w:ind w:left="102" w:right="26" w:firstLine="0"/>
        <w:jc w:val="left"/>
        <w:rPr>
          <w:i/>
          <w:sz w:val="24"/>
        </w:rPr>
      </w:pPr>
      <w:r>
        <w:rPr>
          <w:sz w:val="24"/>
        </w:rPr>
        <w:t>HERNÁNDEZ SAMPIERI, R.; FERNANDEZ, C. Y BAPTISTA, P</w:t>
      </w:r>
      <w:r>
        <w:rPr>
          <w:i/>
          <w:sz w:val="24"/>
        </w:rPr>
        <w:t>. </w:t>
      </w:r>
      <w:r>
        <w:rPr>
          <w:sz w:val="24"/>
        </w:rPr>
        <w:t>(2010) </w:t>
      </w:r>
      <w:r>
        <w:rPr>
          <w:i/>
          <w:sz w:val="24"/>
        </w:rPr>
        <w:t>Metodología de</w:t>
      </w:r>
    </w:p>
    <w:p>
      <w:pPr>
        <w:spacing w:before="137"/>
        <w:ind w:left="810" w:right="0" w:firstLine="0"/>
        <w:jc w:val="both"/>
        <w:rPr>
          <w:sz w:val="24"/>
        </w:rPr>
      </w:pPr>
      <w:r>
        <w:rPr>
          <w:i/>
          <w:sz w:val="24"/>
        </w:rPr>
        <w:t>la investigación </w:t>
      </w:r>
      <w:r>
        <w:rPr>
          <w:sz w:val="24"/>
        </w:rPr>
        <w:t>(2ª ed.) México: McGraw-Hill</w:t>
      </w:r>
    </w:p>
    <w:p>
      <w:pPr>
        <w:spacing w:line="820" w:lineRule="atLeast" w:before="8"/>
        <w:ind w:left="102" w:right="26" w:firstLine="0"/>
        <w:jc w:val="left"/>
        <w:rPr>
          <w:sz w:val="24"/>
        </w:rPr>
      </w:pPr>
      <w:r>
        <w:rPr>
          <w:sz w:val="24"/>
        </w:rPr>
        <w:t>HOCKETT, C. (1971) </w:t>
      </w:r>
      <w:r>
        <w:rPr>
          <w:i/>
          <w:sz w:val="24"/>
        </w:rPr>
        <w:t>Curso de lingüística moderna </w:t>
      </w:r>
      <w:r>
        <w:rPr>
          <w:sz w:val="24"/>
        </w:rPr>
        <w:t>(4ª ed.), Buenos Aires: EUDEBA JUHÁSZ,  J. (1970) </w:t>
      </w:r>
      <w:r>
        <w:rPr>
          <w:i/>
          <w:color w:val="212121"/>
          <w:sz w:val="24"/>
        </w:rPr>
        <w:t>Probleme der Interferenz</w:t>
      </w:r>
      <w:r>
        <w:rPr>
          <w:color w:val="212121"/>
          <w:sz w:val="20"/>
        </w:rPr>
        <w:t>. </w:t>
      </w:r>
      <w:r>
        <w:rPr>
          <w:color w:val="212121"/>
          <w:sz w:val="24"/>
        </w:rPr>
        <w:t>Akadémiai kiado. En </w:t>
      </w:r>
      <w:r>
        <w:rPr>
          <w:sz w:val="24"/>
        </w:rPr>
        <w:t>EBNETER, T. (1982)</w:t>
      </w:r>
    </w:p>
    <w:p>
      <w:pPr>
        <w:spacing w:before="137"/>
        <w:ind w:left="810" w:right="0" w:firstLine="0"/>
        <w:jc w:val="both"/>
        <w:rPr>
          <w:sz w:val="24"/>
        </w:rPr>
      </w:pPr>
      <w:r>
        <w:rPr>
          <w:i/>
          <w:sz w:val="24"/>
        </w:rPr>
        <w:t>Lingüística Aplicada: Introducción</w:t>
      </w:r>
      <w:r>
        <w:rPr>
          <w:sz w:val="24"/>
        </w:rPr>
        <w:t>. Madrid: Gredos</w:t>
      </w:r>
    </w:p>
    <w:p>
      <w:pPr>
        <w:pStyle w:val="BodyText"/>
      </w:pPr>
    </w:p>
    <w:p>
      <w:pPr>
        <w:pStyle w:val="BodyText"/>
      </w:pPr>
    </w:p>
    <w:p>
      <w:pPr>
        <w:spacing w:line="364" w:lineRule="auto" w:before="0"/>
        <w:ind w:left="810" w:right="632" w:hanging="708"/>
        <w:jc w:val="left"/>
        <w:rPr>
          <w:sz w:val="24"/>
        </w:rPr>
      </w:pPr>
      <w:r>
        <w:rPr>
          <w:sz w:val="24"/>
        </w:rPr>
        <w:t>KRAMSCH, C. (2000) </w:t>
      </w:r>
      <w:r>
        <w:rPr>
          <w:i/>
          <w:sz w:val="24"/>
        </w:rPr>
        <w:t>Language and culture </w:t>
      </w:r>
      <w:r>
        <w:rPr>
          <w:sz w:val="24"/>
        </w:rPr>
        <w:t>(2ª ed.), Oxford, NY: Oxford University Press</w:t>
      </w:r>
    </w:p>
    <w:p>
      <w:pPr>
        <w:spacing w:after="0" w:line="364" w:lineRule="auto"/>
        <w:jc w:val="left"/>
        <w:rPr>
          <w:sz w:val="24"/>
        </w:rPr>
        <w:sectPr>
          <w:pgSz w:w="12240" w:h="15840"/>
          <w:pgMar w:header="749" w:footer="1003" w:top="960" w:bottom="1200" w:left="1600" w:right="1020"/>
        </w:sectPr>
      </w:pPr>
    </w:p>
    <w:p>
      <w:pPr>
        <w:pStyle w:val="BodyText"/>
        <w:rPr>
          <w:sz w:val="20"/>
        </w:rPr>
      </w:pPr>
    </w:p>
    <w:p>
      <w:pPr>
        <w:pStyle w:val="BodyText"/>
        <w:rPr>
          <w:sz w:val="20"/>
        </w:rPr>
      </w:pPr>
    </w:p>
    <w:p>
      <w:pPr>
        <w:pStyle w:val="BodyText"/>
        <w:spacing w:before="3"/>
        <w:rPr>
          <w:sz w:val="17"/>
        </w:rPr>
      </w:pPr>
    </w:p>
    <w:p>
      <w:pPr>
        <w:spacing w:line="360" w:lineRule="auto" w:before="69"/>
        <w:ind w:left="810" w:right="26" w:hanging="708"/>
        <w:jc w:val="left"/>
        <w:rPr>
          <w:sz w:val="24"/>
        </w:rPr>
      </w:pPr>
      <w:r>
        <w:rPr>
          <w:color w:val="212121"/>
          <w:sz w:val="24"/>
        </w:rPr>
        <w:t>KRISTIANSEN, T. (1991) </w:t>
      </w:r>
      <w:r>
        <w:rPr>
          <w:i/>
          <w:color w:val="212121"/>
          <w:sz w:val="24"/>
        </w:rPr>
        <w:t>Sproglige normidealer på Næstvedegnen: kvantitative </w:t>
      </w:r>
      <w:r>
        <w:rPr>
          <w:i/>
          <w:color w:val="212121"/>
          <w:sz w:val="24"/>
        </w:rPr>
        <w:t>sprogholdningsundersøgelser</w:t>
      </w:r>
      <w:r>
        <w:rPr>
          <w:color w:val="212121"/>
          <w:sz w:val="24"/>
        </w:rPr>
        <w:t>. 1991. Tesis Doctoral. Københavns Universitet. </w:t>
      </w:r>
      <w:r>
        <w:rPr>
          <w:sz w:val="24"/>
        </w:rPr>
        <w:t>En COUPLAND, N. y JAWORSKY, A. (1950) </w:t>
      </w:r>
      <w:r>
        <w:rPr>
          <w:i/>
          <w:sz w:val="24"/>
        </w:rPr>
        <w:t>Sociolinguistics: A reader and course </w:t>
      </w:r>
      <w:r>
        <w:rPr>
          <w:i/>
          <w:sz w:val="24"/>
        </w:rPr>
        <w:t>book</w:t>
      </w:r>
      <w:r>
        <w:rPr>
          <w:sz w:val="24"/>
        </w:rPr>
        <w:t>. St. Martin’s Press: Palgrave</w:t>
      </w:r>
    </w:p>
    <w:p>
      <w:pPr>
        <w:pStyle w:val="BodyText"/>
      </w:pPr>
    </w:p>
    <w:p>
      <w:pPr>
        <w:spacing w:line="360" w:lineRule="auto" w:before="142"/>
        <w:ind w:left="810" w:right="507" w:hanging="708"/>
        <w:jc w:val="left"/>
        <w:rPr>
          <w:sz w:val="24"/>
        </w:rPr>
      </w:pPr>
      <w:r>
        <w:rPr>
          <w:color w:val="212121"/>
          <w:sz w:val="24"/>
        </w:rPr>
        <w:t>LABOV, W. (1966). </w:t>
      </w:r>
      <w:r>
        <w:rPr>
          <w:i/>
          <w:color w:val="212121"/>
          <w:sz w:val="24"/>
        </w:rPr>
        <w:t>Hypercorrection by the lower middle class as a factor in linguistic </w:t>
      </w:r>
      <w:r>
        <w:rPr>
          <w:i/>
          <w:color w:val="212121"/>
          <w:sz w:val="24"/>
        </w:rPr>
        <w:t>change. Sociolinguistics</w:t>
      </w:r>
      <w:r>
        <w:rPr>
          <w:color w:val="212121"/>
          <w:sz w:val="24"/>
        </w:rPr>
        <w:t>. En </w:t>
      </w:r>
      <w:r>
        <w:rPr>
          <w:sz w:val="24"/>
        </w:rPr>
        <w:t>COUPLAND, N. y JAWORSKY, A. (1950) </w:t>
      </w:r>
      <w:r>
        <w:rPr>
          <w:i/>
          <w:sz w:val="24"/>
        </w:rPr>
        <w:t>Sociolinguistics: A reader and course book</w:t>
      </w:r>
      <w:r>
        <w:rPr>
          <w:sz w:val="24"/>
        </w:rPr>
        <w:t>. St. Martin’s Press: Palgrave</w:t>
      </w:r>
    </w:p>
    <w:p>
      <w:pPr>
        <w:pStyle w:val="BodyText"/>
      </w:pPr>
    </w:p>
    <w:p>
      <w:pPr>
        <w:pStyle w:val="BodyText"/>
        <w:spacing w:before="5"/>
      </w:pPr>
    </w:p>
    <w:p>
      <w:pPr>
        <w:spacing w:line="360" w:lineRule="auto" w:before="1"/>
        <w:ind w:left="810" w:right="26" w:hanging="708"/>
        <w:jc w:val="left"/>
        <w:rPr>
          <w:sz w:val="24"/>
        </w:rPr>
      </w:pPr>
      <w:r>
        <w:rPr>
          <w:color w:val="212121"/>
          <w:sz w:val="24"/>
        </w:rPr>
        <w:t>LABOV, W. (1984). </w:t>
      </w:r>
      <w:r>
        <w:rPr>
          <w:i/>
          <w:color w:val="212121"/>
          <w:sz w:val="24"/>
        </w:rPr>
        <w:t>Intensity. Meaning, form, and use in context: Linguistic applications</w:t>
      </w:r>
      <w:r>
        <w:rPr>
          <w:color w:val="212121"/>
          <w:sz w:val="24"/>
        </w:rPr>
        <w:t>. En </w:t>
      </w:r>
      <w:r>
        <w:rPr>
          <w:sz w:val="24"/>
        </w:rPr>
        <w:t>CHAMBERS, J. y P. TRUDGILL (1998) </w:t>
      </w:r>
      <w:r>
        <w:rPr>
          <w:i/>
          <w:sz w:val="24"/>
        </w:rPr>
        <w:t>Dialectology </w:t>
      </w:r>
      <w:r>
        <w:rPr>
          <w:sz w:val="24"/>
        </w:rPr>
        <w:t>(2ª ed.). Cambridge: University Press</w:t>
      </w:r>
    </w:p>
    <w:p>
      <w:pPr>
        <w:pStyle w:val="BodyText"/>
      </w:pPr>
    </w:p>
    <w:p>
      <w:pPr>
        <w:pStyle w:val="BodyText"/>
      </w:pPr>
    </w:p>
    <w:p>
      <w:pPr>
        <w:spacing w:line="362" w:lineRule="auto" w:before="0"/>
        <w:ind w:left="810" w:right="892" w:hanging="708"/>
        <w:jc w:val="left"/>
        <w:rPr>
          <w:sz w:val="24"/>
        </w:rPr>
      </w:pPr>
      <w:r>
        <w:rPr>
          <w:sz w:val="24"/>
        </w:rPr>
        <w:t>LASTRA, Y. (1992) </w:t>
      </w:r>
      <w:r>
        <w:rPr>
          <w:i/>
          <w:sz w:val="24"/>
        </w:rPr>
        <w:t>Sociolingüística para Hispanoamericanos: una introducción</w:t>
      </w:r>
      <w:r>
        <w:rPr>
          <w:sz w:val="24"/>
        </w:rPr>
        <w:t>. México: El Colegio de México, Centro de Estudios Lingüísticos y Literarios</w:t>
      </w:r>
    </w:p>
    <w:p>
      <w:pPr>
        <w:pStyle w:val="BodyText"/>
        <w:spacing w:before="10"/>
        <w:rPr>
          <w:sz w:val="35"/>
        </w:rPr>
      </w:pPr>
    </w:p>
    <w:p>
      <w:pPr>
        <w:spacing w:line="360" w:lineRule="auto" w:before="1"/>
        <w:ind w:left="810" w:right="271" w:hanging="708"/>
        <w:jc w:val="left"/>
        <w:rPr>
          <w:sz w:val="24"/>
        </w:rPr>
      </w:pPr>
      <w:r>
        <w:rPr>
          <w:sz w:val="24"/>
        </w:rPr>
        <w:t>LEEDY y OMROD (2005) </w:t>
      </w:r>
      <w:r>
        <w:rPr>
          <w:i/>
          <w:sz w:val="24"/>
        </w:rPr>
        <w:t>Partial Research: planning and design </w:t>
      </w:r>
      <w:r>
        <w:rPr>
          <w:sz w:val="24"/>
        </w:rPr>
        <w:t>(8ª ed.) Upper Saddle River, N.J.: Prentice Hall</w:t>
      </w:r>
    </w:p>
    <w:p>
      <w:pPr>
        <w:pStyle w:val="BodyText"/>
      </w:pPr>
    </w:p>
    <w:p>
      <w:pPr>
        <w:spacing w:line="360" w:lineRule="auto" w:before="139"/>
        <w:ind w:left="810" w:right="657" w:hanging="708"/>
        <w:jc w:val="left"/>
        <w:rPr>
          <w:sz w:val="24"/>
        </w:rPr>
      </w:pPr>
      <w:r>
        <w:rPr>
          <w:sz w:val="24"/>
        </w:rPr>
        <w:t>LIND D. A</w:t>
      </w:r>
      <w:r>
        <w:rPr>
          <w:i/>
          <w:sz w:val="24"/>
        </w:rPr>
        <w:t>. et al</w:t>
      </w:r>
      <w:r>
        <w:rPr>
          <w:sz w:val="24"/>
        </w:rPr>
        <w:t>. (2008) </w:t>
      </w:r>
      <w:r>
        <w:rPr>
          <w:i/>
          <w:sz w:val="24"/>
        </w:rPr>
        <w:t>Estadística aplicada a los negocios y la economía </w:t>
      </w:r>
      <w:r>
        <w:rPr>
          <w:sz w:val="24"/>
        </w:rPr>
        <w:t>(13ª ed.) México: McGraw-Hill</w:t>
      </w:r>
    </w:p>
    <w:p>
      <w:pPr>
        <w:pStyle w:val="BodyText"/>
      </w:pPr>
    </w:p>
    <w:p>
      <w:pPr>
        <w:spacing w:line="360" w:lineRule="auto" w:before="139"/>
        <w:ind w:left="810" w:right="107" w:hanging="708"/>
        <w:jc w:val="both"/>
        <w:rPr>
          <w:sz w:val="24"/>
        </w:rPr>
      </w:pPr>
      <w:r>
        <w:rPr>
          <w:sz w:val="24"/>
        </w:rPr>
        <w:t>LIPPMAN</w:t>
      </w:r>
      <w:r>
        <w:rPr>
          <w:color w:val="212121"/>
          <w:sz w:val="24"/>
        </w:rPr>
        <w:t>,</w:t>
      </w:r>
      <w:r>
        <w:rPr>
          <w:color w:val="212121"/>
          <w:spacing w:val="-13"/>
          <w:sz w:val="24"/>
        </w:rPr>
        <w:t> </w:t>
      </w:r>
      <w:r>
        <w:rPr>
          <w:color w:val="212121"/>
          <w:spacing w:val="3"/>
          <w:sz w:val="24"/>
        </w:rPr>
        <w:t>W.</w:t>
      </w:r>
      <w:r>
        <w:rPr>
          <w:color w:val="212121"/>
          <w:spacing w:val="-9"/>
          <w:sz w:val="24"/>
        </w:rPr>
        <w:t> </w:t>
      </w:r>
      <w:r>
        <w:rPr>
          <w:color w:val="212121"/>
          <w:sz w:val="24"/>
        </w:rPr>
        <w:t>(1922).</w:t>
      </w:r>
      <w:r>
        <w:rPr>
          <w:color w:val="212121"/>
          <w:spacing w:val="-12"/>
          <w:sz w:val="24"/>
        </w:rPr>
        <w:t> </w:t>
      </w:r>
      <w:r>
        <w:rPr>
          <w:color w:val="212121"/>
          <w:sz w:val="24"/>
        </w:rPr>
        <w:t>The</w:t>
      </w:r>
      <w:r>
        <w:rPr>
          <w:color w:val="212121"/>
          <w:spacing w:val="-6"/>
          <w:sz w:val="24"/>
        </w:rPr>
        <w:t> </w:t>
      </w:r>
      <w:r>
        <w:rPr>
          <w:color w:val="212121"/>
          <w:sz w:val="24"/>
        </w:rPr>
        <w:t>world</w:t>
      </w:r>
      <w:r>
        <w:rPr>
          <w:color w:val="212121"/>
          <w:spacing w:val="-6"/>
          <w:sz w:val="24"/>
        </w:rPr>
        <w:t> </w:t>
      </w:r>
      <w:r>
        <w:rPr>
          <w:color w:val="212121"/>
          <w:sz w:val="24"/>
        </w:rPr>
        <w:t>outside</w:t>
      </w:r>
      <w:r>
        <w:rPr>
          <w:color w:val="212121"/>
          <w:spacing w:val="-8"/>
          <w:sz w:val="24"/>
        </w:rPr>
        <w:t> </w:t>
      </w:r>
      <w:r>
        <w:rPr>
          <w:color w:val="212121"/>
          <w:sz w:val="24"/>
        </w:rPr>
        <w:t>and</w:t>
      </w:r>
      <w:r>
        <w:rPr>
          <w:color w:val="212121"/>
          <w:spacing w:val="-11"/>
          <w:sz w:val="24"/>
        </w:rPr>
        <w:t> </w:t>
      </w:r>
      <w:r>
        <w:rPr>
          <w:color w:val="212121"/>
          <w:sz w:val="24"/>
        </w:rPr>
        <w:t>the</w:t>
      </w:r>
      <w:r>
        <w:rPr>
          <w:color w:val="212121"/>
          <w:spacing w:val="-8"/>
          <w:sz w:val="24"/>
        </w:rPr>
        <w:t> </w:t>
      </w:r>
      <w:r>
        <w:rPr>
          <w:color w:val="212121"/>
          <w:sz w:val="24"/>
        </w:rPr>
        <w:t>pictures</w:t>
      </w:r>
      <w:r>
        <w:rPr>
          <w:color w:val="212121"/>
          <w:spacing w:val="-9"/>
          <w:sz w:val="24"/>
        </w:rPr>
        <w:t> </w:t>
      </w:r>
      <w:r>
        <w:rPr>
          <w:color w:val="212121"/>
          <w:sz w:val="24"/>
        </w:rPr>
        <w:t>in</w:t>
      </w:r>
      <w:r>
        <w:rPr>
          <w:color w:val="212121"/>
          <w:spacing w:val="-9"/>
          <w:sz w:val="24"/>
        </w:rPr>
        <w:t> </w:t>
      </w:r>
      <w:r>
        <w:rPr>
          <w:color w:val="212121"/>
          <w:sz w:val="24"/>
        </w:rPr>
        <w:t>our</w:t>
      </w:r>
      <w:r>
        <w:rPr>
          <w:color w:val="212121"/>
          <w:spacing w:val="-7"/>
          <w:sz w:val="24"/>
        </w:rPr>
        <w:t> </w:t>
      </w:r>
      <w:r>
        <w:rPr>
          <w:color w:val="212121"/>
          <w:sz w:val="24"/>
        </w:rPr>
        <w:t>heads.</w:t>
      </w:r>
      <w:r>
        <w:rPr>
          <w:color w:val="212121"/>
          <w:spacing w:val="-2"/>
          <w:sz w:val="24"/>
        </w:rPr>
        <w:t> </w:t>
      </w:r>
      <w:r>
        <w:rPr>
          <w:i/>
          <w:color w:val="212121"/>
          <w:sz w:val="24"/>
        </w:rPr>
        <w:t>Public</w:t>
      </w:r>
      <w:r>
        <w:rPr>
          <w:i/>
          <w:color w:val="212121"/>
          <w:spacing w:val="-9"/>
          <w:sz w:val="24"/>
        </w:rPr>
        <w:t> </w:t>
      </w:r>
      <w:r>
        <w:rPr>
          <w:i/>
          <w:color w:val="212121"/>
          <w:sz w:val="24"/>
        </w:rPr>
        <w:t>opinion</w:t>
      </w:r>
      <w:r>
        <w:rPr>
          <w:color w:val="212121"/>
          <w:sz w:val="24"/>
        </w:rPr>
        <w:t>.</w:t>
      </w:r>
      <w:r>
        <w:rPr>
          <w:color w:val="212121"/>
          <w:spacing w:val="-9"/>
          <w:sz w:val="24"/>
        </w:rPr>
        <w:t> </w:t>
      </w:r>
      <w:r>
        <w:rPr>
          <w:color w:val="212121"/>
          <w:sz w:val="24"/>
        </w:rPr>
        <w:t>En </w:t>
      </w:r>
      <w:r>
        <w:rPr>
          <w:sz w:val="24"/>
        </w:rPr>
        <w:t>COUPLAND, N. y JAWORSKY, A. (1950) </w:t>
      </w:r>
      <w:r>
        <w:rPr>
          <w:i/>
          <w:sz w:val="24"/>
        </w:rPr>
        <w:t>Sociolinguistics: A reader and course </w:t>
      </w:r>
      <w:r>
        <w:rPr>
          <w:i/>
          <w:sz w:val="24"/>
        </w:rPr>
        <w:t>book</w:t>
      </w:r>
      <w:r>
        <w:rPr>
          <w:sz w:val="24"/>
        </w:rPr>
        <w:t>. St. Martin’s Press:</w:t>
      </w:r>
      <w:r>
        <w:rPr>
          <w:spacing w:val="-14"/>
          <w:sz w:val="24"/>
        </w:rPr>
        <w:t> </w:t>
      </w:r>
      <w:r>
        <w:rPr>
          <w:sz w:val="24"/>
        </w:rPr>
        <w:t>Palgrave</w:t>
      </w:r>
    </w:p>
    <w:p>
      <w:pPr>
        <w:pStyle w:val="BodyText"/>
      </w:pPr>
    </w:p>
    <w:p>
      <w:pPr>
        <w:spacing w:line="360" w:lineRule="auto" w:before="142"/>
        <w:ind w:left="810" w:right="252" w:hanging="708"/>
        <w:jc w:val="left"/>
        <w:rPr>
          <w:sz w:val="24"/>
        </w:rPr>
      </w:pPr>
      <w:r>
        <w:rPr>
          <w:sz w:val="24"/>
        </w:rPr>
        <w:t>LÓPEZ (1993) En PASCUAL, J. et al. (2003) </w:t>
      </w:r>
      <w:r>
        <w:rPr>
          <w:i/>
          <w:sz w:val="24"/>
        </w:rPr>
        <w:t>Interculturalidad y diversidad lingüística: </w:t>
      </w:r>
      <w:r>
        <w:rPr>
          <w:i/>
          <w:sz w:val="24"/>
        </w:rPr>
        <w:t>estudio de las actitudes lingüísticas y sus aplicaciones didácticas</w:t>
      </w:r>
      <w:r>
        <w:rPr>
          <w:sz w:val="24"/>
        </w:rPr>
        <w:t>. Austrias: KRK</w:t>
      </w:r>
    </w:p>
    <w:p>
      <w:pPr>
        <w:spacing w:after="0" w:line="360" w:lineRule="auto"/>
        <w:jc w:val="left"/>
        <w:rPr>
          <w:sz w:val="24"/>
        </w:rPr>
        <w:sectPr>
          <w:pgSz w:w="12240" w:h="15840"/>
          <w:pgMar w:header="749" w:footer="1003" w:top="960" w:bottom="1200" w:left="1600" w:right="1020"/>
        </w:sectPr>
      </w:pPr>
    </w:p>
    <w:p>
      <w:pPr>
        <w:pStyle w:val="BodyText"/>
        <w:rPr>
          <w:sz w:val="20"/>
        </w:rPr>
      </w:pPr>
    </w:p>
    <w:p>
      <w:pPr>
        <w:pStyle w:val="BodyText"/>
        <w:rPr>
          <w:sz w:val="20"/>
        </w:rPr>
      </w:pPr>
    </w:p>
    <w:p>
      <w:pPr>
        <w:pStyle w:val="BodyText"/>
        <w:spacing w:before="3"/>
        <w:rPr>
          <w:sz w:val="17"/>
        </w:rPr>
      </w:pPr>
    </w:p>
    <w:p>
      <w:pPr>
        <w:spacing w:line="360" w:lineRule="auto" w:before="69"/>
        <w:ind w:left="810" w:right="600" w:hanging="708"/>
        <w:jc w:val="left"/>
        <w:rPr>
          <w:sz w:val="24"/>
        </w:rPr>
      </w:pPr>
      <w:r>
        <w:rPr>
          <w:sz w:val="24"/>
        </w:rPr>
        <w:t>LÓPEZ, J. y MINETT, J. (1997) </w:t>
      </w:r>
      <w:r>
        <w:rPr>
          <w:i/>
          <w:sz w:val="24"/>
        </w:rPr>
        <w:t>Manual de traducción: inglés-castellano. </w:t>
      </w:r>
      <w:r>
        <w:rPr>
          <w:sz w:val="24"/>
        </w:rPr>
        <w:t>Barcelona: Gedisa</w:t>
      </w:r>
    </w:p>
    <w:p>
      <w:pPr>
        <w:pStyle w:val="BodyText"/>
      </w:pPr>
    </w:p>
    <w:p>
      <w:pPr>
        <w:spacing w:before="139"/>
        <w:ind w:left="102" w:right="339" w:firstLine="0"/>
        <w:jc w:val="left"/>
        <w:rPr>
          <w:sz w:val="24"/>
        </w:rPr>
      </w:pPr>
      <w:r>
        <w:rPr>
          <w:sz w:val="24"/>
        </w:rPr>
        <w:t>MCCARTHY, M. (2001) </w:t>
      </w:r>
      <w:r>
        <w:rPr>
          <w:i/>
          <w:sz w:val="24"/>
        </w:rPr>
        <w:t>Issues in Applied Linguistics</w:t>
      </w:r>
      <w:r>
        <w:rPr>
          <w:sz w:val="24"/>
        </w:rPr>
        <w:t>. Cambridge:</w:t>
      </w:r>
    </w:p>
    <w:p>
      <w:pPr>
        <w:spacing w:before="143"/>
        <w:ind w:left="810" w:right="339" w:firstLine="0"/>
        <w:jc w:val="left"/>
        <w:rPr>
          <w:sz w:val="24"/>
        </w:rPr>
      </w:pPr>
      <w:r>
        <w:rPr>
          <w:rFonts w:ascii="Calibri"/>
          <w:i/>
          <w:sz w:val="24"/>
        </w:rPr>
        <w:t>Cambridge </w:t>
      </w:r>
      <w:r>
        <w:rPr>
          <w:sz w:val="24"/>
        </w:rPr>
        <w:t>University Press.</w:t>
      </w:r>
    </w:p>
    <w:p>
      <w:pPr>
        <w:pStyle w:val="BodyText"/>
      </w:pPr>
    </w:p>
    <w:p>
      <w:pPr>
        <w:pStyle w:val="BodyText"/>
        <w:spacing w:before="3"/>
      </w:pPr>
    </w:p>
    <w:p>
      <w:pPr>
        <w:spacing w:line="360" w:lineRule="auto" w:before="0"/>
        <w:ind w:left="810" w:right="1067" w:hanging="708"/>
        <w:jc w:val="left"/>
        <w:rPr>
          <w:sz w:val="24"/>
        </w:rPr>
      </w:pPr>
      <w:r>
        <w:rPr>
          <w:sz w:val="24"/>
        </w:rPr>
        <w:t>MÉNDEZ L.M. y PEÑA J.A. (2006) </w:t>
      </w:r>
      <w:r>
        <w:rPr>
          <w:i/>
          <w:sz w:val="24"/>
        </w:rPr>
        <w:t>Manual Práctico para el diseño de la Escala </w:t>
      </w:r>
      <w:r>
        <w:rPr>
          <w:i/>
          <w:sz w:val="24"/>
        </w:rPr>
        <w:t>Likert</w:t>
      </w:r>
      <w:r>
        <w:rPr>
          <w:sz w:val="24"/>
        </w:rPr>
        <w:t>. México D.F.: Trillas</w:t>
      </w:r>
    </w:p>
    <w:p>
      <w:pPr>
        <w:pStyle w:val="BodyText"/>
      </w:pPr>
    </w:p>
    <w:p>
      <w:pPr>
        <w:spacing w:line="360" w:lineRule="auto" w:before="142"/>
        <w:ind w:left="810" w:right="373" w:hanging="708"/>
        <w:jc w:val="left"/>
        <w:rPr>
          <w:sz w:val="24"/>
        </w:rPr>
      </w:pPr>
      <w:r>
        <w:rPr>
          <w:sz w:val="24"/>
        </w:rPr>
        <w:t>MILROY, L. /1987) </w:t>
      </w:r>
      <w:r>
        <w:rPr>
          <w:i/>
          <w:sz w:val="24"/>
        </w:rPr>
        <w:t>Observing and Analyzing Natural Language</w:t>
      </w:r>
      <w:r>
        <w:rPr>
          <w:sz w:val="24"/>
        </w:rPr>
        <w:t>. Blackwell, Oxford. En WARDHAUGH, R. (1998) </w:t>
      </w:r>
      <w:r>
        <w:rPr>
          <w:i/>
          <w:sz w:val="24"/>
        </w:rPr>
        <w:t>An introduction to sociolinguistics </w:t>
      </w:r>
      <w:r>
        <w:rPr>
          <w:sz w:val="24"/>
        </w:rPr>
        <w:t>(3</w:t>
      </w:r>
      <w:r>
        <w:rPr>
          <w:position w:val="8"/>
          <w:sz w:val="16"/>
        </w:rPr>
        <w:t>a </w:t>
      </w:r>
      <w:r>
        <w:rPr>
          <w:sz w:val="24"/>
        </w:rPr>
        <w:t>ed.). Oxford: Oxford University Press.</w:t>
      </w:r>
    </w:p>
    <w:p>
      <w:pPr>
        <w:pStyle w:val="BodyText"/>
      </w:pPr>
    </w:p>
    <w:p>
      <w:pPr>
        <w:spacing w:line="360" w:lineRule="auto" w:before="139"/>
        <w:ind w:left="810" w:right="339" w:hanging="708"/>
        <w:jc w:val="left"/>
        <w:rPr>
          <w:sz w:val="24"/>
        </w:rPr>
      </w:pPr>
      <w:r>
        <w:rPr>
          <w:color w:val="212121"/>
          <w:sz w:val="24"/>
        </w:rPr>
        <w:t>MONSIVÁIS, C. (1993). </w:t>
      </w:r>
      <w:r>
        <w:rPr>
          <w:i/>
          <w:color w:val="212121"/>
          <w:sz w:val="24"/>
        </w:rPr>
        <w:t>México, ciudad del apocalipsis a plazos</w:t>
      </w:r>
      <w:r>
        <w:rPr>
          <w:color w:val="212121"/>
          <w:sz w:val="24"/>
        </w:rPr>
        <w:t>. Fondo de Cultura Económica, São Paulo. En </w:t>
      </w:r>
      <w:r>
        <w:rPr>
          <w:sz w:val="24"/>
        </w:rPr>
        <w:t>BARRIGA, R. y M. BUTRAGUEÑO (2010) </w:t>
      </w:r>
      <w:r>
        <w:rPr>
          <w:i/>
          <w:sz w:val="24"/>
        </w:rPr>
        <w:t>Historia </w:t>
      </w:r>
      <w:r>
        <w:rPr>
          <w:i/>
          <w:sz w:val="24"/>
        </w:rPr>
        <w:t>Sociolingüística de México. </w:t>
      </w:r>
      <w:r>
        <w:rPr>
          <w:sz w:val="24"/>
        </w:rPr>
        <w:t>Vol. 2 México: El Colegio de México, Centro de Estudios Lingüísticos y Literarios</w:t>
      </w:r>
    </w:p>
    <w:p>
      <w:pPr>
        <w:pStyle w:val="BodyText"/>
      </w:pPr>
    </w:p>
    <w:p>
      <w:pPr>
        <w:pStyle w:val="BodyText"/>
        <w:spacing w:before="9"/>
        <w:rPr>
          <w:sz w:val="23"/>
        </w:rPr>
      </w:pPr>
    </w:p>
    <w:p>
      <w:pPr>
        <w:spacing w:line="360" w:lineRule="auto" w:before="0"/>
        <w:ind w:left="810" w:right="1574" w:hanging="708"/>
        <w:jc w:val="left"/>
        <w:rPr>
          <w:sz w:val="24"/>
        </w:rPr>
      </w:pPr>
      <w:r>
        <w:rPr>
          <w:sz w:val="24"/>
        </w:rPr>
        <w:t>MORENO (2000) </w:t>
      </w:r>
      <w:r>
        <w:rPr>
          <w:i/>
          <w:sz w:val="24"/>
        </w:rPr>
        <w:t>Minucias del lenguaje </w:t>
      </w:r>
      <w:r>
        <w:rPr>
          <w:sz w:val="24"/>
        </w:rPr>
        <w:t>(4</w:t>
      </w:r>
      <w:r>
        <w:rPr>
          <w:position w:val="8"/>
          <w:sz w:val="16"/>
        </w:rPr>
        <w:t>a </w:t>
      </w:r>
      <w:r>
        <w:rPr>
          <w:sz w:val="24"/>
        </w:rPr>
        <w:t>ed.). México: Fondo de Cultura Económica</w:t>
      </w:r>
    </w:p>
    <w:p>
      <w:pPr>
        <w:pStyle w:val="BodyText"/>
      </w:pPr>
    </w:p>
    <w:p>
      <w:pPr>
        <w:spacing w:line="360" w:lineRule="auto" w:before="139"/>
        <w:ind w:left="810" w:right="131" w:hanging="708"/>
        <w:jc w:val="left"/>
        <w:rPr>
          <w:sz w:val="24"/>
        </w:rPr>
      </w:pPr>
      <w:r>
        <w:rPr>
          <w:sz w:val="24"/>
        </w:rPr>
        <w:t>MORENO, F. (1989) </w:t>
      </w:r>
      <w:r>
        <w:rPr>
          <w:i/>
          <w:sz w:val="24"/>
        </w:rPr>
        <w:t>Sociolingüística y educación en EE.UU. Revista española de </w:t>
      </w:r>
      <w:r>
        <w:rPr>
          <w:i/>
          <w:sz w:val="24"/>
        </w:rPr>
        <w:t>lingüística aplicada. </w:t>
      </w:r>
      <w:r>
        <w:rPr>
          <w:sz w:val="24"/>
        </w:rPr>
        <w:t>Universidad de Alcalá de Henares. Consultado el 26.03.2013. Disponible en</w:t>
      </w:r>
      <w:r>
        <w:rPr>
          <w:spacing w:val="39"/>
          <w:sz w:val="24"/>
        </w:rPr>
        <w:t> </w:t>
      </w:r>
      <w:hyperlink r:id="rId118">
        <w:r>
          <w:rPr>
            <w:color w:val="0462C1"/>
            <w:sz w:val="24"/>
          </w:rPr>
          <w:t>http</w:t>
        </w:r>
      </w:hyperlink>
      <w:hyperlink r:id="rId118">
        <w:r>
          <w:rPr>
            <w:color w:val="0462C1"/>
            <w:sz w:val="24"/>
          </w:rPr>
          <w:t>://</w:t>
        </w:r>
      </w:hyperlink>
      <w:hyperlink r:id="rId118">
        <w:r>
          <w:rPr>
            <w:color w:val="0462C1"/>
            <w:sz w:val="24"/>
          </w:rPr>
          <w:t>dialnet.unirioja.es/descarga/articulo/1308091.pdf</w:t>
        </w:r>
      </w:hyperlink>
    </w:p>
    <w:p>
      <w:pPr>
        <w:pStyle w:val="BodyText"/>
      </w:pPr>
    </w:p>
    <w:p>
      <w:pPr>
        <w:spacing w:before="140"/>
        <w:ind w:left="102" w:right="339" w:firstLine="0"/>
        <w:jc w:val="left"/>
        <w:rPr>
          <w:sz w:val="24"/>
        </w:rPr>
      </w:pPr>
      <w:r>
        <w:rPr>
          <w:sz w:val="24"/>
        </w:rPr>
        <w:t>MORENO de Alba, F. (1998) </w:t>
      </w:r>
      <w:r>
        <w:rPr>
          <w:i/>
          <w:sz w:val="24"/>
        </w:rPr>
        <w:t>Principios de Sociolingüística  y sociología del lenguaje</w:t>
      </w:r>
      <w:r>
        <w:rPr>
          <w:sz w:val="24"/>
        </w:rPr>
        <w:t>.</w:t>
      </w:r>
    </w:p>
    <w:p>
      <w:pPr>
        <w:pStyle w:val="BodyText"/>
        <w:spacing w:before="139"/>
        <w:ind w:left="810" w:right="339"/>
      </w:pPr>
      <w:r>
        <w:rPr/>
        <w:t>Barcelona: Ariel, S.A.</w:t>
      </w:r>
    </w:p>
    <w:p>
      <w:pPr>
        <w:spacing w:after="0"/>
        <w:sectPr>
          <w:pgSz w:w="12240" w:h="15840"/>
          <w:pgMar w:header="749" w:footer="1003" w:top="960" w:bottom="1200" w:left="1600" w:right="1020"/>
        </w:sectPr>
      </w:pPr>
    </w:p>
    <w:p>
      <w:pPr>
        <w:pStyle w:val="BodyText"/>
        <w:rPr>
          <w:sz w:val="20"/>
        </w:rPr>
      </w:pPr>
    </w:p>
    <w:p>
      <w:pPr>
        <w:pStyle w:val="BodyText"/>
        <w:rPr>
          <w:sz w:val="20"/>
        </w:rPr>
      </w:pPr>
    </w:p>
    <w:p>
      <w:pPr>
        <w:pStyle w:val="BodyText"/>
        <w:spacing w:before="11"/>
        <w:rPr>
          <w:sz w:val="15"/>
        </w:rPr>
      </w:pPr>
    </w:p>
    <w:p>
      <w:pPr>
        <w:spacing w:line="360" w:lineRule="auto" w:before="79"/>
        <w:ind w:left="810" w:right="606" w:hanging="708"/>
        <w:jc w:val="left"/>
        <w:rPr>
          <w:sz w:val="24"/>
        </w:rPr>
      </w:pPr>
      <w:r>
        <w:rPr>
          <w:sz w:val="24"/>
        </w:rPr>
        <w:t>ODLIN, T. (1997) </w:t>
      </w:r>
      <w:r>
        <w:rPr>
          <w:i/>
          <w:sz w:val="24"/>
        </w:rPr>
        <w:t>Language transfer </w:t>
      </w:r>
      <w:r>
        <w:rPr>
          <w:sz w:val="24"/>
        </w:rPr>
        <w:t>(7</w:t>
      </w:r>
      <w:r>
        <w:rPr>
          <w:position w:val="8"/>
          <w:sz w:val="16"/>
        </w:rPr>
        <w:t>a </w:t>
      </w:r>
      <w:r>
        <w:rPr>
          <w:sz w:val="24"/>
        </w:rPr>
        <w:t>ed.). Cambridge: Cambridge University Press</w:t>
      </w:r>
    </w:p>
    <w:p>
      <w:pPr>
        <w:pStyle w:val="BodyText"/>
      </w:pPr>
    </w:p>
    <w:p>
      <w:pPr>
        <w:spacing w:line="360" w:lineRule="auto" w:before="139"/>
        <w:ind w:left="810" w:right="840" w:hanging="708"/>
        <w:jc w:val="left"/>
        <w:rPr>
          <w:sz w:val="24"/>
        </w:rPr>
      </w:pPr>
      <w:r>
        <w:rPr>
          <w:sz w:val="24"/>
        </w:rPr>
        <w:t>PASCUAL, J. et al. (2003) </w:t>
      </w:r>
      <w:r>
        <w:rPr>
          <w:i/>
          <w:sz w:val="24"/>
        </w:rPr>
        <w:t>Interculturalidad y diversidad lingüística: estudio de las </w:t>
      </w:r>
      <w:r>
        <w:rPr>
          <w:i/>
          <w:sz w:val="24"/>
        </w:rPr>
        <w:t>actitudes lingüísticas y sus aplicaciones didácticas</w:t>
      </w:r>
      <w:r>
        <w:rPr>
          <w:sz w:val="24"/>
        </w:rPr>
        <w:t>. Austrias: KRK</w:t>
      </w:r>
    </w:p>
    <w:p>
      <w:pPr>
        <w:pStyle w:val="BodyText"/>
      </w:pPr>
    </w:p>
    <w:p>
      <w:pPr>
        <w:spacing w:line="360" w:lineRule="auto" w:before="142"/>
        <w:ind w:left="810" w:right="400" w:hanging="708"/>
        <w:jc w:val="left"/>
        <w:rPr>
          <w:sz w:val="24"/>
        </w:rPr>
      </w:pPr>
      <w:r>
        <w:rPr>
          <w:sz w:val="24"/>
        </w:rPr>
        <w:t>PÉREZ, P. (2009) </w:t>
      </w:r>
      <w:r>
        <w:rPr>
          <w:i/>
          <w:sz w:val="24"/>
        </w:rPr>
        <w:t>Frecuencia de uso de anglicismos más comunes como un </w:t>
      </w:r>
      <w:r>
        <w:rPr>
          <w:i/>
          <w:sz w:val="24"/>
        </w:rPr>
        <w:t>indicador de identidad y una estrategia de comunicación: Estudio con alumnos de nivel básico y avanzado del idioma inglés en la Facultad de Lenguas de la UAEM</w:t>
      </w:r>
      <w:r>
        <w:rPr>
          <w:sz w:val="24"/>
        </w:rPr>
        <w:t>. Tesis (Licenciatura) México: UAEMex.</w:t>
      </w:r>
    </w:p>
    <w:p>
      <w:pPr>
        <w:pStyle w:val="BodyText"/>
      </w:pPr>
    </w:p>
    <w:p>
      <w:pPr>
        <w:spacing w:line="362" w:lineRule="auto" w:before="142"/>
        <w:ind w:left="810" w:right="339" w:hanging="708"/>
        <w:jc w:val="left"/>
        <w:rPr>
          <w:sz w:val="24"/>
        </w:rPr>
      </w:pPr>
      <w:r>
        <w:rPr>
          <w:sz w:val="24"/>
        </w:rPr>
        <w:t>PRIETO, C. (2005) </w:t>
      </w:r>
      <w:r>
        <w:rPr>
          <w:i/>
          <w:sz w:val="24"/>
        </w:rPr>
        <w:t>Cinco mil años de palabras. </w:t>
      </w:r>
      <w:r>
        <w:rPr>
          <w:sz w:val="24"/>
        </w:rPr>
        <w:t>México. D.F.: Fondo de Cultura Económica</w:t>
      </w:r>
    </w:p>
    <w:p>
      <w:pPr>
        <w:pStyle w:val="BodyText"/>
        <w:spacing w:before="10"/>
        <w:rPr>
          <w:sz w:val="35"/>
        </w:rPr>
      </w:pPr>
    </w:p>
    <w:p>
      <w:pPr>
        <w:spacing w:line="360" w:lineRule="auto" w:before="0"/>
        <w:ind w:left="102" w:right="185" w:firstLine="0"/>
        <w:jc w:val="left"/>
        <w:rPr>
          <w:sz w:val="24"/>
        </w:rPr>
      </w:pPr>
      <w:r>
        <w:rPr>
          <w:sz w:val="24"/>
        </w:rPr>
        <w:t>QUILIS, A. (2002). </w:t>
      </w:r>
      <w:r>
        <w:rPr>
          <w:i/>
          <w:sz w:val="24"/>
        </w:rPr>
        <w:t>La lengua española en el mundo</w:t>
      </w:r>
      <w:r>
        <w:rPr>
          <w:sz w:val="24"/>
        </w:rPr>
        <w:t>. España: Universidad de Valladolid ROKEAK, M. (1968) </w:t>
      </w:r>
      <w:r>
        <w:rPr>
          <w:i/>
          <w:sz w:val="24"/>
        </w:rPr>
        <w:t>Beliefs, attitudes and values: a theory of organization and change</w:t>
      </w:r>
      <w:r>
        <w:rPr>
          <w:sz w:val="24"/>
        </w:rPr>
        <w:t>.</w:t>
      </w:r>
    </w:p>
    <w:p>
      <w:pPr>
        <w:pStyle w:val="BodyText"/>
        <w:spacing w:before="7"/>
        <w:ind w:left="810" w:right="339"/>
      </w:pPr>
      <w:r>
        <w:rPr/>
        <w:t>San Francisco: Jossey-Bass.</w:t>
      </w:r>
    </w:p>
    <w:p>
      <w:pPr>
        <w:pStyle w:val="BodyText"/>
      </w:pPr>
    </w:p>
    <w:p>
      <w:pPr>
        <w:pStyle w:val="BodyText"/>
        <w:spacing w:before="7"/>
        <w:rPr>
          <w:sz w:val="23"/>
        </w:rPr>
      </w:pPr>
    </w:p>
    <w:p>
      <w:pPr>
        <w:spacing w:line="362" w:lineRule="auto" w:before="0"/>
        <w:ind w:left="810" w:right="1263" w:hanging="708"/>
        <w:jc w:val="left"/>
        <w:rPr>
          <w:sz w:val="24"/>
        </w:rPr>
      </w:pPr>
      <w:r>
        <w:rPr>
          <w:sz w:val="24"/>
        </w:rPr>
        <w:t>RITCHEY, F. J. (2008) </w:t>
      </w:r>
      <w:r>
        <w:rPr>
          <w:i/>
          <w:sz w:val="24"/>
        </w:rPr>
        <w:t>Estadística para las ciencias sociales </w:t>
      </w:r>
      <w:r>
        <w:rPr>
          <w:sz w:val="24"/>
        </w:rPr>
        <w:t>(2ª ed.). México: McGraw-Hill</w:t>
      </w:r>
    </w:p>
    <w:p>
      <w:pPr>
        <w:pStyle w:val="BodyText"/>
        <w:spacing w:before="10"/>
        <w:rPr>
          <w:sz w:val="35"/>
        </w:rPr>
      </w:pPr>
    </w:p>
    <w:p>
      <w:pPr>
        <w:spacing w:before="0"/>
        <w:ind w:left="102" w:right="339" w:firstLine="0"/>
        <w:jc w:val="left"/>
        <w:rPr>
          <w:sz w:val="24"/>
        </w:rPr>
      </w:pPr>
      <w:r>
        <w:rPr>
          <w:sz w:val="24"/>
        </w:rPr>
        <w:t>ROMAINE, S. (1989) </w:t>
      </w:r>
      <w:r>
        <w:rPr>
          <w:i/>
          <w:sz w:val="24"/>
        </w:rPr>
        <w:t>Bilingualism</w:t>
      </w:r>
      <w:r>
        <w:rPr>
          <w:sz w:val="24"/>
        </w:rPr>
        <w:t>. England: Blackwell.</w:t>
      </w:r>
    </w:p>
    <w:p>
      <w:pPr>
        <w:pStyle w:val="BodyText"/>
      </w:pPr>
    </w:p>
    <w:p>
      <w:pPr>
        <w:pStyle w:val="BodyText"/>
      </w:pPr>
    </w:p>
    <w:p>
      <w:pPr>
        <w:spacing w:line="360" w:lineRule="auto" w:before="0"/>
        <w:ind w:left="810" w:right="339" w:hanging="708"/>
        <w:jc w:val="left"/>
        <w:rPr>
          <w:sz w:val="24"/>
        </w:rPr>
      </w:pPr>
      <w:r>
        <w:rPr>
          <w:sz w:val="24"/>
        </w:rPr>
        <w:t>SANDÍN, M.P. (2003) </w:t>
      </w:r>
      <w:r>
        <w:rPr>
          <w:i/>
          <w:sz w:val="24"/>
        </w:rPr>
        <w:t>Investigación cualitativa en educación. Fundamentos y </w:t>
      </w:r>
      <w:r>
        <w:rPr>
          <w:i/>
          <w:sz w:val="24"/>
        </w:rPr>
        <w:t>tradiciones</w:t>
      </w:r>
      <w:r>
        <w:rPr>
          <w:sz w:val="24"/>
        </w:rPr>
        <w:t>. Madrid, McGraw Hill</w:t>
      </w:r>
    </w:p>
    <w:p>
      <w:pPr>
        <w:pStyle w:val="BodyText"/>
      </w:pPr>
    </w:p>
    <w:p>
      <w:pPr>
        <w:spacing w:line="360" w:lineRule="auto" w:before="142"/>
        <w:ind w:left="810" w:right="1027" w:hanging="708"/>
        <w:jc w:val="left"/>
        <w:rPr>
          <w:sz w:val="24"/>
        </w:rPr>
      </w:pPr>
      <w:r>
        <w:rPr>
          <w:sz w:val="24"/>
        </w:rPr>
        <w:t>SÁNDOR, H., Higgins, L. y Haywood, L. (1995) </w:t>
      </w:r>
      <w:r>
        <w:rPr>
          <w:i/>
          <w:sz w:val="24"/>
        </w:rPr>
        <w:t>Thinking Spanish Translation. A </w:t>
      </w:r>
      <w:r>
        <w:rPr>
          <w:i/>
          <w:sz w:val="24"/>
        </w:rPr>
        <w:t>course in translation method: Spanish to English</w:t>
      </w:r>
      <w:r>
        <w:rPr>
          <w:sz w:val="24"/>
        </w:rPr>
        <w:t>. Londres: Routledge</w:t>
      </w:r>
    </w:p>
    <w:p>
      <w:pPr>
        <w:spacing w:after="0" w:line="360" w:lineRule="auto"/>
        <w:jc w:val="left"/>
        <w:rPr>
          <w:sz w:val="24"/>
        </w:rPr>
        <w:sectPr>
          <w:pgSz w:w="12240" w:h="15840"/>
          <w:pgMar w:header="749" w:footer="1003" w:top="960" w:bottom="1200" w:left="1600" w:right="1020"/>
        </w:sectPr>
      </w:pPr>
    </w:p>
    <w:p>
      <w:pPr>
        <w:pStyle w:val="BodyText"/>
        <w:rPr>
          <w:sz w:val="20"/>
        </w:rPr>
      </w:pPr>
    </w:p>
    <w:p>
      <w:pPr>
        <w:pStyle w:val="BodyText"/>
        <w:rPr>
          <w:sz w:val="20"/>
        </w:rPr>
      </w:pPr>
    </w:p>
    <w:p>
      <w:pPr>
        <w:pStyle w:val="BodyText"/>
        <w:spacing w:before="5"/>
        <w:rPr>
          <w:sz w:val="17"/>
        </w:rPr>
      </w:pPr>
    </w:p>
    <w:p>
      <w:pPr>
        <w:pStyle w:val="BodyText"/>
        <w:spacing w:line="357" w:lineRule="auto" w:before="70"/>
        <w:ind w:left="810" w:right="26" w:hanging="708"/>
      </w:pPr>
      <w:r>
        <w:rPr/>
        <w:t>VINAY, J.P. y J. Darbelnet </w:t>
      </w:r>
      <w:r>
        <w:rPr>
          <w:color w:val="212121"/>
        </w:rPr>
        <w:t>(1958). A Methodology for Translation (JC Sager &amp; M.-J. Hamel,</w:t>
      </w:r>
      <w:r>
        <w:rPr>
          <w:color w:val="212121"/>
          <w:spacing w:val="-14"/>
        </w:rPr>
        <w:t> </w:t>
      </w:r>
      <w:r>
        <w:rPr>
          <w:color w:val="212121"/>
        </w:rPr>
        <w:t>Trans.).</w:t>
      </w:r>
      <w:r>
        <w:rPr>
          <w:color w:val="212121"/>
          <w:spacing w:val="-11"/>
        </w:rPr>
        <w:t> </w:t>
      </w:r>
      <w:r>
        <w:rPr>
          <w:i/>
          <w:color w:val="212121"/>
        </w:rPr>
        <w:t>The</w:t>
      </w:r>
      <w:r>
        <w:rPr>
          <w:i/>
          <w:color w:val="212121"/>
          <w:spacing w:val="-11"/>
        </w:rPr>
        <w:t> </w:t>
      </w:r>
      <w:r>
        <w:rPr>
          <w:i/>
          <w:color w:val="212121"/>
        </w:rPr>
        <w:t>Translation</w:t>
      </w:r>
      <w:r>
        <w:rPr>
          <w:i/>
          <w:color w:val="212121"/>
          <w:spacing w:val="-11"/>
        </w:rPr>
        <w:t> </w:t>
      </w:r>
      <w:r>
        <w:rPr>
          <w:i/>
          <w:color w:val="212121"/>
        </w:rPr>
        <w:t>studies</w:t>
      </w:r>
      <w:r>
        <w:rPr>
          <w:i/>
          <w:color w:val="212121"/>
          <w:spacing w:val="-11"/>
        </w:rPr>
        <w:t> </w:t>
      </w:r>
      <w:r>
        <w:rPr>
          <w:i/>
          <w:color w:val="212121"/>
        </w:rPr>
        <w:t>reader</w:t>
      </w:r>
      <w:r>
        <w:rPr>
          <w:color w:val="212121"/>
        </w:rPr>
        <w:t>,</w:t>
      </w:r>
      <w:r>
        <w:rPr>
          <w:color w:val="212121"/>
          <w:spacing w:val="-11"/>
        </w:rPr>
        <w:t> </w:t>
      </w:r>
      <w:r>
        <w:rPr>
          <w:color w:val="212121"/>
        </w:rPr>
        <w:t>180-192.</w:t>
      </w:r>
      <w:r>
        <w:rPr>
          <w:color w:val="212121"/>
          <w:spacing w:val="-12"/>
        </w:rPr>
        <w:t> </w:t>
      </w:r>
      <w:r>
        <w:rPr>
          <w:color w:val="212121"/>
        </w:rPr>
        <w:t>E</w:t>
      </w:r>
      <w:r>
        <w:rPr/>
        <w:t>n</w:t>
      </w:r>
      <w:r>
        <w:rPr>
          <w:spacing w:val="-13"/>
        </w:rPr>
        <w:t> </w:t>
      </w:r>
      <w:r>
        <w:rPr/>
        <w:t>LÓPEZ,</w:t>
      </w:r>
      <w:r>
        <w:rPr>
          <w:spacing w:val="-14"/>
        </w:rPr>
        <w:t> </w:t>
      </w:r>
      <w:r>
        <w:rPr/>
        <w:t>J.</w:t>
      </w:r>
      <w:r>
        <w:rPr>
          <w:spacing w:val="-11"/>
        </w:rPr>
        <w:t> </w:t>
      </w:r>
      <w:r>
        <w:rPr/>
        <w:t>y</w:t>
      </w:r>
      <w:r>
        <w:rPr>
          <w:spacing w:val="-14"/>
        </w:rPr>
        <w:t> </w:t>
      </w:r>
      <w:r>
        <w:rPr/>
        <w:t>MINETT,</w:t>
      </w:r>
    </w:p>
    <w:p>
      <w:pPr>
        <w:spacing w:before="8"/>
        <w:ind w:left="810" w:right="339" w:firstLine="0"/>
        <w:jc w:val="left"/>
        <w:rPr>
          <w:sz w:val="24"/>
        </w:rPr>
      </w:pPr>
      <w:r>
        <w:rPr>
          <w:sz w:val="24"/>
        </w:rPr>
        <w:t>J. (1997) </w:t>
      </w:r>
      <w:r>
        <w:rPr>
          <w:i/>
          <w:sz w:val="24"/>
        </w:rPr>
        <w:t>Manual de traducción: inglés-castellano. </w:t>
      </w:r>
      <w:r>
        <w:rPr>
          <w:sz w:val="24"/>
        </w:rPr>
        <w:t>Barcelona: Gedisa</w:t>
      </w:r>
    </w:p>
    <w:p>
      <w:pPr>
        <w:pStyle w:val="BodyText"/>
      </w:pPr>
    </w:p>
    <w:p>
      <w:pPr>
        <w:pStyle w:val="BodyText"/>
        <w:spacing w:before="6"/>
        <w:rPr>
          <w:sz w:val="23"/>
        </w:rPr>
      </w:pPr>
    </w:p>
    <w:p>
      <w:pPr>
        <w:spacing w:line="360" w:lineRule="auto" w:before="0"/>
        <w:ind w:left="810" w:right="339" w:hanging="708"/>
        <w:jc w:val="left"/>
        <w:rPr>
          <w:sz w:val="24"/>
        </w:rPr>
      </w:pPr>
      <w:r>
        <w:rPr>
          <w:sz w:val="24"/>
        </w:rPr>
        <w:t>WARDHAUGH, R. (1998) </w:t>
      </w:r>
      <w:r>
        <w:rPr>
          <w:i/>
          <w:sz w:val="24"/>
        </w:rPr>
        <w:t>An introduction to sociolinguistics </w:t>
      </w:r>
      <w:r>
        <w:rPr>
          <w:sz w:val="24"/>
        </w:rPr>
        <w:t>(3</w:t>
      </w:r>
      <w:r>
        <w:rPr>
          <w:position w:val="8"/>
          <w:sz w:val="16"/>
        </w:rPr>
        <w:t>a </w:t>
      </w:r>
      <w:r>
        <w:rPr>
          <w:sz w:val="24"/>
        </w:rPr>
        <w:t>ed.). Oxford: Oxford University Press.</w:t>
      </w:r>
    </w:p>
    <w:p>
      <w:pPr>
        <w:pStyle w:val="BodyText"/>
        <w:spacing w:before="8"/>
        <w:rPr>
          <w:sz w:val="35"/>
        </w:rPr>
      </w:pPr>
    </w:p>
    <w:p>
      <w:pPr>
        <w:spacing w:line="364" w:lineRule="auto" w:before="0"/>
        <w:ind w:left="810" w:right="339" w:hanging="708"/>
        <w:jc w:val="left"/>
        <w:rPr>
          <w:sz w:val="24"/>
        </w:rPr>
      </w:pPr>
      <w:r>
        <w:rPr>
          <w:sz w:val="24"/>
        </w:rPr>
        <w:t>WARDHAUGH, R. (2010) </w:t>
      </w:r>
      <w:r>
        <w:rPr>
          <w:i/>
          <w:sz w:val="24"/>
        </w:rPr>
        <w:t>An introduction to sociolinguistics </w:t>
      </w:r>
      <w:r>
        <w:rPr>
          <w:sz w:val="24"/>
        </w:rPr>
        <w:t>(6</w:t>
      </w:r>
      <w:r>
        <w:rPr>
          <w:position w:val="8"/>
          <w:sz w:val="16"/>
        </w:rPr>
        <w:t>a </w:t>
      </w:r>
      <w:r>
        <w:rPr>
          <w:sz w:val="24"/>
        </w:rPr>
        <w:t>ed.). Oxford: Oxford University Press.</w:t>
      </w:r>
    </w:p>
    <w:p>
      <w:pPr>
        <w:pStyle w:val="BodyText"/>
        <w:spacing w:before="7"/>
        <w:rPr>
          <w:sz w:val="35"/>
        </w:rPr>
      </w:pPr>
    </w:p>
    <w:p>
      <w:pPr>
        <w:spacing w:line="360" w:lineRule="auto" w:before="0"/>
        <w:ind w:left="810" w:right="26" w:hanging="708"/>
        <w:jc w:val="left"/>
        <w:rPr>
          <w:i/>
          <w:sz w:val="24"/>
        </w:rPr>
      </w:pPr>
      <w:r>
        <w:rPr>
          <w:sz w:val="24"/>
        </w:rPr>
        <w:t>WEINREICH U. (1953) </w:t>
      </w:r>
      <w:r>
        <w:rPr>
          <w:i/>
          <w:color w:val="212121"/>
          <w:sz w:val="24"/>
        </w:rPr>
        <w:t>Languages in Contact: Findings and Problems</w:t>
      </w:r>
      <w:r>
        <w:rPr>
          <w:color w:val="212121"/>
          <w:sz w:val="24"/>
        </w:rPr>
        <w:t>. The Hague: Mouton/New York, NY: Publications of the Linguistic Circle of New York. En </w:t>
      </w:r>
      <w:r>
        <w:rPr>
          <w:sz w:val="24"/>
        </w:rPr>
        <w:t>APPEL, R. Y MUYSKEN P. (1996) </w:t>
      </w:r>
      <w:r>
        <w:rPr>
          <w:i/>
          <w:sz w:val="24"/>
        </w:rPr>
        <w:t>Bilingüismo y contacto de lenguas. Barcelona: </w:t>
      </w:r>
      <w:r>
        <w:rPr>
          <w:i/>
          <w:sz w:val="24"/>
        </w:rPr>
        <w:t>Ariel</w:t>
      </w:r>
    </w:p>
    <w:p>
      <w:pPr>
        <w:pStyle w:val="BodyText"/>
        <w:rPr>
          <w:i/>
          <w:sz w:val="20"/>
        </w:rPr>
      </w:pPr>
    </w:p>
    <w:p>
      <w:pPr>
        <w:tabs>
          <w:tab w:pos="1631" w:val="left" w:leader="none"/>
        </w:tabs>
        <w:spacing w:line="362" w:lineRule="auto" w:before="188"/>
        <w:ind w:left="102" w:right="107" w:firstLine="0"/>
        <w:jc w:val="left"/>
        <w:rPr>
          <w:sz w:val="24"/>
        </w:rPr>
      </w:pPr>
      <w:r>
        <w:rPr>
          <w:w w:val="100"/>
          <w:sz w:val="24"/>
          <w:u w:val="single"/>
        </w:rPr>
        <w:t> </w:t>
      </w:r>
      <w:r>
        <w:rPr>
          <w:sz w:val="24"/>
          <w:u w:val="single"/>
        </w:rPr>
        <w:tab/>
      </w:r>
      <w:r>
        <w:rPr>
          <w:sz w:val="24"/>
        </w:rPr>
        <w:t>(1953) </w:t>
      </w:r>
      <w:r>
        <w:rPr>
          <w:i/>
          <w:color w:val="212121"/>
          <w:sz w:val="24"/>
        </w:rPr>
        <w:t>Languages in Contact: Findings and Problems</w:t>
      </w:r>
      <w:r>
        <w:rPr>
          <w:color w:val="212121"/>
          <w:sz w:val="24"/>
        </w:rPr>
        <w:t>.</w:t>
      </w:r>
      <w:r>
        <w:rPr>
          <w:color w:val="212121"/>
          <w:spacing w:val="-19"/>
          <w:sz w:val="24"/>
        </w:rPr>
        <w:t> </w:t>
      </w:r>
      <w:r>
        <w:rPr>
          <w:color w:val="212121"/>
          <w:sz w:val="24"/>
        </w:rPr>
        <w:t>The</w:t>
      </w:r>
      <w:r>
        <w:rPr>
          <w:color w:val="212121"/>
          <w:spacing w:val="-3"/>
          <w:sz w:val="24"/>
        </w:rPr>
        <w:t> </w:t>
      </w:r>
      <w:r>
        <w:rPr>
          <w:color w:val="212121"/>
          <w:sz w:val="24"/>
        </w:rPr>
        <w:t>Hague:</w:t>
      </w:r>
      <w:r>
        <w:rPr>
          <w:color w:val="212121"/>
          <w:w w:val="100"/>
          <w:sz w:val="24"/>
        </w:rPr>
        <w:t> </w:t>
      </w:r>
      <w:r>
        <w:rPr>
          <w:color w:val="212121"/>
          <w:sz w:val="24"/>
        </w:rPr>
        <w:t>Mouton/New York, NY: Publications of the Linguistic Circle of New York. En </w:t>
      </w:r>
      <w:r>
        <w:rPr>
          <w:color w:val="212121"/>
          <w:spacing w:val="32"/>
          <w:sz w:val="24"/>
        </w:rPr>
        <w:t> </w:t>
      </w:r>
      <w:r>
        <w:rPr>
          <w:sz w:val="24"/>
        </w:rPr>
        <w:t>EBNETER,</w:t>
      </w:r>
    </w:p>
    <w:p>
      <w:pPr>
        <w:spacing w:line="274" w:lineRule="exact" w:before="0"/>
        <w:ind w:left="102" w:right="339" w:firstLine="0"/>
        <w:jc w:val="left"/>
        <w:rPr>
          <w:sz w:val="24"/>
        </w:rPr>
      </w:pPr>
      <w:r>
        <w:rPr>
          <w:sz w:val="24"/>
        </w:rPr>
        <w:t>T. (1982) </w:t>
      </w:r>
      <w:r>
        <w:rPr>
          <w:i/>
          <w:sz w:val="24"/>
        </w:rPr>
        <w:t>Lingüística Aplicada: Introducción</w:t>
      </w:r>
      <w:r>
        <w:rPr>
          <w:sz w:val="24"/>
        </w:rPr>
        <w:t>. Madrid: Gredos</w:t>
      </w:r>
    </w:p>
    <w:p>
      <w:pPr>
        <w:spacing w:line="820" w:lineRule="atLeast" w:before="8"/>
        <w:ind w:left="102" w:right="880" w:firstLine="0"/>
        <w:jc w:val="left"/>
        <w:rPr>
          <w:i/>
          <w:sz w:val="24"/>
        </w:rPr>
      </w:pPr>
      <w:r>
        <w:rPr>
          <w:sz w:val="24"/>
        </w:rPr>
        <w:t>YULE, G. (1996) </w:t>
      </w:r>
      <w:r>
        <w:rPr>
          <w:i/>
          <w:sz w:val="24"/>
        </w:rPr>
        <w:t>The Study of Language </w:t>
      </w:r>
      <w:r>
        <w:rPr>
          <w:sz w:val="24"/>
        </w:rPr>
        <w:t>(2</w:t>
      </w:r>
      <w:r>
        <w:rPr>
          <w:position w:val="8"/>
          <w:sz w:val="16"/>
        </w:rPr>
        <w:t>a </w:t>
      </w:r>
      <w:r>
        <w:rPr>
          <w:sz w:val="24"/>
        </w:rPr>
        <w:t>ed.). Cambridge University Press ZARIÑANA, E. (2010) </w:t>
      </w:r>
      <w:r>
        <w:rPr>
          <w:i/>
          <w:sz w:val="24"/>
        </w:rPr>
        <w:t>Estudio Exploratorio sobre Actitudes Lingüísticas hacia las</w:t>
      </w:r>
    </w:p>
    <w:p>
      <w:pPr>
        <w:spacing w:line="362" w:lineRule="auto" w:before="137"/>
        <w:ind w:left="810" w:right="478" w:firstLine="0"/>
        <w:jc w:val="left"/>
        <w:rPr>
          <w:sz w:val="24"/>
        </w:rPr>
      </w:pPr>
      <w:r>
        <w:rPr>
          <w:i/>
          <w:sz w:val="24"/>
        </w:rPr>
        <w:t>lenguas indígenas e internacionales presentes en alumnos de la UAEM</w:t>
      </w:r>
      <w:r>
        <w:rPr>
          <w:sz w:val="24"/>
        </w:rPr>
        <w:t>. Tesis (Licenciatura) México: UAEMéx.</w:t>
      </w:r>
    </w:p>
    <w:p>
      <w:pPr>
        <w:pStyle w:val="BodyText"/>
        <w:spacing w:before="11"/>
        <w:rPr>
          <w:sz w:val="35"/>
        </w:rPr>
      </w:pPr>
    </w:p>
    <w:p>
      <w:pPr>
        <w:spacing w:line="360" w:lineRule="auto" w:before="0"/>
        <w:ind w:left="810" w:right="26" w:hanging="708"/>
        <w:jc w:val="left"/>
        <w:rPr>
          <w:sz w:val="24"/>
        </w:rPr>
      </w:pPr>
      <w:r>
        <w:rPr>
          <w:sz w:val="24"/>
        </w:rPr>
        <w:t>ZAWADSK</w:t>
      </w:r>
      <w:r>
        <w:rPr>
          <w:spacing w:val="-18"/>
          <w:sz w:val="24"/>
        </w:rPr>
        <w:t> </w:t>
      </w:r>
      <w:r>
        <w:rPr>
          <w:sz w:val="24"/>
        </w:rPr>
        <w:t>(1948)</w:t>
      </w:r>
      <w:r>
        <w:rPr>
          <w:spacing w:val="-17"/>
          <w:sz w:val="24"/>
        </w:rPr>
        <w:t> </w:t>
      </w:r>
      <w:r>
        <w:rPr>
          <w:sz w:val="24"/>
        </w:rPr>
        <w:t>En</w:t>
      </w:r>
      <w:r>
        <w:rPr>
          <w:spacing w:val="-19"/>
          <w:sz w:val="24"/>
        </w:rPr>
        <w:t> </w:t>
      </w:r>
      <w:r>
        <w:rPr>
          <w:sz w:val="24"/>
        </w:rPr>
        <w:t>COUPLAND,</w:t>
      </w:r>
      <w:r>
        <w:rPr>
          <w:spacing w:val="-16"/>
          <w:sz w:val="24"/>
        </w:rPr>
        <w:t> </w:t>
      </w:r>
      <w:r>
        <w:rPr>
          <w:sz w:val="24"/>
        </w:rPr>
        <w:t>N.</w:t>
      </w:r>
      <w:r>
        <w:rPr>
          <w:spacing w:val="-16"/>
          <w:sz w:val="24"/>
        </w:rPr>
        <w:t> </w:t>
      </w:r>
      <w:r>
        <w:rPr>
          <w:sz w:val="24"/>
        </w:rPr>
        <w:t>y</w:t>
      </w:r>
      <w:r>
        <w:rPr>
          <w:spacing w:val="-19"/>
          <w:sz w:val="24"/>
        </w:rPr>
        <w:t> </w:t>
      </w:r>
      <w:r>
        <w:rPr>
          <w:sz w:val="24"/>
        </w:rPr>
        <w:t>JAWORSKY,</w:t>
      </w:r>
      <w:r>
        <w:rPr>
          <w:spacing w:val="-16"/>
          <w:sz w:val="24"/>
        </w:rPr>
        <w:t> </w:t>
      </w:r>
      <w:r>
        <w:rPr>
          <w:sz w:val="24"/>
        </w:rPr>
        <w:t>A.</w:t>
      </w:r>
      <w:r>
        <w:rPr>
          <w:spacing w:val="-16"/>
          <w:sz w:val="24"/>
        </w:rPr>
        <w:t> </w:t>
      </w:r>
      <w:r>
        <w:rPr>
          <w:sz w:val="24"/>
        </w:rPr>
        <w:t>(1997)</w:t>
      </w:r>
      <w:r>
        <w:rPr>
          <w:spacing w:val="-14"/>
          <w:sz w:val="24"/>
        </w:rPr>
        <w:t> </w:t>
      </w:r>
      <w:r>
        <w:rPr>
          <w:i/>
          <w:sz w:val="24"/>
        </w:rPr>
        <w:t>Sociolinguistics:</w:t>
      </w:r>
      <w:r>
        <w:rPr>
          <w:i/>
          <w:spacing w:val="-19"/>
          <w:sz w:val="24"/>
        </w:rPr>
        <w:t> </w:t>
      </w:r>
      <w:r>
        <w:rPr>
          <w:i/>
          <w:sz w:val="24"/>
        </w:rPr>
        <w:t>A</w:t>
      </w:r>
      <w:r>
        <w:rPr>
          <w:i/>
          <w:spacing w:val="-16"/>
          <w:sz w:val="24"/>
        </w:rPr>
        <w:t> </w:t>
      </w:r>
      <w:r>
        <w:rPr>
          <w:i/>
          <w:sz w:val="24"/>
        </w:rPr>
        <w:t>reader </w:t>
      </w:r>
      <w:r>
        <w:rPr>
          <w:i/>
          <w:sz w:val="24"/>
        </w:rPr>
        <w:t>and course book</w:t>
      </w:r>
      <w:r>
        <w:rPr>
          <w:sz w:val="24"/>
        </w:rPr>
        <w:t>. St. Martin’s Press:</w:t>
      </w:r>
      <w:r>
        <w:rPr>
          <w:spacing w:val="-17"/>
          <w:sz w:val="24"/>
        </w:rPr>
        <w:t> </w:t>
      </w:r>
      <w:r>
        <w:rPr>
          <w:sz w:val="24"/>
        </w:rPr>
        <w:t>Palgrave</w:t>
      </w:r>
    </w:p>
    <w:p>
      <w:pPr>
        <w:pStyle w:val="BodyText"/>
        <w:spacing w:before="7"/>
        <w:ind w:left="102"/>
      </w:pPr>
      <w:r>
        <w:rPr>
          <w:w w:val="100"/>
        </w:rPr>
        <w:t>.</w:t>
      </w:r>
    </w:p>
    <w:p>
      <w:pPr>
        <w:spacing w:before="134"/>
        <w:ind w:left="102" w:right="339" w:firstLine="0"/>
        <w:jc w:val="left"/>
        <w:rPr>
          <w:sz w:val="24"/>
        </w:rPr>
      </w:pPr>
      <w:r>
        <w:rPr>
          <w:sz w:val="24"/>
        </w:rPr>
        <w:t>ZORRILLA, S. (1997) </w:t>
      </w:r>
      <w:r>
        <w:rPr>
          <w:i/>
          <w:sz w:val="24"/>
        </w:rPr>
        <w:t>Introducción a la metodología de la investigación </w:t>
      </w:r>
      <w:r>
        <w:rPr>
          <w:sz w:val="24"/>
        </w:rPr>
        <w:t>(19ª ed.).</w:t>
      </w:r>
    </w:p>
    <w:p>
      <w:pPr>
        <w:pStyle w:val="BodyText"/>
        <w:spacing w:before="141"/>
        <w:ind w:left="810" w:right="339"/>
      </w:pPr>
      <w:r>
        <w:rPr/>
        <w:t>México D.F.: Aguilar León y Cal. Edrs.</w:t>
      </w:r>
    </w:p>
    <w:p>
      <w:pPr>
        <w:spacing w:after="0"/>
        <w:sectPr>
          <w:pgSz w:w="12240" w:h="15840"/>
          <w:pgMar w:header="749" w:footer="1003" w:top="960" w:bottom="1200" w:left="160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after="1"/>
        <w:rPr>
          <w:rFonts w:ascii="Times New Roman"/>
          <w:sz w:val="27"/>
        </w:rPr>
      </w:pPr>
    </w:p>
    <w:p>
      <w:pPr>
        <w:pStyle w:val="BodyText"/>
        <w:ind w:left="2233"/>
        <w:rPr>
          <w:rFonts w:ascii="Times New Roman"/>
          <w:sz w:val="20"/>
        </w:rPr>
      </w:pPr>
      <w:r>
        <w:rPr>
          <w:rFonts w:ascii="Times New Roman"/>
          <w:sz w:val="20"/>
        </w:rPr>
        <w:pict>
          <v:group style="width:242.25pt;height:58.7pt;mso-position-horizontal-relative:char;mso-position-vertical-relative:line" coordorigin="0,0" coordsize="4845,1174">
            <v:shape style="position:absolute;left:4;top:4;width:4835;height:1165" type="#_x0000_t75" stroked="false">
              <v:imagedata r:id="rId121" o:title=""/>
            </v:shape>
            <v:shape style="position:absolute;left:4208;top:480;width:406;height:510" coordorigin="4208,480" coordsize="406,510" path="m4411,480l4332,497,4267,546,4223,626,4208,735,4212,793,4241,888,4298,953,4370,986,4411,990,4453,986,4525,953,4581,888,4610,793,4614,734,4610,676,4581,582,4525,517,4453,485,4411,480xe" filled="false" stroked="true" strokeweight=".415pt" strokecolor="#7b7b7b">
              <v:path arrowok="t"/>
            </v:shape>
            <v:shape style="position:absolute;left:2414;top:465;width:337;height:203" type="#_x0000_t75" stroked="false">
              <v:imagedata r:id="rId122" o:title=""/>
            </v:shape>
            <v:shape style="position:absolute;left:3038;top:320;width:866;height:831" coordorigin="3038,320" coordsize="866,831" path="m3050,320l3319,320,3466,548,3620,320,3878,320,3597,713,3904,1150,3634,1150,3466,893,3295,1150,3038,1150,3337,723,3050,320xe" filled="false" stroked="true" strokeweight=".415pt" strokecolor="#7b7b7b">
              <v:path arrowok="t"/>
            </v:shape>
            <v:shape style="position:absolute;left:3983;top:301;width:857;height:868" coordorigin="3983,301" coordsize="857,868" path="m4411,301l4500,309,4582,332,4655,370,4719,424,4772,489,4810,562,4832,643,4840,733,4832,823,4809,905,4771,979,4718,1045,4653,1099,4581,1138,4500,1161,4412,1169,4356,1166,4247,1140,4146,1089,4067,1013,4013,914,3996,856,3986,792,3983,723,3986,669,4013,563,4067,464,4143,385,4241,332,4351,305,4411,301xe" filled="false" stroked="true" strokeweight=".415pt" strokecolor="#7b7b7b">
              <v:path arrowok="t"/>
            </v:shape>
            <v:shape style="position:absolute;left:2189;top:301;width:776;height:868" coordorigin="2189,301" coordsize="776,868" path="m2569,301l2657,309,2735,332,2803,370,2862,424,2900,478,2930,542,2950,617,2962,703,2964,798,2414,798,2418,845,2445,921,2494,974,2557,1002,2594,1005,2618,1003,2680,977,2724,915,2734,886,2952,923,2928,979,2862,1071,2771,1134,2657,1165,2591,1169,2509,1163,2436,1146,2372,1118,2317,1078,2271,1027,2235,967,2209,899,2194,824,2189,741,2196,644,2216,557,2250,482,2297,418,2354,367,2419,331,2491,309,2569,301xe" filled="false" stroked="true" strokeweight=".415pt" strokecolor="#7b7b7b">
              <v:path arrowok="t"/>
            </v:shape>
            <v:shape style="position:absolute;left:1275;top:301;width:757;height:849" coordorigin="1275,301" coordsize="757,849" path="m1752,301l1822,308,1885,328,1938,357,1990,415,2019,487,2028,549,2031,634,2031,1150,1812,1150,1812,727,1811,665,1804,578,1779,518,1717,475,1676,469,1648,471,1573,501,1521,559,1499,657,1494,774,1494,1150,1275,1150,1275,320,1479,320,1479,442,1537,381,1601,337,1673,310,1752,301xe" filled="false" stroked="true" strokeweight=".415pt" strokecolor="#7b7b7b">
              <v:path arrowok="t"/>
            </v:shape>
            <v:shape style="position:absolute;left:416;top:272;width:313;height:426" coordorigin="416,272" coordsize="313,426" path="m570,272l416,697,728,697,570,272xe" filled="false" stroked="true" strokeweight=".415pt" strokecolor="#7b7b7b">
              <v:path arrowok="t"/>
            </v:shape>
            <v:shape style="position:absolute;left:4;top:4;width:1150;height:1146" coordorigin="4,4" coordsize="1150,1146" path="m451,4l695,4,1154,1150,903,1150,802,890,344,890,250,1150,4,1150,451,4xe" filled="false" stroked="true" strokeweight=".415pt" strokecolor="#7b7b7b">
              <v:path arrowok="t"/>
            </v:shape>
          </v:group>
        </w:pict>
      </w:r>
      <w:r>
        <w:rPr>
          <w:rFonts w:ascii="Times New Roman"/>
          <w:sz w:val="20"/>
        </w:rPr>
      </w:r>
    </w:p>
    <w:p>
      <w:pPr>
        <w:spacing w:after="0"/>
        <w:rPr>
          <w:rFonts w:ascii="Times New Roman"/>
          <w:sz w:val="20"/>
        </w:rPr>
        <w:sectPr>
          <w:headerReference w:type="default" r:id="rId119"/>
          <w:footerReference w:type="default" r:id="rId120"/>
          <w:pgSz w:w="12240" w:h="15840"/>
          <w:pgMar w:header="0" w:footer="0" w:top="1500" w:bottom="280" w:left="1720" w:right="1720"/>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19"/>
        </w:rPr>
      </w:pPr>
    </w:p>
    <w:p>
      <w:pPr>
        <w:spacing w:before="0"/>
        <w:ind w:left="102" w:right="0" w:firstLine="0"/>
        <w:jc w:val="both"/>
        <w:rPr>
          <w:b/>
          <w:sz w:val="24"/>
        </w:rPr>
      </w:pPr>
      <w:r>
        <w:rPr>
          <w:b/>
          <w:i/>
          <w:color w:val="2D74B5"/>
          <w:sz w:val="24"/>
        </w:rPr>
        <w:t>Social networks</w:t>
      </w:r>
      <w:r>
        <w:rPr>
          <w:b/>
          <w:color w:val="2D74B5"/>
          <w:sz w:val="24"/>
        </w:rPr>
        <w:t>: todo lo que hay que saber</w:t>
      </w:r>
    </w:p>
    <w:p>
      <w:pPr>
        <w:pStyle w:val="BodyText"/>
        <w:spacing w:line="360" w:lineRule="auto" w:before="137"/>
        <w:ind w:left="102" w:right="107"/>
        <w:jc w:val="both"/>
      </w:pPr>
      <w:r>
        <w:rPr/>
        <w:t>En</w:t>
      </w:r>
      <w:r>
        <w:rPr>
          <w:spacing w:val="-16"/>
        </w:rPr>
        <w:t> </w:t>
      </w:r>
      <w:r>
        <w:rPr/>
        <w:t>una</w:t>
      </w:r>
      <w:r>
        <w:rPr>
          <w:spacing w:val="-16"/>
        </w:rPr>
        <w:t> </w:t>
      </w:r>
      <w:r>
        <w:rPr/>
        <w:t>investigación</w:t>
      </w:r>
      <w:r>
        <w:rPr>
          <w:spacing w:val="-15"/>
        </w:rPr>
        <w:t> </w:t>
      </w:r>
      <w:r>
        <w:rPr/>
        <w:t>realizada</w:t>
      </w:r>
      <w:r>
        <w:rPr>
          <w:spacing w:val="-16"/>
        </w:rPr>
        <w:t> </w:t>
      </w:r>
      <w:r>
        <w:rPr/>
        <w:t>a</w:t>
      </w:r>
      <w:r>
        <w:rPr>
          <w:spacing w:val="-18"/>
        </w:rPr>
        <w:t> </w:t>
      </w:r>
      <w:r>
        <w:rPr/>
        <w:t>finales</w:t>
      </w:r>
      <w:r>
        <w:rPr>
          <w:spacing w:val="-16"/>
        </w:rPr>
        <w:t> </w:t>
      </w:r>
      <w:r>
        <w:rPr/>
        <w:t>del</w:t>
      </w:r>
      <w:r>
        <w:rPr>
          <w:spacing w:val="-17"/>
        </w:rPr>
        <w:t> </w:t>
      </w:r>
      <w:r>
        <w:rPr/>
        <w:t>año</w:t>
      </w:r>
      <w:r>
        <w:rPr>
          <w:spacing w:val="-16"/>
        </w:rPr>
        <w:t> </w:t>
      </w:r>
      <w:r>
        <w:rPr/>
        <w:t>pasado</w:t>
      </w:r>
      <w:r>
        <w:rPr>
          <w:spacing w:val="-18"/>
        </w:rPr>
        <w:t> </w:t>
      </w:r>
      <w:r>
        <w:rPr/>
        <w:t>en</w:t>
      </w:r>
      <w:r>
        <w:rPr>
          <w:spacing w:val="-18"/>
        </w:rPr>
        <w:t> </w:t>
      </w:r>
      <w:r>
        <w:rPr/>
        <w:t>Santiago</w:t>
      </w:r>
      <w:r>
        <w:rPr>
          <w:spacing w:val="-18"/>
        </w:rPr>
        <w:t> </w:t>
      </w:r>
      <w:r>
        <w:rPr/>
        <w:t>de</w:t>
      </w:r>
      <w:r>
        <w:rPr>
          <w:spacing w:val="-16"/>
        </w:rPr>
        <w:t> </w:t>
      </w:r>
      <w:r>
        <w:rPr/>
        <w:t>Chile,</w:t>
      </w:r>
      <w:r>
        <w:rPr>
          <w:spacing w:val="-18"/>
        </w:rPr>
        <w:t> </w:t>
      </w:r>
      <w:r>
        <w:rPr/>
        <w:t>se</w:t>
      </w:r>
      <w:r>
        <w:rPr>
          <w:spacing w:val="-16"/>
        </w:rPr>
        <w:t> </w:t>
      </w:r>
      <w:r>
        <w:rPr/>
        <w:t>encontró que Latinoamérica es la región más involucrada en las llamadas </w:t>
      </w:r>
      <w:r>
        <w:rPr>
          <w:b/>
          <w:i/>
        </w:rPr>
        <w:t>social networks</w:t>
      </w:r>
      <w:r>
        <w:rPr/>
        <w:t>. Se menciona que no solo tienen el 100% de </w:t>
      </w:r>
      <w:r>
        <w:rPr>
          <w:b/>
          <w:i/>
        </w:rPr>
        <w:t>rating </w:t>
      </w:r>
      <w:r>
        <w:rPr/>
        <w:t>latino mensual, sino que además se consume mucho tiempo en</w:t>
      </w:r>
      <w:r>
        <w:rPr>
          <w:spacing w:val="-12"/>
        </w:rPr>
        <w:t> </w:t>
      </w:r>
      <w:r>
        <w:rPr/>
        <w:t>ellos.</w:t>
      </w:r>
    </w:p>
    <w:p>
      <w:pPr>
        <w:pStyle w:val="BodyText"/>
        <w:spacing w:line="360" w:lineRule="auto" w:before="204"/>
        <w:ind w:left="102" w:right="109"/>
        <w:jc w:val="both"/>
      </w:pPr>
      <w:r>
        <w:rPr/>
        <w:t>Además añaden que 1 de cada 4 minutos </w:t>
      </w:r>
      <w:r>
        <w:rPr>
          <w:b/>
          <w:i/>
        </w:rPr>
        <w:t>online </w:t>
      </w:r>
      <w:r>
        <w:rPr/>
        <w:t>consumidos en Latinoamérica pertenecen a Facebook, tomando la posición número uno en el </w:t>
      </w:r>
      <w:r>
        <w:rPr>
          <w:b/>
          <w:i/>
        </w:rPr>
        <w:t>top </w:t>
      </w:r>
      <w:r>
        <w:rPr/>
        <w:t>de este tipo de páginas</w:t>
      </w:r>
      <w:r>
        <w:rPr>
          <w:spacing w:val="-9"/>
        </w:rPr>
        <w:t> </w:t>
      </w:r>
      <w:r>
        <w:rPr/>
        <w:t>web</w:t>
      </w:r>
      <w:r>
        <w:rPr>
          <w:spacing w:val="-7"/>
        </w:rPr>
        <w:t> </w:t>
      </w:r>
      <w:r>
        <w:rPr/>
        <w:t>con</w:t>
      </w:r>
      <w:r>
        <w:rPr>
          <w:spacing w:val="-8"/>
        </w:rPr>
        <w:t> </w:t>
      </w:r>
      <w:r>
        <w:rPr/>
        <w:t>114,5</w:t>
      </w:r>
      <w:r>
        <w:rPr>
          <w:spacing w:val="-11"/>
        </w:rPr>
        <w:t> </w:t>
      </w:r>
      <w:r>
        <w:rPr/>
        <w:t>millones</w:t>
      </w:r>
      <w:r>
        <w:rPr>
          <w:spacing w:val="-12"/>
        </w:rPr>
        <w:t> </w:t>
      </w:r>
      <w:r>
        <w:rPr/>
        <w:t>de</w:t>
      </w:r>
      <w:r>
        <w:rPr>
          <w:spacing w:val="-8"/>
        </w:rPr>
        <w:t> </w:t>
      </w:r>
      <w:r>
        <w:rPr/>
        <w:t>visitantes,</w:t>
      </w:r>
      <w:r>
        <w:rPr>
          <w:spacing w:val="-11"/>
        </w:rPr>
        <w:t> </w:t>
      </w:r>
      <w:r>
        <w:rPr/>
        <w:t>seguido</w:t>
      </w:r>
      <w:r>
        <w:rPr>
          <w:spacing w:val="-8"/>
        </w:rPr>
        <w:t> </w:t>
      </w:r>
      <w:r>
        <w:rPr/>
        <w:t>en</w:t>
      </w:r>
      <w:r>
        <w:rPr>
          <w:spacing w:val="-11"/>
        </w:rPr>
        <w:t> </w:t>
      </w:r>
      <w:r>
        <w:rPr/>
        <w:t>el</w:t>
      </w:r>
      <w:r>
        <w:rPr>
          <w:spacing w:val="-4"/>
        </w:rPr>
        <w:t> </w:t>
      </w:r>
      <w:r>
        <w:rPr>
          <w:b/>
          <w:i/>
        </w:rPr>
        <w:t>ranking</w:t>
      </w:r>
      <w:r>
        <w:rPr>
          <w:b/>
          <w:i/>
          <w:spacing w:val="-8"/>
        </w:rPr>
        <w:t> </w:t>
      </w:r>
      <w:r>
        <w:rPr/>
        <w:t>por</w:t>
      </w:r>
      <w:r>
        <w:rPr>
          <w:spacing w:val="-10"/>
        </w:rPr>
        <w:t> </w:t>
      </w:r>
      <w:r>
        <w:rPr/>
        <w:t>Twitter</w:t>
      </w:r>
      <w:r>
        <w:rPr>
          <w:spacing w:val="-10"/>
        </w:rPr>
        <w:t> </w:t>
      </w:r>
      <w:r>
        <w:rPr/>
        <w:t>con</w:t>
      </w:r>
      <w:r>
        <w:rPr>
          <w:spacing w:val="-11"/>
        </w:rPr>
        <w:t> </w:t>
      </w:r>
      <w:r>
        <w:rPr/>
        <w:t>27,4 millones de visitantes, mientras que Orkut ocupa el tercer lugar con 25,7 millones de visitantes. Sin embargo, Facebook es el sitio </w:t>
      </w:r>
      <w:r>
        <w:rPr>
          <w:b/>
          <w:i/>
        </w:rPr>
        <w:t>web </w:t>
      </w:r>
      <w:r>
        <w:rPr/>
        <w:t>con mayor afinidad a sus usuarios consumiendo un promedio de 7,7 horas al</w:t>
      </w:r>
      <w:r>
        <w:rPr>
          <w:spacing w:val="-14"/>
        </w:rPr>
        <w:t> </w:t>
      </w:r>
      <w:r>
        <w:rPr/>
        <w:t>día.</w:t>
      </w:r>
    </w:p>
    <w:p>
      <w:pPr>
        <w:pStyle w:val="BodyText"/>
        <w:spacing w:line="360" w:lineRule="auto" w:before="204"/>
        <w:ind w:left="102" w:right="109"/>
        <w:jc w:val="both"/>
      </w:pPr>
      <w:r>
        <w:rPr/>
        <w:t>En publicaciones relacionadas, el resumen del </w:t>
      </w:r>
      <w:r>
        <w:rPr>
          <w:b/>
          <w:i/>
        </w:rPr>
        <w:t>webmarketer </w:t>
      </w:r>
      <w:r>
        <w:rPr/>
        <w:t>indica que para el 2012 en México los usuarios de Facebook llegaban a los 33 millones de usuarios, 50% mujeres 50% hombres. El responsable de </w:t>
      </w:r>
      <w:r>
        <w:rPr>
          <w:b/>
          <w:i/>
        </w:rPr>
        <w:t>marketing online </w:t>
      </w:r>
      <w:r>
        <w:rPr/>
        <w:t>indicó que el 33% de los usuarios tiene entre 18 y 24 años de edad, seguidos por el 25% de entre 25 y 34 años y en tercer lugar</w:t>
      </w:r>
      <w:r>
        <w:rPr>
          <w:spacing w:val="-12"/>
        </w:rPr>
        <w:t> </w:t>
      </w:r>
      <w:r>
        <w:rPr/>
        <w:t>con</w:t>
      </w:r>
      <w:r>
        <w:rPr>
          <w:spacing w:val="-13"/>
        </w:rPr>
        <w:t> </w:t>
      </w:r>
      <w:r>
        <w:rPr/>
        <w:t>el</w:t>
      </w:r>
      <w:r>
        <w:rPr>
          <w:spacing w:val="-14"/>
        </w:rPr>
        <w:t> </w:t>
      </w:r>
      <w:r>
        <w:rPr/>
        <w:t>12%</w:t>
      </w:r>
      <w:r>
        <w:rPr>
          <w:spacing w:val="-14"/>
        </w:rPr>
        <w:t> </w:t>
      </w:r>
      <w:r>
        <w:rPr/>
        <w:t>de</w:t>
      </w:r>
      <w:r>
        <w:rPr>
          <w:spacing w:val="-13"/>
        </w:rPr>
        <w:t> </w:t>
      </w:r>
      <w:r>
        <w:rPr/>
        <w:t>adolescentes</w:t>
      </w:r>
      <w:r>
        <w:rPr>
          <w:spacing w:val="-14"/>
        </w:rPr>
        <w:t> </w:t>
      </w:r>
      <w:r>
        <w:rPr/>
        <w:t>de</w:t>
      </w:r>
      <w:r>
        <w:rPr>
          <w:spacing w:val="-13"/>
        </w:rPr>
        <w:t> </w:t>
      </w:r>
      <w:r>
        <w:rPr/>
        <w:t>entre</w:t>
      </w:r>
      <w:r>
        <w:rPr>
          <w:spacing w:val="-13"/>
        </w:rPr>
        <w:t> </w:t>
      </w:r>
      <w:r>
        <w:rPr/>
        <w:t>16</w:t>
      </w:r>
      <w:r>
        <w:rPr>
          <w:spacing w:val="-15"/>
        </w:rPr>
        <w:t> </w:t>
      </w:r>
      <w:r>
        <w:rPr/>
        <w:t>y</w:t>
      </w:r>
      <w:r>
        <w:rPr>
          <w:spacing w:val="-14"/>
        </w:rPr>
        <w:t> </w:t>
      </w:r>
      <w:r>
        <w:rPr/>
        <w:t>17</w:t>
      </w:r>
      <w:r>
        <w:rPr>
          <w:spacing w:val="-11"/>
        </w:rPr>
        <w:t> </w:t>
      </w:r>
      <w:r>
        <w:rPr/>
        <w:t>años</w:t>
      </w:r>
      <w:r>
        <w:rPr>
          <w:spacing w:val="-14"/>
        </w:rPr>
        <w:t> </w:t>
      </w:r>
      <w:r>
        <w:rPr/>
        <w:t>de</w:t>
      </w:r>
      <w:r>
        <w:rPr>
          <w:spacing w:val="-13"/>
        </w:rPr>
        <w:t> </w:t>
      </w:r>
      <w:r>
        <w:rPr/>
        <w:t>edad</w:t>
      </w:r>
      <w:r>
        <w:rPr>
          <w:spacing w:val="-13"/>
        </w:rPr>
        <w:t> </w:t>
      </w:r>
      <w:r>
        <w:rPr/>
        <w:t>y</w:t>
      </w:r>
      <w:r>
        <w:rPr>
          <w:spacing w:val="-14"/>
        </w:rPr>
        <w:t> </w:t>
      </w:r>
      <w:r>
        <w:rPr/>
        <w:t>otro</w:t>
      </w:r>
      <w:r>
        <w:rPr>
          <w:spacing w:val="-11"/>
        </w:rPr>
        <w:t> </w:t>
      </w:r>
      <w:r>
        <w:rPr/>
        <w:t>12%</w:t>
      </w:r>
      <w:r>
        <w:rPr>
          <w:spacing w:val="-14"/>
        </w:rPr>
        <w:t> </w:t>
      </w:r>
      <w:r>
        <w:rPr/>
        <w:t>adultos</w:t>
      </w:r>
      <w:r>
        <w:rPr>
          <w:spacing w:val="-14"/>
        </w:rPr>
        <w:t> </w:t>
      </w:r>
      <w:r>
        <w:rPr/>
        <w:t>entre 35</w:t>
      </w:r>
      <w:r>
        <w:rPr>
          <w:spacing w:val="-14"/>
        </w:rPr>
        <w:t> </w:t>
      </w:r>
      <w:r>
        <w:rPr/>
        <w:t>y</w:t>
      </w:r>
      <w:r>
        <w:rPr>
          <w:spacing w:val="-16"/>
        </w:rPr>
        <w:t> </w:t>
      </w:r>
      <w:r>
        <w:rPr/>
        <w:t>44</w:t>
      </w:r>
      <w:r>
        <w:rPr>
          <w:spacing w:val="-15"/>
        </w:rPr>
        <w:t> </w:t>
      </w:r>
      <w:r>
        <w:rPr/>
        <w:t>años</w:t>
      </w:r>
      <w:r>
        <w:rPr>
          <w:spacing w:val="-16"/>
        </w:rPr>
        <w:t> </w:t>
      </w:r>
      <w:r>
        <w:rPr/>
        <w:t>de</w:t>
      </w:r>
      <w:r>
        <w:rPr>
          <w:spacing w:val="-15"/>
        </w:rPr>
        <w:t> </w:t>
      </w:r>
      <w:r>
        <w:rPr/>
        <w:t>edad.</w:t>
      </w:r>
      <w:r>
        <w:rPr>
          <w:spacing w:val="-18"/>
        </w:rPr>
        <w:t> </w:t>
      </w:r>
      <w:r>
        <w:rPr/>
        <w:t>Finalmente,</w:t>
      </w:r>
      <w:r>
        <w:rPr>
          <w:spacing w:val="-16"/>
        </w:rPr>
        <w:t> </w:t>
      </w:r>
      <w:r>
        <w:rPr/>
        <w:t>en</w:t>
      </w:r>
      <w:r>
        <w:rPr>
          <w:spacing w:val="-14"/>
        </w:rPr>
        <w:t> </w:t>
      </w:r>
      <w:r>
        <w:rPr/>
        <w:t>cuanto</w:t>
      </w:r>
      <w:r>
        <w:rPr>
          <w:spacing w:val="-16"/>
        </w:rPr>
        <w:t> </w:t>
      </w:r>
      <w:r>
        <w:rPr/>
        <w:t>a</w:t>
      </w:r>
      <w:r>
        <w:rPr>
          <w:spacing w:val="-14"/>
        </w:rPr>
        <w:t> </w:t>
      </w:r>
      <w:r>
        <w:rPr/>
        <w:t>entidades</w:t>
      </w:r>
      <w:r>
        <w:rPr>
          <w:spacing w:val="-19"/>
        </w:rPr>
        <w:t> </w:t>
      </w:r>
      <w:r>
        <w:rPr/>
        <w:t>federativas</w:t>
      </w:r>
      <w:r>
        <w:rPr>
          <w:spacing w:val="-14"/>
        </w:rPr>
        <w:t> </w:t>
      </w:r>
      <w:r>
        <w:rPr/>
        <w:t>el</w:t>
      </w:r>
      <w:r>
        <w:rPr>
          <w:spacing w:val="-14"/>
        </w:rPr>
        <w:t> </w:t>
      </w:r>
      <w:r>
        <w:rPr/>
        <w:t>Estado</w:t>
      </w:r>
      <w:r>
        <w:rPr>
          <w:spacing w:val="-14"/>
        </w:rPr>
        <w:t> </w:t>
      </w:r>
      <w:r>
        <w:rPr/>
        <w:t>de</w:t>
      </w:r>
      <w:r>
        <w:rPr>
          <w:spacing w:val="-14"/>
        </w:rPr>
        <w:t> </w:t>
      </w:r>
      <w:r>
        <w:rPr/>
        <w:t>México ocupa</w:t>
      </w:r>
      <w:r>
        <w:rPr>
          <w:spacing w:val="-8"/>
        </w:rPr>
        <w:t> </w:t>
      </w:r>
      <w:r>
        <w:rPr/>
        <w:t>el</w:t>
      </w:r>
      <w:r>
        <w:rPr>
          <w:spacing w:val="-9"/>
        </w:rPr>
        <w:t> </w:t>
      </w:r>
      <w:r>
        <w:rPr/>
        <w:t>primer</w:t>
      </w:r>
      <w:r>
        <w:rPr>
          <w:spacing w:val="-9"/>
        </w:rPr>
        <w:t> </w:t>
      </w:r>
      <w:r>
        <w:rPr/>
        <w:t>lugar,</w:t>
      </w:r>
      <w:r>
        <w:rPr>
          <w:spacing w:val="-8"/>
        </w:rPr>
        <w:t> </w:t>
      </w:r>
      <w:r>
        <w:rPr/>
        <w:t>seguido</w:t>
      </w:r>
      <w:r>
        <w:rPr>
          <w:spacing w:val="-8"/>
        </w:rPr>
        <w:t> </w:t>
      </w:r>
      <w:r>
        <w:rPr/>
        <w:t>del</w:t>
      </w:r>
      <w:r>
        <w:rPr>
          <w:spacing w:val="-9"/>
        </w:rPr>
        <w:t> </w:t>
      </w:r>
      <w:r>
        <w:rPr/>
        <w:t>Distrito</w:t>
      </w:r>
      <w:r>
        <w:rPr>
          <w:spacing w:val="-8"/>
        </w:rPr>
        <w:t> </w:t>
      </w:r>
      <w:r>
        <w:rPr/>
        <w:t>Federal</w:t>
      </w:r>
      <w:r>
        <w:rPr>
          <w:spacing w:val="-8"/>
        </w:rPr>
        <w:t> </w:t>
      </w:r>
      <w:r>
        <w:rPr/>
        <w:t>y</w:t>
      </w:r>
      <w:r>
        <w:rPr>
          <w:spacing w:val="-11"/>
        </w:rPr>
        <w:t> </w:t>
      </w:r>
      <w:r>
        <w:rPr/>
        <w:t>Jalisco</w:t>
      </w:r>
      <w:r>
        <w:rPr>
          <w:spacing w:val="-8"/>
        </w:rPr>
        <w:t> </w:t>
      </w:r>
      <w:r>
        <w:rPr/>
        <w:t>en</w:t>
      </w:r>
      <w:r>
        <w:rPr>
          <w:spacing w:val="-8"/>
        </w:rPr>
        <w:t> </w:t>
      </w:r>
      <w:r>
        <w:rPr/>
        <w:t>tercero</w:t>
      </w:r>
      <w:r>
        <w:rPr>
          <w:spacing w:val="-8"/>
        </w:rPr>
        <w:t> </w:t>
      </w:r>
      <w:r>
        <w:rPr/>
        <w:t>según</w:t>
      </w:r>
      <w:r>
        <w:rPr>
          <w:spacing w:val="-8"/>
        </w:rPr>
        <w:t> </w:t>
      </w:r>
      <w:r>
        <w:rPr/>
        <w:t>así</w:t>
      </w:r>
      <w:r>
        <w:rPr>
          <w:spacing w:val="-4"/>
        </w:rPr>
        <w:t> </w:t>
      </w:r>
      <w:r>
        <w:rPr/>
        <w:t>lo</w:t>
      </w:r>
      <w:r>
        <w:rPr>
          <w:spacing w:val="-8"/>
        </w:rPr>
        <w:t> </w:t>
      </w:r>
      <w:r>
        <w:rPr/>
        <w:t>indica el </w:t>
      </w:r>
      <w:r>
        <w:rPr>
          <w:b/>
          <w:i/>
        </w:rPr>
        <w:t>chart </w:t>
      </w:r>
      <w:r>
        <w:rPr/>
        <w:t>en la</w:t>
      </w:r>
      <w:r>
        <w:rPr>
          <w:spacing w:val="-3"/>
        </w:rPr>
        <w:t> </w:t>
      </w:r>
      <w:r>
        <w:rPr>
          <w:b/>
          <w:i/>
        </w:rPr>
        <w:t>web</w:t>
      </w:r>
      <w:r>
        <w:rPr/>
        <w:t>.</w:t>
      </w:r>
    </w:p>
    <w:p>
      <w:pPr>
        <w:pStyle w:val="BodyText"/>
        <w:spacing w:line="360" w:lineRule="auto" w:before="204"/>
        <w:ind w:left="102" w:right="106"/>
        <w:jc w:val="both"/>
      </w:pPr>
      <w:r>
        <w:rPr/>
        <w:t>En gran medida el tiempo de uso de las redes sociales ha aumentado debido a otros factores como el implemento de dispositivos móviles como </w:t>
      </w:r>
      <w:r>
        <w:rPr>
          <w:b/>
          <w:i/>
        </w:rPr>
        <w:t>smartphones </w:t>
      </w:r>
      <w:r>
        <w:rPr/>
        <w:t>y </w:t>
      </w:r>
      <w:r>
        <w:rPr>
          <w:b/>
        </w:rPr>
        <w:t>tablets, </w:t>
      </w:r>
      <w:r>
        <w:rPr/>
        <w:t>los cuales tienen incluidos los accesos directos a las </w:t>
      </w:r>
      <w:r>
        <w:rPr>
          <w:b/>
          <w:i/>
        </w:rPr>
        <w:t>apps </w:t>
      </w:r>
      <w:r>
        <w:rPr/>
        <w:t>que permiten la conexión desde cualquier</w:t>
      </w:r>
      <w:r>
        <w:rPr>
          <w:spacing w:val="-14"/>
        </w:rPr>
        <w:t> </w:t>
      </w:r>
      <w:r>
        <w:rPr/>
        <w:t>lugar.</w:t>
      </w:r>
      <w:r>
        <w:rPr>
          <w:spacing w:val="-14"/>
        </w:rPr>
        <w:t> </w:t>
      </w:r>
      <w:r>
        <w:rPr/>
        <w:t>Finalmente,</w:t>
      </w:r>
      <w:r>
        <w:rPr>
          <w:spacing w:val="-14"/>
        </w:rPr>
        <w:t> </w:t>
      </w:r>
      <w:r>
        <w:rPr/>
        <w:t>entre</w:t>
      </w:r>
      <w:r>
        <w:rPr>
          <w:spacing w:val="-14"/>
        </w:rPr>
        <w:t> </w:t>
      </w:r>
      <w:r>
        <w:rPr/>
        <w:t>las</w:t>
      </w:r>
      <w:r>
        <w:rPr>
          <w:spacing w:val="-14"/>
        </w:rPr>
        <w:t> </w:t>
      </w:r>
      <w:r>
        <w:rPr/>
        <w:t>actividades</w:t>
      </w:r>
      <w:r>
        <w:rPr>
          <w:spacing w:val="-14"/>
        </w:rPr>
        <w:t> </w:t>
      </w:r>
      <w:r>
        <w:rPr/>
        <w:t>que</w:t>
      </w:r>
      <w:r>
        <w:rPr>
          <w:spacing w:val="-14"/>
        </w:rPr>
        <w:t> </w:t>
      </w:r>
      <w:r>
        <w:rPr/>
        <w:t>más</w:t>
      </w:r>
      <w:r>
        <w:rPr>
          <w:spacing w:val="-14"/>
        </w:rPr>
        <w:t> </w:t>
      </w:r>
      <w:r>
        <w:rPr/>
        <w:t>se</w:t>
      </w:r>
      <w:r>
        <w:rPr>
          <w:spacing w:val="-14"/>
        </w:rPr>
        <w:t> </w:t>
      </w:r>
      <w:r>
        <w:rPr/>
        <w:t>realizan</w:t>
      </w:r>
      <w:r>
        <w:rPr>
          <w:spacing w:val="-14"/>
        </w:rPr>
        <w:t> </w:t>
      </w:r>
      <w:r>
        <w:rPr/>
        <w:t>dentro</w:t>
      </w:r>
      <w:r>
        <w:rPr>
          <w:spacing w:val="-14"/>
        </w:rPr>
        <w:t> </w:t>
      </w:r>
      <w:r>
        <w:rPr/>
        <w:t>de</w:t>
      </w:r>
      <w:r>
        <w:rPr>
          <w:spacing w:val="-14"/>
        </w:rPr>
        <w:t> </w:t>
      </w:r>
      <w:r>
        <w:rPr/>
        <w:t>las</w:t>
      </w:r>
      <w:r>
        <w:rPr>
          <w:spacing w:val="-14"/>
        </w:rPr>
        <w:t> </w:t>
      </w:r>
      <w:r>
        <w:rPr/>
        <w:t>redes sociales son el </w:t>
      </w:r>
      <w:r>
        <w:rPr>
          <w:b/>
          <w:i/>
        </w:rPr>
        <w:t>chat</w:t>
      </w:r>
      <w:r>
        <w:rPr/>
        <w:t>, juegos </w:t>
      </w:r>
      <w:r>
        <w:rPr>
          <w:b/>
          <w:i/>
        </w:rPr>
        <w:t>online </w:t>
      </w:r>
      <w:r>
        <w:rPr/>
        <w:t>y</w:t>
      </w:r>
      <w:r>
        <w:rPr>
          <w:spacing w:val="-12"/>
        </w:rPr>
        <w:t> </w:t>
      </w:r>
      <w:r>
        <w:rPr>
          <w:b/>
          <w:i/>
        </w:rPr>
        <w:t>marketing</w:t>
      </w:r>
      <w:r>
        <w:rPr/>
        <w:t>.</w:t>
      </w:r>
    </w:p>
    <w:p>
      <w:pPr>
        <w:spacing w:after="0" w:line="360" w:lineRule="auto"/>
        <w:jc w:val="both"/>
        <w:sectPr>
          <w:headerReference w:type="default" r:id="rId123"/>
          <w:footerReference w:type="default" r:id="rId124"/>
          <w:pgSz w:w="12240" w:h="15840"/>
          <w:pgMar w:header="0" w:footer="1003" w:top="1500" w:bottom="1200" w:left="1600" w:right="1020"/>
        </w:sectPr>
      </w:pPr>
    </w:p>
    <w:p>
      <w:pPr>
        <w:pStyle w:val="BodyText"/>
        <w:spacing w:before="4"/>
        <w:rPr>
          <w:sz w:val="11"/>
        </w:rPr>
      </w:pPr>
    </w:p>
    <w:p>
      <w:pPr>
        <w:pStyle w:val="Heading1"/>
        <w:spacing w:before="69"/>
        <w:jc w:val="both"/>
      </w:pPr>
      <w:r>
        <w:rPr>
          <w:color w:val="2D74B5"/>
        </w:rPr>
        <w:t>Acerca de las redes sociales</w:t>
      </w:r>
    </w:p>
    <w:p>
      <w:pPr>
        <w:pStyle w:val="BodyText"/>
        <w:spacing w:line="360" w:lineRule="auto" w:before="137"/>
        <w:ind w:left="102" w:right="107"/>
        <w:jc w:val="both"/>
      </w:pPr>
      <w:r>
        <w:rPr/>
        <w:t>En una investigación realizada a finales del 2012 se encontró que la audiencia Latinoamérica</w:t>
      </w:r>
      <w:r>
        <w:rPr>
          <w:spacing w:val="-8"/>
        </w:rPr>
        <w:t> </w:t>
      </w:r>
      <w:r>
        <w:rPr/>
        <w:t>es</w:t>
      </w:r>
      <w:r>
        <w:rPr>
          <w:spacing w:val="-9"/>
        </w:rPr>
        <w:t> </w:t>
      </w:r>
      <w:r>
        <w:rPr/>
        <w:t>una</w:t>
      </w:r>
      <w:r>
        <w:rPr>
          <w:spacing w:val="-11"/>
        </w:rPr>
        <w:t> </w:t>
      </w:r>
      <w:r>
        <w:rPr/>
        <w:t>de</w:t>
      </w:r>
      <w:r>
        <w:rPr>
          <w:spacing w:val="-6"/>
        </w:rPr>
        <w:t> </w:t>
      </w:r>
      <w:r>
        <w:rPr/>
        <w:t>las</w:t>
      </w:r>
      <w:r>
        <w:rPr>
          <w:spacing w:val="-11"/>
        </w:rPr>
        <w:t> </w:t>
      </w:r>
      <w:r>
        <w:rPr/>
        <w:t>más</w:t>
      </w:r>
      <w:r>
        <w:rPr>
          <w:spacing w:val="-9"/>
        </w:rPr>
        <w:t> </w:t>
      </w:r>
      <w:r>
        <w:rPr/>
        <w:t>involucradas</w:t>
      </w:r>
      <w:r>
        <w:rPr>
          <w:spacing w:val="-7"/>
        </w:rPr>
        <w:t> </w:t>
      </w:r>
      <w:r>
        <w:rPr/>
        <w:t>con</w:t>
      </w:r>
      <w:r>
        <w:rPr>
          <w:spacing w:val="-8"/>
        </w:rPr>
        <w:t> </w:t>
      </w:r>
      <w:r>
        <w:rPr/>
        <w:t>las</w:t>
      </w:r>
      <w:r>
        <w:rPr>
          <w:spacing w:val="-6"/>
        </w:rPr>
        <w:t> </w:t>
      </w:r>
      <w:r>
        <w:rPr/>
        <w:t>llamadas</w:t>
      </w:r>
      <w:r>
        <w:rPr>
          <w:spacing w:val="-9"/>
        </w:rPr>
        <w:t> </w:t>
      </w:r>
      <w:r>
        <w:rPr/>
        <w:t>redes</w:t>
      </w:r>
      <w:r>
        <w:rPr>
          <w:spacing w:val="-7"/>
        </w:rPr>
        <w:t> </w:t>
      </w:r>
      <w:r>
        <w:rPr/>
        <w:t>sociales.</w:t>
      </w:r>
      <w:r>
        <w:rPr>
          <w:spacing w:val="-9"/>
        </w:rPr>
        <w:t> </w:t>
      </w:r>
      <w:r>
        <w:rPr/>
        <w:t>Además, el tiempo que se les dedica es considerablemente comparado con otras actividades de la vida diaria. Por ejemplo, a Facebook, en promedio se le dedica 7,7 horas al día. El implemento de dispositivos móviles como teléfonos inteligentes y tabletas</w:t>
      </w:r>
      <w:r>
        <w:rPr>
          <w:b/>
        </w:rPr>
        <w:t>, </w:t>
      </w:r>
      <w:r>
        <w:rPr/>
        <w:t>han contribuido de manera significante en el uso de dichas redes, ya que contienen accesos directos a las aplicaciones que permiten la conexión desde cualquier</w:t>
      </w:r>
      <w:r>
        <w:rPr>
          <w:spacing w:val="-23"/>
        </w:rPr>
        <w:t> </w:t>
      </w:r>
      <w:r>
        <w:rPr/>
        <w:t>lugar.</w:t>
      </w:r>
    </w:p>
    <w:p>
      <w:pPr>
        <w:pStyle w:val="BodyText"/>
        <w:spacing w:line="360" w:lineRule="auto" w:before="205"/>
        <w:ind w:left="102" w:right="107"/>
        <w:jc w:val="both"/>
      </w:pPr>
      <w:r>
        <w:rPr/>
        <w:t>En las estadísticas mostradas, también se indica que 1 de cada 4 minutos que un latinoamericano</w:t>
      </w:r>
      <w:r>
        <w:rPr>
          <w:spacing w:val="-7"/>
        </w:rPr>
        <w:t> </w:t>
      </w:r>
      <w:r>
        <w:rPr/>
        <w:t>pasa</w:t>
      </w:r>
      <w:r>
        <w:rPr>
          <w:spacing w:val="-9"/>
        </w:rPr>
        <w:t> </w:t>
      </w:r>
      <w:r>
        <w:rPr/>
        <w:t>en</w:t>
      </w:r>
      <w:r>
        <w:rPr>
          <w:spacing w:val="-7"/>
        </w:rPr>
        <w:t> </w:t>
      </w:r>
      <w:r>
        <w:rPr/>
        <w:t>internet,</w:t>
      </w:r>
      <w:r>
        <w:rPr>
          <w:spacing w:val="-9"/>
        </w:rPr>
        <w:t> </w:t>
      </w:r>
      <w:r>
        <w:rPr/>
        <w:t>es</w:t>
      </w:r>
      <w:r>
        <w:rPr>
          <w:spacing w:val="-8"/>
        </w:rPr>
        <w:t> </w:t>
      </w:r>
      <w:r>
        <w:rPr/>
        <w:t>dedicado</w:t>
      </w:r>
      <w:r>
        <w:rPr>
          <w:spacing w:val="-7"/>
        </w:rPr>
        <w:t> </w:t>
      </w:r>
      <w:r>
        <w:rPr/>
        <w:t>específicamente</w:t>
      </w:r>
      <w:r>
        <w:rPr>
          <w:spacing w:val="-9"/>
        </w:rPr>
        <w:t> </w:t>
      </w:r>
      <w:r>
        <w:rPr/>
        <w:t>a</w:t>
      </w:r>
      <w:r>
        <w:rPr>
          <w:spacing w:val="-7"/>
        </w:rPr>
        <w:t> </w:t>
      </w:r>
      <w:r>
        <w:rPr/>
        <w:t>dicha</w:t>
      </w:r>
      <w:r>
        <w:rPr>
          <w:spacing w:val="-7"/>
        </w:rPr>
        <w:t> </w:t>
      </w:r>
      <w:r>
        <w:rPr/>
        <w:t>red,</w:t>
      </w:r>
      <w:r>
        <w:rPr>
          <w:spacing w:val="-7"/>
        </w:rPr>
        <w:t> </w:t>
      </w:r>
      <w:r>
        <w:rPr/>
        <w:t>la</w:t>
      </w:r>
      <w:r>
        <w:rPr>
          <w:spacing w:val="-7"/>
        </w:rPr>
        <w:t> </w:t>
      </w:r>
      <w:r>
        <w:rPr/>
        <w:t>cual</w:t>
      </w:r>
      <w:r>
        <w:rPr>
          <w:spacing w:val="-8"/>
        </w:rPr>
        <w:t> </w:t>
      </w:r>
      <w:r>
        <w:rPr/>
        <w:t>sumó 114,5 millones de visitantes el año pasado. En el listado de las tres redes sociales más populares, Twitter toma la segunda posición con 27,4 millones de visitantes y el tercer lugar</w:t>
      </w:r>
      <w:r>
        <w:rPr>
          <w:spacing w:val="-17"/>
        </w:rPr>
        <w:t> </w:t>
      </w:r>
      <w:r>
        <w:rPr/>
        <w:t>lo</w:t>
      </w:r>
      <w:r>
        <w:rPr>
          <w:spacing w:val="-16"/>
        </w:rPr>
        <w:t> </w:t>
      </w:r>
      <w:r>
        <w:rPr/>
        <w:t>ocupa</w:t>
      </w:r>
      <w:r>
        <w:rPr>
          <w:spacing w:val="-18"/>
        </w:rPr>
        <w:t> </w:t>
      </w:r>
      <w:r>
        <w:rPr/>
        <w:t>Orkut</w:t>
      </w:r>
      <w:r>
        <w:rPr>
          <w:spacing w:val="-16"/>
        </w:rPr>
        <w:t> </w:t>
      </w:r>
      <w:r>
        <w:rPr/>
        <w:t>con</w:t>
      </w:r>
      <w:r>
        <w:rPr>
          <w:spacing w:val="-16"/>
        </w:rPr>
        <w:t> </w:t>
      </w:r>
      <w:r>
        <w:rPr/>
        <w:t>25,7</w:t>
      </w:r>
      <w:r>
        <w:rPr>
          <w:spacing w:val="-20"/>
        </w:rPr>
        <w:t> </w:t>
      </w:r>
      <w:r>
        <w:rPr/>
        <w:t>millones.</w:t>
      </w:r>
      <w:r>
        <w:rPr>
          <w:spacing w:val="-18"/>
        </w:rPr>
        <w:t> </w:t>
      </w:r>
      <w:r>
        <w:rPr/>
        <w:t>Se</w:t>
      </w:r>
      <w:r>
        <w:rPr>
          <w:spacing w:val="-16"/>
        </w:rPr>
        <w:t> </w:t>
      </w:r>
      <w:r>
        <w:rPr/>
        <w:t>afirma</w:t>
      </w:r>
      <w:r>
        <w:rPr>
          <w:spacing w:val="-18"/>
        </w:rPr>
        <w:t> </w:t>
      </w:r>
      <w:r>
        <w:rPr/>
        <w:t>que</w:t>
      </w:r>
      <w:r>
        <w:rPr>
          <w:spacing w:val="-18"/>
        </w:rPr>
        <w:t> </w:t>
      </w:r>
      <w:r>
        <w:rPr/>
        <w:t>entre</w:t>
      </w:r>
      <w:r>
        <w:rPr>
          <w:spacing w:val="-18"/>
        </w:rPr>
        <w:t> </w:t>
      </w:r>
      <w:r>
        <w:rPr/>
        <w:t>las</w:t>
      </w:r>
      <w:r>
        <w:rPr>
          <w:spacing w:val="-18"/>
        </w:rPr>
        <w:t> </w:t>
      </w:r>
      <w:r>
        <w:rPr/>
        <w:t>actividades</w:t>
      </w:r>
      <w:r>
        <w:rPr>
          <w:spacing w:val="-19"/>
        </w:rPr>
        <w:t> </w:t>
      </w:r>
      <w:r>
        <w:rPr/>
        <w:t>más</w:t>
      </w:r>
      <w:r>
        <w:rPr>
          <w:spacing w:val="-19"/>
        </w:rPr>
        <w:t> </w:t>
      </w:r>
      <w:r>
        <w:rPr/>
        <w:t>populares realizadas</w:t>
      </w:r>
      <w:r>
        <w:rPr>
          <w:spacing w:val="-7"/>
        </w:rPr>
        <w:t> </w:t>
      </w:r>
      <w:r>
        <w:rPr/>
        <w:t>en</w:t>
      </w:r>
      <w:r>
        <w:rPr>
          <w:spacing w:val="-6"/>
        </w:rPr>
        <w:t> </w:t>
      </w:r>
      <w:r>
        <w:rPr/>
        <w:t>las</w:t>
      </w:r>
      <w:r>
        <w:rPr>
          <w:spacing w:val="-7"/>
        </w:rPr>
        <w:t> </w:t>
      </w:r>
      <w:r>
        <w:rPr/>
        <w:t>redes</w:t>
      </w:r>
      <w:r>
        <w:rPr>
          <w:spacing w:val="-9"/>
        </w:rPr>
        <w:t> </w:t>
      </w:r>
      <w:r>
        <w:rPr/>
        <w:t>sociales</w:t>
      </w:r>
      <w:r>
        <w:rPr>
          <w:spacing w:val="-7"/>
        </w:rPr>
        <w:t> </w:t>
      </w:r>
      <w:r>
        <w:rPr/>
        <w:t>son</w:t>
      </w:r>
      <w:r>
        <w:rPr>
          <w:spacing w:val="-6"/>
        </w:rPr>
        <w:t> </w:t>
      </w:r>
      <w:r>
        <w:rPr/>
        <w:t>las</w:t>
      </w:r>
      <w:r>
        <w:rPr>
          <w:spacing w:val="-9"/>
        </w:rPr>
        <w:t> </w:t>
      </w:r>
      <w:r>
        <w:rPr/>
        <w:t>conversaciones</w:t>
      </w:r>
      <w:r>
        <w:rPr>
          <w:spacing w:val="-9"/>
        </w:rPr>
        <w:t> </w:t>
      </w:r>
      <w:r>
        <w:rPr/>
        <w:t>entre</w:t>
      </w:r>
      <w:r>
        <w:rPr>
          <w:spacing w:val="-8"/>
        </w:rPr>
        <w:t> </w:t>
      </w:r>
      <w:r>
        <w:rPr/>
        <w:t>contactos,</w:t>
      </w:r>
      <w:r>
        <w:rPr>
          <w:spacing w:val="-6"/>
        </w:rPr>
        <w:t> </w:t>
      </w:r>
      <w:r>
        <w:rPr/>
        <w:t>los</w:t>
      </w:r>
      <w:r>
        <w:rPr>
          <w:spacing w:val="-6"/>
        </w:rPr>
        <w:t> </w:t>
      </w:r>
      <w:r>
        <w:rPr/>
        <w:t>videojuegos y los anuncios</w:t>
      </w:r>
      <w:r>
        <w:rPr>
          <w:spacing w:val="-9"/>
        </w:rPr>
        <w:t> </w:t>
      </w:r>
      <w:r>
        <w:rPr/>
        <w:t>publicitarios.</w:t>
      </w:r>
    </w:p>
    <w:p>
      <w:pPr>
        <w:pStyle w:val="BodyText"/>
        <w:spacing w:line="360" w:lineRule="auto" w:before="204"/>
        <w:ind w:left="102" w:right="111"/>
        <w:jc w:val="both"/>
      </w:pPr>
      <w:r>
        <w:rPr/>
        <w:t>Así</w:t>
      </w:r>
      <w:r>
        <w:rPr>
          <w:spacing w:val="-17"/>
        </w:rPr>
        <w:t> </w:t>
      </w:r>
      <w:r>
        <w:rPr/>
        <w:t>también,</w:t>
      </w:r>
      <w:r>
        <w:rPr>
          <w:spacing w:val="-17"/>
        </w:rPr>
        <w:t> </w:t>
      </w:r>
      <w:r>
        <w:rPr/>
        <w:t>otros</w:t>
      </w:r>
      <w:r>
        <w:rPr>
          <w:spacing w:val="-17"/>
        </w:rPr>
        <w:t> </w:t>
      </w:r>
      <w:r>
        <w:rPr/>
        <w:t>artículos</w:t>
      </w:r>
      <w:r>
        <w:rPr>
          <w:spacing w:val="-17"/>
        </w:rPr>
        <w:t> </w:t>
      </w:r>
      <w:r>
        <w:rPr/>
        <w:t>muestran</w:t>
      </w:r>
      <w:r>
        <w:rPr>
          <w:spacing w:val="-14"/>
        </w:rPr>
        <w:t> </w:t>
      </w:r>
      <w:r>
        <w:rPr/>
        <w:t>que</w:t>
      </w:r>
      <w:r>
        <w:rPr>
          <w:spacing w:val="-16"/>
        </w:rPr>
        <w:t> </w:t>
      </w:r>
      <w:r>
        <w:rPr/>
        <w:t>el</w:t>
      </w:r>
      <w:r>
        <w:rPr>
          <w:spacing w:val="-15"/>
        </w:rPr>
        <w:t> </w:t>
      </w:r>
      <w:r>
        <w:rPr/>
        <w:t>índice</w:t>
      </w:r>
      <w:r>
        <w:rPr>
          <w:spacing w:val="-14"/>
        </w:rPr>
        <w:t> </w:t>
      </w:r>
      <w:r>
        <w:rPr/>
        <w:t>de</w:t>
      </w:r>
      <w:r>
        <w:rPr>
          <w:spacing w:val="-14"/>
        </w:rPr>
        <w:t> </w:t>
      </w:r>
      <w:r>
        <w:rPr/>
        <w:t>visitas</w:t>
      </w:r>
      <w:r>
        <w:rPr>
          <w:spacing w:val="-15"/>
        </w:rPr>
        <w:t> </w:t>
      </w:r>
      <w:r>
        <w:rPr/>
        <w:t>en</w:t>
      </w:r>
      <w:r>
        <w:rPr>
          <w:spacing w:val="-14"/>
        </w:rPr>
        <w:t> </w:t>
      </w:r>
      <w:r>
        <w:rPr/>
        <w:t>internet,</w:t>
      </w:r>
      <w:r>
        <w:rPr>
          <w:spacing w:val="-17"/>
        </w:rPr>
        <w:t> </w:t>
      </w:r>
      <w:r>
        <w:rPr/>
        <w:t>específicamente México</w:t>
      </w:r>
      <w:r>
        <w:rPr>
          <w:spacing w:val="-4"/>
        </w:rPr>
        <w:t> </w:t>
      </w:r>
      <w:r>
        <w:rPr/>
        <w:t>acumulaba</w:t>
      </w:r>
      <w:r>
        <w:rPr>
          <w:spacing w:val="-4"/>
        </w:rPr>
        <w:t> </w:t>
      </w:r>
      <w:r>
        <w:rPr/>
        <w:t>un</w:t>
      </w:r>
      <w:r>
        <w:rPr>
          <w:spacing w:val="-6"/>
        </w:rPr>
        <w:t> </w:t>
      </w:r>
      <w:r>
        <w:rPr/>
        <w:t>total</w:t>
      </w:r>
      <w:r>
        <w:rPr>
          <w:spacing w:val="-5"/>
        </w:rPr>
        <w:t> </w:t>
      </w:r>
      <w:r>
        <w:rPr/>
        <w:t>de</w:t>
      </w:r>
      <w:r>
        <w:rPr>
          <w:spacing w:val="-4"/>
        </w:rPr>
        <w:t> </w:t>
      </w:r>
      <w:r>
        <w:rPr/>
        <w:t>33</w:t>
      </w:r>
      <w:r>
        <w:rPr>
          <w:spacing w:val="-4"/>
        </w:rPr>
        <w:t> </w:t>
      </w:r>
      <w:r>
        <w:rPr/>
        <w:t>millones</w:t>
      </w:r>
      <w:r>
        <w:rPr>
          <w:spacing w:val="-4"/>
        </w:rPr>
        <w:t> </w:t>
      </w:r>
      <w:r>
        <w:rPr/>
        <w:t>de</w:t>
      </w:r>
      <w:r>
        <w:rPr>
          <w:spacing w:val="-6"/>
        </w:rPr>
        <w:t> </w:t>
      </w:r>
      <w:r>
        <w:rPr/>
        <w:t>usuarios</w:t>
      </w:r>
      <w:r>
        <w:rPr>
          <w:spacing w:val="-4"/>
        </w:rPr>
        <w:t> </w:t>
      </w:r>
      <w:r>
        <w:rPr/>
        <w:t>inscritos</w:t>
      </w:r>
      <w:r>
        <w:rPr>
          <w:spacing w:val="-7"/>
        </w:rPr>
        <w:t> </w:t>
      </w:r>
      <w:r>
        <w:rPr/>
        <w:t>en</w:t>
      </w:r>
      <w:r>
        <w:rPr>
          <w:spacing w:val="-6"/>
        </w:rPr>
        <w:t> </w:t>
      </w:r>
      <w:r>
        <w:rPr/>
        <w:t>Facebook</w:t>
      </w:r>
      <w:r>
        <w:rPr>
          <w:spacing w:val="-4"/>
        </w:rPr>
        <w:t> </w:t>
      </w:r>
      <w:r>
        <w:rPr/>
        <w:t>en</w:t>
      </w:r>
      <w:r>
        <w:rPr>
          <w:spacing w:val="-4"/>
        </w:rPr>
        <w:t> </w:t>
      </w:r>
      <w:r>
        <w:rPr/>
        <w:t>el</w:t>
      </w:r>
      <w:r>
        <w:rPr>
          <w:spacing w:val="-5"/>
        </w:rPr>
        <w:t> </w:t>
      </w:r>
      <w:r>
        <w:rPr/>
        <w:t>2012, de los cuales, se indicó que el 33% de los usuarios tienen entre 18 y 24 años de edad, seguidos por el 25% de entre 25 y 34 años y en tercer lugar dos grupos de edad comparten la misma cifra, 12% adolescentes de entre 16 y 17 años de edad y 12% adultos</w:t>
      </w:r>
      <w:r>
        <w:rPr>
          <w:spacing w:val="-9"/>
        </w:rPr>
        <w:t> </w:t>
      </w:r>
      <w:r>
        <w:rPr/>
        <w:t>entre</w:t>
      </w:r>
      <w:r>
        <w:rPr>
          <w:spacing w:val="-8"/>
        </w:rPr>
        <w:t> </w:t>
      </w:r>
      <w:r>
        <w:rPr/>
        <w:t>35</w:t>
      </w:r>
      <w:r>
        <w:rPr>
          <w:spacing w:val="-8"/>
        </w:rPr>
        <w:t> </w:t>
      </w:r>
      <w:r>
        <w:rPr/>
        <w:t>y</w:t>
      </w:r>
      <w:r>
        <w:rPr>
          <w:spacing w:val="-12"/>
        </w:rPr>
        <w:t> </w:t>
      </w:r>
      <w:r>
        <w:rPr/>
        <w:t>44</w:t>
      </w:r>
      <w:r>
        <w:rPr>
          <w:spacing w:val="-8"/>
        </w:rPr>
        <w:t> </w:t>
      </w:r>
      <w:r>
        <w:rPr/>
        <w:t>años,</w:t>
      </w:r>
      <w:r>
        <w:rPr>
          <w:spacing w:val="-9"/>
        </w:rPr>
        <w:t> </w:t>
      </w:r>
      <w:r>
        <w:rPr/>
        <w:t>de</w:t>
      </w:r>
      <w:r>
        <w:rPr>
          <w:spacing w:val="-8"/>
        </w:rPr>
        <w:t> </w:t>
      </w:r>
      <w:r>
        <w:rPr/>
        <w:t>los</w:t>
      </w:r>
      <w:r>
        <w:rPr>
          <w:spacing w:val="-9"/>
        </w:rPr>
        <w:t> </w:t>
      </w:r>
      <w:r>
        <w:rPr/>
        <w:t>cuales</w:t>
      </w:r>
      <w:r>
        <w:rPr>
          <w:spacing w:val="-9"/>
        </w:rPr>
        <w:t> </w:t>
      </w:r>
      <w:r>
        <w:rPr/>
        <w:t>el</w:t>
      </w:r>
      <w:r>
        <w:rPr>
          <w:spacing w:val="-10"/>
        </w:rPr>
        <w:t> </w:t>
      </w:r>
      <w:r>
        <w:rPr/>
        <w:t>50%</w:t>
      </w:r>
      <w:r>
        <w:rPr>
          <w:spacing w:val="-9"/>
        </w:rPr>
        <w:t> </w:t>
      </w:r>
      <w:r>
        <w:rPr/>
        <w:t>son</w:t>
      </w:r>
      <w:r>
        <w:rPr>
          <w:spacing w:val="-11"/>
        </w:rPr>
        <w:t> </w:t>
      </w:r>
      <w:r>
        <w:rPr/>
        <w:t>mujeres</w:t>
      </w:r>
      <w:r>
        <w:rPr>
          <w:spacing w:val="-9"/>
        </w:rPr>
        <w:t> </w:t>
      </w:r>
      <w:r>
        <w:rPr/>
        <w:t>y</w:t>
      </w:r>
      <w:r>
        <w:rPr>
          <w:spacing w:val="-12"/>
        </w:rPr>
        <w:t> </w:t>
      </w:r>
      <w:r>
        <w:rPr/>
        <w:t>el</w:t>
      </w:r>
      <w:r>
        <w:rPr>
          <w:spacing w:val="-10"/>
        </w:rPr>
        <w:t> </w:t>
      </w:r>
      <w:r>
        <w:rPr/>
        <w:t>otro</w:t>
      </w:r>
      <w:r>
        <w:rPr>
          <w:spacing w:val="-9"/>
        </w:rPr>
        <w:t> </w:t>
      </w:r>
      <w:r>
        <w:rPr/>
        <w:t>50%</w:t>
      </w:r>
      <w:r>
        <w:rPr>
          <w:spacing w:val="-9"/>
        </w:rPr>
        <w:t> </w:t>
      </w:r>
      <w:r>
        <w:rPr/>
        <w:t>son</w:t>
      </w:r>
      <w:r>
        <w:rPr>
          <w:spacing w:val="-8"/>
        </w:rPr>
        <w:t> </w:t>
      </w:r>
      <w:r>
        <w:rPr/>
        <w:t>hombres. En cuanto a entidades federativas se refiere, el Estado de México ocupa el primer lugar, el Distrito Federal el segundo y Jalisco el tercer</w:t>
      </w:r>
      <w:r>
        <w:rPr>
          <w:spacing w:val="-20"/>
        </w:rPr>
        <w:t> </w:t>
      </w:r>
      <w:r>
        <w:rPr/>
        <w:t>lugar</w:t>
      </w:r>
    </w:p>
    <w:p>
      <w:pPr>
        <w:spacing w:after="0" w:line="360" w:lineRule="auto"/>
        <w:jc w:val="both"/>
        <w:sectPr>
          <w:headerReference w:type="default" r:id="rId125"/>
          <w:footerReference w:type="default" r:id="rId126"/>
          <w:pgSz w:w="12240" w:h="15840"/>
          <w:pgMar w:header="0" w:footer="1003" w:top="1500" w:bottom="1200" w:left="1600" w:right="1020"/>
        </w:sectPr>
      </w:pPr>
    </w:p>
    <w:p>
      <w:pPr>
        <w:pStyle w:val="BodyText"/>
        <w:rPr>
          <w:sz w:val="20"/>
        </w:rPr>
      </w:pPr>
    </w:p>
    <w:p>
      <w:pPr>
        <w:pStyle w:val="BodyText"/>
        <w:spacing w:before="9"/>
        <w:rPr>
          <w:sz w:val="15"/>
        </w:rPr>
      </w:pPr>
    </w:p>
    <w:p>
      <w:pPr>
        <w:spacing w:before="69"/>
        <w:ind w:left="102" w:right="0" w:firstLine="0"/>
        <w:jc w:val="both"/>
        <w:rPr>
          <w:b/>
          <w:sz w:val="24"/>
        </w:rPr>
      </w:pPr>
      <w:r>
        <w:rPr>
          <w:b/>
          <w:i/>
          <w:color w:val="2D74B5"/>
          <w:sz w:val="24"/>
        </w:rPr>
        <w:t>Social networks</w:t>
      </w:r>
      <w:r>
        <w:rPr>
          <w:b/>
          <w:color w:val="2D74B5"/>
          <w:sz w:val="24"/>
        </w:rPr>
        <w:t>: todo lo que hay que saber</w:t>
      </w:r>
    </w:p>
    <w:p>
      <w:pPr>
        <w:pStyle w:val="BodyText"/>
        <w:spacing w:line="360" w:lineRule="auto" w:before="137"/>
        <w:ind w:left="102" w:right="107"/>
        <w:jc w:val="both"/>
      </w:pPr>
      <w:r>
        <w:rPr/>
        <w:t>En</w:t>
      </w:r>
      <w:r>
        <w:rPr>
          <w:spacing w:val="-17"/>
        </w:rPr>
        <w:t> </w:t>
      </w:r>
      <w:r>
        <w:rPr/>
        <w:t>una</w:t>
      </w:r>
      <w:r>
        <w:rPr>
          <w:spacing w:val="-17"/>
        </w:rPr>
        <w:t> </w:t>
      </w:r>
      <w:r>
        <w:rPr/>
        <w:t>investigación</w:t>
      </w:r>
      <w:r>
        <w:rPr>
          <w:spacing w:val="-17"/>
        </w:rPr>
        <w:t> </w:t>
      </w:r>
      <w:r>
        <w:rPr/>
        <w:t>realizada</w:t>
      </w:r>
      <w:r>
        <w:rPr>
          <w:spacing w:val="-17"/>
        </w:rPr>
        <w:t> </w:t>
      </w:r>
      <w:r>
        <w:rPr/>
        <w:t>a</w:t>
      </w:r>
      <w:r>
        <w:rPr>
          <w:spacing w:val="-19"/>
        </w:rPr>
        <w:t> </w:t>
      </w:r>
      <w:r>
        <w:rPr/>
        <w:t>finales</w:t>
      </w:r>
      <w:r>
        <w:rPr>
          <w:spacing w:val="-17"/>
        </w:rPr>
        <w:t> </w:t>
      </w:r>
      <w:r>
        <w:rPr/>
        <w:t>del</w:t>
      </w:r>
      <w:r>
        <w:rPr>
          <w:spacing w:val="-18"/>
        </w:rPr>
        <w:t> </w:t>
      </w:r>
      <w:r>
        <w:rPr/>
        <w:t>año</w:t>
      </w:r>
      <w:r>
        <w:rPr>
          <w:spacing w:val="-17"/>
        </w:rPr>
        <w:t> </w:t>
      </w:r>
      <w:r>
        <w:rPr/>
        <w:t>pasado</w:t>
      </w:r>
      <w:r>
        <w:rPr>
          <w:spacing w:val="-19"/>
        </w:rPr>
        <w:t> </w:t>
      </w:r>
      <w:r>
        <w:rPr/>
        <w:t>en</w:t>
      </w:r>
      <w:r>
        <w:rPr>
          <w:spacing w:val="-19"/>
        </w:rPr>
        <w:t> </w:t>
      </w:r>
      <w:r>
        <w:rPr/>
        <w:t>Santiago</w:t>
      </w:r>
      <w:r>
        <w:rPr>
          <w:spacing w:val="-19"/>
        </w:rPr>
        <w:t> </w:t>
      </w:r>
      <w:r>
        <w:rPr/>
        <w:t>de</w:t>
      </w:r>
      <w:r>
        <w:rPr>
          <w:spacing w:val="-17"/>
        </w:rPr>
        <w:t> </w:t>
      </w:r>
      <w:r>
        <w:rPr/>
        <w:t>Chile,</w:t>
      </w:r>
      <w:r>
        <w:rPr>
          <w:spacing w:val="-19"/>
        </w:rPr>
        <w:t> </w:t>
      </w:r>
      <w:r>
        <w:rPr/>
        <w:t>se</w:t>
      </w:r>
      <w:r>
        <w:rPr>
          <w:spacing w:val="-17"/>
        </w:rPr>
        <w:t> </w:t>
      </w:r>
      <w:r>
        <w:rPr/>
        <w:t>encontró que Latinoamérica es la región más involucrada en las llamadas </w:t>
      </w:r>
      <w:r>
        <w:rPr>
          <w:b/>
          <w:i/>
        </w:rPr>
        <w:t>social networks</w:t>
      </w:r>
      <w:r>
        <w:rPr/>
        <w:t>. Se menciona que no solo tienen el 100% de </w:t>
      </w:r>
      <w:r>
        <w:rPr>
          <w:b/>
          <w:i/>
        </w:rPr>
        <w:t>rating </w:t>
      </w:r>
      <w:r>
        <w:rPr/>
        <w:t>latino mensual, sino que además se consume mucho tiempo en</w:t>
      </w:r>
      <w:r>
        <w:rPr>
          <w:spacing w:val="-9"/>
        </w:rPr>
        <w:t> </w:t>
      </w:r>
      <w:r>
        <w:rPr/>
        <w:t>ellos.</w:t>
      </w:r>
    </w:p>
    <w:p>
      <w:pPr>
        <w:pStyle w:val="BodyText"/>
        <w:spacing w:line="360" w:lineRule="auto" w:before="5"/>
        <w:ind w:left="102" w:right="105"/>
        <w:jc w:val="both"/>
      </w:pPr>
      <w:r>
        <w:rPr/>
        <w:t>En publicaciones relacionadas, el resumen del </w:t>
      </w:r>
      <w:r>
        <w:rPr>
          <w:b/>
          <w:i/>
        </w:rPr>
        <w:t>webmarketer </w:t>
      </w:r>
      <w:r>
        <w:rPr/>
        <w:t>indica que para el 2012 en México los usuarios de Facebook llegaban a los 33 millones de usuarios, 50% mujeres 50% hombres. El responsable de </w:t>
      </w:r>
      <w:r>
        <w:rPr>
          <w:b/>
          <w:i/>
        </w:rPr>
        <w:t>marketing online </w:t>
      </w:r>
      <w:r>
        <w:rPr/>
        <w:t>indicó que los usuarios más frecuentes tienen entre 18 y 24 años de edad, seguidos por usuarios de entre 25 y 34 años</w:t>
      </w:r>
      <w:r>
        <w:rPr>
          <w:spacing w:val="-8"/>
        </w:rPr>
        <w:t> </w:t>
      </w:r>
      <w:r>
        <w:rPr/>
        <w:t>y</w:t>
      </w:r>
      <w:r>
        <w:rPr>
          <w:spacing w:val="-11"/>
        </w:rPr>
        <w:t> </w:t>
      </w:r>
      <w:r>
        <w:rPr/>
        <w:t>en</w:t>
      </w:r>
      <w:r>
        <w:rPr>
          <w:spacing w:val="-10"/>
        </w:rPr>
        <w:t> </w:t>
      </w:r>
      <w:r>
        <w:rPr/>
        <w:t>tercer</w:t>
      </w:r>
      <w:r>
        <w:rPr>
          <w:spacing w:val="-9"/>
        </w:rPr>
        <w:t> </w:t>
      </w:r>
      <w:r>
        <w:rPr/>
        <w:t>lugar</w:t>
      </w:r>
      <w:r>
        <w:rPr>
          <w:spacing w:val="-11"/>
        </w:rPr>
        <w:t> </w:t>
      </w:r>
      <w:r>
        <w:rPr/>
        <w:t>adolescentes</w:t>
      </w:r>
      <w:r>
        <w:rPr>
          <w:spacing w:val="-8"/>
        </w:rPr>
        <w:t> </w:t>
      </w:r>
      <w:r>
        <w:rPr/>
        <w:t>de</w:t>
      </w:r>
      <w:r>
        <w:rPr>
          <w:spacing w:val="-7"/>
        </w:rPr>
        <w:t> </w:t>
      </w:r>
      <w:r>
        <w:rPr/>
        <w:t>entre</w:t>
      </w:r>
      <w:r>
        <w:rPr>
          <w:spacing w:val="-10"/>
        </w:rPr>
        <w:t> </w:t>
      </w:r>
      <w:r>
        <w:rPr/>
        <w:t>16</w:t>
      </w:r>
      <w:r>
        <w:rPr>
          <w:spacing w:val="-7"/>
        </w:rPr>
        <w:t> </w:t>
      </w:r>
      <w:r>
        <w:rPr/>
        <w:t>y</w:t>
      </w:r>
      <w:r>
        <w:rPr>
          <w:spacing w:val="-11"/>
        </w:rPr>
        <w:t> </w:t>
      </w:r>
      <w:r>
        <w:rPr/>
        <w:t>17</w:t>
      </w:r>
      <w:r>
        <w:rPr>
          <w:spacing w:val="-7"/>
        </w:rPr>
        <w:t> </w:t>
      </w:r>
      <w:r>
        <w:rPr/>
        <w:t>años</w:t>
      </w:r>
      <w:r>
        <w:rPr>
          <w:spacing w:val="-11"/>
        </w:rPr>
        <w:t> </w:t>
      </w:r>
      <w:r>
        <w:rPr/>
        <w:t>de</w:t>
      </w:r>
      <w:r>
        <w:rPr>
          <w:spacing w:val="-10"/>
        </w:rPr>
        <w:t> </w:t>
      </w:r>
      <w:r>
        <w:rPr/>
        <w:t>edad</w:t>
      </w:r>
      <w:r>
        <w:rPr>
          <w:spacing w:val="-7"/>
        </w:rPr>
        <w:t> </w:t>
      </w:r>
      <w:r>
        <w:rPr/>
        <w:t>y</w:t>
      </w:r>
      <w:r>
        <w:rPr>
          <w:spacing w:val="-11"/>
        </w:rPr>
        <w:t> </w:t>
      </w:r>
      <w:r>
        <w:rPr/>
        <w:t>el</w:t>
      </w:r>
      <w:r>
        <w:rPr>
          <w:spacing w:val="-9"/>
        </w:rPr>
        <w:t> </w:t>
      </w:r>
      <w:r>
        <w:rPr/>
        <w:t>mismo</w:t>
      </w:r>
      <w:r>
        <w:rPr>
          <w:spacing w:val="-10"/>
        </w:rPr>
        <w:t> </w:t>
      </w:r>
      <w:r>
        <w:rPr/>
        <w:t>porcentaje de adultos entre 35 y 44 años de edad. Así mismo, en cuanto a entidades federativas el Estado de México ocupa el primer lugar, seguido del Distrito Federal y Jalisco en</w:t>
      </w:r>
      <w:r>
        <w:rPr>
          <w:spacing w:val="-43"/>
        </w:rPr>
        <w:t> </w:t>
      </w:r>
      <w:r>
        <w:rPr/>
        <w:t>tercero según así lo indica el </w:t>
      </w:r>
      <w:r>
        <w:rPr>
          <w:b/>
          <w:i/>
        </w:rPr>
        <w:t>chart </w:t>
      </w:r>
      <w:r>
        <w:rPr/>
        <w:t>en la</w:t>
      </w:r>
      <w:r>
        <w:rPr>
          <w:spacing w:val="-8"/>
        </w:rPr>
        <w:t> </w:t>
      </w:r>
      <w:r>
        <w:rPr>
          <w:b/>
          <w:i/>
        </w:rPr>
        <w:t>web</w:t>
      </w:r>
      <w:r>
        <w:rPr/>
        <w:t>.</w:t>
      </w:r>
    </w:p>
    <w:p>
      <w:pPr>
        <w:pStyle w:val="BodyText"/>
        <w:spacing w:line="360" w:lineRule="auto" w:before="5"/>
        <w:ind w:left="102" w:right="110"/>
        <w:jc w:val="both"/>
      </w:pPr>
      <w:r>
        <w:rPr/>
        <w:t>En publicaciones relacionadas, el resumen del </w:t>
      </w:r>
      <w:r>
        <w:rPr>
          <w:b/>
          <w:i/>
        </w:rPr>
        <w:t>webmarketer </w:t>
      </w:r>
      <w:r>
        <w:rPr/>
        <w:t>indica que para el 2012 en México los usuarios de Facebook llegaban a los 33 millones de usuarios, 50% mujeres 50% hombres. El responsable de </w:t>
      </w:r>
      <w:r>
        <w:rPr>
          <w:b/>
          <w:i/>
        </w:rPr>
        <w:t>marketing online </w:t>
      </w:r>
      <w:r>
        <w:rPr/>
        <w:t>indicó que los usuarios más frecuentes tienen entre 18 y 24 años de edad, seguidos por usuarios de entre 25 y 34 años</w:t>
      </w:r>
      <w:r>
        <w:rPr>
          <w:spacing w:val="-8"/>
        </w:rPr>
        <w:t> </w:t>
      </w:r>
      <w:r>
        <w:rPr/>
        <w:t>y</w:t>
      </w:r>
      <w:r>
        <w:rPr>
          <w:spacing w:val="-11"/>
        </w:rPr>
        <w:t> </w:t>
      </w:r>
      <w:r>
        <w:rPr/>
        <w:t>en</w:t>
      </w:r>
      <w:r>
        <w:rPr>
          <w:spacing w:val="-10"/>
        </w:rPr>
        <w:t> </w:t>
      </w:r>
      <w:r>
        <w:rPr/>
        <w:t>tercer</w:t>
      </w:r>
      <w:r>
        <w:rPr>
          <w:spacing w:val="-9"/>
        </w:rPr>
        <w:t> </w:t>
      </w:r>
      <w:r>
        <w:rPr/>
        <w:t>lugar</w:t>
      </w:r>
      <w:r>
        <w:rPr>
          <w:spacing w:val="-11"/>
        </w:rPr>
        <w:t> </w:t>
      </w:r>
      <w:r>
        <w:rPr/>
        <w:t>adolescentes</w:t>
      </w:r>
      <w:r>
        <w:rPr>
          <w:spacing w:val="-8"/>
        </w:rPr>
        <w:t> </w:t>
      </w:r>
      <w:r>
        <w:rPr/>
        <w:t>de</w:t>
      </w:r>
      <w:r>
        <w:rPr>
          <w:spacing w:val="-7"/>
        </w:rPr>
        <w:t> </w:t>
      </w:r>
      <w:r>
        <w:rPr/>
        <w:t>entre</w:t>
      </w:r>
      <w:r>
        <w:rPr>
          <w:spacing w:val="-10"/>
        </w:rPr>
        <w:t> </w:t>
      </w:r>
      <w:r>
        <w:rPr/>
        <w:t>16</w:t>
      </w:r>
      <w:r>
        <w:rPr>
          <w:spacing w:val="-2"/>
        </w:rPr>
        <w:t> </w:t>
      </w:r>
      <w:r>
        <w:rPr/>
        <w:t>y</w:t>
      </w:r>
      <w:r>
        <w:rPr>
          <w:spacing w:val="-11"/>
        </w:rPr>
        <w:t> </w:t>
      </w:r>
      <w:r>
        <w:rPr/>
        <w:t>17</w:t>
      </w:r>
      <w:r>
        <w:rPr>
          <w:spacing w:val="-7"/>
        </w:rPr>
        <w:t> </w:t>
      </w:r>
      <w:r>
        <w:rPr/>
        <w:t>años</w:t>
      </w:r>
      <w:r>
        <w:rPr>
          <w:spacing w:val="-11"/>
        </w:rPr>
        <w:t> </w:t>
      </w:r>
      <w:r>
        <w:rPr/>
        <w:t>de</w:t>
      </w:r>
      <w:r>
        <w:rPr>
          <w:spacing w:val="-10"/>
        </w:rPr>
        <w:t> </w:t>
      </w:r>
      <w:r>
        <w:rPr/>
        <w:t>edad</w:t>
      </w:r>
      <w:r>
        <w:rPr>
          <w:spacing w:val="-7"/>
        </w:rPr>
        <w:t> </w:t>
      </w:r>
      <w:r>
        <w:rPr/>
        <w:t>y</w:t>
      </w:r>
      <w:r>
        <w:rPr>
          <w:spacing w:val="-11"/>
        </w:rPr>
        <w:t> </w:t>
      </w:r>
      <w:r>
        <w:rPr/>
        <w:t>el</w:t>
      </w:r>
      <w:r>
        <w:rPr>
          <w:spacing w:val="-9"/>
        </w:rPr>
        <w:t> </w:t>
      </w:r>
      <w:r>
        <w:rPr/>
        <w:t>mismo</w:t>
      </w:r>
      <w:r>
        <w:rPr>
          <w:spacing w:val="-10"/>
        </w:rPr>
        <w:t> </w:t>
      </w:r>
      <w:r>
        <w:rPr/>
        <w:t>porcentaje de adultos entre 35 y 44 años de edad. Así mismo, en cuanto a entidades federativas el Estado de México ocupa el primer lugar, seguido del Distrito Federal y Jalisco en</w:t>
      </w:r>
      <w:r>
        <w:rPr>
          <w:spacing w:val="-43"/>
        </w:rPr>
        <w:t> </w:t>
      </w:r>
      <w:r>
        <w:rPr/>
        <w:t>tercero según así lo indica el </w:t>
      </w:r>
      <w:r>
        <w:rPr>
          <w:b/>
          <w:i/>
        </w:rPr>
        <w:t>chart </w:t>
      </w:r>
      <w:r>
        <w:rPr/>
        <w:t>en la</w:t>
      </w:r>
      <w:r>
        <w:rPr>
          <w:spacing w:val="-8"/>
        </w:rPr>
        <w:t> </w:t>
      </w:r>
      <w:r>
        <w:rPr>
          <w:b/>
          <w:i/>
        </w:rPr>
        <w:t>web</w:t>
      </w:r>
      <w:r>
        <w:rPr/>
        <w:t>.</w:t>
      </w:r>
    </w:p>
    <w:p>
      <w:pPr>
        <w:pStyle w:val="BodyText"/>
        <w:spacing w:line="360" w:lineRule="auto" w:before="5"/>
        <w:ind w:left="102" w:right="106"/>
        <w:jc w:val="both"/>
      </w:pPr>
      <w:r>
        <w:rPr/>
        <w:t>En gran medida el tiempo de uso de las redes sociales ha aumentado debido a otros factores como el implemento de dispositivos móviles como </w:t>
      </w:r>
      <w:r>
        <w:rPr>
          <w:b/>
          <w:i/>
        </w:rPr>
        <w:t>smartphones </w:t>
      </w:r>
      <w:r>
        <w:rPr/>
        <w:t>y </w:t>
      </w:r>
      <w:r>
        <w:rPr>
          <w:b/>
        </w:rPr>
        <w:t>tablets, </w:t>
      </w:r>
      <w:r>
        <w:rPr/>
        <w:t>los cuales tienen incluidos los accesos directos a las </w:t>
      </w:r>
      <w:r>
        <w:rPr>
          <w:b/>
          <w:i/>
        </w:rPr>
        <w:t>apps </w:t>
      </w:r>
      <w:r>
        <w:rPr/>
        <w:t>que permiten la conexión desde cualquier lugar.</w:t>
      </w:r>
    </w:p>
    <w:p>
      <w:pPr>
        <w:spacing w:line="360" w:lineRule="auto" w:before="5"/>
        <w:ind w:left="102" w:right="109" w:firstLine="0"/>
        <w:jc w:val="both"/>
        <w:rPr>
          <w:sz w:val="24"/>
        </w:rPr>
      </w:pPr>
      <w:r>
        <w:rPr>
          <w:sz w:val="24"/>
        </w:rPr>
        <w:t>Finalmente,</w:t>
      </w:r>
      <w:r>
        <w:rPr>
          <w:spacing w:val="-11"/>
          <w:sz w:val="24"/>
        </w:rPr>
        <w:t> </w:t>
      </w:r>
      <w:r>
        <w:rPr>
          <w:sz w:val="24"/>
        </w:rPr>
        <w:t>entre</w:t>
      </w:r>
      <w:r>
        <w:rPr>
          <w:spacing w:val="-9"/>
          <w:sz w:val="24"/>
        </w:rPr>
        <w:t> </w:t>
      </w:r>
      <w:r>
        <w:rPr>
          <w:sz w:val="24"/>
        </w:rPr>
        <w:t>las</w:t>
      </w:r>
      <w:r>
        <w:rPr>
          <w:spacing w:val="-11"/>
          <w:sz w:val="24"/>
        </w:rPr>
        <w:t> </w:t>
      </w:r>
      <w:r>
        <w:rPr>
          <w:sz w:val="24"/>
        </w:rPr>
        <w:t>actividades</w:t>
      </w:r>
      <w:r>
        <w:rPr>
          <w:spacing w:val="-9"/>
          <w:sz w:val="24"/>
        </w:rPr>
        <w:t> </w:t>
      </w:r>
      <w:r>
        <w:rPr>
          <w:sz w:val="24"/>
        </w:rPr>
        <w:t>que</w:t>
      </w:r>
      <w:r>
        <w:rPr>
          <w:spacing w:val="-11"/>
          <w:sz w:val="24"/>
        </w:rPr>
        <w:t> </w:t>
      </w:r>
      <w:r>
        <w:rPr>
          <w:sz w:val="24"/>
        </w:rPr>
        <w:t>más</w:t>
      </w:r>
      <w:r>
        <w:rPr>
          <w:spacing w:val="-9"/>
          <w:sz w:val="24"/>
        </w:rPr>
        <w:t> </w:t>
      </w:r>
      <w:r>
        <w:rPr>
          <w:sz w:val="24"/>
        </w:rPr>
        <w:t>se</w:t>
      </w:r>
      <w:r>
        <w:rPr>
          <w:spacing w:val="-13"/>
          <w:sz w:val="24"/>
        </w:rPr>
        <w:t> </w:t>
      </w:r>
      <w:r>
        <w:rPr>
          <w:sz w:val="24"/>
        </w:rPr>
        <w:t>realizan</w:t>
      </w:r>
      <w:r>
        <w:rPr>
          <w:spacing w:val="-8"/>
          <w:sz w:val="24"/>
        </w:rPr>
        <w:t> </w:t>
      </w:r>
      <w:r>
        <w:rPr>
          <w:sz w:val="24"/>
        </w:rPr>
        <w:t>dentro</w:t>
      </w:r>
      <w:r>
        <w:rPr>
          <w:spacing w:val="-11"/>
          <w:sz w:val="24"/>
        </w:rPr>
        <w:t> </w:t>
      </w:r>
      <w:r>
        <w:rPr>
          <w:sz w:val="24"/>
        </w:rPr>
        <w:t>de</w:t>
      </w:r>
      <w:r>
        <w:rPr>
          <w:spacing w:val="-11"/>
          <w:sz w:val="24"/>
        </w:rPr>
        <w:t> </w:t>
      </w:r>
      <w:r>
        <w:rPr>
          <w:sz w:val="24"/>
        </w:rPr>
        <w:t>las</w:t>
      </w:r>
      <w:r>
        <w:rPr>
          <w:spacing w:val="-5"/>
          <w:sz w:val="24"/>
        </w:rPr>
        <w:t> </w:t>
      </w:r>
      <w:r>
        <w:rPr>
          <w:b/>
          <w:i/>
          <w:sz w:val="24"/>
        </w:rPr>
        <w:t>social</w:t>
      </w:r>
      <w:r>
        <w:rPr>
          <w:b/>
          <w:i/>
          <w:spacing w:val="-11"/>
          <w:sz w:val="24"/>
        </w:rPr>
        <w:t> </w:t>
      </w:r>
      <w:r>
        <w:rPr>
          <w:b/>
          <w:i/>
          <w:sz w:val="24"/>
        </w:rPr>
        <w:t>networks</w:t>
      </w:r>
      <w:r>
        <w:rPr>
          <w:b/>
          <w:i/>
          <w:spacing w:val="-7"/>
          <w:sz w:val="24"/>
        </w:rPr>
        <w:t> </w:t>
      </w:r>
      <w:r>
        <w:rPr>
          <w:sz w:val="24"/>
        </w:rPr>
        <w:t>son el </w:t>
      </w:r>
      <w:r>
        <w:rPr>
          <w:b/>
          <w:i/>
          <w:sz w:val="24"/>
        </w:rPr>
        <w:t>chat</w:t>
      </w:r>
      <w:r>
        <w:rPr>
          <w:sz w:val="24"/>
        </w:rPr>
        <w:t>, juegos </w:t>
      </w:r>
      <w:r>
        <w:rPr>
          <w:b/>
          <w:i/>
          <w:sz w:val="24"/>
        </w:rPr>
        <w:t>online </w:t>
      </w:r>
      <w:r>
        <w:rPr>
          <w:sz w:val="24"/>
        </w:rPr>
        <w:t>y</w:t>
      </w:r>
      <w:r>
        <w:rPr>
          <w:spacing w:val="-7"/>
          <w:sz w:val="24"/>
        </w:rPr>
        <w:t> </w:t>
      </w:r>
      <w:r>
        <w:rPr>
          <w:b/>
          <w:i/>
          <w:sz w:val="24"/>
        </w:rPr>
        <w:t>marketing</w:t>
      </w:r>
      <w:r>
        <w:rPr>
          <w:sz w:val="24"/>
        </w:rPr>
        <w:t>.</w:t>
      </w:r>
    </w:p>
    <w:p>
      <w:pPr>
        <w:spacing w:after="0" w:line="360" w:lineRule="auto"/>
        <w:jc w:val="both"/>
        <w:rPr>
          <w:sz w:val="24"/>
        </w:rPr>
        <w:sectPr>
          <w:headerReference w:type="default" r:id="rId127"/>
          <w:footerReference w:type="default" r:id="rId128"/>
          <w:pgSz w:w="12240" w:h="15840"/>
          <w:pgMar w:header="0" w:footer="1003" w:top="1500" w:bottom="1200" w:left="1600" w:right="1020"/>
        </w:sectPr>
      </w:pPr>
    </w:p>
    <w:p>
      <w:pPr>
        <w:pStyle w:val="BodyText"/>
        <w:spacing w:before="4"/>
        <w:rPr>
          <w:sz w:val="11"/>
        </w:rPr>
      </w:pPr>
    </w:p>
    <w:p>
      <w:pPr>
        <w:pStyle w:val="Heading1"/>
        <w:spacing w:before="69"/>
        <w:jc w:val="both"/>
      </w:pPr>
      <w:r>
        <w:rPr>
          <w:color w:val="2D74B5"/>
        </w:rPr>
        <w:t>Todo acerca de las redes sociales</w:t>
      </w:r>
    </w:p>
    <w:p>
      <w:pPr>
        <w:pStyle w:val="BodyText"/>
        <w:spacing w:line="360" w:lineRule="auto" w:before="137"/>
        <w:ind w:left="102" w:right="107"/>
        <w:jc w:val="both"/>
      </w:pPr>
      <w:r>
        <w:rPr/>
        <w:t>En una investigación realizada a finales del 2012 se encontró que la </w:t>
      </w:r>
      <w:r>
        <w:rPr>
          <w:b/>
        </w:rPr>
        <w:t>audiencia </w:t>
      </w:r>
      <w:r>
        <w:rPr/>
        <w:t>Latinoamérica</w:t>
      </w:r>
      <w:r>
        <w:rPr>
          <w:spacing w:val="-18"/>
        </w:rPr>
        <w:t> </w:t>
      </w:r>
      <w:r>
        <w:rPr/>
        <w:t>es</w:t>
      </w:r>
      <w:r>
        <w:rPr>
          <w:spacing w:val="-19"/>
        </w:rPr>
        <w:t> </w:t>
      </w:r>
      <w:r>
        <w:rPr/>
        <w:t>una</w:t>
      </w:r>
      <w:r>
        <w:rPr>
          <w:spacing w:val="-18"/>
        </w:rPr>
        <w:t> </w:t>
      </w:r>
      <w:r>
        <w:rPr/>
        <w:t>de</w:t>
      </w:r>
      <w:r>
        <w:rPr>
          <w:spacing w:val="-17"/>
        </w:rPr>
        <w:t> </w:t>
      </w:r>
      <w:r>
        <w:rPr/>
        <w:t>las</w:t>
      </w:r>
      <w:r>
        <w:rPr>
          <w:spacing w:val="-21"/>
        </w:rPr>
        <w:t> </w:t>
      </w:r>
      <w:r>
        <w:rPr/>
        <w:t>más</w:t>
      </w:r>
      <w:r>
        <w:rPr>
          <w:spacing w:val="-19"/>
        </w:rPr>
        <w:t> </w:t>
      </w:r>
      <w:r>
        <w:rPr/>
        <w:t>involucradas</w:t>
      </w:r>
      <w:r>
        <w:rPr>
          <w:spacing w:val="-21"/>
        </w:rPr>
        <w:t> </w:t>
      </w:r>
      <w:r>
        <w:rPr/>
        <w:t>con</w:t>
      </w:r>
      <w:r>
        <w:rPr>
          <w:spacing w:val="-17"/>
        </w:rPr>
        <w:t> </w:t>
      </w:r>
      <w:r>
        <w:rPr/>
        <w:t>las</w:t>
      </w:r>
      <w:r>
        <w:rPr>
          <w:spacing w:val="-17"/>
        </w:rPr>
        <w:t> </w:t>
      </w:r>
      <w:r>
        <w:rPr/>
        <w:t>llamadas</w:t>
      </w:r>
      <w:r>
        <w:rPr>
          <w:spacing w:val="-14"/>
        </w:rPr>
        <w:t> </w:t>
      </w:r>
      <w:r>
        <w:rPr>
          <w:b/>
        </w:rPr>
        <w:t>redes</w:t>
      </w:r>
      <w:r>
        <w:rPr>
          <w:b/>
          <w:spacing w:val="-18"/>
        </w:rPr>
        <w:t> </w:t>
      </w:r>
      <w:r>
        <w:rPr>
          <w:b/>
        </w:rPr>
        <w:t>sociales</w:t>
      </w:r>
      <w:r>
        <w:rPr/>
        <w:t>.</w:t>
      </w:r>
      <w:r>
        <w:rPr>
          <w:spacing w:val="-18"/>
        </w:rPr>
        <w:t> </w:t>
      </w:r>
      <w:r>
        <w:rPr/>
        <w:t>Además, el tiempo que se les dedica es considerablemente alto comparado con otras actividades de la vida diaria. Por ejemplo, a Facebook, en promedio se le dedica 7,7 horas al día. El implemento de dispositivos móviles como </w:t>
      </w:r>
      <w:r>
        <w:rPr>
          <w:b/>
        </w:rPr>
        <w:t>teléfonos inteligentes </w:t>
      </w:r>
      <w:r>
        <w:rPr/>
        <w:t>y </w:t>
      </w:r>
      <w:r>
        <w:rPr>
          <w:b/>
        </w:rPr>
        <w:t>tabletas electrónicas, </w:t>
      </w:r>
      <w:r>
        <w:rPr/>
        <w:t>han contribuido de manera significativa en el uso de dichas redes, ya que contienen</w:t>
      </w:r>
      <w:r>
        <w:rPr>
          <w:spacing w:val="-12"/>
        </w:rPr>
        <w:t> </w:t>
      </w:r>
      <w:r>
        <w:rPr/>
        <w:t>accesos</w:t>
      </w:r>
      <w:r>
        <w:rPr>
          <w:spacing w:val="-10"/>
        </w:rPr>
        <w:t> </w:t>
      </w:r>
      <w:r>
        <w:rPr/>
        <w:t>directos</w:t>
      </w:r>
      <w:r>
        <w:rPr>
          <w:spacing w:val="-10"/>
        </w:rPr>
        <w:t> </w:t>
      </w:r>
      <w:r>
        <w:rPr/>
        <w:t>a</w:t>
      </w:r>
      <w:r>
        <w:rPr>
          <w:spacing w:val="-12"/>
        </w:rPr>
        <w:t> </w:t>
      </w:r>
      <w:r>
        <w:rPr/>
        <w:t>las</w:t>
      </w:r>
      <w:r>
        <w:rPr>
          <w:spacing w:val="-7"/>
        </w:rPr>
        <w:t> </w:t>
      </w:r>
      <w:r>
        <w:rPr>
          <w:b/>
        </w:rPr>
        <w:t>aplicaciones</w:t>
      </w:r>
      <w:r>
        <w:rPr>
          <w:b/>
          <w:spacing w:val="-8"/>
        </w:rPr>
        <w:t> </w:t>
      </w:r>
      <w:r>
        <w:rPr/>
        <w:t>que</w:t>
      </w:r>
      <w:r>
        <w:rPr>
          <w:spacing w:val="-9"/>
        </w:rPr>
        <w:t> </w:t>
      </w:r>
      <w:r>
        <w:rPr/>
        <w:t>permiten</w:t>
      </w:r>
      <w:r>
        <w:rPr>
          <w:spacing w:val="-9"/>
        </w:rPr>
        <w:t> </w:t>
      </w:r>
      <w:r>
        <w:rPr/>
        <w:t>la</w:t>
      </w:r>
      <w:r>
        <w:rPr>
          <w:spacing w:val="-12"/>
        </w:rPr>
        <w:t> </w:t>
      </w:r>
      <w:r>
        <w:rPr/>
        <w:t>conexión</w:t>
      </w:r>
      <w:r>
        <w:rPr>
          <w:spacing w:val="-9"/>
        </w:rPr>
        <w:t> </w:t>
      </w:r>
      <w:r>
        <w:rPr/>
        <w:t>desde</w:t>
      </w:r>
      <w:r>
        <w:rPr>
          <w:spacing w:val="-12"/>
        </w:rPr>
        <w:t> </w:t>
      </w:r>
      <w:r>
        <w:rPr/>
        <w:t>cualquier lugar.</w:t>
      </w:r>
    </w:p>
    <w:p>
      <w:pPr>
        <w:pStyle w:val="BodyText"/>
        <w:spacing w:line="360" w:lineRule="auto" w:before="202"/>
        <w:ind w:left="102" w:right="107"/>
        <w:jc w:val="both"/>
      </w:pPr>
      <w:r>
        <w:rPr/>
        <w:t>En las estadísticas mostradas, también se indica que 1 de cada 4 minutos que un latinoamericano pasa en internet, es dedicado específicamente a la </w:t>
      </w:r>
      <w:r>
        <w:rPr>
          <w:b/>
        </w:rPr>
        <w:t>red </w:t>
      </w:r>
      <w:r>
        <w:rPr/>
        <w:t>ya mencionada, la cual sumó 114,5 millones de visitantes el año pasado. En el </w:t>
      </w:r>
      <w:r>
        <w:rPr>
          <w:b/>
        </w:rPr>
        <w:t>listado </w:t>
      </w:r>
      <w:r>
        <w:rPr/>
        <w:t>de las tres </w:t>
      </w:r>
      <w:r>
        <w:rPr>
          <w:b/>
        </w:rPr>
        <w:t>redes sociales</w:t>
      </w:r>
      <w:r>
        <w:rPr>
          <w:b/>
          <w:spacing w:val="-17"/>
        </w:rPr>
        <w:t> </w:t>
      </w:r>
      <w:r>
        <w:rPr/>
        <w:t>más</w:t>
      </w:r>
      <w:r>
        <w:rPr>
          <w:spacing w:val="-16"/>
        </w:rPr>
        <w:t> </w:t>
      </w:r>
      <w:r>
        <w:rPr/>
        <w:t>populares,</w:t>
      </w:r>
      <w:r>
        <w:rPr>
          <w:spacing w:val="-16"/>
        </w:rPr>
        <w:t> </w:t>
      </w:r>
      <w:r>
        <w:rPr/>
        <w:t>Twitter</w:t>
      </w:r>
      <w:r>
        <w:rPr>
          <w:spacing w:val="-17"/>
        </w:rPr>
        <w:t> </w:t>
      </w:r>
      <w:r>
        <w:rPr/>
        <w:t>toma</w:t>
      </w:r>
      <w:r>
        <w:rPr>
          <w:spacing w:val="-16"/>
        </w:rPr>
        <w:t> </w:t>
      </w:r>
      <w:r>
        <w:rPr/>
        <w:t>la</w:t>
      </w:r>
      <w:r>
        <w:rPr>
          <w:spacing w:val="-16"/>
        </w:rPr>
        <w:t> </w:t>
      </w:r>
      <w:r>
        <w:rPr/>
        <w:t>segunda</w:t>
      </w:r>
      <w:r>
        <w:rPr>
          <w:spacing w:val="-16"/>
        </w:rPr>
        <w:t> </w:t>
      </w:r>
      <w:r>
        <w:rPr/>
        <w:t>posición</w:t>
      </w:r>
      <w:r>
        <w:rPr>
          <w:spacing w:val="-16"/>
        </w:rPr>
        <w:t> </w:t>
      </w:r>
      <w:r>
        <w:rPr/>
        <w:t>con</w:t>
      </w:r>
      <w:r>
        <w:rPr>
          <w:spacing w:val="-16"/>
        </w:rPr>
        <w:t> </w:t>
      </w:r>
      <w:r>
        <w:rPr/>
        <w:t>27,4</w:t>
      </w:r>
      <w:r>
        <w:rPr>
          <w:spacing w:val="-16"/>
        </w:rPr>
        <w:t> </w:t>
      </w:r>
      <w:r>
        <w:rPr/>
        <w:t>millones</w:t>
      </w:r>
      <w:r>
        <w:rPr>
          <w:spacing w:val="-16"/>
        </w:rPr>
        <w:t> </w:t>
      </w:r>
      <w:r>
        <w:rPr/>
        <w:t>de</w:t>
      </w:r>
      <w:r>
        <w:rPr>
          <w:spacing w:val="-16"/>
        </w:rPr>
        <w:t> </w:t>
      </w:r>
      <w:r>
        <w:rPr/>
        <w:t>visitantes y el tercer lugar lo ocupa Orkut con 25,7 millones. Se afirma que entre las actividades más populares realizadas en las redes sociales son las </w:t>
      </w:r>
      <w:r>
        <w:rPr>
          <w:b/>
        </w:rPr>
        <w:t>conversaciones entre contactos, los videojuegos y los anuncios</w:t>
      </w:r>
      <w:r>
        <w:rPr>
          <w:b/>
          <w:spacing w:val="-11"/>
        </w:rPr>
        <w:t> </w:t>
      </w:r>
      <w:r>
        <w:rPr>
          <w:b/>
        </w:rPr>
        <w:t>publicitarios</w:t>
      </w:r>
      <w:r>
        <w:rPr/>
        <w:t>.</w:t>
      </w:r>
    </w:p>
    <w:p>
      <w:pPr>
        <w:pStyle w:val="BodyText"/>
        <w:spacing w:line="360" w:lineRule="auto" w:before="204"/>
        <w:ind w:left="102" w:right="108"/>
        <w:jc w:val="both"/>
      </w:pPr>
      <w:r>
        <w:rPr/>
        <w:t>Así</w:t>
      </w:r>
      <w:r>
        <w:rPr>
          <w:spacing w:val="-10"/>
        </w:rPr>
        <w:t> </w:t>
      </w:r>
      <w:r>
        <w:rPr/>
        <w:t>también,</w:t>
      </w:r>
      <w:r>
        <w:rPr>
          <w:spacing w:val="-7"/>
        </w:rPr>
        <w:t> </w:t>
      </w:r>
      <w:r>
        <w:rPr/>
        <w:t>otros</w:t>
      </w:r>
      <w:r>
        <w:rPr>
          <w:spacing w:val="-8"/>
        </w:rPr>
        <w:t> </w:t>
      </w:r>
      <w:r>
        <w:rPr/>
        <w:t>artículos</w:t>
      </w:r>
      <w:r>
        <w:rPr>
          <w:spacing w:val="-7"/>
        </w:rPr>
        <w:t> </w:t>
      </w:r>
      <w:r>
        <w:rPr/>
        <w:t>muestran</w:t>
      </w:r>
      <w:r>
        <w:rPr>
          <w:spacing w:val="-7"/>
        </w:rPr>
        <w:t> </w:t>
      </w:r>
      <w:r>
        <w:rPr/>
        <w:t>que</w:t>
      </w:r>
      <w:r>
        <w:rPr>
          <w:spacing w:val="-3"/>
        </w:rPr>
        <w:t> </w:t>
      </w:r>
      <w:r>
        <w:rPr>
          <w:b/>
        </w:rPr>
        <w:t>el</w:t>
      </w:r>
      <w:r>
        <w:rPr>
          <w:b/>
          <w:spacing w:val="-7"/>
        </w:rPr>
        <w:t> </w:t>
      </w:r>
      <w:r>
        <w:rPr>
          <w:b/>
        </w:rPr>
        <w:t>índice</w:t>
      </w:r>
      <w:r>
        <w:rPr>
          <w:b/>
          <w:spacing w:val="-7"/>
        </w:rPr>
        <w:t> </w:t>
      </w:r>
      <w:r>
        <w:rPr>
          <w:b/>
        </w:rPr>
        <w:t>de</w:t>
      </w:r>
      <w:r>
        <w:rPr>
          <w:b/>
          <w:spacing w:val="-7"/>
        </w:rPr>
        <w:t> </w:t>
      </w:r>
      <w:r>
        <w:rPr>
          <w:b/>
        </w:rPr>
        <w:t>visitas</w:t>
      </w:r>
      <w:r>
        <w:rPr>
          <w:b/>
          <w:spacing w:val="-5"/>
        </w:rPr>
        <w:t> </w:t>
      </w:r>
      <w:r>
        <w:rPr/>
        <w:t>en</w:t>
      </w:r>
      <w:r>
        <w:rPr>
          <w:spacing w:val="-7"/>
        </w:rPr>
        <w:t> </w:t>
      </w:r>
      <w:r>
        <w:rPr>
          <w:b/>
        </w:rPr>
        <w:t>línea</w:t>
      </w:r>
      <w:r>
        <w:rPr/>
        <w:t>,</w:t>
      </w:r>
      <w:r>
        <w:rPr>
          <w:spacing w:val="-7"/>
        </w:rPr>
        <w:t> </w:t>
      </w:r>
      <w:r>
        <w:rPr/>
        <w:t>específicamente México acumulaba un total de 33 millones de usuarios inscritos a Facebook en el 2012, de los cuales, se indicó que los usuarios más frecuentes tienen entre 18 y 24 años de edad, seguidos por jóvenes de entre 25 y 34 años y en tercer lugar dos grupos de edad comparten la misma cifra: adolescentes de entre 16 y 17 años de edad y adultos  </w:t>
      </w:r>
      <w:r>
        <w:rPr>
          <w:spacing w:val="45"/>
        </w:rPr>
        <w:t> </w:t>
      </w:r>
      <w:r>
        <w:rPr/>
        <w:t>entre</w:t>
      </w:r>
    </w:p>
    <w:p>
      <w:pPr>
        <w:pStyle w:val="BodyText"/>
        <w:spacing w:line="360" w:lineRule="auto" w:before="5"/>
        <w:ind w:left="102" w:right="115"/>
        <w:jc w:val="both"/>
      </w:pPr>
      <w:r>
        <w:rPr/>
        <w:t>35 y 44 años, del total de usuarios 50% son mujeres y el otro 50% son hombres. Finalmente, en cuanto a entidades federativas se refiere, el Estado de México ocupa el primer lugar, el Distrito Federal el segundo y Jalisco el tercer lugar.</w:t>
      </w:r>
    </w:p>
    <w:p>
      <w:pPr>
        <w:pStyle w:val="BodyText"/>
        <w:spacing w:before="202"/>
        <w:ind w:left="102"/>
        <w:jc w:val="both"/>
      </w:pPr>
      <w:r>
        <w:rPr/>
        <w:t>Instrumento aplicado en el primer pilotaje.</w:t>
      </w:r>
    </w:p>
    <w:p>
      <w:pPr>
        <w:spacing w:after="0"/>
        <w:jc w:val="both"/>
        <w:sectPr>
          <w:headerReference w:type="default" r:id="rId129"/>
          <w:footerReference w:type="default" r:id="rId130"/>
          <w:pgSz w:w="12240" w:h="15840"/>
          <w:pgMar w:header="0" w:footer="1003" w:top="1500" w:bottom="1200" w:left="1600" w:right="1020"/>
        </w:sectPr>
      </w:pPr>
    </w:p>
    <w:p>
      <w:pPr>
        <w:pStyle w:val="BodyText"/>
        <w:rPr>
          <w:sz w:val="20"/>
        </w:rPr>
      </w:pPr>
    </w:p>
    <w:p>
      <w:pPr>
        <w:pStyle w:val="BodyText"/>
        <w:rPr>
          <w:sz w:val="20"/>
        </w:rPr>
      </w:pPr>
    </w:p>
    <w:p>
      <w:pPr>
        <w:pStyle w:val="BodyText"/>
        <w:spacing w:before="9"/>
      </w:pPr>
    </w:p>
    <w:p>
      <w:pPr>
        <w:pStyle w:val="BodyText"/>
        <w:spacing w:before="69"/>
        <w:ind w:left="2471"/>
      </w:pPr>
      <w:r>
        <w:rPr/>
        <w:t>NSTRUMENTO DEL PRIMER PILOTAJE</w:t>
      </w:r>
    </w:p>
    <w:p>
      <w:pPr>
        <w:pStyle w:val="BodyText"/>
        <w:spacing w:before="3"/>
        <w:rPr>
          <w:sz w:val="25"/>
        </w:rPr>
      </w:pPr>
      <w:r>
        <w:rPr/>
        <w:drawing>
          <wp:anchor distT="0" distB="0" distL="0" distR="0" allowOverlap="1" layoutInCell="1" locked="0" behindDoc="0" simplePos="0" relativeHeight="3808">
            <wp:simplePos x="0" y="0"/>
            <wp:positionH relativeFrom="page">
              <wp:posOffset>1869948</wp:posOffset>
            </wp:positionH>
            <wp:positionV relativeFrom="paragraph">
              <wp:posOffset>209766</wp:posOffset>
            </wp:positionV>
            <wp:extent cx="4271860" cy="6124194"/>
            <wp:effectExtent l="0" t="0" r="0" b="0"/>
            <wp:wrapTopAndBottom/>
            <wp:docPr id="15" name="image68.png" descr=""/>
            <wp:cNvGraphicFramePr>
              <a:graphicFrameLocks noChangeAspect="1"/>
            </wp:cNvGraphicFramePr>
            <a:graphic>
              <a:graphicData uri="http://schemas.openxmlformats.org/drawingml/2006/picture">
                <pic:pic>
                  <pic:nvPicPr>
                    <pic:cNvPr id="16" name="image68.png"/>
                    <pic:cNvPicPr/>
                  </pic:nvPicPr>
                  <pic:blipFill>
                    <a:blip r:embed="rId133" cstate="print"/>
                    <a:stretch>
                      <a:fillRect/>
                    </a:stretch>
                  </pic:blipFill>
                  <pic:spPr>
                    <a:xfrm>
                      <a:off x="0" y="0"/>
                      <a:ext cx="4271860" cy="6124194"/>
                    </a:xfrm>
                    <a:prstGeom prst="rect">
                      <a:avLst/>
                    </a:prstGeom>
                  </pic:spPr>
                </pic:pic>
              </a:graphicData>
            </a:graphic>
          </wp:anchor>
        </w:drawing>
      </w:r>
    </w:p>
    <w:p>
      <w:pPr>
        <w:spacing w:after="0"/>
        <w:rPr>
          <w:sz w:val="25"/>
        </w:rPr>
        <w:sectPr>
          <w:headerReference w:type="default" r:id="rId131"/>
          <w:footerReference w:type="default" r:id="rId132"/>
          <w:pgSz w:w="12240" w:h="15840"/>
          <w:pgMar w:header="0" w:footer="943" w:top="1500" w:bottom="114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0"/>
        </w:rPr>
      </w:pPr>
    </w:p>
    <w:p>
      <w:pPr>
        <w:pStyle w:val="BodyText"/>
        <w:ind w:left="2264"/>
        <w:rPr>
          <w:rFonts w:ascii="Times New Roman"/>
          <w:sz w:val="20"/>
        </w:rPr>
      </w:pPr>
      <w:r>
        <w:rPr>
          <w:rFonts w:ascii="Times New Roman"/>
          <w:sz w:val="20"/>
        </w:rPr>
        <w:drawing>
          <wp:inline distT="0" distB="0" distL="0" distR="0">
            <wp:extent cx="2647979" cy="5552313"/>
            <wp:effectExtent l="0" t="0" r="0" b="0"/>
            <wp:docPr id="17" name="image69.png" descr=""/>
            <wp:cNvGraphicFramePr>
              <a:graphicFrameLocks noChangeAspect="1"/>
            </wp:cNvGraphicFramePr>
            <a:graphic>
              <a:graphicData uri="http://schemas.openxmlformats.org/drawingml/2006/picture">
                <pic:pic>
                  <pic:nvPicPr>
                    <pic:cNvPr id="18" name="image69.png"/>
                    <pic:cNvPicPr/>
                  </pic:nvPicPr>
                  <pic:blipFill>
                    <a:blip r:embed="rId136" cstate="print"/>
                    <a:stretch>
                      <a:fillRect/>
                    </a:stretch>
                  </pic:blipFill>
                  <pic:spPr>
                    <a:xfrm>
                      <a:off x="0" y="0"/>
                      <a:ext cx="2647979" cy="5552313"/>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34"/>
          <w:footerReference w:type="default" r:id="rId135"/>
          <w:pgSz w:w="12240" w:h="15840"/>
          <w:pgMar w:header="0" w:footer="943" w:top="1500" w:bottom="1140" w:left="1720" w:right="1720"/>
        </w:sectPr>
      </w:pPr>
    </w:p>
    <w:p>
      <w:pPr>
        <w:pStyle w:val="BodyText"/>
        <w:rPr>
          <w:rFonts w:ascii="Times New Roman"/>
          <w:sz w:val="20"/>
        </w:rPr>
      </w:pPr>
    </w:p>
    <w:p>
      <w:pPr>
        <w:pStyle w:val="BodyText"/>
        <w:spacing w:before="5"/>
        <w:rPr>
          <w:rFonts w:ascii="Times New Roman"/>
          <w:sz w:val="17"/>
        </w:rPr>
      </w:pPr>
    </w:p>
    <w:p>
      <w:pPr>
        <w:pStyle w:val="BodyText"/>
        <w:spacing w:line="360" w:lineRule="auto" w:before="69"/>
        <w:ind w:left="3683" w:right="2402" w:hanging="1275"/>
      </w:pPr>
      <w:r>
        <w:rPr/>
        <w:drawing>
          <wp:anchor distT="0" distB="0" distL="0" distR="0" allowOverlap="1" layoutInCell="1" locked="0" behindDoc="0" simplePos="0" relativeHeight="3832">
            <wp:simplePos x="0" y="0"/>
            <wp:positionH relativeFrom="page">
              <wp:posOffset>5818632</wp:posOffset>
            </wp:positionH>
            <wp:positionV relativeFrom="paragraph">
              <wp:posOffset>-179249</wp:posOffset>
            </wp:positionV>
            <wp:extent cx="826008" cy="783335"/>
            <wp:effectExtent l="0" t="0" r="0" b="0"/>
            <wp:wrapNone/>
            <wp:docPr id="19" name="image1.png" descr=""/>
            <wp:cNvGraphicFramePr>
              <a:graphicFrameLocks noChangeAspect="1"/>
            </wp:cNvGraphicFramePr>
            <a:graphic>
              <a:graphicData uri="http://schemas.openxmlformats.org/drawingml/2006/picture">
                <pic:pic>
                  <pic:nvPicPr>
                    <pic:cNvPr id="20" name="image1.png"/>
                    <pic:cNvPicPr/>
                  </pic:nvPicPr>
                  <pic:blipFill>
                    <a:blip r:embed="rId5" cstate="print"/>
                    <a:stretch>
                      <a:fillRect/>
                    </a:stretch>
                  </pic:blipFill>
                  <pic:spPr>
                    <a:xfrm>
                      <a:off x="0" y="0"/>
                      <a:ext cx="826008" cy="783335"/>
                    </a:xfrm>
                    <a:prstGeom prst="rect">
                      <a:avLst/>
                    </a:prstGeom>
                  </pic:spPr>
                </pic:pic>
              </a:graphicData>
            </a:graphic>
          </wp:anchor>
        </w:drawing>
      </w:r>
      <w:r>
        <w:rPr/>
        <w:drawing>
          <wp:anchor distT="0" distB="0" distL="0" distR="0" allowOverlap="1" layoutInCell="1" locked="0" behindDoc="0" simplePos="0" relativeHeight="3856">
            <wp:simplePos x="0" y="0"/>
            <wp:positionH relativeFrom="page">
              <wp:posOffset>1094739</wp:posOffset>
            </wp:positionH>
            <wp:positionV relativeFrom="paragraph">
              <wp:posOffset>-268657</wp:posOffset>
            </wp:positionV>
            <wp:extent cx="878205" cy="819150"/>
            <wp:effectExtent l="0" t="0" r="0" b="0"/>
            <wp:wrapNone/>
            <wp:docPr id="21" name="image2.jpeg" descr=""/>
            <wp:cNvGraphicFramePr>
              <a:graphicFrameLocks noChangeAspect="1"/>
            </wp:cNvGraphicFramePr>
            <a:graphic>
              <a:graphicData uri="http://schemas.openxmlformats.org/drawingml/2006/picture">
                <pic:pic>
                  <pic:nvPicPr>
                    <pic:cNvPr id="22" name="image2.jpeg"/>
                    <pic:cNvPicPr/>
                  </pic:nvPicPr>
                  <pic:blipFill>
                    <a:blip r:embed="rId6" cstate="print"/>
                    <a:stretch>
                      <a:fillRect/>
                    </a:stretch>
                  </pic:blipFill>
                  <pic:spPr>
                    <a:xfrm>
                      <a:off x="0" y="0"/>
                      <a:ext cx="878205" cy="819150"/>
                    </a:xfrm>
                    <a:prstGeom prst="rect">
                      <a:avLst/>
                    </a:prstGeom>
                  </pic:spPr>
                </pic:pic>
              </a:graphicData>
            </a:graphic>
          </wp:anchor>
        </w:drawing>
      </w:r>
      <w:r>
        <w:rPr/>
        <w:t>Universidad Autónoma del Estado de México Facultad de Lenguas</w:t>
      </w:r>
    </w:p>
    <w:p>
      <w:pPr>
        <w:pStyle w:val="BodyText"/>
        <w:spacing w:before="9"/>
        <w:rPr>
          <w:sz w:val="18"/>
        </w:rPr>
      </w:pPr>
    </w:p>
    <w:p>
      <w:pPr>
        <w:spacing w:line="240" w:lineRule="auto" w:before="57"/>
        <w:ind w:left="102" w:right="99" w:firstLine="0"/>
        <w:jc w:val="left"/>
        <w:rPr>
          <w:rFonts w:ascii="Calibri" w:hAnsi="Calibri"/>
          <w:sz w:val="22"/>
        </w:rPr>
      </w:pPr>
      <w:r>
        <w:rPr>
          <w:rFonts w:ascii="Calibri" w:hAnsi="Calibri"/>
          <w:sz w:val="22"/>
        </w:rPr>
        <w:t>El presente instrumento se ha realizado con el propósito científico de identificar las actitudes hacia la lengua. Cabe mencionar que el manejo de los datos se realizará de manera profesional y confidencial en el trabajo de tesis que realizo para obtener el grado de Maestra en Lingüística Aplicada. Se le pide responder con completa honestidad la totalidad de las aseveraciones para beneficio de la investigación. Gracias por su participación.</w:t>
      </w:r>
    </w:p>
    <w:p>
      <w:pPr>
        <w:pStyle w:val="BodyText"/>
        <w:spacing w:before="5"/>
        <w:rPr>
          <w:rFonts w:ascii="Calibri"/>
          <w:sz w:val="17"/>
        </w:rPr>
      </w:pPr>
    </w:p>
    <w:p>
      <w:pPr>
        <w:spacing w:after="0"/>
        <w:rPr>
          <w:rFonts w:ascii="Calibri"/>
          <w:sz w:val="17"/>
        </w:rPr>
        <w:sectPr>
          <w:headerReference w:type="default" r:id="rId137"/>
          <w:footerReference w:type="default" r:id="rId138"/>
          <w:pgSz w:w="12240" w:h="15840"/>
          <w:pgMar w:header="0" w:footer="734" w:top="1200" w:bottom="920" w:left="1600" w:right="1020"/>
        </w:sectPr>
      </w:pPr>
    </w:p>
    <w:p>
      <w:pPr>
        <w:pStyle w:val="BodyText"/>
        <w:spacing w:before="7"/>
        <w:rPr>
          <w:rFonts w:ascii="Calibri"/>
          <w:sz w:val="26"/>
        </w:rPr>
      </w:pPr>
    </w:p>
    <w:p>
      <w:pPr>
        <w:tabs>
          <w:tab w:pos="3561" w:val="left" w:leader="none"/>
        </w:tabs>
        <w:spacing w:before="1"/>
        <w:ind w:left="2085" w:right="0" w:firstLine="0"/>
        <w:jc w:val="left"/>
        <w:rPr>
          <w:rFonts w:ascii="Calibri"/>
          <w:sz w:val="22"/>
        </w:rPr>
      </w:pPr>
      <w:r>
        <w:rPr>
          <w:rFonts w:ascii="Calibri"/>
          <w:sz w:val="22"/>
        </w:rPr>
        <w:t>Edad: </w:t>
      </w:r>
      <w:r>
        <w:rPr>
          <w:rFonts w:ascii="Calibri"/>
          <w:w w:val="100"/>
          <w:sz w:val="22"/>
          <w:u w:val="single"/>
        </w:rPr>
        <w:t> </w:t>
      </w:r>
      <w:r>
        <w:rPr>
          <w:rFonts w:ascii="Calibri"/>
          <w:sz w:val="22"/>
          <w:u w:val="single"/>
        </w:rPr>
        <w:tab/>
      </w:r>
    </w:p>
    <w:p>
      <w:pPr>
        <w:spacing w:before="56"/>
        <w:ind w:left="441" w:right="0" w:firstLine="0"/>
        <w:jc w:val="left"/>
        <w:rPr>
          <w:rFonts w:ascii="Calibri"/>
          <w:b/>
          <w:sz w:val="22"/>
        </w:rPr>
      </w:pPr>
      <w:r>
        <w:rPr/>
        <w:br w:type="column"/>
      </w:r>
      <w:r>
        <w:rPr>
          <w:rFonts w:ascii="Calibri"/>
          <w:b/>
          <w:sz w:val="22"/>
        </w:rPr>
        <w:t>Datos generales:</w:t>
      </w:r>
    </w:p>
    <w:p>
      <w:pPr>
        <w:tabs>
          <w:tab w:pos="2930" w:val="left" w:leader="none"/>
        </w:tabs>
        <w:spacing w:before="0"/>
        <w:ind w:left="607" w:right="0" w:firstLine="0"/>
        <w:jc w:val="left"/>
        <w:rPr>
          <w:rFonts w:ascii="Calibri" w:hAnsi="Calibri"/>
          <w:sz w:val="22"/>
        </w:rPr>
      </w:pPr>
      <w:r>
        <w:rPr/>
        <w:pict>
          <v:rect style="position:absolute;margin-left:379.679993pt;margin-top:.493662pt;width:12.48pt;height:8.4pt;mso-position-horizontal-relative:page;mso-position-vertical-relative:paragraph;z-index:-245872" filled="false" stroked="true" strokeweight=".48pt" strokecolor="#000000">
            <w10:wrap type="none"/>
          </v:rect>
        </w:pict>
      </w:r>
      <w:r>
        <w:rPr/>
        <w:pict>
          <v:rect style="position:absolute;margin-left:461.040009pt;margin-top:.733662pt;width:12.6pt;height:8.4pt;mso-position-horizontal-relative:page;mso-position-vertical-relative:paragraph;z-index:4480" filled="false" stroked="true" strokeweight=".48pt" strokecolor="#000000">
            <w10:wrap type="none"/>
          </v:rect>
        </w:pict>
      </w:r>
      <w:r>
        <w:rPr>
          <w:rFonts w:ascii="Calibri" w:hAnsi="Calibri"/>
          <w:sz w:val="22"/>
        </w:rPr>
        <w:t>Género:</w:t>
      </w:r>
      <w:r>
        <w:rPr>
          <w:rFonts w:ascii="Calibri" w:hAnsi="Calibri"/>
          <w:spacing w:val="-3"/>
          <w:sz w:val="22"/>
        </w:rPr>
        <w:t> </w:t>
      </w:r>
      <w:r>
        <w:rPr>
          <w:rFonts w:ascii="Calibri" w:hAnsi="Calibri"/>
          <w:sz w:val="22"/>
        </w:rPr>
        <w:t>masculino</w:t>
        <w:tab/>
        <w:t>/</w:t>
      </w:r>
      <w:r>
        <w:rPr>
          <w:rFonts w:ascii="Calibri" w:hAnsi="Calibri"/>
          <w:spacing w:val="-3"/>
          <w:sz w:val="22"/>
        </w:rPr>
        <w:t> </w:t>
      </w:r>
      <w:r>
        <w:rPr>
          <w:rFonts w:ascii="Calibri" w:hAnsi="Calibri"/>
          <w:sz w:val="22"/>
        </w:rPr>
        <w:t>femenino</w:t>
      </w:r>
    </w:p>
    <w:p>
      <w:pPr>
        <w:spacing w:after="0"/>
        <w:jc w:val="left"/>
        <w:rPr>
          <w:rFonts w:ascii="Calibri" w:hAnsi="Calibri"/>
          <w:sz w:val="22"/>
        </w:rPr>
        <w:sectPr>
          <w:type w:val="continuous"/>
          <w:pgSz w:w="12240" w:h="15840"/>
          <w:pgMar w:top="1500" w:bottom="280" w:left="1600" w:right="1020"/>
          <w:cols w:num="2" w:equalWidth="0">
            <w:col w:w="3562" w:space="40"/>
            <w:col w:w="6018"/>
          </w:cols>
        </w:sectPr>
      </w:pPr>
    </w:p>
    <w:p>
      <w:pPr>
        <w:tabs>
          <w:tab w:pos="6526" w:val="left" w:leader="none"/>
        </w:tabs>
        <w:spacing w:before="0"/>
        <w:ind w:left="3126" w:right="339" w:firstLine="0"/>
        <w:jc w:val="left"/>
        <w:rPr>
          <w:rFonts w:ascii="Calibri"/>
          <w:sz w:val="22"/>
        </w:rPr>
      </w:pPr>
      <w:r>
        <w:rPr/>
        <w:drawing>
          <wp:anchor distT="0" distB="0" distL="0" distR="0" allowOverlap="1" layoutInCell="1" locked="0" behindDoc="0" simplePos="0" relativeHeight="4024">
            <wp:simplePos x="0" y="0"/>
            <wp:positionH relativeFrom="page">
              <wp:posOffset>3942588</wp:posOffset>
            </wp:positionH>
            <wp:positionV relativeFrom="page">
              <wp:posOffset>5964935</wp:posOffset>
            </wp:positionV>
            <wp:extent cx="166507" cy="168021"/>
            <wp:effectExtent l="0" t="0" r="0" b="0"/>
            <wp:wrapNone/>
            <wp:docPr id="23" name="image70.png" descr=""/>
            <wp:cNvGraphicFramePr>
              <a:graphicFrameLocks noChangeAspect="1"/>
            </wp:cNvGraphicFramePr>
            <a:graphic>
              <a:graphicData uri="http://schemas.openxmlformats.org/drawingml/2006/picture">
                <pic:pic>
                  <pic:nvPicPr>
                    <pic:cNvPr id="24"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048">
            <wp:simplePos x="0" y="0"/>
            <wp:positionH relativeFrom="page">
              <wp:posOffset>4533900</wp:posOffset>
            </wp:positionH>
            <wp:positionV relativeFrom="page">
              <wp:posOffset>5964935</wp:posOffset>
            </wp:positionV>
            <wp:extent cx="166507" cy="168021"/>
            <wp:effectExtent l="0" t="0" r="0" b="0"/>
            <wp:wrapNone/>
            <wp:docPr id="25" name="image70.png" descr=""/>
            <wp:cNvGraphicFramePr>
              <a:graphicFrameLocks noChangeAspect="1"/>
            </wp:cNvGraphicFramePr>
            <a:graphic>
              <a:graphicData uri="http://schemas.openxmlformats.org/drawingml/2006/picture">
                <pic:pic>
                  <pic:nvPicPr>
                    <pic:cNvPr id="26"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072">
            <wp:simplePos x="0" y="0"/>
            <wp:positionH relativeFrom="page">
              <wp:posOffset>5827776</wp:posOffset>
            </wp:positionH>
            <wp:positionV relativeFrom="page">
              <wp:posOffset>5964935</wp:posOffset>
            </wp:positionV>
            <wp:extent cx="166507" cy="168021"/>
            <wp:effectExtent l="0" t="0" r="0" b="0"/>
            <wp:wrapNone/>
            <wp:docPr id="27" name="image70.png" descr=""/>
            <wp:cNvGraphicFramePr>
              <a:graphicFrameLocks noChangeAspect="1"/>
            </wp:cNvGraphicFramePr>
            <a:graphic>
              <a:graphicData uri="http://schemas.openxmlformats.org/drawingml/2006/picture">
                <pic:pic>
                  <pic:nvPicPr>
                    <pic:cNvPr id="28"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096">
            <wp:simplePos x="0" y="0"/>
            <wp:positionH relativeFrom="page">
              <wp:posOffset>6574535</wp:posOffset>
            </wp:positionH>
            <wp:positionV relativeFrom="page">
              <wp:posOffset>5964935</wp:posOffset>
            </wp:positionV>
            <wp:extent cx="166507" cy="168021"/>
            <wp:effectExtent l="0" t="0" r="0" b="0"/>
            <wp:wrapNone/>
            <wp:docPr id="29" name="image70.png" descr=""/>
            <wp:cNvGraphicFramePr>
              <a:graphicFrameLocks noChangeAspect="1"/>
            </wp:cNvGraphicFramePr>
            <a:graphic>
              <a:graphicData uri="http://schemas.openxmlformats.org/drawingml/2006/picture">
                <pic:pic>
                  <pic:nvPicPr>
                    <pic:cNvPr id="30"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120">
            <wp:simplePos x="0" y="0"/>
            <wp:positionH relativeFrom="page">
              <wp:posOffset>3942588</wp:posOffset>
            </wp:positionH>
            <wp:positionV relativeFrom="page">
              <wp:posOffset>6422135</wp:posOffset>
            </wp:positionV>
            <wp:extent cx="166507" cy="168021"/>
            <wp:effectExtent l="0" t="0" r="0" b="0"/>
            <wp:wrapNone/>
            <wp:docPr id="31" name="image70.png" descr=""/>
            <wp:cNvGraphicFramePr>
              <a:graphicFrameLocks noChangeAspect="1"/>
            </wp:cNvGraphicFramePr>
            <a:graphic>
              <a:graphicData uri="http://schemas.openxmlformats.org/drawingml/2006/picture">
                <pic:pic>
                  <pic:nvPicPr>
                    <pic:cNvPr id="32"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144">
            <wp:simplePos x="0" y="0"/>
            <wp:positionH relativeFrom="page">
              <wp:posOffset>4533900</wp:posOffset>
            </wp:positionH>
            <wp:positionV relativeFrom="page">
              <wp:posOffset>6422135</wp:posOffset>
            </wp:positionV>
            <wp:extent cx="166507" cy="168021"/>
            <wp:effectExtent l="0" t="0" r="0" b="0"/>
            <wp:wrapNone/>
            <wp:docPr id="33" name="image70.png" descr=""/>
            <wp:cNvGraphicFramePr>
              <a:graphicFrameLocks noChangeAspect="1"/>
            </wp:cNvGraphicFramePr>
            <a:graphic>
              <a:graphicData uri="http://schemas.openxmlformats.org/drawingml/2006/picture">
                <pic:pic>
                  <pic:nvPicPr>
                    <pic:cNvPr id="34"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168">
            <wp:simplePos x="0" y="0"/>
            <wp:positionH relativeFrom="page">
              <wp:posOffset>5827776</wp:posOffset>
            </wp:positionH>
            <wp:positionV relativeFrom="page">
              <wp:posOffset>6422135</wp:posOffset>
            </wp:positionV>
            <wp:extent cx="166507" cy="168021"/>
            <wp:effectExtent l="0" t="0" r="0" b="0"/>
            <wp:wrapNone/>
            <wp:docPr id="35" name="image70.png" descr=""/>
            <wp:cNvGraphicFramePr>
              <a:graphicFrameLocks noChangeAspect="1"/>
            </wp:cNvGraphicFramePr>
            <a:graphic>
              <a:graphicData uri="http://schemas.openxmlformats.org/drawingml/2006/picture">
                <pic:pic>
                  <pic:nvPicPr>
                    <pic:cNvPr id="36"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192">
            <wp:simplePos x="0" y="0"/>
            <wp:positionH relativeFrom="page">
              <wp:posOffset>6574535</wp:posOffset>
            </wp:positionH>
            <wp:positionV relativeFrom="page">
              <wp:posOffset>6422135</wp:posOffset>
            </wp:positionV>
            <wp:extent cx="166507" cy="168021"/>
            <wp:effectExtent l="0" t="0" r="0" b="0"/>
            <wp:wrapNone/>
            <wp:docPr id="37" name="image70.png" descr=""/>
            <wp:cNvGraphicFramePr>
              <a:graphicFrameLocks noChangeAspect="1"/>
            </wp:cNvGraphicFramePr>
            <a:graphic>
              <a:graphicData uri="http://schemas.openxmlformats.org/drawingml/2006/picture">
                <pic:pic>
                  <pic:nvPicPr>
                    <pic:cNvPr id="38"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216">
            <wp:simplePos x="0" y="0"/>
            <wp:positionH relativeFrom="page">
              <wp:posOffset>5140452</wp:posOffset>
            </wp:positionH>
            <wp:positionV relativeFrom="page">
              <wp:posOffset>6739128</wp:posOffset>
            </wp:positionV>
            <wp:extent cx="168020" cy="168020"/>
            <wp:effectExtent l="0" t="0" r="0" b="0"/>
            <wp:wrapNone/>
            <wp:docPr id="39" name="image70.png" descr=""/>
            <wp:cNvGraphicFramePr>
              <a:graphicFrameLocks noChangeAspect="1"/>
            </wp:cNvGraphicFramePr>
            <a:graphic>
              <a:graphicData uri="http://schemas.openxmlformats.org/drawingml/2006/picture">
                <pic:pic>
                  <pic:nvPicPr>
                    <pic:cNvPr id="40" name="image70.png"/>
                    <pic:cNvPicPr/>
                  </pic:nvPicPr>
                  <pic:blipFill>
                    <a:blip r:embed="rId139" cstate="print"/>
                    <a:stretch>
                      <a:fillRect/>
                    </a:stretch>
                  </pic:blipFill>
                  <pic:spPr>
                    <a:xfrm>
                      <a:off x="0" y="0"/>
                      <a:ext cx="168020" cy="168020"/>
                    </a:xfrm>
                    <a:prstGeom prst="rect">
                      <a:avLst/>
                    </a:prstGeom>
                  </pic:spPr>
                </pic:pic>
              </a:graphicData>
            </a:graphic>
          </wp:anchor>
        </w:drawing>
      </w:r>
      <w:r>
        <w:rPr/>
        <w:drawing>
          <wp:anchor distT="0" distB="0" distL="0" distR="0" allowOverlap="1" layoutInCell="1" locked="0" behindDoc="0" simplePos="0" relativeHeight="4240">
            <wp:simplePos x="0" y="0"/>
            <wp:positionH relativeFrom="page">
              <wp:posOffset>5140452</wp:posOffset>
            </wp:positionH>
            <wp:positionV relativeFrom="page">
              <wp:posOffset>7196328</wp:posOffset>
            </wp:positionV>
            <wp:extent cx="168021" cy="168020"/>
            <wp:effectExtent l="0" t="0" r="0" b="0"/>
            <wp:wrapNone/>
            <wp:docPr id="41" name="image70.png" descr=""/>
            <wp:cNvGraphicFramePr>
              <a:graphicFrameLocks noChangeAspect="1"/>
            </wp:cNvGraphicFramePr>
            <a:graphic>
              <a:graphicData uri="http://schemas.openxmlformats.org/drawingml/2006/picture">
                <pic:pic>
                  <pic:nvPicPr>
                    <pic:cNvPr id="42" name="image70.png"/>
                    <pic:cNvPicPr/>
                  </pic:nvPicPr>
                  <pic:blipFill>
                    <a:blip r:embed="rId139" cstate="print"/>
                    <a:stretch>
                      <a:fillRect/>
                    </a:stretch>
                  </pic:blipFill>
                  <pic:spPr>
                    <a:xfrm>
                      <a:off x="0" y="0"/>
                      <a:ext cx="168021" cy="168020"/>
                    </a:xfrm>
                    <a:prstGeom prst="rect">
                      <a:avLst/>
                    </a:prstGeom>
                  </pic:spPr>
                </pic:pic>
              </a:graphicData>
            </a:graphic>
          </wp:anchor>
        </w:drawing>
      </w:r>
      <w:r>
        <w:rPr/>
        <w:drawing>
          <wp:anchor distT="0" distB="0" distL="0" distR="0" allowOverlap="1" layoutInCell="1" locked="0" behindDoc="0" simplePos="0" relativeHeight="4264">
            <wp:simplePos x="0" y="0"/>
            <wp:positionH relativeFrom="page">
              <wp:posOffset>3942588</wp:posOffset>
            </wp:positionH>
            <wp:positionV relativeFrom="page">
              <wp:posOffset>8249411</wp:posOffset>
            </wp:positionV>
            <wp:extent cx="166507" cy="168020"/>
            <wp:effectExtent l="0" t="0" r="0" b="0"/>
            <wp:wrapNone/>
            <wp:docPr id="43" name="image70.png" descr=""/>
            <wp:cNvGraphicFramePr>
              <a:graphicFrameLocks noChangeAspect="1"/>
            </wp:cNvGraphicFramePr>
            <a:graphic>
              <a:graphicData uri="http://schemas.openxmlformats.org/drawingml/2006/picture">
                <pic:pic>
                  <pic:nvPicPr>
                    <pic:cNvPr id="44" name="image70.png"/>
                    <pic:cNvPicPr/>
                  </pic:nvPicPr>
                  <pic:blipFill>
                    <a:blip r:embed="rId139" cstate="print"/>
                    <a:stretch>
                      <a:fillRect/>
                    </a:stretch>
                  </pic:blipFill>
                  <pic:spPr>
                    <a:xfrm>
                      <a:off x="0" y="0"/>
                      <a:ext cx="166507" cy="168020"/>
                    </a:xfrm>
                    <a:prstGeom prst="rect">
                      <a:avLst/>
                    </a:prstGeom>
                  </pic:spPr>
                </pic:pic>
              </a:graphicData>
            </a:graphic>
          </wp:anchor>
        </w:drawing>
      </w:r>
      <w:r>
        <w:rPr/>
        <w:drawing>
          <wp:anchor distT="0" distB="0" distL="0" distR="0" allowOverlap="1" layoutInCell="1" locked="0" behindDoc="0" simplePos="0" relativeHeight="4288">
            <wp:simplePos x="0" y="0"/>
            <wp:positionH relativeFrom="page">
              <wp:posOffset>4533900</wp:posOffset>
            </wp:positionH>
            <wp:positionV relativeFrom="page">
              <wp:posOffset>8249411</wp:posOffset>
            </wp:positionV>
            <wp:extent cx="166507" cy="168020"/>
            <wp:effectExtent l="0" t="0" r="0" b="0"/>
            <wp:wrapNone/>
            <wp:docPr id="45" name="image70.png" descr=""/>
            <wp:cNvGraphicFramePr>
              <a:graphicFrameLocks noChangeAspect="1"/>
            </wp:cNvGraphicFramePr>
            <a:graphic>
              <a:graphicData uri="http://schemas.openxmlformats.org/drawingml/2006/picture">
                <pic:pic>
                  <pic:nvPicPr>
                    <pic:cNvPr id="46" name="image70.png"/>
                    <pic:cNvPicPr/>
                  </pic:nvPicPr>
                  <pic:blipFill>
                    <a:blip r:embed="rId139" cstate="print"/>
                    <a:stretch>
                      <a:fillRect/>
                    </a:stretch>
                  </pic:blipFill>
                  <pic:spPr>
                    <a:xfrm>
                      <a:off x="0" y="0"/>
                      <a:ext cx="166507" cy="168020"/>
                    </a:xfrm>
                    <a:prstGeom prst="rect">
                      <a:avLst/>
                    </a:prstGeom>
                  </pic:spPr>
                </pic:pic>
              </a:graphicData>
            </a:graphic>
          </wp:anchor>
        </w:drawing>
      </w:r>
      <w:r>
        <w:rPr/>
        <w:drawing>
          <wp:anchor distT="0" distB="0" distL="0" distR="0" allowOverlap="1" layoutInCell="1" locked="0" behindDoc="0" simplePos="0" relativeHeight="4312">
            <wp:simplePos x="0" y="0"/>
            <wp:positionH relativeFrom="page">
              <wp:posOffset>5827776</wp:posOffset>
            </wp:positionH>
            <wp:positionV relativeFrom="page">
              <wp:posOffset>8249411</wp:posOffset>
            </wp:positionV>
            <wp:extent cx="166507" cy="168020"/>
            <wp:effectExtent l="0" t="0" r="0" b="0"/>
            <wp:wrapNone/>
            <wp:docPr id="47" name="image70.png" descr=""/>
            <wp:cNvGraphicFramePr>
              <a:graphicFrameLocks noChangeAspect="1"/>
            </wp:cNvGraphicFramePr>
            <a:graphic>
              <a:graphicData uri="http://schemas.openxmlformats.org/drawingml/2006/picture">
                <pic:pic>
                  <pic:nvPicPr>
                    <pic:cNvPr id="48" name="image70.png"/>
                    <pic:cNvPicPr/>
                  </pic:nvPicPr>
                  <pic:blipFill>
                    <a:blip r:embed="rId139" cstate="print"/>
                    <a:stretch>
                      <a:fillRect/>
                    </a:stretch>
                  </pic:blipFill>
                  <pic:spPr>
                    <a:xfrm>
                      <a:off x="0" y="0"/>
                      <a:ext cx="166507" cy="168020"/>
                    </a:xfrm>
                    <a:prstGeom prst="rect">
                      <a:avLst/>
                    </a:prstGeom>
                  </pic:spPr>
                </pic:pic>
              </a:graphicData>
            </a:graphic>
          </wp:anchor>
        </w:drawing>
      </w:r>
      <w:r>
        <w:rPr/>
        <w:drawing>
          <wp:anchor distT="0" distB="0" distL="0" distR="0" allowOverlap="1" layoutInCell="1" locked="0" behindDoc="0" simplePos="0" relativeHeight="4336">
            <wp:simplePos x="0" y="0"/>
            <wp:positionH relativeFrom="page">
              <wp:posOffset>6574535</wp:posOffset>
            </wp:positionH>
            <wp:positionV relativeFrom="page">
              <wp:posOffset>8249411</wp:posOffset>
            </wp:positionV>
            <wp:extent cx="166507" cy="168020"/>
            <wp:effectExtent l="0" t="0" r="0" b="0"/>
            <wp:wrapNone/>
            <wp:docPr id="49" name="image70.png" descr=""/>
            <wp:cNvGraphicFramePr>
              <a:graphicFrameLocks noChangeAspect="1"/>
            </wp:cNvGraphicFramePr>
            <a:graphic>
              <a:graphicData uri="http://schemas.openxmlformats.org/drawingml/2006/picture">
                <pic:pic>
                  <pic:nvPicPr>
                    <pic:cNvPr id="50" name="image70.png"/>
                    <pic:cNvPicPr/>
                  </pic:nvPicPr>
                  <pic:blipFill>
                    <a:blip r:embed="rId139" cstate="print"/>
                    <a:stretch>
                      <a:fillRect/>
                    </a:stretch>
                  </pic:blipFill>
                  <pic:spPr>
                    <a:xfrm>
                      <a:off x="0" y="0"/>
                      <a:ext cx="166507" cy="168020"/>
                    </a:xfrm>
                    <a:prstGeom prst="rect">
                      <a:avLst/>
                    </a:prstGeom>
                  </pic:spPr>
                </pic:pic>
              </a:graphicData>
            </a:graphic>
          </wp:anchor>
        </w:drawing>
      </w:r>
      <w:r>
        <w:rPr/>
        <w:drawing>
          <wp:anchor distT="0" distB="0" distL="0" distR="0" allowOverlap="1" layoutInCell="1" locked="0" behindDoc="0" simplePos="0" relativeHeight="4360">
            <wp:simplePos x="0" y="0"/>
            <wp:positionH relativeFrom="page">
              <wp:posOffset>3942588</wp:posOffset>
            </wp:positionH>
            <wp:positionV relativeFrom="page">
              <wp:posOffset>8706611</wp:posOffset>
            </wp:positionV>
            <wp:extent cx="166507" cy="168021"/>
            <wp:effectExtent l="0" t="0" r="0" b="0"/>
            <wp:wrapNone/>
            <wp:docPr id="51" name="image70.png" descr=""/>
            <wp:cNvGraphicFramePr>
              <a:graphicFrameLocks noChangeAspect="1"/>
            </wp:cNvGraphicFramePr>
            <a:graphic>
              <a:graphicData uri="http://schemas.openxmlformats.org/drawingml/2006/picture">
                <pic:pic>
                  <pic:nvPicPr>
                    <pic:cNvPr id="52"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384">
            <wp:simplePos x="0" y="0"/>
            <wp:positionH relativeFrom="page">
              <wp:posOffset>4533900</wp:posOffset>
            </wp:positionH>
            <wp:positionV relativeFrom="page">
              <wp:posOffset>8706611</wp:posOffset>
            </wp:positionV>
            <wp:extent cx="166507" cy="168021"/>
            <wp:effectExtent l="0" t="0" r="0" b="0"/>
            <wp:wrapNone/>
            <wp:docPr id="53" name="image70.png" descr=""/>
            <wp:cNvGraphicFramePr>
              <a:graphicFrameLocks noChangeAspect="1"/>
            </wp:cNvGraphicFramePr>
            <a:graphic>
              <a:graphicData uri="http://schemas.openxmlformats.org/drawingml/2006/picture">
                <pic:pic>
                  <pic:nvPicPr>
                    <pic:cNvPr id="54"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408">
            <wp:simplePos x="0" y="0"/>
            <wp:positionH relativeFrom="page">
              <wp:posOffset>5827776</wp:posOffset>
            </wp:positionH>
            <wp:positionV relativeFrom="page">
              <wp:posOffset>8706611</wp:posOffset>
            </wp:positionV>
            <wp:extent cx="166507" cy="168021"/>
            <wp:effectExtent l="0" t="0" r="0" b="0"/>
            <wp:wrapNone/>
            <wp:docPr id="55" name="image70.png" descr=""/>
            <wp:cNvGraphicFramePr>
              <a:graphicFrameLocks noChangeAspect="1"/>
            </wp:cNvGraphicFramePr>
            <a:graphic>
              <a:graphicData uri="http://schemas.openxmlformats.org/drawingml/2006/picture">
                <pic:pic>
                  <pic:nvPicPr>
                    <pic:cNvPr id="56"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432">
            <wp:simplePos x="0" y="0"/>
            <wp:positionH relativeFrom="page">
              <wp:posOffset>6574535</wp:posOffset>
            </wp:positionH>
            <wp:positionV relativeFrom="page">
              <wp:posOffset>8706611</wp:posOffset>
            </wp:positionV>
            <wp:extent cx="166507" cy="168021"/>
            <wp:effectExtent l="0" t="0" r="0" b="0"/>
            <wp:wrapNone/>
            <wp:docPr id="57" name="image70.png" descr=""/>
            <wp:cNvGraphicFramePr>
              <a:graphicFrameLocks noChangeAspect="1"/>
            </wp:cNvGraphicFramePr>
            <a:graphic>
              <a:graphicData uri="http://schemas.openxmlformats.org/drawingml/2006/picture">
                <pic:pic>
                  <pic:nvPicPr>
                    <pic:cNvPr id="58" name="image70.png"/>
                    <pic:cNvPicPr/>
                  </pic:nvPicPr>
                  <pic:blipFill>
                    <a:blip r:embed="rId139" cstate="print"/>
                    <a:stretch>
                      <a:fillRect/>
                    </a:stretch>
                  </pic:blipFill>
                  <pic:spPr>
                    <a:xfrm>
                      <a:off x="0" y="0"/>
                      <a:ext cx="166507" cy="168021"/>
                    </a:xfrm>
                    <a:prstGeom prst="rect">
                      <a:avLst/>
                    </a:prstGeom>
                  </pic:spPr>
                </pic:pic>
              </a:graphicData>
            </a:graphic>
          </wp:anchor>
        </w:drawing>
      </w:r>
      <w:r>
        <w:rPr>
          <w:rFonts w:ascii="Calibri"/>
          <w:sz w:val="22"/>
        </w:rPr>
        <w:t>Nivel de</w:t>
      </w:r>
      <w:r>
        <w:rPr>
          <w:rFonts w:ascii="Calibri"/>
          <w:spacing w:val="-8"/>
          <w:sz w:val="22"/>
        </w:rPr>
        <w:t> </w:t>
      </w:r>
      <w:r>
        <w:rPr>
          <w:rFonts w:ascii="Calibri"/>
          <w:sz w:val="22"/>
        </w:rPr>
        <w:t>estudio</w:t>
      </w:r>
      <w:r>
        <w:rPr>
          <w:rFonts w:ascii="Calibri"/>
          <w:spacing w:val="1"/>
          <w:sz w:val="22"/>
        </w:rPr>
        <w:t> </w:t>
      </w:r>
      <w:r>
        <w:rPr>
          <w:rFonts w:ascii="Calibri"/>
          <w:w w:val="100"/>
          <w:sz w:val="22"/>
          <w:u w:val="single"/>
        </w:rPr>
        <w:t> </w:t>
      </w:r>
      <w:r>
        <w:rPr>
          <w:rFonts w:ascii="Calibri"/>
          <w:sz w:val="22"/>
          <w:u w:val="single"/>
        </w:rPr>
        <w:tab/>
      </w:r>
    </w:p>
    <w:p>
      <w:pPr>
        <w:pStyle w:val="BodyText"/>
        <w:spacing w:before="6"/>
        <w:rPr>
          <w:rFonts w:ascii="Calibri"/>
          <w:sz w:val="17"/>
        </w:rPr>
      </w:pPr>
    </w:p>
    <w:p>
      <w:pPr>
        <w:spacing w:line="266" w:lineRule="exact" w:before="52"/>
        <w:ind w:left="102" w:right="26" w:firstLine="0"/>
        <w:jc w:val="left"/>
        <w:rPr>
          <w:rFonts w:ascii="Calibri" w:hAnsi="Calibri"/>
          <w:sz w:val="22"/>
        </w:rPr>
      </w:pPr>
      <w:r>
        <w:rPr>
          <w:rFonts w:ascii="Calibri" w:hAnsi="Calibri"/>
          <w:sz w:val="22"/>
        </w:rPr>
        <w:t>INSTRUCCIONES:</w:t>
      </w:r>
      <w:r>
        <w:rPr>
          <w:rFonts w:ascii="Calibri" w:hAnsi="Calibri"/>
          <w:spacing w:val="-11"/>
          <w:sz w:val="22"/>
        </w:rPr>
        <w:t> </w:t>
      </w:r>
      <w:r>
        <w:rPr>
          <w:rFonts w:ascii="Calibri" w:hAnsi="Calibri"/>
          <w:sz w:val="22"/>
        </w:rPr>
        <w:t>A</w:t>
      </w:r>
      <w:r>
        <w:rPr>
          <w:rFonts w:ascii="Calibri" w:hAnsi="Calibri"/>
          <w:spacing w:val="-10"/>
          <w:sz w:val="22"/>
        </w:rPr>
        <w:t> </w:t>
      </w:r>
      <w:r>
        <w:rPr>
          <w:rFonts w:ascii="Calibri" w:hAnsi="Calibri"/>
          <w:sz w:val="22"/>
        </w:rPr>
        <w:t>partir</w:t>
      </w:r>
      <w:r>
        <w:rPr>
          <w:rFonts w:ascii="Calibri" w:hAnsi="Calibri"/>
          <w:spacing w:val="-9"/>
          <w:sz w:val="22"/>
        </w:rPr>
        <w:t> </w:t>
      </w:r>
      <w:r>
        <w:rPr>
          <w:rFonts w:ascii="Calibri" w:hAnsi="Calibri"/>
          <w:sz w:val="22"/>
        </w:rPr>
        <w:t>de</w:t>
      </w:r>
      <w:r>
        <w:rPr>
          <w:rFonts w:ascii="Calibri" w:hAnsi="Calibri"/>
          <w:spacing w:val="-8"/>
          <w:sz w:val="22"/>
        </w:rPr>
        <w:t> </w:t>
      </w:r>
      <w:r>
        <w:rPr>
          <w:rFonts w:ascii="Calibri" w:hAnsi="Calibri"/>
          <w:sz w:val="22"/>
        </w:rPr>
        <w:t>las</w:t>
      </w:r>
      <w:r>
        <w:rPr>
          <w:rFonts w:ascii="Calibri" w:hAnsi="Calibri"/>
          <w:spacing w:val="-12"/>
          <w:sz w:val="22"/>
        </w:rPr>
        <w:t> </w:t>
      </w:r>
      <w:r>
        <w:rPr>
          <w:rFonts w:ascii="Calibri" w:hAnsi="Calibri"/>
          <w:sz w:val="22"/>
        </w:rPr>
        <w:t>dos</w:t>
      </w:r>
      <w:r>
        <w:rPr>
          <w:rFonts w:ascii="Calibri" w:hAnsi="Calibri"/>
          <w:spacing w:val="-11"/>
          <w:sz w:val="22"/>
        </w:rPr>
        <w:t> </w:t>
      </w:r>
      <w:r>
        <w:rPr>
          <w:rFonts w:ascii="Calibri" w:hAnsi="Calibri"/>
          <w:sz w:val="22"/>
        </w:rPr>
        <w:t>grabaciones</w:t>
      </w:r>
      <w:r>
        <w:rPr>
          <w:rFonts w:ascii="Calibri" w:hAnsi="Calibri"/>
          <w:spacing w:val="-11"/>
          <w:sz w:val="22"/>
        </w:rPr>
        <w:t> </w:t>
      </w:r>
      <w:r>
        <w:rPr>
          <w:rFonts w:ascii="Calibri" w:hAnsi="Calibri"/>
          <w:sz w:val="22"/>
        </w:rPr>
        <w:t>escuchadas,</w:t>
      </w:r>
      <w:r>
        <w:rPr>
          <w:rFonts w:ascii="Calibri" w:hAnsi="Calibri"/>
          <w:spacing w:val="-9"/>
          <w:sz w:val="22"/>
        </w:rPr>
        <w:t> </w:t>
      </w:r>
      <w:r>
        <w:rPr>
          <w:rFonts w:ascii="Calibri" w:hAnsi="Calibri"/>
          <w:sz w:val="22"/>
        </w:rPr>
        <w:t>exponga</w:t>
      </w:r>
      <w:r>
        <w:rPr>
          <w:rFonts w:ascii="Calibri" w:hAnsi="Calibri"/>
          <w:spacing w:val="-9"/>
          <w:sz w:val="22"/>
        </w:rPr>
        <w:t> </w:t>
      </w:r>
      <w:r>
        <w:rPr>
          <w:rFonts w:ascii="Calibri" w:hAnsi="Calibri"/>
          <w:sz w:val="22"/>
        </w:rPr>
        <w:t>su</w:t>
      </w:r>
      <w:r>
        <w:rPr>
          <w:rFonts w:ascii="Calibri" w:hAnsi="Calibri"/>
          <w:spacing w:val="-12"/>
          <w:sz w:val="22"/>
        </w:rPr>
        <w:t> </w:t>
      </w:r>
      <w:r>
        <w:rPr>
          <w:rFonts w:ascii="Calibri" w:hAnsi="Calibri"/>
          <w:sz w:val="22"/>
        </w:rPr>
        <w:t>punto</w:t>
      </w:r>
      <w:r>
        <w:rPr>
          <w:rFonts w:ascii="Calibri" w:hAnsi="Calibri"/>
          <w:spacing w:val="-10"/>
          <w:sz w:val="22"/>
        </w:rPr>
        <w:t> </w:t>
      </w:r>
      <w:r>
        <w:rPr>
          <w:rFonts w:ascii="Calibri" w:hAnsi="Calibri"/>
          <w:sz w:val="22"/>
        </w:rPr>
        <w:t>de</w:t>
      </w:r>
      <w:r>
        <w:rPr>
          <w:rFonts w:ascii="Calibri" w:hAnsi="Calibri"/>
          <w:spacing w:val="-11"/>
          <w:sz w:val="22"/>
        </w:rPr>
        <w:t> </w:t>
      </w:r>
      <w:r>
        <w:rPr>
          <w:rFonts w:ascii="Calibri" w:hAnsi="Calibri"/>
          <w:sz w:val="22"/>
        </w:rPr>
        <w:t>vista</w:t>
      </w:r>
      <w:r>
        <w:rPr>
          <w:rFonts w:ascii="Calibri" w:hAnsi="Calibri"/>
          <w:spacing w:val="-12"/>
          <w:sz w:val="22"/>
        </w:rPr>
        <w:t> </w:t>
      </w:r>
      <w:r>
        <w:rPr>
          <w:rFonts w:ascii="Calibri" w:hAnsi="Calibri"/>
          <w:sz w:val="22"/>
        </w:rPr>
        <w:t>seleccionando</w:t>
      </w:r>
      <w:r>
        <w:rPr>
          <w:rFonts w:ascii="Calibri" w:hAnsi="Calibri"/>
          <w:spacing w:val="-10"/>
          <w:sz w:val="22"/>
        </w:rPr>
        <w:t> </w:t>
      </w:r>
      <w:r>
        <w:rPr>
          <w:rFonts w:ascii="Calibri" w:hAnsi="Calibri"/>
          <w:sz w:val="22"/>
        </w:rPr>
        <w:t>con una “X” la opción que mejor describa su propia percepción con respecta a las aseveraciones</w:t>
      </w:r>
      <w:r>
        <w:rPr>
          <w:rFonts w:ascii="Calibri" w:hAnsi="Calibri"/>
          <w:spacing w:val="-18"/>
          <w:sz w:val="22"/>
        </w:rPr>
        <w:t> </w:t>
      </w:r>
      <w:r>
        <w:rPr>
          <w:rFonts w:ascii="Calibri" w:hAnsi="Calibri"/>
          <w:sz w:val="22"/>
        </w:rPr>
        <w:t>propuestas.</w:t>
      </w:r>
    </w:p>
    <w:p>
      <w:pPr>
        <w:pStyle w:val="BodyText"/>
        <w:spacing w:before="6"/>
        <w:rPr>
          <w:rFonts w:ascii="Calibri"/>
          <w:sz w:val="22"/>
        </w:rPr>
      </w:pPr>
    </w:p>
    <w:p>
      <w:pPr>
        <w:spacing w:before="0" w:after="3"/>
        <w:ind w:left="102" w:right="339" w:firstLine="0"/>
        <w:jc w:val="left"/>
        <w:rPr>
          <w:rFonts w:ascii="Calibri" w:hAnsi="Calibri"/>
          <w:sz w:val="22"/>
        </w:rPr>
      </w:pPr>
      <w:r>
        <w:rPr/>
        <w:drawing>
          <wp:anchor distT="0" distB="0" distL="0" distR="0" allowOverlap="1" layoutInCell="1" locked="0" behindDoc="0" simplePos="0" relativeHeight="3880">
            <wp:simplePos x="0" y="0"/>
            <wp:positionH relativeFrom="page">
              <wp:posOffset>3942588</wp:posOffset>
            </wp:positionH>
            <wp:positionV relativeFrom="paragraph">
              <wp:posOffset>603296</wp:posOffset>
            </wp:positionV>
            <wp:extent cx="166507" cy="168021"/>
            <wp:effectExtent l="0" t="0" r="0" b="0"/>
            <wp:wrapNone/>
            <wp:docPr id="59" name="image70.png" descr=""/>
            <wp:cNvGraphicFramePr>
              <a:graphicFrameLocks noChangeAspect="1"/>
            </wp:cNvGraphicFramePr>
            <a:graphic>
              <a:graphicData uri="http://schemas.openxmlformats.org/drawingml/2006/picture">
                <pic:pic>
                  <pic:nvPicPr>
                    <pic:cNvPr id="60"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3904">
            <wp:simplePos x="0" y="0"/>
            <wp:positionH relativeFrom="page">
              <wp:posOffset>4533900</wp:posOffset>
            </wp:positionH>
            <wp:positionV relativeFrom="paragraph">
              <wp:posOffset>603296</wp:posOffset>
            </wp:positionV>
            <wp:extent cx="166507" cy="168021"/>
            <wp:effectExtent l="0" t="0" r="0" b="0"/>
            <wp:wrapNone/>
            <wp:docPr id="61" name="image70.png" descr=""/>
            <wp:cNvGraphicFramePr>
              <a:graphicFrameLocks noChangeAspect="1"/>
            </wp:cNvGraphicFramePr>
            <a:graphic>
              <a:graphicData uri="http://schemas.openxmlformats.org/drawingml/2006/picture">
                <pic:pic>
                  <pic:nvPicPr>
                    <pic:cNvPr id="62"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3928">
            <wp:simplePos x="0" y="0"/>
            <wp:positionH relativeFrom="page">
              <wp:posOffset>5827776</wp:posOffset>
            </wp:positionH>
            <wp:positionV relativeFrom="paragraph">
              <wp:posOffset>603296</wp:posOffset>
            </wp:positionV>
            <wp:extent cx="166507" cy="168021"/>
            <wp:effectExtent l="0" t="0" r="0" b="0"/>
            <wp:wrapNone/>
            <wp:docPr id="63" name="image70.png" descr=""/>
            <wp:cNvGraphicFramePr>
              <a:graphicFrameLocks noChangeAspect="1"/>
            </wp:cNvGraphicFramePr>
            <a:graphic>
              <a:graphicData uri="http://schemas.openxmlformats.org/drawingml/2006/picture">
                <pic:pic>
                  <pic:nvPicPr>
                    <pic:cNvPr id="64"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3952">
            <wp:simplePos x="0" y="0"/>
            <wp:positionH relativeFrom="page">
              <wp:posOffset>6574535</wp:posOffset>
            </wp:positionH>
            <wp:positionV relativeFrom="paragraph">
              <wp:posOffset>603296</wp:posOffset>
            </wp:positionV>
            <wp:extent cx="166507" cy="168021"/>
            <wp:effectExtent l="0" t="0" r="0" b="0"/>
            <wp:wrapNone/>
            <wp:docPr id="65" name="image70.png" descr=""/>
            <wp:cNvGraphicFramePr>
              <a:graphicFrameLocks noChangeAspect="1"/>
            </wp:cNvGraphicFramePr>
            <a:graphic>
              <a:graphicData uri="http://schemas.openxmlformats.org/drawingml/2006/picture">
                <pic:pic>
                  <pic:nvPicPr>
                    <pic:cNvPr id="66"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3976">
            <wp:simplePos x="0" y="0"/>
            <wp:positionH relativeFrom="page">
              <wp:posOffset>5140452</wp:posOffset>
            </wp:positionH>
            <wp:positionV relativeFrom="paragraph">
              <wp:posOffset>920288</wp:posOffset>
            </wp:positionV>
            <wp:extent cx="168021" cy="168021"/>
            <wp:effectExtent l="0" t="0" r="0" b="0"/>
            <wp:wrapNone/>
            <wp:docPr id="67" name="image70.png" descr=""/>
            <wp:cNvGraphicFramePr>
              <a:graphicFrameLocks noChangeAspect="1"/>
            </wp:cNvGraphicFramePr>
            <a:graphic>
              <a:graphicData uri="http://schemas.openxmlformats.org/drawingml/2006/picture">
                <pic:pic>
                  <pic:nvPicPr>
                    <pic:cNvPr id="68" name="image70.png"/>
                    <pic:cNvPicPr/>
                  </pic:nvPicPr>
                  <pic:blipFill>
                    <a:blip r:embed="rId139" cstate="print"/>
                    <a:stretch>
                      <a:fillRect/>
                    </a:stretch>
                  </pic:blipFill>
                  <pic:spPr>
                    <a:xfrm>
                      <a:off x="0" y="0"/>
                      <a:ext cx="168021" cy="168021"/>
                    </a:xfrm>
                    <a:prstGeom prst="rect">
                      <a:avLst/>
                    </a:prstGeom>
                  </pic:spPr>
                </pic:pic>
              </a:graphicData>
            </a:graphic>
          </wp:anchor>
        </w:drawing>
      </w:r>
      <w:r>
        <w:rPr/>
        <w:drawing>
          <wp:anchor distT="0" distB="0" distL="0" distR="0" allowOverlap="1" layoutInCell="1" locked="0" behindDoc="0" simplePos="0" relativeHeight="4000">
            <wp:simplePos x="0" y="0"/>
            <wp:positionH relativeFrom="page">
              <wp:posOffset>5140452</wp:posOffset>
            </wp:positionH>
            <wp:positionV relativeFrom="paragraph">
              <wp:posOffset>1377488</wp:posOffset>
            </wp:positionV>
            <wp:extent cx="168021" cy="168021"/>
            <wp:effectExtent l="0" t="0" r="0" b="0"/>
            <wp:wrapNone/>
            <wp:docPr id="69" name="image70.png" descr=""/>
            <wp:cNvGraphicFramePr>
              <a:graphicFrameLocks noChangeAspect="1"/>
            </wp:cNvGraphicFramePr>
            <a:graphic>
              <a:graphicData uri="http://schemas.openxmlformats.org/drawingml/2006/picture">
                <pic:pic>
                  <pic:nvPicPr>
                    <pic:cNvPr id="70" name="image70.png"/>
                    <pic:cNvPicPr/>
                  </pic:nvPicPr>
                  <pic:blipFill>
                    <a:blip r:embed="rId139" cstate="print"/>
                    <a:stretch>
                      <a:fillRect/>
                    </a:stretch>
                  </pic:blipFill>
                  <pic:spPr>
                    <a:xfrm>
                      <a:off x="0" y="0"/>
                      <a:ext cx="168021" cy="168021"/>
                    </a:xfrm>
                    <a:prstGeom prst="rect">
                      <a:avLst/>
                    </a:prstGeom>
                  </pic:spPr>
                </pic:pic>
              </a:graphicData>
            </a:graphic>
          </wp:anchor>
        </w:drawing>
      </w:r>
      <w:r>
        <w:rPr>
          <w:rFonts w:ascii="Calibri" w:hAnsi="Calibri"/>
          <w:b/>
          <w:sz w:val="22"/>
        </w:rPr>
        <w:t>PARTE 1: </w:t>
      </w:r>
      <w:r>
        <w:rPr>
          <w:rFonts w:ascii="Calibri" w:hAnsi="Calibri"/>
          <w:sz w:val="22"/>
        </w:rPr>
        <w:t>Primera grabación</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46"/>
        <w:gridCol w:w="986"/>
        <w:gridCol w:w="876"/>
        <w:gridCol w:w="1035"/>
        <w:gridCol w:w="1128"/>
        <w:gridCol w:w="1227"/>
      </w:tblGrid>
      <w:tr>
        <w:trPr>
          <w:trHeight w:val="230" w:hRule="exact"/>
        </w:trPr>
        <w:tc>
          <w:tcPr>
            <w:tcW w:w="4146" w:type="dxa"/>
            <w:shd w:val="clear" w:color="auto" w:fill="D9D9D9"/>
          </w:tcPr>
          <w:p>
            <w:pPr>
              <w:pStyle w:val="TableParagraph"/>
              <w:spacing w:line="219" w:lineRule="exact"/>
              <w:ind w:left="1522" w:right="1523"/>
              <w:rPr>
                <w:rFonts w:ascii="Calibri"/>
                <w:sz w:val="18"/>
              </w:rPr>
            </w:pPr>
            <w:r>
              <w:rPr>
                <w:rFonts w:ascii="Calibri"/>
                <w:sz w:val="18"/>
              </w:rPr>
              <w:t>Aseveraciones</w:t>
            </w:r>
          </w:p>
        </w:tc>
        <w:tc>
          <w:tcPr>
            <w:tcW w:w="5251" w:type="dxa"/>
            <w:gridSpan w:val="5"/>
          </w:tcPr>
          <w:p>
            <w:pPr>
              <w:pStyle w:val="TableParagraph"/>
              <w:spacing w:line="219" w:lineRule="exact"/>
              <w:ind w:left="2333" w:right="2336"/>
              <w:rPr>
                <w:rFonts w:ascii="Calibri"/>
                <w:sz w:val="18"/>
              </w:rPr>
            </w:pPr>
            <w:r>
              <w:rPr>
                <w:rFonts w:ascii="Calibri"/>
                <w:sz w:val="18"/>
              </w:rPr>
              <w:t>Actitud</w:t>
            </w:r>
          </w:p>
        </w:tc>
      </w:tr>
      <w:tr>
        <w:trPr>
          <w:trHeight w:val="720" w:hRule="exact"/>
        </w:trPr>
        <w:tc>
          <w:tcPr>
            <w:tcW w:w="4146" w:type="dxa"/>
            <w:shd w:val="clear" w:color="auto" w:fill="D9D9D9"/>
          </w:tcPr>
          <w:p>
            <w:pPr>
              <w:pStyle w:val="TableParagraph"/>
              <w:ind w:left="103" w:right="105"/>
              <w:jc w:val="both"/>
              <w:rPr>
                <w:rFonts w:ascii="Calibri" w:hAnsi="Calibri"/>
                <w:sz w:val="18"/>
              </w:rPr>
            </w:pPr>
            <w:r>
              <w:rPr>
                <w:rFonts w:ascii="Calibri" w:hAnsi="Calibri"/>
                <w:sz w:val="18"/>
              </w:rPr>
              <w:t>1.</w:t>
            </w:r>
            <w:r>
              <w:rPr>
                <w:rFonts w:ascii="Calibri" w:hAnsi="Calibri"/>
                <w:spacing w:val="-7"/>
                <w:sz w:val="18"/>
              </w:rPr>
              <w:t> </w:t>
            </w:r>
            <w:r>
              <w:rPr>
                <w:rFonts w:ascii="Calibri" w:hAnsi="Calibri"/>
                <w:sz w:val="18"/>
              </w:rPr>
              <w:t>En</w:t>
            </w:r>
            <w:r>
              <w:rPr>
                <w:rFonts w:ascii="Calibri" w:hAnsi="Calibri"/>
                <w:spacing w:val="-8"/>
                <w:sz w:val="18"/>
              </w:rPr>
              <w:t> </w:t>
            </w:r>
            <w:r>
              <w:rPr>
                <w:rFonts w:ascii="Calibri" w:hAnsi="Calibri"/>
                <w:sz w:val="18"/>
              </w:rPr>
              <w:t>una</w:t>
            </w:r>
            <w:r>
              <w:rPr>
                <w:rFonts w:ascii="Calibri" w:hAnsi="Calibri"/>
                <w:spacing w:val="-7"/>
                <w:sz w:val="18"/>
              </w:rPr>
              <w:t> </w:t>
            </w:r>
            <w:r>
              <w:rPr>
                <w:rFonts w:ascii="Calibri" w:hAnsi="Calibri"/>
                <w:sz w:val="18"/>
              </w:rPr>
              <w:t>estación</w:t>
            </w:r>
            <w:r>
              <w:rPr>
                <w:rFonts w:ascii="Calibri" w:hAnsi="Calibri"/>
                <w:spacing w:val="-6"/>
                <w:sz w:val="18"/>
              </w:rPr>
              <w:t> </w:t>
            </w:r>
            <w:r>
              <w:rPr>
                <w:rFonts w:ascii="Calibri" w:hAnsi="Calibri"/>
                <w:sz w:val="18"/>
              </w:rPr>
              <w:t>de</w:t>
            </w:r>
            <w:r>
              <w:rPr>
                <w:rFonts w:ascii="Calibri" w:hAnsi="Calibri"/>
                <w:spacing w:val="-8"/>
                <w:sz w:val="18"/>
              </w:rPr>
              <w:t> </w:t>
            </w:r>
            <w:r>
              <w:rPr>
                <w:rFonts w:ascii="Calibri" w:hAnsi="Calibri"/>
                <w:sz w:val="18"/>
              </w:rPr>
              <w:t>radio,</w:t>
            </w:r>
            <w:r>
              <w:rPr>
                <w:rFonts w:ascii="Calibri" w:hAnsi="Calibri"/>
                <w:spacing w:val="-7"/>
                <w:sz w:val="18"/>
              </w:rPr>
              <w:t> </w:t>
            </w:r>
            <w:r>
              <w:rPr>
                <w:rFonts w:ascii="Calibri" w:hAnsi="Calibri"/>
                <w:sz w:val="18"/>
              </w:rPr>
              <w:t>la</w:t>
            </w:r>
            <w:r>
              <w:rPr>
                <w:rFonts w:ascii="Calibri" w:hAnsi="Calibri"/>
                <w:spacing w:val="-7"/>
                <w:sz w:val="18"/>
              </w:rPr>
              <w:t> </w:t>
            </w:r>
            <w:r>
              <w:rPr>
                <w:rFonts w:ascii="Calibri" w:hAnsi="Calibri"/>
                <w:sz w:val="18"/>
              </w:rPr>
              <w:t>persona</w:t>
            </w:r>
            <w:r>
              <w:rPr>
                <w:rFonts w:ascii="Calibri" w:hAnsi="Calibri"/>
                <w:spacing w:val="-7"/>
                <w:sz w:val="18"/>
              </w:rPr>
              <w:t> </w:t>
            </w:r>
            <w:r>
              <w:rPr>
                <w:rFonts w:ascii="Calibri" w:hAnsi="Calibri"/>
                <w:sz w:val="18"/>
              </w:rPr>
              <w:t>de</w:t>
            </w:r>
            <w:r>
              <w:rPr>
                <w:rFonts w:ascii="Calibri" w:hAnsi="Calibri"/>
                <w:spacing w:val="-8"/>
                <w:sz w:val="18"/>
              </w:rPr>
              <w:t> </w:t>
            </w:r>
            <w:r>
              <w:rPr>
                <w:rFonts w:ascii="Calibri" w:hAnsi="Calibri"/>
                <w:sz w:val="18"/>
              </w:rPr>
              <w:t>la</w:t>
            </w:r>
            <w:r>
              <w:rPr>
                <w:rFonts w:ascii="Calibri" w:hAnsi="Calibri"/>
                <w:spacing w:val="-7"/>
                <w:sz w:val="18"/>
              </w:rPr>
              <w:t> </w:t>
            </w:r>
            <w:r>
              <w:rPr>
                <w:rFonts w:ascii="Calibri" w:hAnsi="Calibri"/>
                <w:sz w:val="18"/>
              </w:rPr>
              <w:t>grabación sería contratada como locutor por su amplio vocabulario.</w:t>
            </w:r>
          </w:p>
        </w:tc>
        <w:tc>
          <w:tcPr>
            <w:tcW w:w="986" w:type="dxa"/>
          </w:tcPr>
          <w:p>
            <w:pPr>
              <w:pStyle w:val="TableParagraph"/>
              <w:ind w:left="186" w:right="171" w:firstLine="24"/>
              <w:jc w:val="left"/>
              <w:rPr>
                <w:rFonts w:ascii="Calibri"/>
                <w:sz w:val="18"/>
              </w:rPr>
            </w:pPr>
            <w:r>
              <w:rPr>
                <w:rFonts w:ascii="Calibri"/>
                <w:sz w:val="18"/>
              </w:rPr>
              <w:t>Muy de acuerdo</w:t>
            </w:r>
          </w:p>
        </w:tc>
        <w:tc>
          <w:tcPr>
            <w:tcW w:w="876" w:type="dxa"/>
            <w:shd w:val="clear" w:color="auto" w:fill="D9D9D9"/>
          </w:tcPr>
          <w:p>
            <w:pPr>
              <w:pStyle w:val="TableParagraph"/>
              <w:ind w:left="131" w:firstLine="199"/>
              <w:jc w:val="left"/>
              <w:rPr>
                <w:rFonts w:ascii="Calibri"/>
                <w:sz w:val="18"/>
              </w:rPr>
            </w:pPr>
            <w:r>
              <w:rPr>
                <w:rFonts w:ascii="Calibri"/>
                <w:sz w:val="18"/>
              </w:rPr>
              <w:t>De acuerdo</w:t>
            </w:r>
          </w:p>
        </w:tc>
        <w:tc>
          <w:tcPr>
            <w:tcW w:w="1035" w:type="dxa"/>
          </w:tcPr>
          <w:p>
            <w:pPr>
              <w:pStyle w:val="TableParagraph"/>
              <w:spacing w:line="219" w:lineRule="exact"/>
              <w:ind w:right="105"/>
              <w:jc w:val="right"/>
              <w:rPr>
                <w:rFonts w:ascii="Calibri"/>
                <w:sz w:val="18"/>
              </w:rPr>
            </w:pPr>
            <w:r>
              <w:rPr>
                <w:rFonts w:ascii="Calibri"/>
                <w:sz w:val="18"/>
              </w:rPr>
              <w:t>Indiferente</w:t>
            </w:r>
          </w:p>
          <w:p>
            <w:pPr>
              <w:pStyle w:val="TableParagraph"/>
              <w:ind w:left="375"/>
              <w:jc w:val="left"/>
              <w:rPr>
                <w:rFonts w:ascii="Calibri"/>
                <w:sz w:val="20"/>
              </w:rPr>
            </w:pPr>
            <w:r>
              <w:rPr>
                <w:rFonts w:ascii="Calibri"/>
                <w:sz w:val="20"/>
              </w:rPr>
              <w:drawing>
                <wp:inline distT="0" distB="0" distL="0" distR="0">
                  <wp:extent cx="169548" cy="168021"/>
                  <wp:effectExtent l="0" t="0" r="0" b="0"/>
                  <wp:docPr id="71" name="image70.png" descr=""/>
                  <wp:cNvGraphicFramePr>
                    <a:graphicFrameLocks noChangeAspect="1"/>
                  </wp:cNvGraphicFramePr>
                  <a:graphic>
                    <a:graphicData uri="http://schemas.openxmlformats.org/drawingml/2006/picture">
                      <pic:pic>
                        <pic:nvPicPr>
                          <pic:cNvPr id="72" name="image70.png"/>
                          <pic:cNvPicPr/>
                        </pic:nvPicPr>
                        <pic:blipFill>
                          <a:blip r:embed="rId139" cstate="print"/>
                          <a:stretch>
                            <a:fillRect/>
                          </a:stretch>
                        </pic:blipFill>
                        <pic:spPr>
                          <a:xfrm>
                            <a:off x="0" y="0"/>
                            <a:ext cx="169548"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1128" w:type="dxa"/>
            <w:shd w:val="clear" w:color="auto" w:fill="D9D9D9"/>
          </w:tcPr>
          <w:p>
            <w:pPr>
              <w:pStyle w:val="TableParagraph"/>
              <w:ind w:left="132" w:right="113" w:firstLine="336"/>
              <w:jc w:val="left"/>
              <w:rPr>
                <w:rFonts w:ascii="Calibri"/>
                <w:sz w:val="18"/>
              </w:rPr>
            </w:pPr>
            <w:r>
              <w:rPr>
                <w:rFonts w:ascii="Calibri"/>
                <w:sz w:val="18"/>
              </w:rPr>
              <w:t>En desacuerdo</w:t>
            </w:r>
          </w:p>
        </w:tc>
        <w:tc>
          <w:tcPr>
            <w:tcW w:w="1227" w:type="dxa"/>
          </w:tcPr>
          <w:p>
            <w:pPr>
              <w:pStyle w:val="TableParagraph"/>
              <w:ind w:left="179" w:right="164" w:firstLine="151"/>
              <w:jc w:val="left"/>
              <w:rPr>
                <w:rFonts w:ascii="Calibri"/>
                <w:sz w:val="18"/>
              </w:rPr>
            </w:pPr>
            <w:r>
              <w:rPr>
                <w:rFonts w:ascii="Calibri"/>
                <w:sz w:val="18"/>
              </w:rPr>
              <w:t>Muy en desacuerdo</w:t>
            </w:r>
          </w:p>
        </w:tc>
      </w:tr>
      <w:tr>
        <w:trPr>
          <w:trHeight w:val="719" w:hRule="exact"/>
        </w:trPr>
        <w:tc>
          <w:tcPr>
            <w:tcW w:w="4146" w:type="dxa"/>
            <w:shd w:val="clear" w:color="auto" w:fill="D9D9D9"/>
          </w:tcPr>
          <w:p>
            <w:pPr>
              <w:pStyle w:val="TableParagraph"/>
              <w:ind w:left="103" w:right="84"/>
              <w:jc w:val="left"/>
              <w:rPr>
                <w:rFonts w:ascii="Calibri" w:hAnsi="Calibri"/>
                <w:sz w:val="18"/>
              </w:rPr>
            </w:pPr>
            <w:r>
              <w:rPr>
                <w:rFonts w:ascii="Calibri" w:hAnsi="Calibri"/>
                <w:sz w:val="18"/>
              </w:rPr>
              <w:t>2. La reputación de un maestro se vería afectada si se expresara como en esta grabación.</w:t>
            </w:r>
          </w:p>
        </w:tc>
        <w:tc>
          <w:tcPr>
            <w:tcW w:w="986" w:type="dxa"/>
          </w:tcPr>
          <w:p>
            <w:pPr>
              <w:pStyle w:val="TableParagraph"/>
              <w:ind w:left="186" w:right="171" w:firstLine="24"/>
              <w:jc w:val="left"/>
              <w:rPr>
                <w:rFonts w:ascii="Calibri"/>
                <w:sz w:val="18"/>
              </w:rPr>
            </w:pPr>
            <w:r>
              <w:rPr>
                <w:rFonts w:ascii="Calibri"/>
                <w:sz w:val="18"/>
              </w:rPr>
              <w:t>Muy de acuerdo</w:t>
            </w:r>
          </w:p>
          <w:p>
            <w:pPr>
              <w:pStyle w:val="TableParagraph"/>
              <w:ind w:left="350"/>
              <w:jc w:val="left"/>
              <w:rPr>
                <w:rFonts w:ascii="Calibri"/>
                <w:sz w:val="20"/>
              </w:rPr>
            </w:pPr>
            <w:r>
              <w:rPr>
                <w:rFonts w:ascii="Calibri"/>
                <w:sz w:val="20"/>
              </w:rPr>
              <w:drawing>
                <wp:inline distT="0" distB="0" distL="0" distR="0">
                  <wp:extent cx="168021" cy="168021"/>
                  <wp:effectExtent l="0" t="0" r="0" b="0"/>
                  <wp:docPr id="73" name="image70.png" descr=""/>
                  <wp:cNvGraphicFramePr>
                    <a:graphicFrameLocks noChangeAspect="1"/>
                  </wp:cNvGraphicFramePr>
                  <a:graphic>
                    <a:graphicData uri="http://schemas.openxmlformats.org/drawingml/2006/picture">
                      <pic:pic>
                        <pic:nvPicPr>
                          <pic:cNvPr id="74"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c>
          <w:tcPr>
            <w:tcW w:w="876" w:type="dxa"/>
            <w:shd w:val="clear" w:color="auto" w:fill="D9D9D9"/>
          </w:tcPr>
          <w:p>
            <w:pPr>
              <w:pStyle w:val="TableParagraph"/>
              <w:ind w:left="131" w:firstLine="199"/>
              <w:jc w:val="left"/>
              <w:rPr>
                <w:rFonts w:ascii="Calibri"/>
                <w:sz w:val="18"/>
              </w:rPr>
            </w:pPr>
            <w:r>
              <w:rPr>
                <w:rFonts w:ascii="Calibri"/>
                <w:sz w:val="18"/>
              </w:rPr>
              <w:t>De acuerdo</w:t>
            </w:r>
          </w:p>
          <w:p>
            <w:pPr>
              <w:pStyle w:val="TableParagraph"/>
              <w:ind w:left="296"/>
              <w:jc w:val="left"/>
              <w:rPr>
                <w:rFonts w:ascii="Calibri"/>
                <w:sz w:val="20"/>
              </w:rPr>
            </w:pPr>
            <w:r>
              <w:rPr>
                <w:rFonts w:ascii="Calibri"/>
                <w:sz w:val="20"/>
              </w:rPr>
              <w:drawing>
                <wp:inline distT="0" distB="0" distL="0" distR="0">
                  <wp:extent cx="168021" cy="168021"/>
                  <wp:effectExtent l="0" t="0" r="0" b="0"/>
                  <wp:docPr id="75" name="image70.png" descr=""/>
                  <wp:cNvGraphicFramePr>
                    <a:graphicFrameLocks noChangeAspect="1"/>
                  </wp:cNvGraphicFramePr>
                  <a:graphic>
                    <a:graphicData uri="http://schemas.openxmlformats.org/drawingml/2006/picture">
                      <pic:pic>
                        <pic:nvPicPr>
                          <pic:cNvPr id="76"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c>
          <w:tcPr>
            <w:tcW w:w="1035" w:type="dxa"/>
          </w:tcPr>
          <w:p>
            <w:pPr>
              <w:pStyle w:val="TableParagraph"/>
              <w:spacing w:line="219" w:lineRule="exact"/>
              <w:ind w:right="105"/>
              <w:jc w:val="right"/>
              <w:rPr>
                <w:rFonts w:ascii="Calibri"/>
                <w:sz w:val="18"/>
              </w:rPr>
            </w:pPr>
            <w:r>
              <w:rPr>
                <w:rFonts w:ascii="Calibri"/>
                <w:sz w:val="18"/>
              </w:rPr>
              <w:t>Indiferente</w:t>
            </w:r>
          </w:p>
        </w:tc>
        <w:tc>
          <w:tcPr>
            <w:tcW w:w="1128" w:type="dxa"/>
            <w:shd w:val="clear" w:color="auto" w:fill="D9D9D9"/>
          </w:tcPr>
          <w:p>
            <w:pPr>
              <w:pStyle w:val="TableParagraph"/>
              <w:ind w:left="132" w:right="113" w:firstLine="336"/>
              <w:jc w:val="left"/>
              <w:rPr>
                <w:rFonts w:ascii="Calibri"/>
                <w:sz w:val="18"/>
              </w:rPr>
            </w:pPr>
            <w:r>
              <w:rPr>
                <w:rFonts w:ascii="Calibri"/>
                <w:sz w:val="18"/>
              </w:rPr>
              <w:t>En desacuerdo</w:t>
            </w:r>
          </w:p>
          <w:p>
            <w:pPr>
              <w:pStyle w:val="TableParagraph"/>
              <w:ind w:left="422"/>
              <w:jc w:val="left"/>
              <w:rPr>
                <w:rFonts w:ascii="Calibri"/>
                <w:sz w:val="20"/>
              </w:rPr>
            </w:pPr>
            <w:r>
              <w:rPr>
                <w:rFonts w:ascii="Calibri"/>
                <w:sz w:val="20"/>
              </w:rPr>
              <w:drawing>
                <wp:inline distT="0" distB="0" distL="0" distR="0">
                  <wp:extent cx="168021" cy="168021"/>
                  <wp:effectExtent l="0" t="0" r="0" b="0"/>
                  <wp:docPr id="77" name="image70.png" descr=""/>
                  <wp:cNvGraphicFramePr>
                    <a:graphicFrameLocks noChangeAspect="1"/>
                  </wp:cNvGraphicFramePr>
                  <a:graphic>
                    <a:graphicData uri="http://schemas.openxmlformats.org/drawingml/2006/picture">
                      <pic:pic>
                        <pic:nvPicPr>
                          <pic:cNvPr id="78"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c>
          <w:tcPr>
            <w:tcW w:w="1227" w:type="dxa"/>
          </w:tcPr>
          <w:p>
            <w:pPr>
              <w:pStyle w:val="TableParagraph"/>
              <w:ind w:left="179" w:right="164" w:firstLine="151"/>
              <w:jc w:val="left"/>
              <w:rPr>
                <w:rFonts w:ascii="Calibri"/>
                <w:sz w:val="18"/>
              </w:rPr>
            </w:pPr>
            <w:r>
              <w:rPr>
                <w:rFonts w:ascii="Calibri"/>
                <w:sz w:val="18"/>
              </w:rPr>
              <w:t>Muy en desacuerdo</w:t>
            </w:r>
          </w:p>
          <w:p>
            <w:pPr>
              <w:pStyle w:val="TableParagraph"/>
              <w:ind w:left="470"/>
              <w:jc w:val="left"/>
              <w:rPr>
                <w:rFonts w:ascii="Calibri"/>
                <w:sz w:val="20"/>
              </w:rPr>
            </w:pPr>
            <w:r>
              <w:rPr>
                <w:rFonts w:ascii="Calibri"/>
                <w:sz w:val="20"/>
              </w:rPr>
              <w:drawing>
                <wp:inline distT="0" distB="0" distL="0" distR="0">
                  <wp:extent cx="168021" cy="168021"/>
                  <wp:effectExtent l="0" t="0" r="0" b="0"/>
                  <wp:docPr id="79" name="image70.png" descr=""/>
                  <wp:cNvGraphicFramePr>
                    <a:graphicFrameLocks noChangeAspect="1"/>
                  </wp:cNvGraphicFramePr>
                  <a:graphic>
                    <a:graphicData uri="http://schemas.openxmlformats.org/drawingml/2006/picture">
                      <pic:pic>
                        <pic:nvPicPr>
                          <pic:cNvPr id="80"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r>
      <w:tr>
        <w:trPr>
          <w:trHeight w:val="719" w:hRule="exact"/>
        </w:trPr>
        <w:tc>
          <w:tcPr>
            <w:tcW w:w="4146" w:type="dxa"/>
            <w:shd w:val="clear" w:color="auto" w:fill="D9D9D9"/>
          </w:tcPr>
          <w:p>
            <w:pPr>
              <w:pStyle w:val="TableParagraph"/>
              <w:ind w:left="103" w:right="103"/>
              <w:jc w:val="both"/>
              <w:rPr>
                <w:rFonts w:ascii="Calibri" w:hAnsi="Calibri"/>
                <w:sz w:val="18"/>
              </w:rPr>
            </w:pPr>
            <w:r>
              <w:rPr>
                <w:rFonts w:ascii="Calibri" w:hAnsi="Calibri"/>
                <w:sz w:val="18"/>
              </w:rPr>
              <w:t>3. Si un líder empresarial se expresara como en la grabación, el grupo al que se dirigiera encontrarían</w:t>
            </w:r>
            <w:r>
              <w:rPr>
                <w:rFonts w:ascii="Calibri" w:hAnsi="Calibri"/>
                <w:spacing w:val="-20"/>
                <w:sz w:val="18"/>
              </w:rPr>
              <w:t> </w:t>
            </w:r>
            <w:r>
              <w:rPr>
                <w:rFonts w:ascii="Calibri" w:hAnsi="Calibri"/>
                <w:sz w:val="18"/>
              </w:rPr>
              <w:t>su discurso</w:t>
            </w:r>
            <w:r>
              <w:rPr>
                <w:rFonts w:ascii="Calibri" w:hAnsi="Calibri"/>
                <w:spacing w:val="-9"/>
                <w:sz w:val="18"/>
              </w:rPr>
              <w:t> </w:t>
            </w:r>
            <w:r>
              <w:rPr>
                <w:rFonts w:ascii="Calibri" w:hAnsi="Calibri"/>
                <w:sz w:val="18"/>
              </w:rPr>
              <w:t>irrelevante.</w:t>
            </w:r>
          </w:p>
        </w:tc>
        <w:tc>
          <w:tcPr>
            <w:tcW w:w="986" w:type="dxa"/>
          </w:tcPr>
          <w:p>
            <w:pPr>
              <w:pStyle w:val="TableParagraph"/>
              <w:ind w:left="186" w:right="171" w:firstLine="24"/>
              <w:jc w:val="left"/>
              <w:rPr>
                <w:rFonts w:ascii="Calibri"/>
                <w:sz w:val="18"/>
              </w:rPr>
            </w:pPr>
            <w:r>
              <w:rPr>
                <w:rFonts w:ascii="Calibri"/>
                <w:sz w:val="18"/>
              </w:rPr>
              <w:t>Muy de acuerdo</w:t>
            </w:r>
          </w:p>
          <w:p>
            <w:pPr>
              <w:pStyle w:val="TableParagraph"/>
              <w:ind w:left="350"/>
              <w:jc w:val="left"/>
              <w:rPr>
                <w:rFonts w:ascii="Calibri"/>
                <w:sz w:val="20"/>
              </w:rPr>
            </w:pPr>
            <w:r>
              <w:rPr>
                <w:rFonts w:ascii="Calibri"/>
                <w:sz w:val="20"/>
              </w:rPr>
              <w:drawing>
                <wp:inline distT="0" distB="0" distL="0" distR="0">
                  <wp:extent cx="168021" cy="168021"/>
                  <wp:effectExtent l="0" t="0" r="0" b="0"/>
                  <wp:docPr id="81" name="image70.png" descr=""/>
                  <wp:cNvGraphicFramePr>
                    <a:graphicFrameLocks noChangeAspect="1"/>
                  </wp:cNvGraphicFramePr>
                  <a:graphic>
                    <a:graphicData uri="http://schemas.openxmlformats.org/drawingml/2006/picture">
                      <pic:pic>
                        <pic:nvPicPr>
                          <pic:cNvPr id="82"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c>
          <w:tcPr>
            <w:tcW w:w="876" w:type="dxa"/>
            <w:shd w:val="clear" w:color="auto" w:fill="D9D9D9"/>
          </w:tcPr>
          <w:p>
            <w:pPr>
              <w:pStyle w:val="TableParagraph"/>
              <w:ind w:left="131" w:firstLine="199"/>
              <w:jc w:val="left"/>
              <w:rPr>
                <w:rFonts w:ascii="Calibri"/>
                <w:sz w:val="18"/>
              </w:rPr>
            </w:pPr>
            <w:r>
              <w:rPr>
                <w:rFonts w:ascii="Calibri"/>
                <w:sz w:val="18"/>
              </w:rPr>
              <w:t>De acuerdo</w:t>
            </w:r>
          </w:p>
          <w:p>
            <w:pPr>
              <w:pStyle w:val="TableParagraph"/>
              <w:ind w:left="296"/>
              <w:jc w:val="left"/>
              <w:rPr>
                <w:rFonts w:ascii="Calibri"/>
                <w:sz w:val="20"/>
              </w:rPr>
            </w:pPr>
            <w:r>
              <w:rPr>
                <w:rFonts w:ascii="Calibri"/>
                <w:sz w:val="20"/>
              </w:rPr>
              <w:drawing>
                <wp:inline distT="0" distB="0" distL="0" distR="0">
                  <wp:extent cx="168021" cy="168021"/>
                  <wp:effectExtent l="0" t="0" r="0" b="0"/>
                  <wp:docPr id="83" name="image70.png" descr=""/>
                  <wp:cNvGraphicFramePr>
                    <a:graphicFrameLocks noChangeAspect="1"/>
                  </wp:cNvGraphicFramePr>
                  <a:graphic>
                    <a:graphicData uri="http://schemas.openxmlformats.org/drawingml/2006/picture">
                      <pic:pic>
                        <pic:nvPicPr>
                          <pic:cNvPr id="84"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c>
          <w:tcPr>
            <w:tcW w:w="1035" w:type="dxa"/>
          </w:tcPr>
          <w:p>
            <w:pPr>
              <w:pStyle w:val="TableParagraph"/>
              <w:ind w:right="105"/>
              <w:jc w:val="right"/>
              <w:rPr>
                <w:rFonts w:ascii="Calibri"/>
                <w:sz w:val="18"/>
              </w:rPr>
            </w:pPr>
            <w:r>
              <w:rPr>
                <w:rFonts w:ascii="Calibri"/>
                <w:sz w:val="18"/>
              </w:rPr>
              <w:t>Indiferente</w:t>
            </w:r>
          </w:p>
        </w:tc>
        <w:tc>
          <w:tcPr>
            <w:tcW w:w="1128" w:type="dxa"/>
            <w:shd w:val="clear" w:color="auto" w:fill="D9D9D9"/>
          </w:tcPr>
          <w:p>
            <w:pPr>
              <w:pStyle w:val="TableParagraph"/>
              <w:ind w:left="132" w:right="113" w:firstLine="336"/>
              <w:jc w:val="left"/>
              <w:rPr>
                <w:rFonts w:ascii="Calibri"/>
                <w:sz w:val="18"/>
              </w:rPr>
            </w:pPr>
            <w:r>
              <w:rPr>
                <w:rFonts w:ascii="Calibri"/>
                <w:sz w:val="18"/>
              </w:rPr>
              <w:t>En desacuerdo</w:t>
            </w:r>
          </w:p>
          <w:p>
            <w:pPr>
              <w:pStyle w:val="TableParagraph"/>
              <w:ind w:left="422"/>
              <w:jc w:val="left"/>
              <w:rPr>
                <w:rFonts w:ascii="Calibri"/>
                <w:sz w:val="20"/>
              </w:rPr>
            </w:pPr>
            <w:r>
              <w:rPr>
                <w:rFonts w:ascii="Calibri"/>
                <w:sz w:val="20"/>
              </w:rPr>
              <w:drawing>
                <wp:inline distT="0" distB="0" distL="0" distR="0">
                  <wp:extent cx="168021" cy="168021"/>
                  <wp:effectExtent l="0" t="0" r="0" b="0"/>
                  <wp:docPr id="85" name="image70.png" descr=""/>
                  <wp:cNvGraphicFramePr>
                    <a:graphicFrameLocks noChangeAspect="1"/>
                  </wp:cNvGraphicFramePr>
                  <a:graphic>
                    <a:graphicData uri="http://schemas.openxmlformats.org/drawingml/2006/picture">
                      <pic:pic>
                        <pic:nvPicPr>
                          <pic:cNvPr id="86"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c>
          <w:tcPr>
            <w:tcW w:w="1227" w:type="dxa"/>
          </w:tcPr>
          <w:p>
            <w:pPr>
              <w:pStyle w:val="TableParagraph"/>
              <w:ind w:left="179" w:right="164" w:firstLine="151"/>
              <w:jc w:val="left"/>
              <w:rPr>
                <w:rFonts w:ascii="Calibri"/>
                <w:sz w:val="18"/>
              </w:rPr>
            </w:pPr>
            <w:r>
              <w:rPr>
                <w:rFonts w:ascii="Calibri"/>
                <w:sz w:val="18"/>
              </w:rPr>
              <w:t>Muy en desacuerdo</w:t>
            </w:r>
          </w:p>
          <w:p>
            <w:pPr>
              <w:pStyle w:val="TableParagraph"/>
              <w:ind w:left="470"/>
              <w:jc w:val="left"/>
              <w:rPr>
                <w:rFonts w:ascii="Calibri"/>
                <w:sz w:val="20"/>
              </w:rPr>
            </w:pPr>
            <w:r>
              <w:rPr>
                <w:rFonts w:ascii="Calibri"/>
                <w:sz w:val="20"/>
              </w:rPr>
              <w:drawing>
                <wp:inline distT="0" distB="0" distL="0" distR="0">
                  <wp:extent cx="168021" cy="168021"/>
                  <wp:effectExtent l="0" t="0" r="0" b="0"/>
                  <wp:docPr id="87" name="image70.png" descr=""/>
                  <wp:cNvGraphicFramePr>
                    <a:graphicFrameLocks noChangeAspect="1"/>
                  </wp:cNvGraphicFramePr>
                  <a:graphic>
                    <a:graphicData uri="http://schemas.openxmlformats.org/drawingml/2006/picture">
                      <pic:pic>
                        <pic:nvPicPr>
                          <pic:cNvPr id="88"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r>
      <w:tr>
        <w:trPr>
          <w:trHeight w:val="720" w:hRule="exact"/>
        </w:trPr>
        <w:tc>
          <w:tcPr>
            <w:tcW w:w="4146" w:type="dxa"/>
            <w:shd w:val="clear" w:color="auto" w:fill="D9D9D9"/>
          </w:tcPr>
          <w:p>
            <w:pPr>
              <w:pStyle w:val="TableParagraph"/>
              <w:ind w:left="103" w:right="103"/>
              <w:jc w:val="both"/>
              <w:rPr>
                <w:rFonts w:ascii="Calibri" w:hAnsi="Calibri"/>
                <w:sz w:val="18"/>
              </w:rPr>
            </w:pPr>
            <w:r>
              <w:rPr>
                <w:rFonts w:ascii="Calibri" w:hAnsi="Calibri"/>
                <w:sz w:val="18"/>
              </w:rPr>
              <w:t>4. En una institución bancaria, se narrarían las estadísticas financieras con la precisión y autoridad con la que lo hacen en la grabación.</w:t>
            </w:r>
          </w:p>
        </w:tc>
        <w:tc>
          <w:tcPr>
            <w:tcW w:w="986" w:type="dxa"/>
          </w:tcPr>
          <w:p>
            <w:pPr>
              <w:pStyle w:val="TableParagraph"/>
              <w:ind w:left="186" w:right="171" w:firstLine="24"/>
              <w:jc w:val="left"/>
              <w:rPr>
                <w:rFonts w:ascii="Calibri"/>
                <w:sz w:val="18"/>
              </w:rPr>
            </w:pPr>
            <w:r>
              <w:rPr>
                <w:rFonts w:ascii="Calibri"/>
                <w:sz w:val="18"/>
              </w:rPr>
              <w:t>Muy de acuerdo</w:t>
            </w:r>
          </w:p>
        </w:tc>
        <w:tc>
          <w:tcPr>
            <w:tcW w:w="876" w:type="dxa"/>
            <w:shd w:val="clear" w:color="auto" w:fill="D9D9D9"/>
          </w:tcPr>
          <w:p>
            <w:pPr>
              <w:pStyle w:val="TableParagraph"/>
              <w:ind w:left="131" w:firstLine="199"/>
              <w:jc w:val="left"/>
              <w:rPr>
                <w:rFonts w:ascii="Calibri"/>
                <w:sz w:val="18"/>
              </w:rPr>
            </w:pPr>
            <w:r>
              <w:rPr>
                <w:rFonts w:ascii="Calibri"/>
                <w:sz w:val="18"/>
              </w:rPr>
              <w:t>De acuerdo</w:t>
            </w:r>
          </w:p>
        </w:tc>
        <w:tc>
          <w:tcPr>
            <w:tcW w:w="1035" w:type="dxa"/>
          </w:tcPr>
          <w:p>
            <w:pPr>
              <w:pStyle w:val="TableParagraph"/>
              <w:spacing w:line="219" w:lineRule="exact"/>
              <w:ind w:right="105"/>
              <w:jc w:val="right"/>
              <w:rPr>
                <w:rFonts w:ascii="Calibri"/>
                <w:sz w:val="18"/>
              </w:rPr>
            </w:pPr>
            <w:r>
              <w:rPr>
                <w:rFonts w:ascii="Calibri"/>
                <w:sz w:val="18"/>
              </w:rPr>
              <w:t>Indiferente</w:t>
            </w:r>
          </w:p>
          <w:p>
            <w:pPr>
              <w:pStyle w:val="TableParagraph"/>
              <w:spacing w:before="11"/>
              <w:jc w:val="left"/>
              <w:rPr>
                <w:rFonts w:ascii="Calibri"/>
                <w:sz w:val="17"/>
              </w:rPr>
            </w:pPr>
          </w:p>
          <w:p>
            <w:pPr>
              <w:pStyle w:val="TableParagraph"/>
              <w:ind w:left="375"/>
              <w:jc w:val="left"/>
              <w:rPr>
                <w:rFonts w:ascii="Calibri"/>
                <w:sz w:val="20"/>
              </w:rPr>
            </w:pPr>
            <w:r>
              <w:rPr>
                <w:rFonts w:ascii="Calibri"/>
                <w:sz w:val="20"/>
              </w:rPr>
              <w:drawing>
                <wp:inline distT="0" distB="0" distL="0" distR="0">
                  <wp:extent cx="168021" cy="168021"/>
                  <wp:effectExtent l="0" t="0" r="0" b="0"/>
                  <wp:docPr id="89" name="image70.png" descr=""/>
                  <wp:cNvGraphicFramePr>
                    <a:graphicFrameLocks noChangeAspect="1"/>
                  </wp:cNvGraphicFramePr>
                  <a:graphic>
                    <a:graphicData uri="http://schemas.openxmlformats.org/drawingml/2006/picture">
                      <pic:pic>
                        <pic:nvPicPr>
                          <pic:cNvPr id="90"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c>
          <w:tcPr>
            <w:tcW w:w="1128" w:type="dxa"/>
            <w:shd w:val="clear" w:color="auto" w:fill="D9D9D9"/>
          </w:tcPr>
          <w:p>
            <w:pPr>
              <w:pStyle w:val="TableParagraph"/>
              <w:ind w:left="132" w:right="113" w:firstLine="336"/>
              <w:jc w:val="left"/>
              <w:rPr>
                <w:rFonts w:ascii="Calibri"/>
                <w:sz w:val="18"/>
              </w:rPr>
            </w:pPr>
            <w:r>
              <w:rPr>
                <w:rFonts w:ascii="Calibri"/>
                <w:sz w:val="18"/>
              </w:rPr>
              <w:t>En desacuerdo</w:t>
            </w:r>
          </w:p>
        </w:tc>
        <w:tc>
          <w:tcPr>
            <w:tcW w:w="1227" w:type="dxa"/>
          </w:tcPr>
          <w:p>
            <w:pPr>
              <w:pStyle w:val="TableParagraph"/>
              <w:ind w:left="179" w:right="164" w:firstLine="151"/>
              <w:jc w:val="left"/>
              <w:rPr>
                <w:rFonts w:ascii="Calibri"/>
                <w:sz w:val="18"/>
              </w:rPr>
            </w:pPr>
            <w:r>
              <w:rPr>
                <w:rFonts w:ascii="Calibri"/>
                <w:sz w:val="18"/>
              </w:rPr>
              <w:t>Muy en desacuerdo</w:t>
            </w:r>
          </w:p>
        </w:tc>
      </w:tr>
      <w:tr>
        <w:trPr>
          <w:trHeight w:val="720" w:hRule="exact"/>
        </w:trPr>
        <w:tc>
          <w:tcPr>
            <w:tcW w:w="4146" w:type="dxa"/>
            <w:shd w:val="clear" w:color="auto" w:fill="D9D9D9"/>
          </w:tcPr>
          <w:p>
            <w:pPr>
              <w:pStyle w:val="TableParagraph"/>
              <w:ind w:left="103" w:right="84"/>
              <w:jc w:val="left"/>
              <w:rPr>
                <w:rFonts w:ascii="Calibri" w:hAnsi="Calibri"/>
                <w:sz w:val="18"/>
              </w:rPr>
            </w:pPr>
            <w:r>
              <w:rPr>
                <w:rFonts w:ascii="Calibri" w:hAnsi="Calibri"/>
                <w:sz w:val="18"/>
              </w:rPr>
              <w:t>5. El vocabulario en la grabación es particularmente empleado por tenderos, comerciantes, vigilantes, etc.</w:t>
            </w:r>
          </w:p>
        </w:tc>
        <w:tc>
          <w:tcPr>
            <w:tcW w:w="986" w:type="dxa"/>
          </w:tcPr>
          <w:p>
            <w:pPr>
              <w:pStyle w:val="TableParagraph"/>
              <w:ind w:left="186" w:right="171" w:firstLine="24"/>
              <w:jc w:val="left"/>
              <w:rPr>
                <w:rFonts w:ascii="Calibri"/>
                <w:sz w:val="18"/>
              </w:rPr>
            </w:pPr>
            <w:r>
              <w:rPr>
                <w:rFonts w:ascii="Calibri"/>
                <w:sz w:val="18"/>
              </w:rPr>
              <w:t>Muy de acuerdo</w:t>
            </w:r>
          </w:p>
        </w:tc>
        <w:tc>
          <w:tcPr>
            <w:tcW w:w="876" w:type="dxa"/>
            <w:shd w:val="clear" w:color="auto" w:fill="D9D9D9"/>
          </w:tcPr>
          <w:p>
            <w:pPr>
              <w:pStyle w:val="TableParagraph"/>
              <w:ind w:left="131" w:firstLine="199"/>
              <w:jc w:val="left"/>
              <w:rPr>
                <w:rFonts w:ascii="Calibri"/>
                <w:sz w:val="18"/>
              </w:rPr>
            </w:pPr>
            <w:r>
              <w:rPr>
                <w:rFonts w:ascii="Calibri"/>
                <w:sz w:val="18"/>
              </w:rPr>
              <w:t>De acuerdo</w:t>
            </w:r>
          </w:p>
        </w:tc>
        <w:tc>
          <w:tcPr>
            <w:tcW w:w="1035" w:type="dxa"/>
          </w:tcPr>
          <w:p>
            <w:pPr>
              <w:pStyle w:val="TableParagraph"/>
              <w:spacing w:line="219" w:lineRule="exact"/>
              <w:ind w:right="105"/>
              <w:jc w:val="right"/>
              <w:rPr>
                <w:rFonts w:ascii="Calibri"/>
                <w:sz w:val="18"/>
              </w:rPr>
            </w:pPr>
            <w:r>
              <w:rPr>
                <w:rFonts w:ascii="Calibri"/>
                <w:sz w:val="18"/>
              </w:rPr>
              <w:t>Indiferente</w:t>
            </w:r>
          </w:p>
          <w:p>
            <w:pPr>
              <w:pStyle w:val="TableParagraph"/>
              <w:spacing w:before="11"/>
              <w:jc w:val="left"/>
              <w:rPr>
                <w:rFonts w:ascii="Calibri"/>
                <w:sz w:val="17"/>
              </w:rPr>
            </w:pPr>
          </w:p>
          <w:p>
            <w:pPr>
              <w:pStyle w:val="TableParagraph"/>
              <w:ind w:left="375"/>
              <w:jc w:val="left"/>
              <w:rPr>
                <w:rFonts w:ascii="Calibri"/>
                <w:sz w:val="20"/>
              </w:rPr>
            </w:pPr>
            <w:r>
              <w:rPr>
                <w:rFonts w:ascii="Calibri"/>
                <w:sz w:val="20"/>
              </w:rPr>
              <w:drawing>
                <wp:inline distT="0" distB="0" distL="0" distR="0">
                  <wp:extent cx="168021" cy="168021"/>
                  <wp:effectExtent l="0" t="0" r="0" b="0"/>
                  <wp:docPr id="91" name="image70.png" descr=""/>
                  <wp:cNvGraphicFramePr>
                    <a:graphicFrameLocks noChangeAspect="1"/>
                  </wp:cNvGraphicFramePr>
                  <a:graphic>
                    <a:graphicData uri="http://schemas.openxmlformats.org/drawingml/2006/picture">
                      <pic:pic>
                        <pic:nvPicPr>
                          <pic:cNvPr id="92"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c>
          <w:tcPr>
            <w:tcW w:w="1128" w:type="dxa"/>
            <w:shd w:val="clear" w:color="auto" w:fill="D9D9D9"/>
          </w:tcPr>
          <w:p>
            <w:pPr>
              <w:pStyle w:val="TableParagraph"/>
              <w:ind w:left="132" w:right="113" w:firstLine="336"/>
              <w:jc w:val="left"/>
              <w:rPr>
                <w:rFonts w:ascii="Calibri"/>
                <w:sz w:val="18"/>
              </w:rPr>
            </w:pPr>
            <w:r>
              <w:rPr>
                <w:rFonts w:ascii="Calibri"/>
                <w:sz w:val="18"/>
              </w:rPr>
              <w:t>En desacuerdo</w:t>
            </w:r>
          </w:p>
        </w:tc>
        <w:tc>
          <w:tcPr>
            <w:tcW w:w="1227" w:type="dxa"/>
          </w:tcPr>
          <w:p>
            <w:pPr>
              <w:pStyle w:val="TableParagraph"/>
              <w:ind w:left="179" w:right="164" w:firstLine="151"/>
              <w:jc w:val="left"/>
              <w:rPr>
                <w:rFonts w:ascii="Calibri"/>
                <w:sz w:val="18"/>
              </w:rPr>
            </w:pPr>
            <w:r>
              <w:rPr>
                <w:rFonts w:ascii="Calibri"/>
                <w:sz w:val="18"/>
              </w:rPr>
              <w:t>Muy en desacuerdo</w:t>
            </w:r>
          </w:p>
        </w:tc>
      </w:tr>
      <w:tr>
        <w:trPr>
          <w:trHeight w:val="720" w:hRule="exact"/>
        </w:trPr>
        <w:tc>
          <w:tcPr>
            <w:tcW w:w="4146" w:type="dxa"/>
            <w:shd w:val="clear" w:color="auto" w:fill="D9D9D9"/>
          </w:tcPr>
          <w:p>
            <w:pPr>
              <w:pStyle w:val="TableParagraph"/>
              <w:ind w:left="103" w:right="102"/>
              <w:jc w:val="both"/>
              <w:rPr>
                <w:rFonts w:ascii="Calibri" w:hAnsi="Calibri"/>
                <w:sz w:val="18"/>
              </w:rPr>
            </w:pPr>
            <w:r>
              <w:rPr>
                <w:rFonts w:ascii="Calibri" w:hAnsi="Calibri"/>
                <w:sz w:val="18"/>
              </w:rPr>
              <w:t>6. Una persona que se desarrolla como profesor aumentaría</w:t>
            </w:r>
            <w:r>
              <w:rPr>
                <w:rFonts w:ascii="Calibri" w:hAnsi="Calibri"/>
                <w:spacing w:val="-8"/>
                <w:sz w:val="18"/>
              </w:rPr>
              <w:t> </w:t>
            </w:r>
            <w:r>
              <w:rPr>
                <w:rFonts w:ascii="Calibri" w:hAnsi="Calibri"/>
                <w:sz w:val="18"/>
              </w:rPr>
              <w:t>su</w:t>
            </w:r>
            <w:r>
              <w:rPr>
                <w:rFonts w:ascii="Calibri" w:hAnsi="Calibri"/>
                <w:spacing w:val="-9"/>
                <w:sz w:val="18"/>
              </w:rPr>
              <w:t> </w:t>
            </w:r>
            <w:r>
              <w:rPr>
                <w:rFonts w:ascii="Calibri" w:hAnsi="Calibri"/>
                <w:sz w:val="18"/>
              </w:rPr>
              <w:t>reputación</w:t>
            </w:r>
            <w:r>
              <w:rPr>
                <w:rFonts w:ascii="Calibri" w:hAnsi="Calibri"/>
                <w:spacing w:val="-9"/>
                <w:sz w:val="18"/>
              </w:rPr>
              <w:t> </w:t>
            </w:r>
            <w:r>
              <w:rPr>
                <w:rFonts w:ascii="Calibri" w:hAnsi="Calibri"/>
                <w:sz w:val="18"/>
              </w:rPr>
              <w:t>expresándose</w:t>
            </w:r>
            <w:r>
              <w:rPr>
                <w:rFonts w:ascii="Calibri" w:hAnsi="Calibri"/>
                <w:spacing w:val="-9"/>
                <w:sz w:val="18"/>
              </w:rPr>
              <w:t> </w:t>
            </w:r>
            <w:r>
              <w:rPr>
                <w:rFonts w:ascii="Calibri" w:hAnsi="Calibri"/>
                <w:sz w:val="18"/>
              </w:rPr>
              <w:t>como</w:t>
            </w:r>
            <w:r>
              <w:rPr>
                <w:rFonts w:ascii="Calibri" w:hAnsi="Calibri"/>
                <w:spacing w:val="-7"/>
                <w:sz w:val="18"/>
              </w:rPr>
              <w:t> </w:t>
            </w:r>
            <w:r>
              <w:rPr>
                <w:rFonts w:ascii="Calibri" w:hAnsi="Calibri"/>
                <w:sz w:val="18"/>
              </w:rPr>
              <w:t>en</w:t>
            </w:r>
            <w:r>
              <w:rPr>
                <w:rFonts w:ascii="Calibri" w:hAnsi="Calibri"/>
                <w:spacing w:val="-9"/>
                <w:sz w:val="18"/>
              </w:rPr>
              <w:t> </w:t>
            </w:r>
            <w:r>
              <w:rPr>
                <w:rFonts w:ascii="Calibri" w:hAnsi="Calibri"/>
                <w:sz w:val="18"/>
              </w:rPr>
              <w:t>esta grabación.</w:t>
            </w:r>
          </w:p>
        </w:tc>
        <w:tc>
          <w:tcPr>
            <w:tcW w:w="986" w:type="dxa"/>
          </w:tcPr>
          <w:p>
            <w:pPr>
              <w:pStyle w:val="TableParagraph"/>
              <w:ind w:left="186" w:right="171" w:firstLine="24"/>
              <w:jc w:val="left"/>
              <w:rPr>
                <w:rFonts w:ascii="Calibri"/>
                <w:sz w:val="18"/>
              </w:rPr>
            </w:pPr>
            <w:r>
              <w:rPr>
                <w:rFonts w:ascii="Calibri"/>
                <w:sz w:val="18"/>
              </w:rPr>
              <w:t>Muy de acuerdo</w:t>
            </w:r>
          </w:p>
          <w:p>
            <w:pPr>
              <w:pStyle w:val="TableParagraph"/>
              <w:ind w:left="350"/>
              <w:jc w:val="left"/>
              <w:rPr>
                <w:rFonts w:ascii="Calibri"/>
                <w:sz w:val="20"/>
              </w:rPr>
            </w:pPr>
            <w:r>
              <w:rPr>
                <w:rFonts w:ascii="Calibri"/>
                <w:sz w:val="20"/>
              </w:rPr>
              <w:drawing>
                <wp:inline distT="0" distB="0" distL="0" distR="0">
                  <wp:extent cx="168021" cy="168020"/>
                  <wp:effectExtent l="0" t="0" r="0" b="0"/>
                  <wp:docPr id="93" name="image70.png" descr=""/>
                  <wp:cNvGraphicFramePr>
                    <a:graphicFrameLocks noChangeAspect="1"/>
                  </wp:cNvGraphicFramePr>
                  <a:graphic>
                    <a:graphicData uri="http://schemas.openxmlformats.org/drawingml/2006/picture">
                      <pic:pic>
                        <pic:nvPicPr>
                          <pic:cNvPr id="94"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c>
          <w:tcPr>
            <w:tcW w:w="876" w:type="dxa"/>
            <w:shd w:val="clear" w:color="auto" w:fill="D9D9D9"/>
          </w:tcPr>
          <w:p>
            <w:pPr>
              <w:pStyle w:val="TableParagraph"/>
              <w:ind w:left="131" w:firstLine="199"/>
              <w:jc w:val="left"/>
              <w:rPr>
                <w:rFonts w:ascii="Calibri"/>
                <w:sz w:val="18"/>
              </w:rPr>
            </w:pPr>
            <w:r>
              <w:rPr>
                <w:rFonts w:ascii="Calibri"/>
                <w:sz w:val="18"/>
              </w:rPr>
              <w:t>De acuerdo</w:t>
            </w:r>
          </w:p>
          <w:p>
            <w:pPr>
              <w:pStyle w:val="TableParagraph"/>
              <w:ind w:left="296"/>
              <w:jc w:val="left"/>
              <w:rPr>
                <w:rFonts w:ascii="Calibri"/>
                <w:sz w:val="20"/>
              </w:rPr>
            </w:pPr>
            <w:r>
              <w:rPr>
                <w:rFonts w:ascii="Calibri"/>
                <w:sz w:val="20"/>
              </w:rPr>
              <w:drawing>
                <wp:inline distT="0" distB="0" distL="0" distR="0">
                  <wp:extent cx="168021" cy="168020"/>
                  <wp:effectExtent l="0" t="0" r="0" b="0"/>
                  <wp:docPr id="95" name="image70.png" descr=""/>
                  <wp:cNvGraphicFramePr>
                    <a:graphicFrameLocks noChangeAspect="1"/>
                  </wp:cNvGraphicFramePr>
                  <a:graphic>
                    <a:graphicData uri="http://schemas.openxmlformats.org/drawingml/2006/picture">
                      <pic:pic>
                        <pic:nvPicPr>
                          <pic:cNvPr id="96"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c>
          <w:tcPr>
            <w:tcW w:w="1035" w:type="dxa"/>
          </w:tcPr>
          <w:p>
            <w:pPr>
              <w:pStyle w:val="TableParagraph"/>
              <w:spacing w:line="219" w:lineRule="exact"/>
              <w:ind w:right="105"/>
              <w:jc w:val="right"/>
              <w:rPr>
                <w:rFonts w:ascii="Calibri"/>
                <w:sz w:val="18"/>
              </w:rPr>
            </w:pPr>
            <w:r>
              <w:rPr>
                <w:rFonts w:ascii="Calibri"/>
                <w:sz w:val="18"/>
              </w:rPr>
              <w:t>Indiferente</w:t>
            </w:r>
          </w:p>
        </w:tc>
        <w:tc>
          <w:tcPr>
            <w:tcW w:w="1128" w:type="dxa"/>
            <w:shd w:val="clear" w:color="auto" w:fill="D9D9D9"/>
          </w:tcPr>
          <w:p>
            <w:pPr>
              <w:pStyle w:val="TableParagraph"/>
              <w:ind w:left="132" w:right="113" w:firstLine="336"/>
              <w:jc w:val="left"/>
              <w:rPr>
                <w:rFonts w:ascii="Calibri"/>
                <w:sz w:val="18"/>
              </w:rPr>
            </w:pPr>
            <w:r>
              <w:rPr>
                <w:rFonts w:ascii="Calibri"/>
                <w:sz w:val="18"/>
              </w:rPr>
              <w:t>En desacuerdo</w:t>
            </w:r>
          </w:p>
          <w:p>
            <w:pPr>
              <w:pStyle w:val="TableParagraph"/>
              <w:ind w:left="422"/>
              <w:jc w:val="left"/>
              <w:rPr>
                <w:rFonts w:ascii="Calibri"/>
                <w:sz w:val="20"/>
              </w:rPr>
            </w:pPr>
            <w:r>
              <w:rPr>
                <w:rFonts w:ascii="Calibri"/>
                <w:sz w:val="20"/>
              </w:rPr>
              <w:drawing>
                <wp:inline distT="0" distB="0" distL="0" distR="0">
                  <wp:extent cx="168021" cy="168020"/>
                  <wp:effectExtent l="0" t="0" r="0" b="0"/>
                  <wp:docPr id="97" name="image70.png" descr=""/>
                  <wp:cNvGraphicFramePr>
                    <a:graphicFrameLocks noChangeAspect="1"/>
                  </wp:cNvGraphicFramePr>
                  <a:graphic>
                    <a:graphicData uri="http://schemas.openxmlformats.org/drawingml/2006/picture">
                      <pic:pic>
                        <pic:nvPicPr>
                          <pic:cNvPr id="98"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c>
          <w:tcPr>
            <w:tcW w:w="1227" w:type="dxa"/>
          </w:tcPr>
          <w:p>
            <w:pPr>
              <w:pStyle w:val="TableParagraph"/>
              <w:ind w:left="179" w:right="164" w:firstLine="151"/>
              <w:jc w:val="left"/>
              <w:rPr>
                <w:rFonts w:ascii="Calibri"/>
                <w:sz w:val="18"/>
              </w:rPr>
            </w:pPr>
            <w:r>
              <w:rPr>
                <w:rFonts w:ascii="Calibri"/>
                <w:sz w:val="18"/>
              </w:rPr>
              <w:t>Muy en desacuerdo</w:t>
            </w:r>
          </w:p>
          <w:p>
            <w:pPr>
              <w:pStyle w:val="TableParagraph"/>
              <w:ind w:left="470"/>
              <w:jc w:val="left"/>
              <w:rPr>
                <w:rFonts w:ascii="Calibri"/>
                <w:sz w:val="20"/>
              </w:rPr>
            </w:pPr>
            <w:r>
              <w:rPr>
                <w:rFonts w:ascii="Calibri"/>
                <w:sz w:val="20"/>
              </w:rPr>
              <w:drawing>
                <wp:inline distT="0" distB="0" distL="0" distR="0">
                  <wp:extent cx="168021" cy="168020"/>
                  <wp:effectExtent l="0" t="0" r="0" b="0"/>
                  <wp:docPr id="99" name="image70.png" descr=""/>
                  <wp:cNvGraphicFramePr>
                    <a:graphicFrameLocks noChangeAspect="1"/>
                  </wp:cNvGraphicFramePr>
                  <a:graphic>
                    <a:graphicData uri="http://schemas.openxmlformats.org/drawingml/2006/picture">
                      <pic:pic>
                        <pic:nvPicPr>
                          <pic:cNvPr id="100"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r>
      <w:tr>
        <w:trPr>
          <w:trHeight w:val="718" w:hRule="exact"/>
        </w:trPr>
        <w:tc>
          <w:tcPr>
            <w:tcW w:w="4146" w:type="dxa"/>
            <w:shd w:val="clear" w:color="auto" w:fill="D9D9D9"/>
          </w:tcPr>
          <w:p>
            <w:pPr>
              <w:pStyle w:val="TableParagraph"/>
              <w:ind w:left="103" w:right="84"/>
              <w:jc w:val="left"/>
              <w:rPr>
                <w:rFonts w:ascii="Calibri" w:hAnsi="Calibri"/>
                <w:sz w:val="18"/>
              </w:rPr>
            </w:pPr>
            <w:r>
              <w:rPr>
                <w:rFonts w:ascii="Calibri" w:hAnsi="Calibri"/>
                <w:sz w:val="18"/>
              </w:rPr>
              <w:t>7. Un empresario asombraría a un grupo de personas utilizando el lenguaje de la grabación.</w:t>
            </w:r>
          </w:p>
        </w:tc>
        <w:tc>
          <w:tcPr>
            <w:tcW w:w="986" w:type="dxa"/>
          </w:tcPr>
          <w:p>
            <w:pPr>
              <w:pStyle w:val="TableParagraph"/>
              <w:ind w:left="176" w:firstLine="31"/>
              <w:jc w:val="left"/>
              <w:rPr>
                <w:rFonts w:ascii="Calibri"/>
                <w:sz w:val="18"/>
              </w:rPr>
            </w:pPr>
            <w:r>
              <w:rPr>
                <w:rFonts w:ascii="Calibri"/>
                <w:sz w:val="18"/>
              </w:rPr>
              <w:t>Muy de Acuerdo</w:t>
            </w:r>
          </w:p>
          <w:p>
            <w:pPr>
              <w:pStyle w:val="TableParagraph"/>
              <w:ind w:left="350"/>
              <w:jc w:val="left"/>
              <w:rPr>
                <w:rFonts w:ascii="Calibri"/>
                <w:sz w:val="20"/>
              </w:rPr>
            </w:pPr>
            <w:r>
              <w:rPr>
                <w:rFonts w:ascii="Calibri"/>
                <w:sz w:val="20"/>
              </w:rPr>
              <w:drawing>
                <wp:inline distT="0" distB="0" distL="0" distR="0">
                  <wp:extent cx="168021" cy="168020"/>
                  <wp:effectExtent l="0" t="0" r="0" b="0"/>
                  <wp:docPr id="101" name="image70.png" descr=""/>
                  <wp:cNvGraphicFramePr>
                    <a:graphicFrameLocks noChangeAspect="1"/>
                  </wp:cNvGraphicFramePr>
                  <a:graphic>
                    <a:graphicData uri="http://schemas.openxmlformats.org/drawingml/2006/picture">
                      <pic:pic>
                        <pic:nvPicPr>
                          <pic:cNvPr id="102"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c>
          <w:tcPr>
            <w:tcW w:w="876" w:type="dxa"/>
            <w:shd w:val="clear" w:color="auto" w:fill="D9D9D9"/>
          </w:tcPr>
          <w:p>
            <w:pPr>
              <w:pStyle w:val="TableParagraph"/>
              <w:ind w:left="131" w:firstLine="199"/>
              <w:jc w:val="left"/>
              <w:rPr>
                <w:rFonts w:ascii="Calibri"/>
                <w:sz w:val="18"/>
              </w:rPr>
            </w:pPr>
            <w:r>
              <w:rPr>
                <w:rFonts w:ascii="Calibri"/>
                <w:sz w:val="18"/>
              </w:rPr>
              <w:t>De acuerdo</w:t>
            </w:r>
          </w:p>
          <w:p>
            <w:pPr>
              <w:pStyle w:val="TableParagraph"/>
              <w:ind w:left="296"/>
              <w:jc w:val="left"/>
              <w:rPr>
                <w:rFonts w:ascii="Calibri"/>
                <w:sz w:val="20"/>
              </w:rPr>
            </w:pPr>
            <w:r>
              <w:rPr>
                <w:rFonts w:ascii="Calibri"/>
                <w:sz w:val="20"/>
              </w:rPr>
              <w:drawing>
                <wp:inline distT="0" distB="0" distL="0" distR="0">
                  <wp:extent cx="168021" cy="168020"/>
                  <wp:effectExtent l="0" t="0" r="0" b="0"/>
                  <wp:docPr id="103" name="image70.png" descr=""/>
                  <wp:cNvGraphicFramePr>
                    <a:graphicFrameLocks noChangeAspect="1"/>
                  </wp:cNvGraphicFramePr>
                  <a:graphic>
                    <a:graphicData uri="http://schemas.openxmlformats.org/drawingml/2006/picture">
                      <pic:pic>
                        <pic:nvPicPr>
                          <pic:cNvPr id="104"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c>
          <w:tcPr>
            <w:tcW w:w="1035" w:type="dxa"/>
          </w:tcPr>
          <w:p>
            <w:pPr>
              <w:pStyle w:val="TableParagraph"/>
              <w:spacing w:line="219" w:lineRule="exact"/>
              <w:ind w:right="105"/>
              <w:jc w:val="right"/>
              <w:rPr>
                <w:rFonts w:ascii="Calibri"/>
                <w:sz w:val="18"/>
              </w:rPr>
            </w:pPr>
            <w:r>
              <w:rPr>
                <w:rFonts w:ascii="Calibri"/>
                <w:sz w:val="18"/>
              </w:rPr>
              <w:t>Indiferente</w:t>
            </w:r>
          </w:p>
        </w:tc>
        <w:tc>
          <w:tcPr>
            <w:tcW w:w="1128" w:type="dxa"/>
            <w:shd w:val="clear" w:color="auto" w:fill="D9D9D9"/>
          </w:tcPr>
          <w:p>
            <w:pPr>
              <w:pStyle w:val="TableParagraph"/>
              <w:ind w:left="132" w:right="113" w:firstLine="336"/>
              <w:jc w:val="left"/>
              <w:rPr>
                <w:rFonts w:ascii="Calibri"/>
                <w:sz w:val="18"/>
              </w:rPr>
            </w:pPr>
            <w:r>
              <w:rPr>
                <w:rFonts w:ascii="Calibri"/>
                <w:sz w:val="18"/>
              </w:rPr>
              <w:t>En desacuerdo</w:t>
            </w:r>
          </w:p>
          <w:p>
            <w:pPr>
              <w:pStyle w:val="TableParagraph"/>
              <w:ind w:left="422"/>
              <w:jc w:val="left"/>
              <w:rPr>
                <w:rFonts w:ascii="Calibri"/>
                <w:sz w:val="20"/>
              </w:rPr>
            </w:pPr>
            <w:r>
              <w:rPr>
                <w:rFonts w:ascii="Calibri"/>
                <w:sz w:val="20"/>
              </w:rPr>
              <w:drawing>
                <wp:inline distT="0" distB="0" distL="0" distR="0">
                  <wp:extent cx="168021" cy="168020"/>
                  <wp:effectExtent l="0" t="0" r="0" b="0"/>
                  <wp:docPr id="105" name="image70.png" descr=""/>
                  <wp:cNvGraphicFramePr>
                    <a:graphicFrameLocks noChangeAspect="1"/>
                  </wp:cNvGraphicFramePr>
                  <a:graphic>
                    <a:graphicData uri="http://schemas.openxmlformats.org/drawingml/2006/picture">
                      <pic:pic>
                        <pic:nvPicPr>
                          <pic:cNvPr id="106"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c>
          <w:tcPr>
            <w:tcW w:w="1227" w:type="dxa"/>
          </w:tcPr>
          <w:p>
            <w:pPr>
              <w:pStyle w:val="TableParagraph"/>
              <w:ind w:left="179" w:right="164" w:firstLine="151"/>
              <w:jc w:val="left"/>
              <w:rPr>
                <w:rFonts w:ascii="Calibri"/>
                <w:sz w:val="18"/>
              </w:rPr>
            </w:pPr>
            <w:r>
              <w:rPr>
                <w:rFonts w:ascii="Calibri"/>
                <w:sz w:val="18"/>
              </w:rPr>
              <w:t>Muy en desacuerdo</w:t>
            </w:r>
          </w:p>
          <w:p>
            <w:pPr>
              <w:pStyle w:val="TableParagraph"/>
              <w:ind w:left="470"/>
              <w:jc w:val="left"/>
              <w:rPr>
                <w:rFonts w:ascii="Calibri"/>
                <w:sz w:val="20"/>
              </w:rPr>
            </w:pPr>
            <w:r>
              <w:rPr>
                <w:rFonts w:ascii="Calibri"/>
                <w:sz w:val="20"/>
              </w:rPr>
              <w:drawing>
                <wp:inline distT="0" distB="0" distL="0" distR="0">
                  <wp:extent cx="168021" cy="168020"/>
                  <wp:effectExtent l="0" t="0" r="0" b="0"/>
                  <wp:docPr id="107" name="image70.png" descr=""/>
                  <wp:cNvGraphicFramePr>
                    <a:graphicFrameLocks noChangeAspect="1"/>
                  </wp:cNvGraphicFramePr>
                  <a:graphic>
                    <a:graphicData uri="http://schemas.openxmlformats.org/drawingml/2006/picture">
                      <pic:pic>
                        <pic:nvPicPr>
                          <pic:cNvPr id="108"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r>
      <w:tr>
        <w:trPr>
          <w:trHeight w:val="721" w:hRule="exact"/>
        </w:trPr>
        <w:tc>
          <w:tcPr>
            <w:tcW w:w="4146" w:type="dxa"/>
            <w:shd w:val="clear" w:color="auto" w:fill="D9D9D9"/>
          </w:tcPr>
          <w:p>
            <w:pPr>
              <w:pStyle w:val="TableParagraph"/>
              <w:ind w:left="103" w:right="103"/>
              <w:jc w:val="both"/>
              <w:rPr>
                <w:rFonts w:ascii="Calibri" w:hAnsi="Calibri"/>
                <w:sz w:val="18"/>
              </w:rPr>
            </w:pPr>
            <w:r>
              <w:rPr>
                <w:rFonts w:ascii="Calibri" w:hAnsi="Calibri"/>
                <w:sz w:val="18"/>
              </w:rPr>
              <w:t>8. Las estadísticas en la grabación son narradas sin autoridad,</w:t>
            </w:r>
            <w:r>
              <w:rPr>
                <w:rFonts w:ascii="Calibri" w:hAnsi="Calibri"/>
                <w:spacing w:val="-11"/>
                <w:sz w:val="18"/>
              </w:rPr>
              <w:t> </w:t>
            </w:r>
            <w:r>
              <w:rPr>
                <w:rFonts w:ascii="Calibri" w:hAnsi="Calibri"/>
                <w:sz w:val="18"/>
              </w:rPr>
              <w:t>tanto,</w:t>
            </w:r>
            <w:r>
              <w:rPr>
                <w:rFonts w:ascii="Calibri" w:hAnsi="Calibri"/>
                <w:spacing w:val="-11"/>
                <w:sz w:val="18"/>
              </w:rPr>
              <w:t> </w:t>
            </w:r>
            <w:r>
              <w:rPr>
                <w:rFonts w:ascii="Calibri" w:hAnsi="Calibri"/>
                <w:sz w:val="18"/>
              </w:rPr>
              <w:t>que</w:t>
            </w:r>
            <w:r>
              <w:rPr>
                <w:rFonts w:ascii="Calibri" w:hAnsi="Calibri"/>
                <w:spacing w:val="-12"/>
                <w:sz w:val="18"/>
              </w:rPr>
              <w:t> </w:t>
            </w:r>
            <w:r>
              <w:rPr>
                <w:rFonts w:ascii="Calibri" w:hAnsi="Calibri"/>
                <w:sz w:val="18"/>
              </w:rPr>
              <w:t>es</w:t>
            </w:r>
            <w:r>
              <w:rPr>
                <w:rFonts w:ascii="Calibri" w:hAnsi="Calibri"/>
                <w:spacing w:val="-9"/>
                <w:sz w:val="18"/>
              </w:rPr>
              <w:t> </w:t>
            </w:r>
            <w:r>
              <w:rPr>
                <w:rFonts w:ascii="Calibri" w:hAnsi="Calibri"/>
                <w:sz w:val="18"/>
              </w:rPr>
              <w:t>improbable</w:t>
            </w:r>
            <w:r>
              <w:rPr>
                <w:rFonts w:ascii="Calibri" w:hAnsi="Calibri"/>
                <w:spacing w:val="-12"/>
                <w:sz w:val="18"/>
              </w:rPr>
              <w:t> </w:t>
            </w:r>
            <w:r>
              <w:rPr>
                <w:rFonts w:ascii="Calibri" w:hAnsi="Calibri"/>
                <w:sz w:val="18"/>
              </w:rPr>
              <w:t>que</w:t>
            </w:r>
            <w:r>
              <w:rPr>
                <w:rFonts w:ascii="Calibri" w:hAnsi="Calibri"/>
                <w:spacing w:val="-12"/>
                <w:sz w:val="18"/>
              </w:rPr>
              <w:t> </w:t>
            </w:r>
            <w:r>
              <w:rPr>
                <w:rFonts w:ascii="Calibri" w:hAnsi="Calibri"/>
                <w:sz w:val="18"/>
              </w:rPr>
              <w:t>sean</w:t>
            </w:r>
            <w:r>
              <w:rPr>
                <w:rFonts w:ascii="Calibri" w:hAnsi="Calibri"/>
                <w:spacing w:val="-12"/>
                <w:sz w:val="18"/>
              </w:rPr>
              <w:t> </w:t>
            </w:r>
            <w:r>
              <w:rPr>
                <w:rFonts w:ascii="Calibri" w:hAnsi="Calibri"/>
                <w:sz w:val="18"/>
              </w:rPr>
              <w:t>parte</w:t>
            </w:r>
            <w:r>
              <w:rPr>
                <w:rFonts w:ascii="Calibri" w:hAnsi="Calibri"/>
                <w:spacing w:val="-12"/>
                <w:sz w:val="18"/>
              </w:rPr>
              <w:t> </w:t>
            </w:r>
            <w:r>
              <w:rPr>
                <w:rFonts w:ascii="Calibri" w:hAnsi="Calibri"/>
                <w:sz w:val="18"/>
              </w:rPr>
              <w:t>de una institución bancaria, por</w:t>
            </w:r>
            <w:r>
              <w:rPr>
                <w:rFonts w:ascii="Calibri" w:hAnsi="Calibri"/>
                <w:spacing w:val="-11"/>
                <w:sz w:val="18"/>
              </w:rPr>
              <w:t> </w:t>
            </w:r>
            <w:r>
              <w:rPr>
                <w:rFonts w:ascii="Calibri" w:hAnsi="Calibri"/>
                <w:sz w:val="18"/>
              </w:rPr>
              <w:t>ejemplo.</w:t>
            </w:r>
          </w:p>
        </w:tc>
        <w:tc>
          <w:tcPr>
            <w:tcW w:w="986" w:type="dxa"/>
          </w:tcPr>
          <w:p>
            <w:pPr>
              <w:pStyle w:val="TableParagraph"/>
              <w:ind w:left="176" w:firstLine="31"/>
              <w:jc w:val="left"/>
              <w:rPr>
                <w:rFonts w:ascii="Calibri"/>
                <w:sz w:val="18"/>
              </w:rPr>
            </w:pPr>
            <w:r>
              <w:rPr>
                <w:rFonts w:ascii="Calibri"/>
                <w:sz w:val="18"/>
              </w:rPr>
              <w:t>Muy de Acuerdo</w:t>
            </w:r>
          </w:p>
          <w:p>
            <w:pPr>
              <w:pStyle w:val="TableParagraph"/>
              <w:ind w:left="350"/>
              <w:jc w:val="left"/>
              <w:rPr>
                <w:rFonts w:ascii="Calibri"/>
                <w:sz w:val="20"/>
              </w:rPr>
            </w:pPr>
            <w:r>
              <w:rPr>
                <w:rFonts w:ascii="Calibri"/>
                <w:sz w:val="20"/>
              </w:rPr>
              <w:drawing>
                <wp:inline distT="0" distB="0" distL="0" distR="0">
                  <wp:extent cx="168021" cy="168020"/>
                  <wp:effectExtent l="0" t="0" r="0" b="0"/>
                  <wp:docPr id="109" name="image70.png" descr=""/>
                  <wp:cNvGraphicFramePr>
                    <a:graphicFrameLocks noChangeAspect="1"/>
                  </wp:cNvGraphicFramePr>
                  <a:graphic>
                    <a:graphicData uri="http://schemas.openxmlformats.org/drawingml/2006/picture">
                      <pic:pic>
                        <pic:nvPicPr>
                          <pic:cNvPr id="110"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c>
          <w:tcPr>
            <w:tcW w:w="876" w:type="dxa"/>
            <w:shd w:val="clear" w:color="auto" w:fill="D9D9D9"/>
          </w:tcPr>
          <w:p>
            <w:pPr>
              <w:pStyle w:val="TableParagraph"/>
              <w:ind w:left="131" w:firstLine="199"/>
              <w:jc w:val="left"/>
              <w:rPr>
                <w:rFonts w:ascii="Calibri"/>
                <w:sz w:val="18"/>
              </w:rPr>
            </w:pPr>
            <w:r>
              <w:rPr>
                <w:rFonts w:ascii="Calibri"/>
                <w:sz w:val="18"/>
              </w:rPr>
              <w:t>De acuerdo</w:t>
            </w:r>
          </w:p>
          <w:p>
            <w:pPr>
              <w:pStyle w:val="TableParagraph"/>
              <w:ind w:left="296"/>
              <w:jc w:val="left"/>
              <w:rPr>
                <w:rFonts w:ascii="Calibri"/>
                <w:sz w:val="20"/>
              </w:rPr>
            </w:pPr>
            <w:r>
              <w:rPr>
                <w:rFonts w:ascii="Calibri"/>
                <w:sz w:val="20"/>
              </w:rPr>
              <w:drawing>
                <wp:inline distT="0" distB="0" distL="0" distR="0">
                  <wp:extent cx="168021" cy="168020"/>
                  <wp:effectExtent l="0" t="0" r="0" b="0"/>
                  <wp:docPr id="111" name="image70.png" descr=""/>
                  <wp:cNvGraphicFramePr>
                    <a:graphicFrameLocks noChangeAspect="1"/>
                  </wp:cNvGraphicFramePr>
                  <a:graphic>
                    <a:graphicData uri="http://schemas.openxmlformats.org/drawingml/2006/picture">
                      <pic:pic>
                        <pic:nvPicPr>
                          <pic:cNvPr id="112"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c>
          <w:tcPr>
            <w:tcW w:w="1035" w:type="dxa"/>
          </w:tcPr>
          <w:p>
            <w:pPr>
              <w:pStyle w:val="TableParagraph"/>
              <w:spacing w:line="219" w:lineRule="exact"/>
              <w:ind w:right="105"/>
              <w:jc w:val="right"/>
              <w:rPr>
                <w:rFonts w:ascii="Calibri"/>
                <w:sz w:val="18"/>
              </w:rPr>
            </w:pPr>
            <w:r>
              <w:rPr>
                <w:rFonts w:ascii="Calibri"/>
                <w:sz w:val="18"/>
              </w:rPr>
              <w:t>Indiferente</w:t>
            </w:r>
          </w:p>
          <w:p>
            <w:pPr>
              <w:pStyle w:val="TableParagraph"/>
              <w:ind w:left="375"/>
              <w:jc w:val="left"/>
              <w:rPr>
                <w:rFonts w:ascii="Calibri"/>
                <w:sz w:val="20"/>
              </w:rPr>
            </w:pPr>
            <w:r>
              <w:rPr>
                <w:rFonts w:ascii="Calibri"/>
                <w:sz w:val="20"/>
              </w:rPr>
              <w:drawing>
                <wp:inline distT="0" distB="0" distL="0" distR="0">
                  <wp:extent cx="169548" cy="168020"/>
                  <wp:effectExtent l="0" t="0" r="0" b="0"/>
                  <wp:docPr id="113" name="image70.png" descr=""/>
                  <wp:cNvGraphicFramePr>
                    <a:graphicFrameLocks noChangeAspect="1"/>
                  </wp:cNvGraphicFramePr>
                  <a:graphic>
                    <a:graphicData uri="http://schemas.openxmlformats.org/drawingml/2006/picture">
                      <pic:pic>
                        <pic:nvPicPr>
                          <pic:cNvPr id="114" name="image70.png"/>
                          <pic:cNvPicPr/>
                        </pic:nvPicPr>
                        <pic:blipFill>
                          <a:blip r:embed="rId139" cstate="print"/>
                          <a:stretch>
                            <a:fillRect/>
                          </a:stretch>
                        </pic:blipFill>
                        <pic:spPr>
                          <a:xfrm>
                            <a:off x="0" y="0"/>
                            <a:ext cx="169548" cy="168020"/>
                          </a:xfrm>
                          <a:prstGeom prst="rect">
                            <a:avLst/>
                          </a:prstGeom>
                        </pic:spPr>
                      </pic:pic>
                    </a:graphicData>
                  </a:graphic>
                </wp:inline>
              </w:drawing>
            </w:r>
            <w:r>
              <w:rPr>
                <w:rFonts w:ascii="Calibri"/>
                <w:sz w:val="20"/>
              </w:rPr>
            </w:r>
          </w:p>
          <w:p>
            <w:pPr>
              <w:pStyle w:val="TableParagraph"/>
              <w:spacing w:before="6"/>
              <w:jc w:val="left"/>
              <w:rPr>
                <w:rFonts w:ascii="Calibri"/>
                <w:sz w:val="18"/>
              </w:rPr>
            </w:pPr>
          </w:p>
        </w:tc>
        <w:tc>
          <w:tcPr>
            <w:tcW w:w="1128" w:type="dxa"/>
            <w:shd w:val="clear" w:color="auto" w:fill="D9D9D9"/>
          </w:tcPr>
          <w:p>
            <w:pPr>
              <w:pStyle w:val="TableParagraph"/>
              <w:ind w:left="132" w:right="113" w:firstLine="336"/>
              <w:jc w:val="left"/>
              <w:rPr>
                <w:rFonts w:ascii="Calibri"/>
                <w:sz w:val="18"/>
              </w:rPr>
            </w:pPr>
            <w:r>
              <w:rPr>
                <w:rFonts w:ascii="Calibri"/>
                <w:sz w:val="18"/>
              </w:rPr>
              <w:t>En desacuerdo</w:t>
            </w:r>
          </w:p>
          <w:p>
            <w:pPr>
              <w:pStyle w:val="TableParagraph"/>
              <w:ind w:left="422"/>
              <w:jc w:val="left"/>
              <w:rPr>
                <w:rFonts w:ascii="Calibri"/>
                <w:sz w:val="20"/>
              </w:rPr>
            </w:pPr>
            <w:r>
              <w:rPr>
                <w:rFonts w:ascii="Calibri"/>
                <w:sz w:val="20"/>
              </w:rPr>
              <w:drawing>
                <wp:inline distT="0" distB="0" distL="0" distR="0">
                  <wp:extent cx="168021" cy="168020"/>
                  <wp:effectExtent l="0" t="0" r="0" b="0"/>
                  <wp:docPr id="115" name="image70.png" descr=""/>
                  <wp:cNvGraphicFramePr>
                    <a:graphicFrameLocks noChangeAspect="1"/>
                  </wp:cNvGraphicFramePr>
                  <a:graphic>
                    <a:graphicData uri="http://schemas.openxmlformats.org/drawingml/2006/picture">
                      <pic:pic>
                        <pic:nvPicPr>
                          <pic:cNvPr id="116"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c>
          <w:tcPr>
            <w:tcW w:w="1227" w:type="dxa"/>
          </w:tcPr>
          <w:p>
            <w:pPr>
              <w:pStyle w:val="TableParagraph"/>
              <w:ind w:left="179" w:right="164" w:firstLine="151"/>
              <w:jc w:val="left"/>
              <w:rPr>
                <w:rFonts w:ascii="Calibri"/>
                <w:sz w:val="18"/>
              </w:rPr>
            </w:pPr>
            <w:r>
              <w:rPr>
                <w:rFonts w:ascii="Calibri"/>
                <w:sz w:val="18"/>
              </w:rPr>
              <w:t>Muy en desacuerdo</w:t>
            </w:r>
          </w:p>
          <w:p>
            <w:pPr>
              <w:pStyle w:val="TableParagraph"/>
              <w:ind w:left="470"/>
              <w:jc w:val="left"/>
              <w:rPr>
                <w:rFonts w:ascii="Calibri"/>
                <w:sz w:val="20"/>
              </w:rPr>
            </w:pPr>
            <w:r>
              <w:rPr>
                <w:rFonts w:ascii="Calibri"/>
                <w:sz w:val="20"/>
              </w:rPr>
              <w:drawing>
                <wp:inline distT="0" distB="0" distL="0" distR="0">
                  <wp:extent cx="168021" cy="168020"/>
                  <wp:effectExtent l="0" t="0" r="0" b="0"/>
                  <wp:docPr id="117" name="image70.png" descr=""/>
                  <wp:cNvGraphicFramePr>
                    <a:graphicFrameLocks noChangeAspect="1"/>
                  </wp:cNvGraphicFramePr>
                  <a:graphic>
                    <a:graphicData uri="http://schemas.openxmlformats.org/drawingml/2006/picture">
                      <pic:pic>
                        <pic:nvPicPr>
                          <pic:cNvPr id="118"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tc>
      </w:tr>
      <w:tr>
        <w:trPr>
          <w:trHeight w:val="720" w:hRule="exact"/>
        </w:trPr>
        <w:tc>
          <w:tcPr>
            <w:tcW w:w="4146" w:type="dxa"/>
            <w:shd w:val="clear" w:color="auto" w:fill="D9D9D9"/>
          </w:tcPr>
          <w:p>
            <w:pPr>
              <w:pStyle w:val="TableParagraph"/>
              <w:ind w:left="103" w:right="84"/>
              <w:jc w:val="left"/>
              <w:rPr>
                <w:rFonts w:ascii="Calibri" w:hAnsi="Calibri"/>
                <w:sz w:val="18"/>
              </w:rPr>
            </w:pPr>
            <w:r>
              <w:rPr>
                <w:rFonts w:ascii="Calibri" w:hAnsi="Calibri"/>
                <w:sz w:val="18"/>
              </w:rPr>
              <w:t>9. Un aspirante a un puesto importante se expresaría como lo hacen en la grabación.</w:t>
            </w:r>
          </w:p>
        </w:tc>
        <w:tc>
          <w:tcPr>
            <w:tcW w:w="986" w:type="dxa"/>
          </w:tcPr>
          <w:p>
            <w:pPr>
              <w:pStyle w:val="TableParagraph"/>
              <w:ind w:left="176" w:firstLine="31"/>
              <w:jc w:val="left"/>
              <w:rPr>
                <w:rFonts w:ascii="Calibri"/>
                <w:sz w:val="18"/>
              </w:rPr>
            </w:pPr>
            <w:r>
              <w:rPr>
                <w:rFonts w:ascii="Calibri"/>
                <w:sz w:val="18"/>
              </w:rPr>
              <w:t>Muy de Acuerdo</w:t>
            </w:r>
          </w:p>
        </w:tc>
        <w:tc>
          <w:tcPr>
            <w:tcW w:w="876" w:type="dxa"/>
            <w:shd w:val="clear" w:color="auto" w:fill="D9D9D9"/>
          </w:tcPr>
          <w:p>
            <w:pPr>
              <w:pStyle w:val="TableParagraph"/>
              <w:ind w:left="131" w:firstLine="199"/>
              <w:jc w:val="left"/>
              <w:rPr>
                <w:rFonts w:ascii="Calibri"/>
                <w:sz w:val="18"/>
              </w:rPr>
            </w:pPr>
            <w:r>
              <w:rPr>
                <w:rFonts w:ascii="Calibri"/>
                <w:sz w:val="18"/>
              </w:rPr>
              <w:t>De acuerdo</w:t>
            </w:r>
          </w:p>
        </w:tc>
        <w:tc>
          <w:tcPr>
            <w:tcW w:w="1035" w:type="dxa"/>
          </w:tcPr>
          <w:p>
            <w:pPr>
              <w:pStyle w:val="TableParagraph"/>
              <w:spacing w:line="219" w:lineRule="exact"/>
              <w:ind w:right="105"/>
              <w:jc w:val="right"/>
              <w:rPr>
                <w:rFonts w:ascii="Calibri"/>
                <w:sz w:val="18"/>
              </w:rPr>
            </w:pPr>
            <w:r>
              <w:rPr>
                <w:rFonts w:ascii="Calibri"/>
                <w:sz w:val="18"/>
              </w:rPr>
              <w:t>Indiferente</w:t>
            </w:r>
          </w:p>
          <w:p>
            <w:pPr>
              <w:pStyle w:val="TableParagraph"/>
              <w:ind w:left="375"/>
              <w:jc w:val="left"/>
              <w:rPr>
                <w:rFonts w:ascii="Calibri"/>
                <w:sz w:val="20"/>
              </w:rPr>
            </w:pPr>
            <w:r>
              <w:rPr>
                <w:rFonts w:ascii="Calibri"/>
                <w:sz w:val="20"/>
              </w:rPr>
              <w:drawing>
                <wp:inline distT="0" distB="0" distL="0" distR="0">
                  <wp:extent cx="169548" cy="168020"/>
                  <wp:effectExtent l="0" t="0" r="0" b="0"/>
                  <wp:docPr id="119" name="image70.png" descr=""/>
                  <wp:cNvGraphicFramePr>
                    <a:graphicFrameLocks noChangeAspect="1"/>
                  </wp:cNvGraphicFramePr>
                  <a:graphic>
                    <a:graphicData uri="http://schemas.openxmlformats.org/drawingml/2006/picture">
                      <pic:pic>
                        <pic:nvPicPr>
                          <pic:cNvPr id="120" name="image70.png"/>
                          <pic:cNvPicPr/>
                        </pic:nvPicPr>
                        <pic:blipFill>
                          <a:blip r:embed="rId139" cstate="print"/>
                          <a:stretch>
                            <a:fillRect/>
                          </a:stretch>
                        </pic:blipFill>
                        <pic:spPr>
                          <a:xfrm>
                            <a:off x="0" y="0"/>
                            <a:ext cx="169548" cy="168020"/>
                          </a:xfrm>
                          <a:prstGeom prst="rect">
                            <a:avLst/>
                          </a:prstGeom>
                        </pic:spPr>
                      </pic:pic>
                    </a:graphicData>
                  </a:graphic>
                </wp:inline>
              </w:drawing>
            </w:r>
            <w:r>
              <w:rPr>
                <w:rFonts w:ascii="Calibri"/>
                <w:sz w:val="20"/>
              </w:rPr>
            </w:r>
          </w:p>
          <w:p>
            <w:pPr>
              <w:pStyle w:val="TableParagraph"/>
              <w:spacing w:before="6"/>
              <w:jc w:val="left"/>
              <w:rPr>
                <w:rFonts w:ascii="Calibri"/>
                <w:sz w:val="18"/>
              </w:rPr>
            </w:pPr>
          </w:p>
        </w:tc>
        <w:tc>
          <w:tcPr>
            <w:tcW w:w="1128" w:type="dxa"/>
            <w:shd w:val="clear" w:color="auto" w:fill="D9D9D9"/>
          </w:tcPr>
          <w:p>
            <w:pPr>
              <w:pStyle w:val="TableParagraph"/>
              <w:ind w:left="132" w:right="113" w:firstLine="336"/>
              <w:jc w:val="left"/>
              <w:rPr>
                <w:rFonts w:ascii="Calibri"/>
                <w:sz w:val="18"/>
              </w:rPr>
            </w:pPr>
            <w:r>
              <w:rPr>
                <w:rFonts w:ascii="Calibri"/>
                <w:sz w:val="18"/>
              </w:rPr>
              <w:t>En desacuerdo</w:t>
            </w:r>
          </w:p>
        </w:tc>
        <w:tc>
          <w:tcPr>
            <w:tcW w:w="1227" w:type="dxa"/>
          </w:tcPr>
          <w:p>
            <w:pPr>
              <w:pStyle w:val="TableParagraph"/>
              <w:ind w:left="179" w:right="164" w:firstLine="151"/>
              <w:jc w:val="left"/>
              <w:rPr>
                <w:rFonts w:ascii="Calibri"/>
                <w:sz w:val="18"/>
              </w:rPr>
            </w:pPr>
            <w:r>
              <w:rPr>
                <w:rFonts w:ascii="Calibri"/>
                <w:sz w:val="18"/>
              </w:rPr>
              <w:t>Muy en desacuerdo</w:t>
            </w:r>
          </w:p>
        </w:tc>
      </w:tr>
      <w:tr>
        <w:trPr>
          <w:trHeight w:val="720" w:hRule="exact"/>
        </w:trPr>
        <w:tc>
          <w:tcPr>
            <w:tcW w:w="4146" w:type="dxa"/>
            <w:shd w:val="clear" w:color="auto" w:fill="D9D9D9"/>
          </w:tcPr>
          <w:p>
            <w:pPr>
              <w:pStyle w:val="TableParagraph"/>
              <w:ind w:left="103" w:right="105"/>
              <w:jc w:val="both"/>
              <w:rPr>
                <w:rFonts w:ascii="Calibri" w:hAnsi="Calibri"/>
                <w:sz w:val="18"/>
              </w:rPr>
            </w:pPr>
            <w:r>
              <w:rPr>
                <w:rFonts w:ascii="Calibri" w:hAnsi="Calibri"/>
                <w:sz w:val="18"/>
              </w:rPr>
              <w:t>10. Si la persona de la grabación pretendiera trabajar en radiocomunicaciones, es improbable que la contrataran, ya que su discurso es común.</w:t>
            </w:r>
          </w:p>
        </w:tc>
        <w:tc>
          <w:tcPr>
            <w:tcW w:w="986" w:type="dxa"/>
          </w:tcPr>
          <w:p>
            <w:pPr>
              <w:pStyle w:val="TableParagraph"/>
              <w:ind w:left="176" w:firstLine="31"/>
              <w:jc w:val="left"/>
              <w:rPr>
                <w:rFonts w:ascii="Calibri"/>
                <w:sz w:val="18"/>
              </w:rPr>
            </w:pPr>
            <w:r>
              <w:rPr>
                <w:rFonts w:ascii="Calibri"/>
                <w:sz w:val="18"/>
              </w:rPr>
              <w:t>Muy de Acuerdo</w:t>
            </w:r>
          </w:p>
        </w:tc>
        <w:tc>
          <w:tcPr>
            <w:tcW w:w="876" w:type="dxa"/>
            <w:shd w:val="clear" w:color="auto" w:fill="D9D9D9"/>
          </w:tcPr>
          <w:p>
            <w:pPr>
              <w:pStyle w:val="TableParagraph"/>
              <w:ind w:left="131" w:firstLine="199"/>
              <w:jc w:val="left"/>
              <w:rPr>
                <w:rFonts w:ascii="Calibri"/>
                <w:sz w:val="18"/>
              </w:rPr>
            </w:pPr>
            <w:r>
              <w:rPr>
                <w:rFonts w:ascii="Calibri"/>
                <w:sz w:val="18"/>
              </w:rPr>
              <w:t>De acuerdo</w:t>
            </w:r>
          </w:p>
        </w:tc>
        <w:tc>
          <w:tcPr>
            <w:tcW w:w="1035" w:type="dxa"/>
          </w:tcPr>
          <w:p>
            <w:pPr>
              <w:pStyle w:val="TableParagraph"/>
              <w:spacing w:line="219" w:lineRule="exact"/>
              <w:ind w:right="105"/>
              <w:jc w:val="right"/>
              <w:rPr>
                <w:rFonts w:ascii="Calibri"/>
                <w:sz w:val="18"/>
              </w:rPr>
            </w:pPr>
            <w:r>
              <w:rPr>
                <w:rFonts w:ascii="Calibri"/>
                <w:sz w:val="18"/>
              </w:rPr>
              <w:t>Indiferente</w:t>
            </w:r>
          </w:p>
          <w:p>
            <w:pPr>
              <w:pStyle w:val="TableParagraph"/>
              <w:ind w:left="375"/>
              <w:jc w:val="left"/>
              <w:rPr>
                <w:rFonts w:ascii="Calibri"/>
                <w:sz w:val="20"/>
              </w:rPr>
            </w:pPr>
            <w:r>
              <w:rPr>
                <w:rFonts w:ascii="Calibri"/>
                <w:sz w:val="20"/>
              </w:rPr>
              <w:drawing>
                <wp:inline distT="0" distB="0" distL="0" distR="0">
                  <wp:extent cx="169548" cy="168021"/>
                  <wp:effectExtent l="0" t="0" r="0" b="0"/>
                  <wp:docPr id="121" name="image70.png" descr=""/>
                  <wp:cNvGraphicFramePr>
                    <a:graphicFrameLocks noChangeAspect="1"/>
                  </wp:cNvGraphicFramePr>
                  <a:graphic>
                    <a:graphicData uri="http://schemas.openxmlformats.org/drawingml/2006/picture">
                      <pic:pic>
                        <pic:nvPicPr>
                          <pic:cNvPr id="122" name="image70.png"/>
                          <pic:cNvPicPr/>
                        </pic:nvPicPr>
                        <pic:blipFill>
                          <a:blip r:embed="rId139" cstate="print"/>
                          <a:stretch>
                            <a:fillRect/>
                          </a:stretch>
                        </pic:blipFill>
                        <pic:spPr>
                          <a:xfrm>
                            <a:off x="0" y="0"/>
                            <a:ext cx="169548" cy="168021"/>
                          </a:xfrm>
                          <a:prstGeom prst="rect">
                            <a:avLst/>
                          </a:prstGeom>
                        </pic:spPr>
                      </pic:pic>
                    </a:graphicData>
                  </a:graphic>
                </wp:inline>
              </w:drawing>
            </w:r>
            <w:r>
              <w:rPr>
                <w:rFonts w:ascii="Calibri"/>
                <w:sz w:val="20"/>
              </w:rPr>
            </w:r>
          </w:p>
          <w:p>
            <w:pPr>
              <w:pStyle w:val="TableParagraph"/>
              <w:spacing w:before="6"/>
              <w:jc w:val="left"/>
              <w:rPr>
                <w:rFonts w:ascii="Calibri"/>
                <w:sz w:val="18"/>
              </w:rPr>
            </w:pPr>
          </w:p>
        </w:tc>
        <w:tc>
          <w:tcPr>
            <w:tcW w:w="1128" w:type="dxa"/>
            <w:shd w:val="clear" w:color="auto" w:fill="D9D9D9"/>
          </w:tcPr>
          <w:p>
            <w:pPr>
              <w:pStyle w:val="TableParagraph"/>
              <w:ind w:left="132" w:right="113" w:firstLine="336"/>
              <w:jc w:val="left"/>
              <w:rPr>
                <w:rFonts w:ascii="Calibri"/>
                <w:sz w:val="18"/>
              </w:rPr>
            </w:pPr>
            <w:r>
              <w:rPr>
                <w:rFonts w:ascii="Calibri"/>
                <w:sz w:val="18"/>
              </w:rPr>
              <w:t>En desacuerdo</w:t>
            </w:r>
          </w:p>
        </w:tc>
        <w:tc>
          <w:tcPr>
            <w:tcW w:w="1227" w:type="dxa"/>
          </w:tcPr>
          <w:p>
            <w:pPr>
              <w:pStyle w:val="TableParagraph"/>
              <w:ind w:left="179" w:right="164" w:firstLine="151"/>
              <w:jc w:val="left"/>
              <w:rPr>
                <w:rFonts w:ascii="Calibri"/>
                <w:sz w:val="18"/>
              </w:rPr>
            </w:pPr>
            <w:r>
              <w:rPr>
                <w:rFonts w:ascii="Calibri"/>
                <w:sz w:val="18"/>
              </w:rPr>
              <w:t>Muy en desacuerdo</w:t>
            </w:r>
          </w:p>
        </w:tc>
      </w:tr>
    </w:tbl>
    <w:p>
      <w:pPr>
        <w:spacing w:after="0"/>
        <w:jc w:val="left"/>
        <w:rPr>
          <w:rFonts w:ascii="Calibri"/>
          <w:sz w:val="18"/>
        </w:rPr>
        <w:sectPr>
          <w:type w:val="continuous"/>
          <w:pgSz w:w="12240" w:h="15840"/>
          <w:pgMar w:top="1500" w:bottom="280" w:left="1600" w:right="1020"/>
        </w:sectPr>
      </w:pPr>
    </w:p>
    <w:p>
      <w:pPr>
        <w:pStyle w:val="BodyText"/>
        <w:spacing w:before="8"/>
        <w:rPr>
          <w:rFonts w:ascii="Calibri"/>
          <w:sz w:val="11"/>
        </w:rPr>
      </w:pPr>
      <w:r>
        <w:rPr/>
        <w:drawing>
          <wp:anchor distT="0" distB="0" distL="0" distR="0" allowOverlap="1" layoutInCell="1" locked="0" behindDoc="0" simplePos="0" relativeHeight="4624">
            <wp:simplePos x="0" y="0"/>
            <wp:positionH relativeFrom="page">
              <wp:posOffset>5713476</wp:posOffset>
            </wp:positionH>
            <wp:positionV relativeFrom="page">
              <wp:posOffset>2868167</wp:posOffset>
            </wp:positionV>
            <wp:extent cx="168020" cy="168021"/>
            <wp:effectExtent l="0" t="0" r="0" b="0"/>
            <wp:wrapNone/>
            <wp:docPr id="123" name="image70.png" descr=""/>
            <wp:cNvGraphicFramePr>
              <a:graphicFrameLocks noChangeAspect="1"/>
            </wp:cNvGraphicFramePr>
            <a:graphic>
              <a:graphicData uri="http://schemas.openxmlformats.org/drawingml/2006/picture">
                <pic:pic>
                  <pic:nvPicPr>
                    <pic:cNvPr id="124" name="image70.png"/>
                    <pic:cNvPicPr/>
                  </pic:nvPicPr>
                  <pic:blipFill>
                    <a:blip r:embed="rId139" cstate="print"/>
                    <a:stretch>
                      <a:fillRect/>
                    </a:stretch>
                  </pic:blipFill>
                  <pic:spPr>
                    <a:xfrm>
                      <a:off x="0" y="0"/>
                      <a:ext cx="168020" cy="168021"/>
                    </a:xfrm>
                    <a:prstGeom prst="rect">
                      <a:avLst/>
                    </a:prstGeom>
                  </pic:spPr>
                </pic:pic>
              </a:graphicData>
            </a:graphic>
          </wp:anchor>
        </w:drawing>
      </w:r>
      <w:r>
        <w:rPr/>
        <w:drawing>
          <wp:anchor distT="0" distB="0" distL="0" distR="0" allowOverlap="1" layoutInCell="1" locked="0" behindDoc="0" simplePos="0" relativeHeight="4648">
            <wp:simplePos x="0" y="0"/>
            <wp:positionH relativeFrom="page">
              <wp:posOffset>5713476</wp:posOffset>
            </wp:positionH>
            <wp:positionV relativeFrom="page">
              <wp:posOffset>3464052</wp:posOffset>
            </wp:positionV>
            <wp:extent cx="168021" cy="168021"/>
            <wp:effectExtent l="0" t="0" r="0" b="0"/>
            <wp:wrapNone/>
            <wp:docPr id="125" name="image70.png" descr=""/>
            <wp:cNvGraphicFramePr>
              <a:graphicFrameLocks noChangeAspect="1"/>
            </wp:cNvGraphicFramePr>
            <a:graphic>
              <a:graphicData uri="http://schemas.openxmlformats.org/drawingml/2006/picture">
                <pic:pic>
                  <pic:nvPicPr>
                    <pic:cNvPr id="126" name="image70.png"/>
                    <pic:cNvPicPr/>
                  </pic:nvPicPr>
                  <pic:blipFill>
                    <a:blip r:embed="rId139" cstate="print"/>
                    <a:stretch>
                      <a:fillRect/>
                    </a:stretch>
                  </pic:blipFill>
                  <pic:spPr>
                    <a:xfrm>
                      <a:off x="0" y="0"/>
                      <a:ext cx="168021" cy="168021"/>
                    </a:xfrm>
                    <a:prstGeom prst="rect">
                      <a:avLst/>
                    </a:prstGeom>
                  </pic:spPr>
                </pic:pic>
              </a:graphicData>
            </a:graphic>
          </wp:anchor>
        </w:drawing>
      </w:r>
      <w:r>
        <w:rPr/>
        <w:drawing>
          <wp:anchor distT="0" distB="0" distL="0" distR="0" allowOverlap="1" layoutInCell="1" locked="0" behindDoc="0" simplePos="0" relativeHeight="4672">
            <wp:simplePos x="0" y="0"/>
            <wp:positionH relativeFrom="page">
              <wp:posOffset>3887723</wp:posOffset>
            </wp:positionH>
            <wp:positionV relativeFrom="page">
              <wp:posOffset>3921252</wp:posOffset>
            </wp:positionV>
            <wp:extent cx="166507" cy="168021"/>
            <wp:effectExtent l="0" t="0" r="0" b="0"/>
            <wp:wrapNone/>
            <wp:docPr id="127" name="image70.png" descr=""/>
            <wp:cNvGraphicFramePr>
              <a:graphicFrameLocks noChangeAspect="1"/>
            </wp:cNvGraphicFramePr>
            <a:graphic>
              <a:graphicData uri="http://schemas.openxmlformats.org/drawingml/2006/picture">
                <pic:pic>
                  <pic:nvPicPr>
                    <pic:cNvPr id="128"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696">
            <wp:simplePos x="0" y="0"/>
            <wp:positionH relativeFrom="page">
              <wp:posOffset>4562855</wp:posOffset>
            </wp:positionH>
            <wp:positionV relativeFrom="page">
              <wp:posOffset>3921252</wp:posOffset>
            </wp:positionV>
            <wp:extent cx="166507" cy="168021"/>
            <wp:effectExtent l="0" t="0" r="0" b="0"/>
            <wp:wrapNone/>
            <wp:docPr id="129" name="image70.png" descr=""/>
            <wp:cNvGraphicFramePr>
              <a:graphicFrameLocks noChangeAspect="1"/>
            </wp:cNvGraphicFramePr>
            <a:graphic>
              <a:graphicData uri="http://schemas.openxmlformats.org/drawingml/2006/picture">
                <pic:pic>
                  <pic:nvPicPr>
                    <pic:cNvPr id="130"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720">
            <wp:simplePos x="0" y="0"/>
            <wp:positionH relativeFrom="page">
              <wp:posOffset>6393179</wp:posOffset>
            </wp:positionH>
            <wp:positionV relativeFrom="page">
              <wp:posOffset>3921252</wp:posOffset>
            </wp:positionV>
            <wp:extent cx="168021" cy="168021"/>
            <wp:effectExtent l="0" t="0" r="0" b="0"/>
            <wp:wrapNone/>
            <wp:docPr id="131" name="image70.png" descr=""/>
            <wp:cNvGraphicFramePr>
              <a:graphicFrameLocks noChangeAspect="1"/>
            </wp:cNvGraphicFramePr>
            <a:graphic>
              <a:graphicData uri="http://schemas.openxmlformats.org/drawingml/2006/picture">
                <pic:pic>
                  <pic:nvPicPr>
                    <pic:cNvPr id="132" name="image70.png"/>
                    <pic:cNvPicPr/>
                  </pic:nvPicPr>
                  <pic:blipFill>
                    <a:blip r:embed="rId139" cstate="print"/>
                    <a:stretch>
                      <a:fillRect/>
                    </a:stretch>
                  </pic:blipFill>
                  <pic:spPr>
                    <a:xfrm>
                      <a:off x="0" y="0"/>
                      <a:ext cx="168021" cy="168021"/>
                    </a:xfrm>
                    <a:prstGeom prst="rect">
                      <a:avLst/>
                    </a:prstGeom>
                  </pic:spPr>
                </pic:pic>
              </a:graphicData>
            </a:graphic>
          </wp:anchor>
        </w:drawing>
      </w:r>
      <w:r>
        <w:rPr/>
        <w:drawing>
          <wp:anchor distT="0" distB="0" distL="0" distR="0" allowOverlap="1" layoutInCell="1" locked="0" behindDoc="0" simplePos="0" relativeHeight="4744">
            <wp:simplePos x="0" y="0"/>
            <wp:positionH relativeFrom="page">
              <wp:posOffset>5713476</wp:posOffset>
            </wp:positionH>
            <wp:positionV relativeFrom="page">
              <wp:posOffset>4657344</wp:posOffset>
            </wp:positionV>
            <wp:extent cx="168021" cy="168021"/>
            <wp:effectExtent l="0" t="0" r="0" b="0"/>
            <wp:wrapNone/>
            <wp:docPr id="133" name="image70.png" descr=""/>
            <wp:cNvGraphicFramePr>
              <a:graphicFrameLocks noChangeAspect="1"/>
            </wp:cNvGraphicFramePr>
            <a:graphic>
              <a:graphicData uri="http://schemas.openxmlformats.org/drawingml/2006/picture">
                <pic:pic>
                  <pic:nvPicPr>
                    <pic:cNvPr id="134" name="image70.png"/>
                    <pic:cNvPicPr/>
                  </pic:nvPicPr>
                  <pic:blipFill>
                    <a:blip r:embed="rId139" cstate="print"/>
                    <a:stretch>
                      <a:fillRect/>
                    </a:stretch>
                  </pic:blipFill>
                  <pic:spPr>
                    <a:xfrm>
                      <a:off x="0" y="0"/>
                      <a:ext cx="168021" cy="168021"/>
                    </a:xfrm>
                    <a:prstGeom prst="rect">
                      <a:avLst/>
                    </a:prstGeom>
                  </pic:spPr>
                </pic:pic>
              </a:graphicData>
            </a:graphic>
          </wp:anchor>
        </w:drawing>
      </w:r>
      <w:r>
        <w:rPr/>
        <w:drawing>
          <wp:anchor distT="0" distB="0" distL="0" distR="0" allowOverlap="1" layoutInCell="1" locked="0" behindDoc="0" simplePos="0" relativeHeight="4768">
            <wp:simplePos x="0" y="0"/>
            <wp:positionH relativeFrom="page">
              <wp:posOffset>5713476</wp:posOffset>
            </wp:positionH>
            <wp:positionV relativeFrom="page">
              <wp:posOffset>5253228</wp:posOffset>
            </wp:positionV>
            <wp:extent cx="168021" cy="168021"/>
            <wp:effectExtent l="0" t="0" r="0" b="0"/>
            <wp:wrapNone/>
            <wp:docPr id="135" name="image70.png" descr=""/>
            <wp:cNvGraphicFramePr>
              <a:graphicFrameLocks noChangeAspect="1"/>
            </wp:cNvGraphicFramePr>
            <a:graphic>
              <a:graphicData uri="http://schemas.openxmlformats.org/drawingml/2006/picture">
                <pic:pic>
                  <pic:nvPicPr>
                    <pic:cNvPr id="136" name="image70.png"/>
                    <pic:cNvPicPr/>
                  </pic:nvPicPr>
                  <pic:blipFill>
                    <a:blip r:embed="rId139" cstate="print"/>
                    <a:stretch>
                      <a:fillRect/>
                    </a:stretch>
                  </pic:blipFill>
                  <pic:spPr>
                    <a:xfrm>
                      <a:off x="0" y="0"/>
                      <a:ext cx="168021" cy="168021"/>
                    </a:xfrm>
                    <a:prstGeom prst="rect">
                      <a:avLst/>
                    </a:prstGeom>
                  </pic:spPr>
                </pic:pic>
              </a:graphicData>
            </a:graphic>
          </wp:anchor>
        </w:drawing>
      </w:r>
      <w:r>
        <w:rPr/>
        <w:drawing>
          <wp:anchor distT="0" distB="0" distL="0" distR="0" allowOverlap="1" layoutInCell="1" locked="0" behindDoc="0" simplePos="0" relativeHeight="4792">
            <wp:simplePos x="0" y="0"/>
            <wp:positionH relativeFrom="page">
              <wp:posOffset>3887723</wp:posOffset>
            </wp:positionH>
            <wp:positionV relativeFrom="page">
              <wp:posOffset>5710428</wp:posOffset>
            </wp:positionV>
            <wp:extent cx="166507" cy="168021"/>
            <wp:effectExtent l="0" t="0" r="0" b="0"/>
            <wp:wrapNone/>
            <wp:docPr id="137" name="image70.png" descr=""/>
            <wp:cNvGraphicFramePr>
              <a:graphicFrameLocks noChangeAspect="1"/>
            </wp:cNvGraphicFramePr>
            <a:graphic>
              <a:graphicData uri="http://schemas.openxmlformats.org/drawingml/2006/picture">
                <pic:pic>
                  <pic:nvPicPr>
                    <pic:cNvPr id="138"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816">
            <wp:simplePos x="0" y="0"/>
            <wp:positionH relativeFrom="page">
              <wp:posOffset>4562855</wp:posOffset>
            </wp:positionH>
            <wp:positionV relativeFrom="page">
              <wp:posOffset>5710428</wp:posOffset>
            </wp:positionV>
            <wp:extent cx="166507" cy="168021"/>
            <wp:effectExtent l="0" t="0" r="0" b="0"/>
            <wp:wrapNone/>
            <wp:docPr id="139" name="image70.png" descr=""/>
            <wp:cNvGraphicFramePr>
              <a:graphicFrameLocks noChangeAspect="1"/>
            </wp:cNvGraphicFramePr>
            <a:graphic>
              <a:graphicData uri="http://schemas.openxmlformats.org/drawingml/2006/picture">
                <pic:pic>
                  <pic:nvPicPr>
                    <pic:cNvPr id="140"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840">
            <wp:simplePos x="0" y="0"/>
            <wp:positionH relativeFrom="page">
              <wp:posOffset>6393179</wp:posOffset>
            </wp:positionH>
            <wp:positionV relativeFrom="page">
              <wp:posOffset>5710428</wp:posOffset>
            </wp:positionV>
            <wp:extent cx="168021" cy="168021"/>
            <wp:effectExtent l="0" t="0" r="0" b="0"/>
            <wp:wrapNone/>
            <wp:docPr id="141" name="image70.png" descr=""/>
            <wp:cNvGraphicFramePr>
              <a:graphicFrameLocks noChangeAspect="1"/>
            </wp:cNvGraphicFramePr>
            <a:graphic>
              <a:graphicData uri="http://schemas.openxmlformats.org/drawingml/2006/picture">
                <pic:pic>
                  <pic:nvPicPr>
                    <pic:cNvPr id="142" name="image70.png"/>
                    <pic:cNvPicPr/>
                  </pic:nvPicPr>
                  <pic:blipFill>
                    <a:blip r:embed="rId139" cstate="print"/>
                    <a:stretch>
                      <a:fillRect/>
                    </a:stretch>
                  </pic:blipFill>
                  <pic:spPr>
                    <a:xfrm>
                      <a:off x="0" y="0"/>
                      <a:ext cx="168021" cy="168021"/>
                    </a:xfrm>
                    <a:prstGeom prst="rect">
                      <a:avLst/>
                    </a:prstGeom>
                  </pic:spPr>
                </pic:pic>
              </a:graphicData>
            </a:graphic>
          </wp:anchor>
        </w:drawing>
      </w:r>
      <w:r>
        <w:rPr/>
        <w:drawing>
          <wp:anchor distT="0" distB="0" distL="0" distR="0" allowOverlap="1" layoutInCell="1" locked="0" behindDoc="0" simplePos="0" relativeHeight="4864">
            <wp:simplePos x="0" y="0"/>
            <wp:positionH relativeFrom="page">
              <wp:posOffset>5713476</wp:posOffset>
            </wp:positionH>
            <wp:positionV relativeFrom="page">
              <wp:posOffset>6446520</wp:posOffset>
            </wp:positionV>
            <wp:extent cx="169548" cy="168021"/>
            <wp:effectExtent l="0" t="0" r="0" b="0"/>
            <wp:wrapNone/>
            <wp:docPr id="143" name="image70.png" descr=""/>
            <wp:cNvGraphicFramePr>
              <a:graphicFrameLocks noChangeAspect="1"/>
            </wp:cNvGraphicFramePr>
            <a:graphic>
              <a:graphicData uri="http://schemas.openxmlformats.org/drawingml/2006/picture">
                <pic:pic>
                  <pic:nvPicPr>
                    <pic:cNvPr id="144" name="image70.png"/>
                    <pic:cNvPicPr/>
                  </pic:nvPicPr>
                  <pic:blipFill>
                    <a:blip r:embed="rId139" cstate="print"/>
                    <a:stretch>
                      <a:fillRect/>
                    </a:stretch>
                  </pic:blipFill>
                  <pic:spPr>
                    <a:xfrm>
                      <a:off x="0" y="0"/>
                      <a:ext cx="169548" cy="168021"/>
                    </a:xfrm>
                    <a:prstGeom prst="rect">
                      <a:avLst/>
                    </a:prstGeom>
                  </pic:spPr>
                </pic:pic>
              </a:graphicData>
            </a:graphic>
          </wp:anchor>
        </w:drawing>
      </w:r>
      <w:r>
        <w:rPr/>
        <w:drawing>
          <wp:anchor distT="0" distB="0" distL="0" distR="0" allowOverlap="1" layoutInCell="1" locked="0" behindDoc="0" simplePos="0" relativeHeight="4888">
            <wp:simplePos x="0" y="0"/>
            <wp:positionH relativeFrom="page">
              <wp:posOffset>5713476</wp:posOffset>
            </wp:positionH>
            <wp:positionV relativeFrom="page">
              <wp:posOffset>7042404</wp:posOffset>
            </wp:positionV>
            <wp:extent cx="168021" cy="168020"/>
            <wp:effectExtent l="0" t="0" r="0" b="0"/>
            <wp:wrapNone/>
            <wp:docPr id="145" name="image70.png" descr=""/>
            <wp:cNvGraphicFramePr>
              <a:graphicFrameLocks noChangeAspect="1"/>
            </wp:cNvGraphicFramePr>
            <a:graphic>
              <a:graphicData uri="http://schemas.openxmlformats.org/drawingml/2006/picture">
                <pic:pic>
                  <pic:nvPicPr>
                    <pic:cNvPr id="146" name="image70.png"/>
                    <pic:cNvPicPr/>
                  </pic:nvPicPr>
                  <pic:blipFill>
                    <a:blip r:embed="rId139" cstate="print"/>
                    <a:stretch>
                      <a:fillRect/>
                    </a:stretch>
                  </pic:blipFill>
                  <pic:spPr>
                    <a:xfrm>
                      <a:off x="0" y="0"/>
                      <a:ext cx="168021" cy="168020"/>
                    </a:xfrm>
                    <a:prstGeom prst="rect">
                      <a:avLst/>
                    </a:prstGeom>
                  </pic:spPr>
                </pic:pic>
              </a:graphicData>
            </a:graphic>
          </wp:anchor>
        </w:drawing>
      </w:r>
    </w:p>
    <w:p>
      <w:pPr>
        <w:spacing w:before="56" w:after="3"/>
        <w:ind w:left="102" w:right="0" w:firstLine="0"/>
        <w:jc w:val="left"/>
        <w:rPr>
          <w:rFonts w:ascii="Calibri" w:hAnsi="Calibri"/>
          <w:sz w:val="22"/>
        </w:rPr>
      </w:pPr>
      <w:r>
        <w:rPr/>
        <w:drawing>
          <wp:anchor distT="0" distB="0" distL="0" distR="0" allowOverlap="1" layoutInCell="1" locked="0" behindDoc="0" simplePos="0" relativeHeight="4504">
            <wp:simplePos x="0" y="0"/>
            <wp:positionH relativeFrom="page">
              <wp:posOffset>5713476</wp:posOffset>
            </wp:positionH>
            <wp:positionV relativeFrom="paragraph">
              <wp:posOffset>631617</wp:posOffset>
            </wp:positionV>
            <wp:extent cx="168020" cy="168021"/>
            <wp:effectExtent l="0" t="0" r="0" b="0"/>
            <wp:wrapNone/>
            <wp:docPr id="147" name="image70.png" descr=""/>
            <wp:cNvGraphicFramePr>
              <a:graphicFrameLocks noChangeAspect="1"/>
            </wp:cNvGraphicFramePr>
            <a:graphic>
              <a:graphicData uri="http://schemas.openxmlformats.org/drawingml/2006/picture">
                <pic:pic>
                  <pic:nvPicPr>
                    <pic:cNvPr id="148" name="image70.png"/>
                    <pic:cNvPicPr/>
                  </pic:nvPicPr>
                  <pic:blipFill>
                    <a:blip r:embed="rId139" cstate="print"/>
                    <a:stretch>
                      <a:fillRect/>
                    </a:stretch>
                  </pic:blipFill>
                  <pic:spPr>
                    <a:xfrm>
                      <a:off x="0" y="0"/>
                      <a:ext cx="168020" cy="168021"/>
                    </a:xfrm>
                    <a:prstGeom prst="rect">
                      <a:avLst/>
                    </a:prstGeom>
                  </pic:spPr>
                </pic:pic>
              </a:graphicData>
            </a:graphic>
          </wp:anchor>
        </w:drawing>
      </w:r>
      <w:r>
        <w:rPr/>
        <w:drawing>
          <wp:anchor distT="0" distB="0" distL="0" distR="0" allowOverlap="1" layoutInCell="1" locked="0" behindDoc="0" simplePos="0" relativeHeight="4528">
            <wp:simplePos x="0" y="0"/>
            <wp:positionH relativeFrom="page">
              <wp:posOffset>3887723</wp:posOffset>
            </wp:positionH>
            <wp:positionV relativeFrom="paragraph">
              <wp:posOffset>1088817</wp:posOffset>
            </wp:positionV>
            <wp:extent cx="166507" cy="168021"/>
            <wp:effectExtent l="0" t="0" r="0" b="0"/>
            <wp:wrapNone/>
            <wp:docPr id="149" name="image70.png" descr=""/>
            <wp:cNvGraphicFramePr>
              <a:graphicFrameLocks noChangeAspect="1"/>
            </wp:cNvGraphicFramePr>
            <a:graphic>
              <a:graphicData uri="http://schemas.openxmlformats.org/drawingml/2006/picture">
                <pic:pic>
                  <pic:nvPicPr>
                    <pic:cNvPr id="150"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552">
            <wp:simplePos x="0" y="0"/>
            <wp:positionH relativeFrom="page">
              <wp:posOffset>4562855</wp:posOffset>
            </wp:positionH>
            <wp:positionV relativeFrom="paragraph">
              <wp:posOffset>1088817</wp:posOffset>
            </wp:positionV>
            <wp:extent cx="166507" cy="168021"/>
            <wp:effectExtent l="0" t="0" r="0" b="0"/>
            <wp:wrapNone/>
            <wp:docPr id="151" name="image70.png" descr=""/>
            <wp:cNvGraphicFramePr>
              <a:graphicFrameLocks noChangeAspect="1"/>
            </wp:cNvGraphicFramePr>
            <a:graphic>
              <a:graphicData uri="http://schemas.openxmlformats.org/drawingml/2006/picture">
                <pic:pic>
                  <pic:nvPicPr>
                    <pic:cNvPr id="152"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576">
            <wp:simplePos x="0" y="0"/>
            <wp:positionH relativeFrom="page">
              <wp:posOffset>5117591</wp:posOffset>
            </wp:positionH>
            <wp:positionV relativeFrom="paragraph">
              <wp:posOffset>1088817</wp:posOffset>
            </wp:positionV>
            <wp:extent cx="166507" cy="168021"/>
            <wp:effectExtent l="0" t="0" r="0" b="0"/>
            <wp:wrapNone/>
            <wp:docPr id="153" name="image70.png" descr=""/>
            <wp:cNvGraphicFramePr>
              <a:graphicFrameLocks noChangeAspect="1"/>
            </wp:cNvGraphicFramePr>
            <a:graphic>
              <a:graphicData uri="http://schemas.openxmlformats.org/drawingml/2006/picture">
                <pic:pic>
                  <pic:nvPicPr>
                    <pic:cNvPr id="154" name="image70.png"/>
                    <pic:cNvPicPr/>
                  </pic:nvPicPr>
                  <pic:blipFill>
                    <a:blip r:embed="rId139" cstate="print"/>
                    <a:stretch>
                      <a:fillRect/>
                    </a:stretch>
                  </pic:blipFill>
                  <pic:spPr>
                    <a:xfrm>
                      <a:off x="0" y="0"/>
                      <a:ext cx="166507" cy="168021"/>
                    </a:xfrm>
                    <a:prstGeom prst="rect">
                      <a:avLst/>
                    </a:prstGeom>
                  </pic:spPr>
                </pic:pic>
              </a:graphicData>
            </a:graphic>
          </wp:anchor>
        </w:drawing>
      </w:r>
      <w:r>
        <w:rPr/>
        <w:drawing>
          <wp:anchor distT="0" distB="0" distL="0" distR="0" allowOverlap="1" layoutInCell="1" locked="0" behindDoc="0" simplePos="0" relativeHeight="4600">
            <wp:simplePos x="0" y="0"/>
            <wp:positionH relativeFrom="page">
              <wp:posOffset>6393179</wp:posOffset>
            </wp:positionH>
            <wp:positionV relativeFrom="paragraph">
              <wp:posOffset>1088817</wp:posOffset>
            </wp:positionV>
            <wp:extent cx="168021" cy="168021"/>
            <wp:effectExtent l="0" t="0" r="0" b="0"/>
            <wp:wrapNone/>
            <wp:docPr id="155" name="image70.png" descr=""/>
            <wp:cNvGraphicFramePr>
              <a:graphicFrameLocks noChangeAspect="1"/>
            </wp:cNvGraphicFramePr>
            <a:graphic>
              <a:graphicData uri="http://schemas.openxmlformats.org/drawingml/2006/picture">
                <pic:pic>
                  <pic:nvPicPr>
                    <pic:cNvPr id="156" name="image70.png"/>
                    <pic:cNvPicPr/>
                  </pic:nvPicPr>
                  <pic:blipFill>
                    <a:blip r:embed="rId139" cstate="print"/>
                    <a:stretch>
                      <a:fillRect/>
                    </a:stretch>
                  </pic:blipFill>
                  <pic:spPr>
                    <a:xfrm>
                      <a:off x="0" y="0"/>
                      <a:ext cx="168021" cy="168021"/>
                    </a:xfrm>
                    <a:prstGeom prst="rect">
                      <a:avLst/>
                    </a:prstGeom>
                  </pic:spPr>
                </pic:pic>
              </a:graphicData>
            </a:graphic>
          </wp:anchor>
        </w:drawing>
      </w:r>
      <w:r>
        <w:rPr>
          <w:rFonts w:ascii="Calibri" w:hAnsi="Calibri"/>
          <w:b/>
          <w:sz w:val="22"/>
        </w:rPr>
        <w:t>PARTE 2: </w:t>
      </w:r>
      <w:r>
        <w:rPr>
          <w:rFonts w:ascii="Calibri" w:hAnsi="Calibri"/>
          <w:sz w:val="22"/>
        </w:rPr>
        <w:t>Segunda grabación</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36"/>
        <w:gridCol w:w="1232"/>
        <w:gridCol w:w="895"/>
        <w:gridCol w:w="853"/>
        <w:gridCol w:w="1027"/>
        <w:gridCol w:w="1114"/>
      </w:tblGrid>
      <w:tr>
        <w:trPr>
          <w:trHeight w:val="938" w:hRule="exact"/>
        </w:trPr>
        <w:tc>
          <w:tcPr>
            <w:tcW w:w="3936" w:type="dxa"/>
            <w:shd w:val="clear" w:color="auto" w:fill="D9D9D9"/>
          </w:tcPr>
          <w:p>
            <w:pPr>
              <w:pStyle w:val="TableParagraph"/>
              <w:ind w:left="240" w:right="135" w:hanging="84"/>
              <w:jc w:val="left"/>
              <w:rPr>
                <w:rFonts w:ascii="Calibri" w:hAnsi="Calibri"/>
                <w:sz w:val="18"/>
              </w:rPr>
            </w:pPr>
            <w:r>
              <w:rPr>
                <w:rFonts w:ascii="Calibri" w:hAnsi="Calibri"/>
                <w:sz w:val="18"/>
              </w:rPr>
              <w:t>11. Si escuchara hablar a un político de la manera en la que lo hacen en la grabación, diría que no</w:t>
            </w:r>
          </w:p>
          <w:p>
            <w:pPr>
              <w:pStyle w:val="TableParagraph"/>
              <w:spacing w:before="1"/>
              <w:ind w:left="1192" w:right="135"/>
              <w:jc w:val="left"/>
              <w:rPr>
                <w:rFonts w:ascii="Calibri" w:hAnsi="Calibri"/>
                <w:sz w:val="18"/>
              </w:rPr>
            </w:pPr>
            <w:r>
              <w:rPr>
                <w:rFonts w:ascii="Calibri" w:hAnsi="Calibri"/>
                <w:sz w:val="18"/>
              </w:rPr>
              <w:t>influye en los demás.</w:t>
            </w:r>
          </w:p>
        </w:tc>
        <w:tc>
          <w:tcPr>
            <w:tcW w:w="1232" w:type="dxa"/>
          </w:tcPr>
          <w:p>
            <w:pPr>
              <w:pStyle w:val="TableParagraph"/>
              <w:ind w:left="300" w:firstLine="31"/>
              <w:jc w:val="left"/>
              <w:rPr>
                <w:rFonts w:ascii="Calibri"/>
                <w:sz w:val="18"/>
              </w:rPr>
            </w:pPr>
            <w:r>
              <w:rPr>
                <w:rFonts w:ascii="Calibri"/>
                <w:sz w:val="18"/>
              </w:rPr>
              <w:t>Muy de Acuerdo</w:t>
            </w:r>
          </w:p>
          <w:p>
            <w:pPr>
              <w:pStyle w:val="TableParagraph"/>
              <w:ind w:left="474"/>
              <w:jc w:val="left"/>
              <w:rPr>
                <w:rFonts w:ascii="Calibri"/>
                <w:sz w:val="20"/>
              </w:rPr>
            </w:pPr>
            <w:r>
              <w:rPr>
                <w:rFonts w:ascii="Calibri"/>
                <w:sz w:val="20"/>
              </w:rPr>
              <w:drawing>
                <wp:inline distT="0" distB="0" distL="0" distR="0">
                  <wp:extent cx="168020" cy="168021"/>
                  <wp:effectExtent l="0" t="0" r="0" b="0"/>
                  <wp:docPr id="157" name="image70.png" descr=""/>
                  <wp:cNvGraphicFramePr>
                    <a:graphicFrameLocks noChangeAspect="1"/>
                  </wp:cNvGraphicFramePr>
                  <a:graphic>
                    <a:graphicData uri="http://schemas.openxmlformats.org/drawingml/2006/picture">
                      <pic:pic>
                        <pic:nvPicPr>
                          <pic:cNvPr id="158" name="image70.png"/>
                          <pic:cNvPicPr/>
                        </pic:nvPicPr>
                        <pic:blipFill>
                          <a:blip r:embed="rId139" cstate="print"/>
                          <a:stretch>
                            <a:fillRect/>
                          </a:stretch>
                        </pic:blipFill>
                        <pic:spPr>
                          <a:xfrm>
                            <a:off x="0" y="0"/>
                            <a:ext cx="168020"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895" w:type="dxa"/>
            <w:shd w:val="clear" w:color="auto" w:fill="D9D9D9"/>
          </w:tcPr>
          <w:p>
            <w:pPr>
              <w:pStyle w:val="TableParagraph"/>
              <w:ind w:left="141" w:right="125" w:firstLine="199"/>
              <w:jc w:val="left"/>
              <w:rPr>
                <w:rFonts w:ascii="Calibri"/>
                <w:sz w:val="18"/>
              </w:rPr>
            </w:pPr>
            <w:r>
              <w:rPr>
                <w:rFonts w:ascii="Calibri"/>
                <w:sz w:val="18"/>
              </w:rPr>
              <w:t>De acuerdo</w:t>
            </w:r>
          </w:p>
          <w:p>
            <w:pPr>
              <w:pStyle w:val="TableParagraph"/>
              <w:ind w:left="305"/>
              <w:jc w:val="left"/>
              <w:rPr>
                <w:rFonts w:ascii="Calibri"/>
                <w:sz w:val="20"/>
              </w:rPr>
            </w:pPr>
            <w:r>
              <w:rPr>
                <w:rFonts w:ascii="Calibri"/>
                <w:sz w:val="20"/>
              </w:rPr>
              <w:drawing>
                <wp:inline distT="0" distB="0" distL="0" distR="0">
                  <wp:extent cx="168020" cy="168021"/>
                  <wp:effectExtent l="0" t="0" r="0" b="0"/>
                  <wp:docPr id="159" name="image70.png" descr=""/>
                  <wp:cNvGraphicFramePr>
                    <a:graphicFrameLocks noChangeAspect="1"/>
                  </wp:cNvGraphicFramePr>
                  <a:graphic>
                    <a:graphicData uri="http://schemas.openxmlformats.org/drawingml/2006/picture">
                      <pic:pic>
                        <pic:nvPicPr>
                          <pic:cNvPr id="160" name="image70.png"/>
                          <pic:cNvPicPr/>
                        </pic:nvPicPr>
                        <pic:blipFill>
                          <a:blip r:embed="rId139" cstate="print"/>
                          <a:stretch>
                            <a:fillRect/>
                          </a:stretch>
                        </pic:blipFill>
                        <pic:spPr>
                          <a:xfrm>
                            <a:off x="0" y="0"/>
                            <a:ext cx="168020"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853" w:type="dxa"/>
          </w:tcPr>
          <w:p>
            <w:pPr>
              <w:pStyle w:val="TableParagraph"/>
              <w:ind w:left="297" w:right="117" w:hanging="164"/>
              <w:jc w:val="left"/>
              <w:rPr>
                <w:rFonts w:ascii="Calibri"/>
                <w:sz w:val="18"/>
              </w:rPr>
            </w:pPr>
            <w:r>
              <w:rPr>
                <w:rFonts w:ascii="Calibri"/>
                <w:sz w:val="18"/>
              </w:rPr>
              <w:t>Indifere nte</w:t>
            </w:r>
          </w:p>
          <w:p>
            <w:pPr>
              <w:pStyle w:val="TableParagraph"/>
              <w:ind w:left="284"/>
              <w:jc w:val="left"/>
              <w:rPr>
                <w:rFonts w:ascii="Calibri"/>
                <w:sz w:val="20"/>
              </w:rPr>
            </w:pPr>
            <w:r>
              <w:rPr>
                <w:rFonts w:ascii="Calibri"/>
                <w:sz w:val="20"/>
              </w:rPr>
              <w:drawing>
                <wp:inline distT="0" distB="0" distL="0" distR="0">
                  <wp:extent cx="168020" cy="168021"/>
                  <wp:effectExtent l="0" t="0" r="0" b="0"/>
                  <wp:docPr id="161" name="image70.png" descr=""/>
                  <wp:cNvGraphicFramePr>
                    <a:graphicFrameLocks noChangeAspect="1"/>
                  </wp:cNvGraphicFramePr>
                  <a:graphic>
                    <a:graphicData uri="http://schemas.openxmlformats.org/drawingml/2006/picture">
                      <pic:pic>
                        <pic:nvPicPr>
                          <pic:cNvPr id="162" name="image70.png"/>
                          <pic:cNvPicPr/>
                        </pic:nvPicPr>
                        <pic:blipFill>
                          <a:blip r:embed="rId139" cstate="print"/>
                          <a:stretch>
                            <a:fillRect/>
                          </a:stretch>
                        </pic:blipFill>
                        <pic:spPr>
                          <a:xfrm>
                            <a:off x="0" y="0"/>
                            <a:ext cx="168020"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1027" w:type="dxa"/>
            <w:shd w:val="clear" w:color="auto" w:fill="D9D9D9"/>
          </w:tcPr>
          <w:p>
            <w:pPr>
              <w:pStyle w:val="TableParagraph"/>
              <w:ind w:left="129" w:right="128" w:firstLine="1"/>
              <w:rPr>
                <w:rFonts w:ascii="Calibri"/>
                <w:sz w:val="18"/>
              </w:rPr>
            </w:pPr>
            <w:r>
              <w:rPr>
                <w:rFonts w:ascii="Calibri"/>
                <w:sz w:val="18"/>
              </w:rPr>
              <w:t>En   desacuerd o</w:t>
            </w:r>
          </w:p>
        </w:tc>
        <w:tc>
          <w:tcPr>
            <w:tcW w:w="1114" w:type="dxa"/>
          </w:tcPr>
          <w:p>
            <w:pPr>
              <w:pStyle w:val="TableParagraph"/>
              <w:ind w:left="124" w:right="107" w:firstLine="151"/>
              <w:jc w:val="left"/>
              <w:rPr>
                <w:rFonts w:ascii="Calibri"/>
                <w:sz w:val="18"/>
              </w:rPr>
            </w:pPr>
            <w:r>
              <w:rPr>
                <w:rFonts w:ascii="Calibri"/>
                <w:sz w:val="18"/>
              </w:rPr>
              <w:t>Muy en desacuerdo</w:t>
            </w:r>
          </w:p>
          <w:p>
            <w:pPr>
              <w:pStyle w:val="TableParagraph"/>
              <w:ind w:left="413"/>
              <w:jc w:val="left"/>
              <w:rPr>
                <w:rFonts w:ascii="Calibri"/>
                <w:sz w:val="20"/>
              </w:rPr>
            </w:pPr>
            <w:r>
              <w:rPr>
                <w:rFonts w:ascii="Calibri"/>
                <w:sz w:val="20"/>
              </w:rPr>
              <w:drawing>
                <wp:inline distT="0" distB="0" distL="0" distR="0">
                  <wp:extent cx="169548" cy="168021"/>
                  <wp:effectExtent l="0" t="0" r="0" b="0"/>
                  <wp:docPr id="163" name="image70.png" descr=""/>
                  <wp:cNvGraphicFramePr>
                    <a:graphicFrameLocks noChangeAspect="1"/>
                  </wp:cNvGraphicFramePr>
                  <a:graphic>
                    <a:graphicData uri="http://schemas.openxmlformats.org/drawingml/2006/picture">
                      <pic:pic>
                        <pic:nvPicPr>
                          <pic:cNvPr id="164" name="image70.png"/>
                          <pic:cNvPicPr/>
                        </pic:nvPicPr>
                        <pic:blipFill>
                          <a:blip r:embed="rId139" cstate="print"/>
                          <a:stretch>
                            <a:fillRect/>
                          </a:stretch>
                        </pic:blipFill>
                        <pic:spPr>
                          <a:xfrm>
                            <a:off x="0" y="0"/>
                            <a:ext cx="169548"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r>
      <w:tr>
        <w:trPr>
          <w:trHeight w:val="938" w:hRule="exact"/>
        </w:trPr>
        <w:tc>
          <w:tcPr>
            <w:tcW w:w="3936" w:type="dxa"/>
            <w:shd w:val="clear" w:color="auto" w:fill="D9D9D9"/>
          </w:tcPr>
          <w:p>
            <w:pPr>
              <w:pStyle w:val="TableParagraph"/>
              <w:ind w:left="103" w:firstLine="345"/>
              <w:jc w:val="left"/>
              <w:rPr>
                <w:rFonts w:ascii="Calibri" w:hAnsi="Calibri"/>
                <w:sz w:val="18"/>
              </w:rPr>
            </w:pPr>
            <w:r>
              <w:rPr>
                <w:rFonts w:ascii="Calibri" w:hAnsi="Calibri"/>
                <w:sz w:val="18"/>
              </w:rPr>
              <w:t>12. El dominio del vocabulario de un líder empresarial es tan amplio como el de la grabación.</w:t>
            </w:r>
          </w:p>
        </w:tc>
        <w:tc>
          <w:tcPr>
            <w:tcW w:w="1232" w:type="dxa"/>
          </w:tcPr>
          <w:p>
            <w:pPr>
              <w:pStyle w:val="TableParagraph"/>
              <w:ind w:left="300" w:firstLine="31"/>
              <w:jc w:val="left"/>
              <w:rPr>
                <w:rFonts w:ascii="Calibri"/>
                <w:sz w:val="18"/>
              </w:rPr>
            </w:pPr>
            <w:r>
              <w:rPr>
                <w:rFonts w:ascii="Calibri"/>
                <w:sz w:val="18"/>
              </w:rPr>
              <w:t>Muy de Acuerdo</w:t>
            </w:r>
          </w:p>
        </w:tc>
        <w:tc>
          <w:tcPr>
            <w:tcW w:w="895" w:type="dxa"/>
            <w:shd w:val="clear" w:color="auto" w:fill="D9D9D9"/>
          </w:tcPr>
          <w:p>
            <w:pPr>
              <w:pStyle w:val="TableParagraph"/>
              <w:ind w:left="141" w:right="125" w:firstLine="199"/>
              <w:jc w:val="left"/>
              <w:rPr>
                <w:rFonts w:ascii="Calibri"/>
                <w:sz w:val="18"/>
              </w:rPr>
            </w:pPr>
            <w:r>
              <w:rPr>
                <w:rFonts w:ascii="Calibri"/>
                <w:sz w:val="18"/>
              </w:rPr>
              <w:t>De acuerdo</w:t>
            </w:r>
          </w:p>
        </w:tc>
        <w:tc>
          <w:tcPr>
            <w:tcW w:w="853" w:type="dxa"/>
          </w:tcPr>
          <w:p>
            <w:pPr>
              <w:pStyle w:val="TableParagraph"/>
              <w:ind w:left="297" w:right="117" w:hanging="164"/>
              <w:jc w:val="left"/>
              <w:rPr>
                <w:rFonts w:ascii="Calibri"/>
                <w:sz w:val="18"/>
              </w:rPr>
            </w:pPr>
            <w:r>
              <w:rPr>
                <w:rFonts w:ascii="Calibri"/>
                <w:sz w:val="18"/>
              </w:rPr>
              <w:t>Indifere nte</w:t>
            </w:r>
          </w:p>
        </w:tc>
        <w:tc>
          <w:tcPr>
            <w:tcW w:w="1027" w:type="dxa"/>
            <w:shd w:val="clear" w:color="auto" w:fill="D9D9D9"/>
          </w:tcPr>
          <w:p>
            <w:pPr>
              <w:pStyle w:val="TableParagraph"/>
              <w:ind w:left="129" w:right="128" w:firstLine="1"/>
              <w:rPr>
                <w:rFonts w:ascii="Calibri"/>
                <w:sz w:val="18"/>
              </w:rPr>
            </w:pPr>
            <w:r>
              <w:rPr>
                <w:rFonts w:ascii="Calibri"/>
                <w:sz w:val="18"/>
              </w:rPr>
              <w:t>En   desacuerd o</w:t>
            </w:r>
          </w:p>
          <w:p>
            <w:pPr>
              <w:pStyle w:val="TableParagraph"/>
              <w:ind w:left="370"/>
              <w:jc w:val="left"/>
              <w:rPr>
                <w:rFonts w:ascii="Calibri"/>
                <w:sz w:val="20"/>
              </w:rPr>
            </w:pPr>
            <w:r>
              <w:rPr>
                <w:rFonts w:ascii="Calibri"/>
                <w:sz w:val="20"/>
              </w:rPr>
              <w:drawing>
                <wp:inline distT="0" distB="0" distL="0" distR="0">
                  <wp:extent cx="169548" cy="168021"/>
                  <wp:effectExtent l="0" t="0" r="0" b="0"/>
                  <wp:docPr id="165" name="image70.png" descr=""/>
                  <wp:cNvGraphicFramePr>
                    <a:graphicFrameLocks noChangeAspect="1"/>
                  </wp:cNvGraphicFramePr>
                  <a:graphic>
                    <a:graphicData uri="http://schemas.openxmlformats.org/drawingml/2006/picture">
                      <pic:pic>
                        <pic:nvPicPr>
                          <pic:cNvPr id="166" name="image70.png"/>
                          <pic:cNvPicPr/>
                        </pic:nvPicPr>
                        <pic:blipFill>
                          <a:blip r:embed="rId139" cstate="print"/>
                          <a:stretch>
                            <a:fillRect/>
                          </a:stretch>
                        </pic:blipFill>
                        <pic:spPr>
                          <a:xfrm>
                            <a:off x="0" y="0"/>
                            <a:ext cx="169548" cy="168021"/>
                          </a:xfrm>
                          <a:prstGeom prst="rect">
                            <a:avLst/>
                          </a:prstGeom>
                        </pic:spPr>
                      </pic:pic>
                    </a:graphicData>
                  </a:graphic>
                </wp:inline>
              </w:drawing>
            </w:r>
            <w:r>
              <w:rPr>
                <w:rFonts w:ascii="Calibri"/>
                <w:sz w:val="20"/>
              </w:rPr>
            </w:r>
          </w:p>
        </w:tc>
        <w:tc>
          <w:tcPr>
            <w:tcW w:w="1114" w:type="dxa"/>
          </w:tcPr>
          <w:p>
            <w:pPr>
              <w:pStyle w:val="TableParagraph"/>
              <w:ind w:left="124" w:right="107" w:firstLine="151"/>
              <w:jc w:val="left"/>
              <w:rPr>
                <w:rFonts w:ascii="Calibri"/>
                <w:sz w:val="18"/>
              </w:rPr>
            </w:pPr>
            <w:r>
              <w:rPr>
                <w:rFonts w:ascii="Calibri"/>
                <w:sz w:val="18"/>
              </w:rPr>
              <w:t>Muy en desacuerdo</w:t>
            </w:r>
          </w:p>
        </w:tc>
      </w:tr>
      <w:tr>
        <w:trPr>
          <w:trHeight w:val="941" w:hRule="exact"/>
        </w:trPr>
        <w:tc>
          <w:tcPr>
            <w:tcW w:w="3936" w:type="dxa"/>
            <w:shd w:val="clear" w:color="auto" w:fill="D9D9D9"/>
          </w:tcPr>
          <w:p>
            <w:pPr>
              <w:pStyle w:val="TableParagraph"/>
              <w:ind w:left="321" w:right="198" w:hanging="108"/>
              <w:jc w:val="left"/>
              <w:rPr>
                <w:rFonts w:ascii="Calibri" w:hAnsi="Calibri"/>
                <w:sz w:val="18"/>
              </w:rPr>
            </w:pPr>
            <w:r>
              <w:rPr>
                <w:rFonts w:ascii="Calibri" w:hAnsi="Calibri"/>
                <w:sz w:val="18"/>
              </w:rPr>
              <w:t>13. En la grabación, el vocabulario se asocia con un técnico computacional por ser apropiado.</w:t>
            </w:r>
          </w:p>
        </w:tc>
        <w:tc>
          <w:tcPr>
            <w:tcW w:w="1232" w:type="dxa"/>
          </w:tcPr>
          <w:p>
            <w:pPr>
              <w:pStyle w:val="TableParagraph"/>
              <w:ind w:left="300" w:firstLine="31"/>
              <w:jc w:val="left"/>
              <w:rPr>
                <w:rFonts w:ascii="Calibri"/>
                <w:sz w:val="18"/>
              </w:rPr>
            </w:pPr>
            <w:r>
              <w:rPr>
                <w:rFonts w:ascii="Calibri"/>
                <w:sz w:val="18"/>
              </w:rPr>
              <w:t>Muy de Acuerdo</w:t>
            </w:r>
          </w:p>
          <w:p>
            <w:pPr>
              <w:pStyle w:val="TableParagraph"/>
              <w:ind w:left="474"/>
              <w:jc w:val="left"/>
              <w:rPr>
                <w:rFonts w:ascii="Calibri"/>
                <w:sz w:val="20"/>
              </w:rPr>
            </w:pPr>
            <w:r>
              <w:rPr>
                <w:rFonts w:ascii="Calibri"/>
                <w:sz w:val="20"/>
              </w:rPr>
              <w:drawing>
                <wp:inline distT="0" distB="0" distL="0" distR="0">
                  <wp:extent cx="168020" cy="168021"/>
                  <wp:effectExtent l="0" t="0" r="0" b="0"/>
                  <wp:docPr id="167" name="image70.png" descr=""/>
                  <wp:cNvGraphicFramePr>
                    <a:graphicFrameLocks noChangeAspect="1"/>
                  </wp:cNvGraphicFramePr>
                  <a:graphic>
                    <a:graphicData uri="http://schemas.openxmlformats.org/drawingml/2006/picture">
                      <pic:pic>
                        <pic:nvPicPr>
                          <pic:cNvPr id="168" name="image70.png"/>
                          <pic:cNvPicPr/>
                        </pic:nvPicPr>
                        <pic:blipFill>
                          <a:blip r:embed="rId139" cstate="print"/>
                          <a:stretch>
                            <a:fillRect/>
                          </a:stretch>
                        </pic:blipFill>
                        <pic:spPr>
                          <a:xfrm>
                            <a:off x="0" y="0"/>
                            <a:ext cx="168020"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895" w:type="dxa"/>
            <w:shd w:val="clear" w:color="auto" w:fill="D9D9D9"/>
          </w:tcPr>
          <w:p>
            <w:pPr>
              <w:pStyle w:val="TableParagraph"/>
              <w:ind w:left="141" w:right="125" w:firstLine="199"/>
              <w:jc w:val="left"/>
              <w:rPr>
                <w:rFonts w:ascii="Calibri"/>
                <w:sz w:val="18"/>
              </w:rPr>
            </w:pPr>
            <w:r>
              <w:rPr>
                <w:rFonts w:ascii="Calibri"/>
                <w:sz w:val="18"/>
              </w:rPr>
              <w:t>De acuerdo</w:t>
            </w:r>
          </w:p>
          <w:p>
            <w:pPr>
              <w:pStyle w:val="TableParagraph"/>
              <w:ind w:left="305"/>
              <w:jc w:val="left"/>
              <w:rPr>
                <w:rFonts w:ascii="Calibri"/>
                <w:sz w:val="20"/>
              </w:rPr>
            </w:pPr>
            <w:r>
              <w:rPr>
                <w:rFonts w:ascii="Calibri"/>
                <w:sz w:val="20"/>
              </w:rPr>
              <w:drawing>
                <wp:inline distT="0" distB="0" distL="0" distR="0">
                  <wp:extent cx="168020" cy="168021"/>
                  <wp:effectExtent l="0" t="0" r="0" b="0"/>
                  <wp:docPr id="169" name="image70.png" descr=""/>
                  <wp:cNvGraphicFramePr>
                    <a:graphicFrameLocks noChangeAspect="1"/>
                  </wp:cNvGraphicFramePr>
                  <a:graphic>
                    <a:graphicData uri="http://schemas.openxmlformats.org/drawingml/2006/picture">
                      <pic:pic>
                        <pic:nvPicPr>
                          <pic:cNvPr id="170" name="image70.png"/>
                          <pic:cNvPicPr/>
                        </pic:nvPicPr>
                        <pic:blipFill>
                          <a:blip r:embed="rId139" cstate="print"/>
                          <a:stretch>
                            <a:fillRect/>
                          </a:stretch>
                        </pic:blipFill>
                        <pic:spPr>
                          <a:xfrm>
                            <a:off x="0" y="0"/>
                            <a:ext cx="168020"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853" w:type="dxa"/>
          </w:tcPr>
          <w:p>
            <w:pPr>
              <w:pStyle w:val="TableParagraph"/>
              <w:ind w:left="297" w:right="117" w:hanging="164"/>
              <w:jc w:val="left"/>
              <w:rPr>
                <w:rFonts w:ascii="Calibri"/>
                <w:sz w:val="18"/>
              </w:rPr>
            </w:pPr>
            <w:r>
              <w:rPr>
                <w:rFonts w:ascii="Calibri"/>
                <w:sz w:val="18"/>
              </w:rPr>
              <w:t>Indifere nte</w:t>
            </w:r>
          </w:p>
          <w:p>
            <w:pPr>
              <w:pStyle w:val="TableParagraph"/>
              <w:jc w:val="left"/>
              <w:rPr>
                <w:rFonts w:ascii="Calibri"/>
                <w:sz w:val="18"/>
              </w:rPr>
            </w:pPr>
          </w:p>
          <w:p>
            <w:pPr>
              <w:pStyle w:val="TableParagraph"/>
              <w:ind w:left="284"/>
              <w:jc w:val="left"/>
              <w:rPr>
                <w:rFonts w:ascii="Calibri"/>
                <w:sz w:val="20"/>
              </w:rPr>
            </w:pPr>
            <w:r>
              <w:rPr>
                <w:rFonts w:ascii="Calibri"/>
                <w:sz w:val="20"/>
              </w:rPr>
              <w:drawing>
                <wp:inline distT="0" distB="0" distL="0" distR="0">
                  <wp:extent cx="166507" cy="168021"/>
                  <wp:effectExtent l="0" t="0" r="0" b="0"/>
                  <wp:docPr id="171" name="image70.png" descr=""/>
                  <wp:cNvGraphicFramePr>
                    <a:graphicFrameLocks noChangeAspect="1"/>
                  </wp:cNvGraphicFramePr>
                  <a:graphic>
                    <a:graphicData uri="http://schemas.openxmlformats.org/drawingml/2006/picture">
                      <pic:pic>
                        <pic:nvPicPr>
                          <pic:cNvPr id="172" name="image70.png"/>
                          <pic:cNvPicPr/>
                        </pic:nvPicPr>
                        <pic:blipFill>
                          <a:blip r:embed="rId139" cstate="print"/>
                          <a:stretch>
                            <a:fillRect/>
                          </a:stretch>
                        </pic:blipFill>
                        <pic:spPr>
                          <a:xfrm>
                            <a:off x="0" y="0"/>
                            <a:ext cx="166507" cy="168021"/>
                          </a:xfrm>
                          <a:prstGeom prst="rect">
                            <a:avLst/>
                          </a:prstGeom>
                        </pic:spPr>
                      </pic:pic>
                    </a:graphicData>
                  </a:graphic>
                </wp:inline>
              </w:drawing>
            </w:r>
            <w:r>
              <w:rPr>
                <w:rFonts w:ascii="Calibri"/>
                <w:sz w:val="20"/>
              </w:rPr>
            </w:r>
          </w:p>
        </w:tc>
        <w:tc>
          <w:tcPr>
            <w:tcW w:w="1027" w:type="dxa"/>
            <w:shd w:val="clear" w:color="auto" w:fill="D9D9D9"/>
          </w:tcPr>
          <w:p>
            <w:pPr>
              <w:pStyle w:val="TableParagraph"/>
              <w:ind w:left="129" w:right="128" w:firstLine="1"/>
              <w:rPr>
                <w:rFonts w:ascii="Calibri"/>
                <w:sz w:val="18"/>
              </w:rPr>
            </w:pPr>
            <w:r>
              <w:rPr>
                <w:rFonts w:ascii="Calibri"/>
                <w:sz w:val="18"/>
              </w:rPr>
              <w:t>En   desacuerd o</w:t>
            </w:r>
          </w:p>
        </w:tc>
        <w:tc>
          <w:tcPr>
            <w:tcW w:w="1114" w:type="dxa"/>
          </w:tcPr>
          <w:p>
            <w:pPr>
              <w:pStyle w:val="TableParagraph"/>
              <w:ind w:left="124" w:right="107" w:firstLine="151"/>
              <w:jc w:val="left"/>
              <w:rPr>
                <w:rFonts w:ascii="Calibri"/>
                <w:sz w:val="18"/>
              </w:rPr>
            </w:pPr>
            <w:r>
              <w:rPr>
                <w:rFonts w:ascii="Calibri"/>
                <w:sz w:val="18"/>
              </w:rPr>
              <w:t>Muy en desacuerdo</w:t>
            </w:r>
          </w:p>
          <w:p>
            <w:pPr>
              <w:pStyle w:val="TableParagraph"/>
              <w:ind w:left="413"/>
              <w:jc w:val="left"/>
              <w:rPr>
                <w:rFonts w:ascii="Calibri"/>
                <w:sz w:val="20"/>
              </w:rPr>
            </w:pPr>
            <w:r>
              <w:rPr>
                <w:rFonts w:ascii="Calibri"/>
                <w:sz w:val="20"/>
              </w:rPr>
              <w:drawing>
                <wp:inline distT="0" distB="0" distL="0" distR="0">
                  <wp:extent cx="169548" cy="168021"/>
                  <wp:effectExtent l="0" t="0" r="0" b="0"/>
                  <wp:docPr id="173" name="image70.png" descr=""/>
                  <wp:cNvGraphicFramePr>
                    <a:graphicFrameLocks noChangeAspect="1"/>
                  </wp:cNvGraphicFramePr>
                  <a:graphic>
                    <a:graphicData uri="http://schemas.openxmlformats.org/drawingml/2006/picture">
                      <pic:pic>
                        <pic:nvPicPr>
                          <pic:cNvPr id="174" name="image70.png"/>
                          <pic:cNvPicPr/>
                        </pic:nvPicPr>
                        <pic:blipFill>
                          <a:blip r:embed="rId139" cstate="print"/>
                          <a:stretch>
                            <a:fillRect/>
                          </a:stretch>
                        </pic:blipFill>
                        <pic:spPr>
                          <a:xfrm>
                            <a:off x="0" y="0"/>
                            <a:ext cx="169548"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r>
      <w:tr>
        <w:trPr>
          <w:trHeight w:val="939" w:hRule="exact"/>
        </w:trPr>
        <w:tc>
          <w:tcPr>
            <w:tcW w:w="3936" w:type="dxa"/>
            <w:shd w:val="clear" w:color="auto" w:fill="D9D9D9"/>
          </w:tcPr>
          <w:p>
            <w:pPr>
              <w:pStyle w:val="TableParagraph"/>
              <w:ind w:left="144" w:firstLine="96"/>
              <w:jc w:val="left"/>
              <w:rPr>
                <w:rFonts w:ascii="Calibri" w:hAnsi="Calibri"/>
                <w:sz w:val="18"/>
              </w:rPr>
            </w:pPr>
            <w:r>
              <w:rPr>
                <w:rFonts w:ascii="Calibri" w:hAnsi="Calibri"/>
                <w:sz w:val="18"/>
              </w:rPr>
              <w:t>14. Si en un anuncio publicitario se dirigieran al público como lo hacen en la grabación, el negocio</w:t>
            </w:r>
          </w:p>
          <w:p>
            <w:pPr>
              <w:pStyle w:val="TableParagraph"/>
              <w:spacing w:before="1"/>
              <w:ind w:left="1360" w:right="1364"/>
              <w:rPr>
                <w:rFonts w:ascii="Calibri" w:hAnsi="Calibri"/>
                <w:sz w:val="18"/>
              </w:rPr>
            </w:pPr>
            <w:r>
              <w:rPr>
                <w:rFonts w:ascii="Calibri" w:hAnsi="Calibri"/>
                <w:sz w:val="18"/>
              </w:rPr>
              <w:t>adquiriría fama.</w:t>
            </w:r>
          </w:p>
        </w:tc>
        <w:tc>
          <w:tcPr>
            <w:tcW w:w="1232" w:type="dxa"/>
          </w:tcPr>
          <w:p>
            <w:pPr>
              <w:pStyle w:val="TableParagraph"/>
              <w:ind w:left="300" w:firstLine="31"/>
              <w:jc w:val="left"/>
              <w:rPr>
                <w:rFonts w:ascii="Calibri"/>
                <w:sz w:val="18"/>
              </w:rPr>
            </w:pPr>
            <w:r>
              <w:rPr>
                <w:rFonts w:ascii="Calibri"/>
                <w:sz w:val="18"/>
              </w:rPr>
              <w:t>Muy de Acuerdo</w:t>
            </w:r>
          </w:p>
          <w:p>
            <w:pPr>
              <w:pStyle w:val="TableParagraph"/>
              <w:ind w:left="474"/>
              <w:jc w:val="left"/>
              <w:rPr>
                <w:rFonts w:ascii="Calibri"/>
                <w:sz w:val="20"/>
              </w:rPr>
            </w:pPr>
            <w:r>
              <w:rPr>
                <w:rFonts w:ascii="Calibri"/>
                <w:sz w:val="20"/>
              </w:rPr>
              <w:drawing>
                <wp:inline distT="0" distB="0" distL="0" distR="0">
                  <wp:extent cx="168020" cy="168021"/>
                  <wp:effectExtent l="0" t="0" r="0" b="0"/>
                  <wp:docPr id="175" name="image70.png" descr=""/>
                  <wp:cNvGraphicFramePr>
                    <a:graphicFrameLocks noChangeAspect="1"/>
                  </wp:cNvGraphicFramePr>
                  <a:graphic>
                    <a:graphicData uri="http://schemas.openxmlformats.org/drawingml/2006/picture">
                      <pic:pic>
                        <pic:nvPicPr>
                          <pic:cNvPr id="176" name="image70.png"/>
                          <pic:cNvPicPr/>
                        </pic:nvPicPr>
                        <pic:blipFill>
                          <a:blip r:embed="rId139" cstate="print"/>
                          <a:stretch>
                            <a:fillRect/>
                          </a:stretch>
                        </pic:blipFill>
                        <pic:spPr>
                          <a:xfrm>
                            <a:off x="0" y="0"/>
                            <a:ext cx="168020"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895" w:type="dxa"/>
            <w:shd w:val="clear" w:color="auto" w:fill="D9D9D9"/>
          </w:tcPr>
          <w:p>
            <w:pPr>
              <w:pStyle w:val="TableParagraph"/>
              <w:ind w:left="141" w:right="125" w:firstLine="199"/>
              <w:jc w:val="left"/>
              <w:rPr>
                <w:rFonts w:ascii="Calibri"/>
                <w:sz w:val="18"/>
              </w:rPr>
            </w:pPr>
            <w:r>
              <w:rPr>
                <w:rFonts w:ascii="Calibri"/>
                <w:sz w:val="18"/>
              </w:rPr>
              <w:t>De acuerdo</w:t>
            </w:r>
          </w:p>
          <w:p>
            <w:pPr>
              <w:pStyle w:val="TableParagraph"/>
              <w:ind w:left="305"/>
              <w:jc w:val="left"/>
              <w:rPr>
                <w:rFonts w:ascii="Calibri"/>
                <w:sz w:val="20"/>
              </w:rPr>
            </w:pPr>
            <w:r>
              <w:rPr>
                <w:rFonts w:ascii="Calibri"/>
                <w:sz w:val="20"/>
              </w:rPr>
              <w:drawing>
                <wp:inline distT="0" distB="0" distL="0" distR="0">
                  <wp:extent cx="168020" cy="168021"/>
                  <wp:effectExtent l="0" t="0" r="0" b="0"/>
                  <wp:docPr id="177" name="image70.png" descr=""/>
                  <wp:cNvGraphicFramePr>
                    <a:graphicFrameLocks noChangeAspect="1"/>
                  </wp:cNvGraphicFramePr>
                  <a:graphic>
                    <a:graphicData uri="http://schemas.openxmlformats.org/drawingml/2006/picture">
                      <pic:pic>
                        <pic:nvPicPr>
                          <pic:cNvPr id="178" name="image70.png"/>
                          <pic:cNvPicPr/>
                        </pic:nvPicPr>
                        <pic:blipFill>
                          <a:blip r:embed="rId139" cstate="print"/>
                          <a:stretch>
                            <a:fillRect/>
                          </a:stretch>
                        </pic:blipFill>
                        <pic:spPr>
                          <a:xfrm>
                            <a:off x="0" y="0"/>
                            <a:ext cx="168020"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853" w:type="dxa"/>
          </w:tcPr>
          <w:p>
            <w:pPr>
              <w:pStyle w:val="TableParagraph"/>
              <w:ind w:left="297" w:right="117" w:hanging="164"/>
              <w:jc w:val="left"/>
              <w:rPr>
                <w:rFonts w:ascii="Calibri"/>
                <w:sz w:val="18"/>
              </w:rPr>
            </w:pPr>
            <w:r>
              <w:rPr>
                <w:rFonts w:ascii="Calibri"/>
                <w:sz w:val="18"/>
                <w:u w:val="single"/>
              </w:rPr>
              <w:t>Indifere nte</w:t>
            </w:r>
          </w:p>
          <w:p>
            <w:pPr>
              <w:pStyle w:val="TableParagraph"/>
              <w:spacing w:before="11" w:after="1"/>
              <w:jc w:val="left"/>
              <w:rPr>
                <w:rFonts w:ascii="Calibri"/>
                <w:sz w:val="17"/>
              </w:rPr>
            </w:pPr>
          </w:p>
          <w:p>
            <w:pPr>
              <w:pStyle w:val="TableParagraph"/>
              <w:ind w:left="284"/>
              <w:jc w:val="left"/>
              <w:rPr>
                <w:rFonts w:ascii="Calibri"/>
                <w:sz w:val="20"/>
              </w:rPr>
            </w:pPr>
            <w:r>
              <w:rPr>
                <w:rFonts w:ascii="Calibri"/>
                <w:sz w:val="20"/>
              </w:rPr>
              <w:drawing>
                <wp:inline distT="0" distB="0" distL="0" distR="0">
                  <wp:extent cx="166507" cy="168021"/>
                  <wp:effectExtent l="0" t="0" r="0" b="0"/>
                  <wp:docPr id="179" name="image70.png" descr=""/>
                  <wp:cNvGraphicFramePr>
                    <a:graphicFrameLocks noChangeAspect="1"/>
                  </wp:cNvGraphicFramePr>
                  <a:graphic>
                    <a:graphicData uri="http://schemas.openxmlformats.org/drawingml/2006/picture">
                      <pic:pic>
                        <pic:nvPicPr>
                          <pic:cNvPr id="180" name="image70.png"/>
                          <pic:cNvPicPr/>
                        </pic:nvPicPr>
                        <pic:blipFill>
                          <a:blip r:embed="rId139" cstate="print"/>
                          <a:stretch>
                            <a:fillRect/>
                          </a:stretch>
                        </pic:blipFill>
                        <pic:spPr>
                          <a:xfrm>
                            <a:off x="0" y="0"/>
                            <a:ext cx="166507" cy="168021"/>
                          </a:xfrm>
                          <a:prstGeom prst="rect">
                            <a:avLst/>
                          </a:prstGeom>
                        </pic:spPr>
                      </pic:pic>
                    </a:graphicData>
                  </a:graphic>
                </wp:inline>
              </w:drawing>
            </w:r>
            <w:r>
              <w:rPr>
                <w:rFonts w:ascii="Calibri"/>
                <w:sz w:val="20"/>
              </w:rPr>
            </w:r>
          </w:p>
        </w:tc>
        <w:tc>
          <w:tcPr>
            <w:tcW w:w="1027" w:type="dxa"/>
            <w:shd w:val="clear" w:color="auto" w:fill="D9D9D9"/>
          </w:tcPr>
          <w:p>
            <w:pPr>
              <w:pStyle w:val="TableParagraph"/>
              <w:ind w:left="129" w:right="128" w:firstLine="1"/>
              <w:rPr>
                <w:rFonts w:ascii="Calibri"/>
                <w:sz w:val="18"/>
              </w:rPr>
            </w:pPr>
            <w:r>
              <w:rPr>
                <w:rFonts w:ascii="Calibri"/>
                <w:sz w:val="18"/>
              </w:rPr>
              <w:t>En   desacuerd o</w:t>
            </w:r>
          </w:p>
        </w:tc>
        <w:tc>
          <w:tcPr>
            <w:tcW w:w="1114" w:type="dxa"/>
          </w:tcPr>
          <w:p>
            <w:pPr>
              <w:pStyle w:val="TableParagraph"/>
              <w:ind w:left="124" w:right="107" w:firstLine="151"/>
              <w:jc w:val="left"/>
              <w:rPr>
                <w:rFonts w:ascii="Calibri"/>
                <w:sz w:val="18"/>
              </w:rPr>
            </w:pPr>
            <w:r>
              <w:rPr>
                <w:rFonts w:ascii="Calibri"/>
                <w:sz w:val="18"/>
              </w:rPr>
              <w:t>Muy en desacuerdo</w:t>
            </w:r>
          </w:p>
          <w:p>
            <w:pPr>
              <w:pStyle w:val="TableParagraph"/>
              <w:ind w:left="413"/>
              <w:jc w:val="left"/>
              <w:rPr>
                <w:rFonts w:ascii="Calibri"/>
                <w:sz w:val="20"/>
              </w:rPr>
            </w:pPr>
            <w:r>
              <w:rPr>
                <w:rFonts w:ascii="Calibri"/>
                <w:sz w:val="20"/>
              </w:rPr>
              <w:drawing>
                <wp:inline distT="0" distB="0" distL="0" distR="0">
                  <wp:extent cx="169548" cy="168021"/>
                  <wp:effectExtent l="0" t="0" r="0" b="0"/>
                  <wp:docPr id="181" name="image70.png" descr=""/>
                  <wp:cNvGraphicFramePr>
                    <a:graphicFrameLocks noChangeAspect="1"/>
                  </wp:cNvGraphicFramePr>
                  <a:graphic>
                    <a:graphicData uri="http://schemas.openxmlformats.org/drawingml/2006/picture">
                      <pic:pic>
                        <pic:nvPicPr>
                          <pic:cNvPr id="182" name="image70.png"/>
                          <pic:cNvPicPr/>
                        </pic:nvPicPr>
                        <pic:blipFill>
                          <a:blip r:embed="rId139" cstate="print"/>
                          <a:stretch>
                            <a:fillRect/>
                          </a:stretch>
                        </pic:blipFill>
                        <pic:spPr>
                          <a:xfrm>
                            <a:off x="0" y="0"/>
                            <a:ext cx="169548"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r>
      <w:tr>
        <w:trPr>
          <w:trHeight w:val="938" w:hRule="exact"/>
        </w:trPr>
        <w:tc>
          <w:tcPr>
            <w:tcW w:w="3936" w:type="dxa"/>
            <w:shd w:val="clear" w:color="auto" w:fill="D9D9D9"/>
          </w:tcPr>
          <w:p>
            <w:pPr>
              <w:pStyle w:val="TableParagraph"/>
              <w:ind w:left="259" w:right="135" w:firstLine="57"/>
              <w:jc w:val="left"/>
              <w:rPr>
                <w:rFonts w:ascii="Calibri" w:hAnsi="Calibri"/>
                <w:sz w:val="18"/>
              </w:rPr>
            </w:pPr>
            <w:r>
              <w:rPr>
                <w:rFonts w:ascii="Calibri" w:hAnsi="Calibri"/>
                <w:sz w:val="18"/>
              </w:rPr>
              <w:t>15. En un contexto informal y más familiar se produciría un texto como el de esta grabación.</w:t>
            </w:r>
          </w:p>
        </w:tc>
        <w:tc>
          <w:tcPr>
            <w:tcW w:w="1232" w:type="dxa"/>
          </w:tcPr>
          <w:p>
            <w:pPr>
              <w:pStyle w:val="TableParagraph"/>
              <w:ind w:left="300" w:firstLine="31"/>
              <w:jc w:val="left"/>
              <w:rPr>
                <w:rFonts w:ascii="Calibri"/>
                <w:sz w:val="18"/>
              </w:rPr>
            </w:pPr>
            <w:r>
              <w:rPr>
                <w:rFonts w:ascii="Calibri"/>
                <w:sz w:val="18"/>
              </w:rPr>
              <w:t>Muy de Acuerdo</w:t>
            </w:r>
          </w:p>
        </w:tc>
        <w:tc>
          <w:tcPr>
            <w:tcW w:w="895" w:type="dxa"/>
            <w:shd w:val="clear" w:color="auto" w:fill="D9D9D9"/>
          </w:tcPr>
          <w:p>
            <w:pPr>
              <w:pStyle w:val="TableParagraph"/>
              <w:ind w:left="141" w:right="125" w:firstLine="199"/>
              <w:jc w:val="left"/>
              <w:rPr>
                <w:rFonts w:ascii="Calibri"/>
                <w:sz w:val="18"/>
              </w:rPr>
            </w:pPr>
            <w:r>
              <w:rPr>
                <w:rFonts w:ascii="Calibri"/>
                <w:sz w:val="18"/>
              </w:rPr>
              <w:t>De acuerdo</w:t>
            </w:r>
          </w:p>
        </w:tc>
        <w:tc>
          <w:tcPr>
            <w:tcW w:w="853" w:type="dxa"/>
          </w:tcPr>
          <w:p>
            <w:pPr>
              <w:pStyle w:val="TableParagraph"/>
              <w:ind w:left="297" w:right="117" w:hanging="164"/>
              <w:jc w:val="left"/>
              <w:rPr>
                <w:rFonts w:ascii="Calibri"/>
                <w:sz w:val="18"/>
              </w:rPr>
            </w:pPr>
            <w:r>
              <w:rPr>
                <w:rFonts w:ascii="Calibri"/>
                <w:sz w:val="18"/>
              </w:rPr>
              <w:t>Indifere nte</w:t>
            </w:r>
          </w:p>
          <w:p>
            <w:pPr>
              <w:pStyle w:val="TableParagraph"/>
              <w:spacing w:before="11" w:after="1"/>
              <w:jc w:val="left"/>
              <w:rPr>
                <w:rFonts w:ascii="Calibri"/>
                <w:sz w:val="17"/>
              </w:rPr>
            </w:pPr>
          </w:p>
          <w:p>
            <w:pPr>
              <w:pStyle w:val="TableParagraph"/>
              <w:ind w:left="284"/>
              <w:jc w:val="left"/>
              <w:rPr>
                <w:rFonts w:ascii="Calibri"/>
                <w:sz w:val="20"/>
              </w:rPr>
            </w:pPr>
            <w:r>
              <w:rPr>
                <w:rFonts w:ascii="Calibri"/>
                <w:sz w:val="20"/>
              </w:rPr>
              <w:drawing>
                <wp:inline distT="0" distB="0" distL="0" distR="0">
                  <wp:extent cx="168021" cy="168021"/>
                  <wp:effectExtent l="0" t="0" r="0" b="0"/>
                  <wp:docPr id="183" name="image70.png" descr=""/>
                  <wp:cNvGraphicFramePr>
                    <a:graphicFrameLocks noChangeAspect="1"/>
                  </wp:cNvGraphicFramePr>
                  <a:graphic>
                    <a:graphicData uri="http://schemas.openxmlformats.org/drawingml/2006/picture">
                      <pic:pic>
                        <pic:nvPicPr>
                          <pic:cNvPr id="184"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c>
          <w:tcPr>
            <w:tcW w:w="1027" w:type="dxa"/>
            <w:shd w:val="clear" w:color="auto" w:fill="D9D9D9"/>
          </w:tcPr>
          <w:p>
            <w:pPr>
              <w:pStyle w:val="TableParagraph"/>
              <w:ind w:left="129" w:right="128" w:firstLine="1"/>
              <w:rPr>
                <w:rFonts w:ascii="Calibri"/>
                <w:sz w:val="18"/>
              </w:rPr>
            </w:pPr>
            <w:r>
              <w:rPr>
                <w:rFonts w:ascii="Calibri"/>
                <w:sz w:val="18"/>
              </w:rPr>
              <w:t>En   desacuerd o</w:t>
            </w:r>
          </w:p>
          <w:p>
            <w:pPr>
              <w:pStyle w:val="TableParagraph"/>
              <w:ind w:left="370"/>
              <w:jc w:val="left"/>
              <w:rPr>
                <w:rFonts w:ascii="Calibri"/>
                <w:sz w:val="20"/>
              </w:rPr>
            </w:pPr>
            <w:r>
              <w:rPr>
                <w:rFonts w:ascii="Calibri"/>
                <w:sz w:val="20"/>
              </w:rPr>
              <w:drawing>
                <wp:inline distT="0" distB="0" distL="0" distR="0">
                  <wp:extent cx="169548" cy="168021"/>
                  <wp:effectExtent l="0" t="0" r="0" b="0"/>
                  <wp:docPr id="185" name="image70.png" descr=""/>
                  <wp:cNvGraphicFramePr>
                    <a:graphicFrameLocks noChangeAspect="1"/>
                  </wp:cNvGraphicFramePr>
                  <a:graphic>
                    <a:graphicData uri="http://schemas.openxmlformats.org/drawingml/2006/picture">
                      <pic:pic>
                        <pic:nvPicPr>
                          <pic:cNvPr id="186" name="image70.png"/>
                          <pic:cNvPicPr/>
                        </pic:nvPicPr>
                        <pic:blipFill>
                          <a:blip r:embed="rId139" cstate="print"/>
                          <a:stretch>
                            <a:fillRect/>
                          </a:stretch>
                        </pic:blipFill>
                        <pic:spPr>
                          <a:xfrm>
                            <a:off x="0" y="0"/>
                            <a:ext cx="169548" cy="168021"/>
                          </a:xfrm>
                          <a:prstGeom prst="rect">
                            <a:avLst/>
                          </a:prstGeom>
                        </pic:spPr>
                      </pic:pic>
                    </a:graphicData>
                  </a:graphic>
                </wp:inline>
              </w:drawing>
            </w:r>
            <w:r>
              <w:rPr>
                <w:rFonts w:ascii="Calibri"/>
                <w:sz w:val="20"/>
              </w:rPr>
            </w:r>
          </w:p>
        </w:tc>
        <w:tc>
          <w:tcPr>
            <w:tcW w:w="1114" w:type="dxa"/>
          </w:tcPr>
          <w:p>
            <w:pPr>
              <w:pStyle w:val="TableParagraph"/>
              <w:ind w:left="124" w:right="107" w:firstLine="151"/>
              <w:jc w:val="left"/>
              <w:rPr>
                <w:rFonts w:ascii="Calibri"/>
                <w:sz w:val="18"/>
              </w:rPr>
            </w:pPr>
            <w:r>
              <w:rPr>
                <w:rFonts w:ascii="Calibri"/>
                <w:sz w:val="18"/>
              </w:rPr>
              <w:t>Muy en desacuerdo</w:t>
            </w:r>
          </w:p>
        </w:tc>
      </w:tr>
      <w:tr>
        <w:trPr>
          <w:trHeight w:val="941" w:hRule="exact"/>
        </w:trPr>
        <w:tc>
          <w:tcPr>
            <w:tcW w:w="3936" w:type="dxa"/>
            <w:shd w:val="clear" w:color="auto" w:fill="D9D9D9"/>
          </w:tcPr>
          <w:p>
            <w:pPr>
              <w:pStyle w:val="TableParagraph"/>
              <w:ind w:left="131" w:firstLine="203"/>
              <w:jc w:val="left"/>
              <w:rPr>
                <w:rFonts w:ascii="Calibri" w:hAnsi="Calibri"/>
                <w:sz w:val="18"/>
              </w:rPr>
            </w:pPr>
            <w:r>
              <w:rPr>
                <w:rFonts w:ascii="Calibri" w:hAnsi="Calibri"/>
                <w:sz w:val="18"/>
              </w:rPr>
              <w:t>16. En la grabación se incluyen términos que podría dominar cualquier obrero de una empresa.</w:t>
            </w:r>
          </w:p>
        </w:tc>
        <w:tc>
          <w:tcPr>
            <w:tcW w:w="1232" w:type="dxa"/>
          </w:tcPr>
          <w:p>
            <w:pPr>
              <w:pStyle w:val="TableParagraph"/>
              <w:ind w:left="300" w:firstLine="31"/>
              <w:jc w:val="left"/>
              <w:rPr>
                <w:rFonts w:ascii="Calibri"/>
                <w:sz w:val="18"/>
              </w:rPr>
            </w:pPr>
            <w:r>
              <w:rPr>
                <w:rFonts w:ascii="Calibri"/>
                <w:sz w:val="18"/>
              </w:rPr>
              <w:t>Muy de Acuerdo</w:t>
            </w:r>
          </w:p>
          <w:p>
            <w:pPr>
              <w:pStyle w:val="TableParagraph"/>
              <w:ind w:left="474"/>
              <w:jc w:val="left"/>
              <w:rPr>
                <w:rFonts w:ascii="Calibri"/>
                <w:sz w:val="20"/>
              </w:rPr>
            </w:pPr>
            <w:r>
              <w:rPr>
                <w:rFonts w:ascii="Calibri"/>
                <w:sz w:val="20"/>
              </w:rPr>
              <w:drawing>
                <wp:inline distT="0" distB="0" distL="0" distR="0">
                  <wp:extent cx="168021" cy="168021"/>
                  <wp:effectExtent l="0" t="0" r="0" b="0"/>
                  <wp:docPr id="187" name="image70.png" descr=""/>
                  <wp:cNvGraphicFramePr>
                    <a:graphicFrameLocks noChangeAspect="1"/>
                  </wp:cNvGraphicFramePr>
                  <a:graphic>
                    <a:graphicData uri="http://schemas.openxmlformats.org/drawingml/2006/picture">
                      <pic:pic>
                        <pic:nvPicPr>
                          <pic:cNvPr id="188"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895" w:type="dxa"/>
            <w:shd w:val="clear" w:color="auto" w:fill="D9D9D9"/>
          </w:tcPr>
          <w:p>
            <w:pPr>
              <w:pStyle w:val="TableParagraph"/>
              <w:ind w:left="141" w:right="125" w:firstLine="199"/>
              <w:jc w:val="left"/>
              <w:rPr>
                <w:rFonts w:ascii="Calibri"/>
                <w:sz w:val="18"/>
              </w:rPr>
            </w:pPr>
            <w:r>
              <w:rPr>
                <w:rFonts w:ascii="Calibri"/>
                <w:sz w:val="18"/>
              </w:rPr>
              <w:t>De acuerdo</w:t>
            </w:r>
          </w:p>
          <w:p>
            <w:pPr>
              <w:pStyle w:val="TableParagraph"/>
              <w:ind w:left="305"/>
              <w:jc w:val="left"/>
              <w:rPr>
                <w:rFonts w:ascii="Calibri"/>
                <w:sz w:val="20"/>
              </w:rPr>
            </w:pPr>
            <w:r>
              <w:rPr>
                <w:rFonts w:ascii="Calibri"/>
                <w:sz w:val="20"/>
              </w:rPr>
              <w:drawing>
                <wp:inline distT="0" distB="0" distL="0" distR="0">
                  <wp:extent cx="168021" cy="168021"/>
                  <wp:effectExtent l="0" t="0" r="0" b="0"/>
                  <wp:docPr id="189" name="image70.png" descr=""/>
                  <wp:cNvGraphicFramePr>
                    <a:graphicFrameLocks noChangeAspect="1"/>
                  </wp:cNvGraphicFramePr>
                  <a:graphic>
                    <a:graphicData uri="http://schemas.openxmlformats.org/drawingml/2006/picture">
                      <pic:pic>
                        <pic:nvPicPr>
                          <pic:cNvPr id="190"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853" w:type="dxa"/>
          </w:tcPr>
          <w:p>
            <w:pPr>
              <w:pStyle w:val="TableParagraph"/>
              <w:ind w:left="297" w:right="117" w:hanging="164"/>
              <w:jc w:val="left"/>
              <w:rPr>
                <w:rFonts w:ascii="Calibri"/>
                <w:sz w:val="18"/>
              </w:rPr>
            </w:pPr>
            <w:r>
              <w:rPr>
                <w:rFonts w:ascii="Calibri"/>
                <w:sz w:val="18"/>
              </w:rPr>
              <w:t>Indifere nte</w:t>
            </w:r>
          </w:p>
          <w:p>
            <w:pPr>
              <w:pStyle w:val="TableParagraph"/>
              <w:spacing w:before="11" w:after="1"/>
              <w:jc w:val="left"/>
              <w:rPr>
                <w:rFonts w:ascii="Calibri"/>
                <w:sz w:val="17"/>
              </w:rPr>
            </w:pPr>
          </w:p>
          <w:p>
            <w:pPr>
              <w:pStyle w:val="TableParagraph"/>
              <w:ind w:left="284"/>
              <w:jc w:val="left"/>
              <w:rPr>
                <w:rFonts w:ascii="Calibri"/>
                <w:sz w:val="20"/>
              </w:rPr>
            </w:pPr>
            <w:r>
              <w:rPr>
                <w:rFonts w:ascii="Calibri"/>
                <w:sz w:val="20"/>
              </w:rPr>
              <w:drawing>
                <wp:inline distT="0" distB="0" distL="0" distR="0">
                  <wp:extent cx="166507" cy="168021"/>
                  <wp:effectExtent l="0" t="0" r="0" b="0"/>
                  <wp:docPr id="191" name="image70.png" descr=""/>
                  <wp:cNvGraphicFramePr>
                    <a:graphicFrameLocks noChangeAspect="1"/>
                  </wp:cNvGraphicFramePr>
                  <a:graphic>
                    <a:graphicData uri="http://schemas.openxmlformats.org/drawingml/2006/picture">
                      <pic:pic>
                        <pic:nvPicPr>
                          <pic:cNvPr id="192" name="image70.png"/>
                          <pic:cNvPicPr/>
                        </pic:nvPicPr>
                        <pic:blipFill>
                          <a:blip r:embed="rId139" cstate="print"/>
                          <a:stretch>
                            <a:fillRect/>
                          </a:stretch>
                        </pic:blipFill>
                        <pic:spPr>
                          <a:xfrm>
                            <a:off x="0" y="0"/>
                            <a:ext cx="166507" cy="168021"/>
                          </a:xfrm>
                          <a:prstGeom prst="rect">
                            <a:avLst/>
                          </a:prstGeom>
                        </pic:spPr>
                      </pic:pic>
                    </a:graphicData>
                  </a:graphic>
                </wp:inline>
              </w:drawing>
            </w:r>
            <w:r>
              <w:rPr>
                <w:rFonts w:ascii="Calibri"/>
                <w:sz w:val="20"/>
              </w:rPr>
            </w:r>
          </w:p>
        </w:tc>
        <w:tc>
          <w:tcPr>
            <w:tcW w:w="1027" w:type="dxa"/>
            <w:shd w:val="clear" w:color="auto" w:fill="D9D9D9"/>
          </w:tcPr>
          <w:p>
            <w:pPr>
              <w:pStyle w:val="TableParagraph"/>
              <w:ind w:left="129" w:right="128" w:firstLine="1"/>
              <w:rPr>
                <w:rFonts w:ascii="Calibri"/>
                <w:sz w:val="18"/>
              </w:rPr>
            </w:pPr>
            <w:r>
              <w:rPr>
                <w:rFonts w:ascii="Calibri"/>
                <w:sz w:val="18"/>
              </w:rPr>
              <w:t>En   desacuerd o</w:t>
            </w:r>
          </w:p>
        </w:tc>
        <w:tc>
          <w:tcPr>
            <w:tcW w:w="1114" w:type="dxa"/>
          </w:tcPr>
          <w:p>
            <w:pPr>
              <w:pStyle w:val="TableParagraph"/>
              <w:ind w:left="124" w:right="107" w:firstLine="151"/>
              <w:jc w:val="left"/>
              <w:rPr>
                <w:rFonts w:ascii="Calibri"/>
                <w:sz w:val="18"/>
              </w:rPr>
            </w:pPr>
            <w:r>
              <w:rPr>
                <w:rFonts w:ascii="Calibri"/>
                <w:sz w:val="18"/>
              </w:rPr>
              <w:t>Muy en desacuerdo</w:t>
            </w:r>
          </w:p>
          <w:p>
            <w:pPr>
              <w:pStyle w:val="TableParagraph"/>
              <w:ind w:left="413"/>
              <w:jc w:val="left"/>
              <w:rPr>
                <w:rFonts w:ascii="Calibri"/>
                <w:sz w:val="20"/>
              </w:rPr>
            </w:pPr>
            <w:r>
              <w:rPr>
                <w:rFonts w:ascii="Calibri"/>
                <w:sz w:val="20"/>
              </w:rPr>
              <w:drawing>
                <wp:inline distT="0" distB="0" distL="0" distR="0">
                  <wp:extent cx="169548" cy="168021"/>
                  <wp:effectExtent l="0" t="0" r="0" b="0"/>
                  <wp:docPr id="193" name="image70.png" descr=""/>
                  <wp:cNvGraphicFramePr>
                    <a:graphicFrameLocks noChangeAspect="1"/>
                  </wp:cNvGraphicFramePr>
                  <a:graphic>
                    <a:graphicData uri="http://schemas.openxmlformats.org/drawingml/2006/picture">
                      <pic:pic>
                        <pic:nvPicPr>
                          <pic:cNvPr id="194" name="image70.png"/>
                          <pic:cNvPicPr/>
                        </pic:nvPicPr>
                        <pic:blipFill>
                          <a:blip r:embed="rId139" cstate="print"/>
                          <a:stretch>
                            <a:fillRect/>
                          </a:stretch>
                        </pic:blipFill>
                        <pic:spPr>
                          <a:xfrm>
                            <a:off x="0" y="0"/>
                            <a:ext cx="169548"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r>
      <w:tr>
        <w:trPr>
          <w:trHeight w:val="938" w:hRule="exact"/>
        </w:trPr>
        <w:tc>
          <w:tcPr>
            <w:tcW w:w="3936" w:type="dxa"/>
            <w:shd w:val="clear" w:color="auto" w:fill="D9D9D9"/>
          </w:tcPr>
          <w:p>
            <w:pPr>
              <w:pStyle w:val="TableParagraph"/>
              <w:ind w:left="681" w:right="226" w:hanging="440"/>
              <w:jc w:val="left"/>
              <w:rPr>
                <w:rFonts w:ascii="Calibri" w:hAnsi="Calibri"/>
                <w:sz w:val="18"/>
              </w:rPr>
            </w:pPr>
            <w:r>
              <w:rPr>
                <w:rFonts w:ascii="Calibri" w:hAnsi="Calibri"/>
                <w:sz w:val="18"/>
              </w:rPr>
              <w:t>17. El vocabulario en la grabación es apropiado para un ingeniero en computación.</w:t>
            </w:r>
          </w:p>
        </w:tc>
        <w:tc>
          <w:tcPr>
            <w:tcW w:w="1232" w:type="dxa"/>
          </w:tcPr>
          <w:p>
            <w:pPr>
              <w:pStyle w:val="TableParagraph"/>
              <w:ind w:left="300" w:firstLine="31"/>
              <w:jc w:val="left"/>
              <w:rPr>
                <w:rFonts w:ascii="Calibri"/>
                <w:sz w:val="18"/>
              </w:rPr>
            </w:pPr>
            <w:r>
              <w:rPr>
                <w:rFonts w:ascii="Calibri"/>
                <w:sz w:val="18"/>
              </w:rPr>
              <w:t>Muy de Acuerdo</w:t>
            </w:r>
          </w:p>
          <w:p>
            <w:pPr>
              <w:pStyle w:val="TableParagraph"/>
              <w:ind w:left="474"/>
              <w:jc w:val="left"/>
              <w:rPr>
                <w:rFonts w:ascii="Calibri"/>
                <w:sz w:val="20"/>
              </w:rPr>
            </w:pPr>
            <w:r>
              <w:rPr>
                <w:rFonts w:ascii="Calibri"/>
                <w:sz w:val="20"/>
              </w:rPr>
              <w:drawing>
                <wp:inline distT="0" distB="0" distL="0" distR="0">
                  <wp:extent cx="168021" cy="168021"/>
                  <wp:effectExtent l="0" t="0" r="0" b="0"/>
                  <wp:docPr id="195" name="image70.png" descr=""/>
                  <wp:cNvGraphicFramePr>
                    <a:graphicFrameLocks noChangeAspect="1"/>
                  </wp:cNvGraphicFramePr>
                  <a:graphic>
                    <a:graphicData uri="http://schemas.openxmlformats.org/drawingml/2006/picture">
                      <pic:pic>
                        <pic:nvPicPr>
                          <pic:cNvPr id="196"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895" w:type="dxa"/>
            <w:shd w:val="clear" w:color="auto" w:fill="D9D9D9"/>
          </w:tcPr>
          <w:p>
            <w:pPr>
              <w:pStyle w:val="TableParagraph"/>
              <w:ind w:left="141" w:right="125" w:firstLine="199"/>
              <w:jc w:val="left"/>
              <w:rPr>
                <w:rFonts w:ascii="Calibri"/>
                <w:sz w:val="18"/>
              </w:rPr>
            </w:pPr>
            <w:r>
              <w:rPr>
                <w:rFonts w:ascii="Calibri"/>
                <w:sz w:val="18"/>
              </w:rPr>
              <w:t>De acuerdo</w:t>
            </w:r>
          </w:p>
          <w:p>
            <w:pPr>
              <w:pStyle w:val="TableParagraph"/>
              <w:ind w:left="305"/>
              <w:jc w:val="left"/>
              <w:rPr>
                <w:rFonts w:ascii="Calibri"/>
                <w:sz w:val="20"/>
              </w:rPr>
            </w:pPr>
            <w:r>
              <w:rPr>
                <w:rFonts w:ascii="Calibri"/>
                <w:sz w:val="20"/>
              </w:rPr>
              <w:drawing>
                <wp:inline distT="0" distB="0" distL="0" distR="0">
                  <wp:extent cx="168021" cy="168021"/>
                  <wp:effectExtent l="0" t="0" r="0" b="0"/>
                  <wp:docPr id="197" name="image70.png" descr=""/>
                  <wp:cNvGraphicFramePr>
                    <a:graphicFrameLocks noChangeAspect="1"/>
                  </wp:cNvGraphicFramePr>
                  <a:graphic>
                    <a:graphicData uri="http://schemas.openxmlformats.org/drawingml/2006/picture">
                      <pic:pic>
                        <pic:nvPicPr>
                          <pic:cNvPr id="198"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c>
          <w:tcPr>
            <w:tcW w:w="853" w:type="dxa"/>
          </w:tcPr>
          <w:p>
            <w:pPr>
              <w:pStyle w:val="TableParagraph"/>
              <w:ind w:left="297" w:right="117" w:hanging="164"/>
              <w:jc w:val="left"/>
              <w:rPr>
                <w:rFonts w:ascii="Calibri"/>
                <w:sz w:val="18"/>
              </w:rPr>
            </w:pPr>
            <w:r>
              <w:rPr>
                <w:rFonts w:ascii="Calibri"/>
                <w:sz w:val="18"/>
              </w:rPr>
              <w:t>Indifere nte</w:t>
            </w:r>
          </w:p>
          <w:p>
            <w:pPr>
              <w:pStyle w:val="TableParagraph"/>
              <w:spacing w:before="11" w:after="1"/>
              <w:jc w:val="left"/>
              <w:rPr>
                <w:rFonts w:ascii="Calibri"/>
                <w:sz w:val="17"/>
              </w:rPr>
            </w:pPr>
          </w:p>
          <w:p>
            <w:pPr>
              <w:pStyle w:val="TableParagraph"/>
              <w:ind w:left="284"/>
              <w:jc w:val="left"/>
              <w:rPr>
                <w:rFonts w:ascii="Calibri"/>
                <w:sz w:val="20"/>
              </w:rPr>
            </w:pPr>
            <w:r>
              <w:rPr>
                <w:rFonts w:ascii="Calibri"/>
                <w:sz w:val="20"/>
              </w:rPr>
              <w:drawing>
                <wp:inline distT="0" distB="0" distL="0" distR="0">
                  <wp:extent cx="166507" cy="168021"/>
                  <wp:effectExtent l="0" t="0" r="0" b="0"/>
                  <wp:docPr id="199" name="image70.png" descr=""/>
                  <wp:cNvGraphicFramePr>
                    <a:graphicFrameLocks noChangeAspect="1"/>
                  </wp:cNvGraphicFramePr>
                  <a:graphic>
                    <a:graphicData uri="http://schemas.openxmlformats.org/drawingml/2006/picture">
                      <pic:pic>
                        <pic:nvPicPr>
                          <pic:cNvPr id="200" name="image70.png"/>
                          <pic:cNvPicPr/>
                        </pic:nvPicPr>
                        <pic:blipFill>
                          <a:blip r:embed="rId139" cstate="print"/>
                          <a:stretch>
                            <a:fillRect/>
                          </a:stretch>
                        </pic:blipFill>
                        <pic:spPr>
                          <a:xfrm>
                            <a:off x="0" y="0"/>
                            <a:ext cx="166507" cy="168021"/>
                          </a:xfrm>
                          <a:prstGeom prst="rect">
                            <a:avLst/>
                          </a:prstGeom>
                        </pic:spPr>
                      </pic:pic>
                    </a:graphicData>
                  </a:graphic>
                </wp:inline>
              </w:drawing>
            </w:r>
            <w:r>
              <w:rPr>
                <w:rFonts w:ascii="Calibri"/>
                <w:sz w:val="20"/>
              </w:rPr>
            </w:r>
          </w:p>
        </w:tc>
        <w:tc>
          <w:tcPr>
            <w:tcW w:w="1027" w:type="dxa"/>
            <w:shd w:val="clear" w:color="auto" w:fill="D9D9D9"/>
          </w:tcPr>
          <w:p>
            <w:pPr>
              <w:pStyle w:val="TableParagraph"/>
              <w:ind w:left="129" w:right="128" w:firstLine="1"/>
              <w:rPr>
                <w:rFonts w:ascii="Calibri"/>
                <w:sz w:val="18"/>
              </w:rPr>
            </w:pPr>
            <w:r>
              <w:rPr>
                <w:rFonts w:ascii="Calibri"/>
                <w:sz w:val="18"/>
              </w:rPr>
              <w:t>En   desacuerd o</w:t>
            </w:r>
          </w:p>
        </w:tc>
        <w:tc>
          <w:tcPr>
            <w:tcW w:w="1114" w:type="dxa"/>
          </w:tcPr>
          <w:p>
            <w:pPr>
              <w:pStyle w:val="TableParagraph"/>
              <w:ind w:left="124" w:right="107" w:firstLine="151"/>
              <w:jc w:val="left"/>
              <w:rPr>
                <w:rFonts w:ascii="Calibri"/>
                <w:sz w:val="18"/>
              </w:rPr>
            </w:pPr>
            <w:r>
              <w:rPr>
                <w:rFonts w:ascii="Calibri"/>
                <w:sz w:val="18"/>
              </w:rPr>
              <w:t>Muy en desacuerdo</w:t>
            </w:r>
          </w:p>
          <w:p>
            <w:pPr>
              <w:pStyle w:val="TableParagraph"/>
              <w:ind w:left="413"/>
              <w:jc w:val="left"/>
              <w:rPr>
                <w:rFonts w:ascii="Calibri"/>
                <w:sz w:val="20"/>
              </w:rPr>
            </w:pPr>
            <w:r>
              <w:rPr>
                <w:rFonts w:ascii="Calibri"/>
                <w:sz w:val="20"/>
              </w:rPr>
              <w:drawing>
                <wp:inline distT="0" distB="0" distL="0" distR="0">
                  <wp:extent cx="169548" cy="168021"/>
                  <wp:effectExtent l="0" t="0" r="0" b="0"/>
                  <wp:docPr id="201" name="image70.png" descr=""/>
                  <wp:cNvGraphicFramePr>
                    <a:graphicFrameLocks noChangeAspect="1"/>
                  </wp:cNvGraphicFramePr>
                  <a:graphic>
                    <a:graphicData uri="http://schemas.openxmlformats.org/drawingml/2006/picture">
                      <pic:pic>
                        <pic:nvPicPr>
                          <pic:cNvPr id="202" name="image70.png"/>
                          <pic:cNvPicPr/>
                        </pic:nvPicPr>
                        <pic:blipFill>
                          <a:blip r:embed="rId139" cstate="print"/>
                          <a:stretch>
                            <a:fillRect/>
                          </a:stretch>
                        </pic:blipFill>
                        <pic:spPr>
                          <a:xfrm>
                            <a:off x="0" y="0"/>
                            <a:ext cx="169548" cy="168021"/>
                          </a:xfrm>
                          <a:prstGeom prst="rect">
                            <a:avLst/>
                          </a:prstGeom>
                        </pic:spPr>
                      </pic:pic>
                    </a:graphicData>
                  </a:graphic>
                </wp:inline>
              </w:drawing>
            </w:r>
            <w:r>
              <w:rPr>
                <w:rFonts w:ascii="Calibri"/>
                <w:sz w:val="20"/>
              </w:rPr>
            </w:r>
          </w:p>
          <w:p>
            <w:pPr>
              <w:pStyle w:val="TableParagraph"/>
              <w:spacing w:before="5"/>
              <w:jc w:val="left"/>
              <w:rPr>
                <w:rFonts w:ascii="Calibri"/>
                <w:sz w:val="18"/>
              </w:rPr>
            </w:pPr>
          </w:p>
        </w:tc>
      </w:tr>
      <w:tr>
        <w:trPr>
          <w:trHeight w:val="939" w:hRule="exact"/>
        </w:trPr>
        <w:tc>
          <w:tcPr>
            <w:tcW w:w="3936" w:type="dxa"/>
            <w:shd w:val="clear" w:color="auto" w:fill="D9D9D9"/>
          </w:tcPr>
          <w:p>
            <w:pPr>
              <w:pStyle w:val="TableParagraph"/>
              <w:ind w:left="359" w:right="135" w:hanging="46"/>
              <w:jc w:val="left"/>
              <w:rPr>
                <w:rFonts w:ascii="Calibri" w:hAnsi="Calibri"/>
                <w:sz w:val="18"/>
              </w:rPr>
            </w:pPr>
            <w:r>
              <w:rPr>
                <w:rFonts w:ascii="Calibri" w:hAnsi="Calibri"/>
                <w:sz w:val="18"/>
              </w:rPr>
              <w:t>18. Los anuncios comerciales con un discurso como el de esta grabación se consideran sin</w:t>
            </w:r>
          </w:p>
          <w:p>
            <w:pPr>
              <w:pStyle w:val="TableParagraph"/>
              <w:spacing w:line="218" w:lineRule="exact"/>
              <w:ind w:left="763" w:right="135"/>
              <w:jc w:val="left"/>
              <w:rPr>
                <w:rFonts w:ascii="Calibri"/>
                <w:sz w:val="18"/>
              </w:rPr>
            </w:pPr>
            <w:r>
              <w:rPr>
                <w:rFonts w:ascii="Calibri"/>
                <w:sz w:val="18"/>
              </w:rPr>
              <w:t>renombre por los radioescuchas.</w:t>
            </w:r>
          </w:p>
        </w:tc>
        <w:tc>
          <w:tcPr>
            <w:tcW w:w="1232" w:type="dxa"/>
          </w:tcPr>
          <w:p>
            <w:pPr>
              <w:pStyle w:val="TableParagraph"/>
              <w:ind w:left="300" w:firstLine="31"/>
              <w:jc w:val="left"/>
              <w:rPr>
                <w:rFonts w:ascii="Calibri"/>
                <w:sz w:val="18"/>
              </w:rPr>
            </w:pPr>
            <w:r>
              <w:rPr>
                <w:rFonts w:ascii="Calibri"/>
                <w:sz w:val="18"/>
              </w:rPr>
              <w:t>Muy de Acuerdo</w:t>
            </w:r>
          </w:p>
        </w:tc>
        <w:tc>
          <w:tcPr>
            <w:tcW w:w="895" w:type="dxa"/>
            <w:shd w:val="clear" w:color="auto" w:fill="D9D9D9"/>
          </w:tcPr>
          <w:p>
            <w:pPr>
              <w:pStyle w:val="TableParagraph"/>
              <w:ind w:left="141" w:right="125" w:firstLine="199"/>
              <w:jc w:val="left"/>
              <w:rPr>
                <w:rFonts w:ascii="Calibri"/>
                <w:sz w:val="18"/>
              </w:rPr>
            </w:pPr>
            <w:r>
              <w:rPr>
                <w:rFonts w:ascii="Calibri"/>
                <w:sz w:val="18"/>
              </w:rPr>
              <w:t>De acuerdo</w:t>
            </w:r>
          </w:p>
        </w:tc>
        <w:tc>
          <w:tcPr>
            <w:tcW w:w="853" w:type="dxa"/>
          </w:tcPr>
          <w:p>
            <w:pPr>
              <w:pStyle w:val="TableParagraph"/>
              <w:ind w:left="297" w:right="117" w:hanging="164"/>
              <w:jc w:val="left"/>
              <w:rPr>
                <w:rFonts w:ascii="Calibri"/>
                <w:sz w:val="18"/>
              </w:rPr>
            </w:pPr>
            <w:r>
              <w:rPr>
                <w:rFonts w:ascii="Calibri"/>
                <w:sz w:val="18"/>
              </w:rPr>
              <w:t>Indifere nte</w:t>
            </w:r>
          </w:p>
          <w:p>
            <w:pPr>
              <w:pStyle w:val="TableParagraph"/>
              <w:spacing w:before="11"/>
              <w:jc w:val="left"/>
              <w:rPr>
                <w:rFonts w:ascii="Calibri"/>
                <w:sz w:val="17"/>
              </w:rPr>
            </w:pPr>
          </w:p>
          <w:p>
            <w:pPr>
              <w:pStyle w:val="TableParagraph"/>
              <w:ind w:left="284"/>
              <w:jc w:val="left"/>
              <w:rPr>
                <w:rFonts w:ascii="Calibri"/>
                <w:sz w:val="20"/>
              </w:rPr>
            </w:pPr>
            <w:r>
              <w:rPr>
                <w:rFonts w:ascii="Calibri"/>
                <w:sz w:val="20"/>
              </w:rPr>
              <w:drawing>
                <wp:inline distT="0" distB="0" distL="0" distR="0">
                  <wp:extent cx="168021" cy="168021"/>
                  <wp:effectExtent l="0" t="0" r="0" b="0"/>
                  <wp:docPr id="203" name="image70.png" descr=""/>
                  <wp:cNvGraphicFramePr>
                    <a:graphicFrameLocks noChangeAspect="1"/>
                  </wp:cNvGraphicFramePr>
                  <a:graphic>
                    <a:graphicData uri="http://schemas.openxmlformats.org/drawingml/2006/picture">
                      <pic:pic>
                        <pic:nvPicPr>
                          <pic:cNvPr id="204"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c>
          <w:tcPr>
            <w:tcW w:w="1027" w:type="dxa"/>
            <w:shd w:val="clear" w:color="auto" w:fill="D9D9D9"/>
          </w:tcPr>
          <w:p>
            <w:pPr>
              <w:pStyle w:val="TableParagraph"/>
              <w:ind w:left="129" w:right="128" w:firstLine="1"/>
              <w:rPr>
                <w:rFonts w:ascii="Calibri"/>
                <w:sz w:val="18"/>
              </w:rPr>
            </w:pPr>
            <w:r>
              <w:rPr>
                <w:rFonts w:ascii="Calibri"/>
                <w:sz w:val="18"/>
              </w:rPr>
              <w:t>En   desacuerd o</w:t>
            </w:r>
          </w:p>
          <w:p>
            <w:pPr>
              <w:pStyle w:val="TableParagraph"/>
              <w:ind w:left="370"/>
              <w:jc w:val="left"/>
              <w:rPr>
                <w:rFonts w:ascii="Calibri"/>
                <w:sz w:val="20"/>
              </w:rPr>
            </w:pPr>
            <w:r>
              <w:rPr>
                <w:rFonts w:ascii="Calibri"/>
                <w:sz w:val="20"/>
              </w:rPr>
              <w:drawing>
                <wp:inline distT="0" distB="0" distL="0" distR="0">
                  <wp:extent cx="169548" cy="168021"/>
                  <wp:effectExtent l="0" t="0" r="0" b="0"/>
                  <wp:docPr id="205" name="image70.png" descr=""/>
                  <wp:cNvGraphicFramePr>
                    <a:graphicFrameLocks noChangeAspect="1"/>
                  </wp:cNvGraphicFramePr>
                  <a:graphic>
                    <a:graphicData uri="http://schemas.openxmlformats.org/drawingml/2006/picture">
                      <pic:pic>
                        <pic:nvPicPr>
                          <pic:cNvPr id="206" name="image70.png"/>
                          <pic:cNvPicPr/>
                        </pic:nvPicPr>
                        <pic:blipFill>
                          <a:blip r:embed="rId139" cstate="print"/>
                          <a:stretch>
                            <a:fillRect/>
                          </a:stretch>
                        </pic:blipFill>
                        <pic:spPr>
                          <a:xfrm>
                            <a:off x="0" y="0"/>
                            <a:ext cx="169548" cy="168021"/>
                          </a:xfrm>
                          <a:prstGeom prst="rect">
                            <a:avLst/>
                          </a:prstGeom>
                        </pic:spPr>
                      </pic:pic>
                    </a:graphicData>
                  </a:graphic>
                </wp:inline>
              </w:drawing>
            </w:r>
            <w:r>
              <w:rPr>
                <w:rFonts w:ascii="Calibri"/>
                <w:sz w:val="20"/>
              </w:rPr>
            </w:r>
          </w:p>
        </w:tc>
        <w:tc>
          <w:tcPr>
            <w:tcW w:w="1114" w:type="dxa"/>
          </w:tcPr>
          <w:p>
            <w:pPr>
              <w:pStyle w:val="TableParagraph"/>
              <w:ind w:left="124" w:right="107" w:firstLine="151"/>
              <w:jc w:val="left"/>
              <w:rPr>
                <w:rFonts w:ascii="Calibri"/>
                <w:sz w:val="18"/>
              </w:rPr>
            </w:pPr>
            <w:r>
              <w:rPr>
                <w:rFonts w:ascii="Calibri"/>
                <w:sz w:val="18"/>
              </w:rPr>
              <w:t>Muy en desacuerdo</w:t>
            </w:r>
          </w:p>
        </w:tc>
      </w:tr>
      <w:tr>
        <w:trPr>
          <w:trHeight w:val="941" w:hRule="exact"/>
        </w:trPr>
        <w:tc>
          <w:tcPr>
            <w:tcW w:w="3936" w:type="dxa"/>
            <w:shd w:val="clear" w:color="auto" w:fill="D9D9D9"/>
          </w:tcPr>
          <w:p>
            <w:pPr>
              <w:pStyle w:val="TableParagraph"/>
              <w:ind w:left="283" w:right="135" w:firstLine="148"/>
              <w:jc w:val="left"/>
              <w:rPr>
                <w:rFonts w:ascii="Calibri"/>
                <w:sz w:val="18"/>
              </w:rPr>
            </w:pPr>
            <w:r>
              <w:rPr>
                <w:rFonts w:ascii="Calibri"/>
                <w:sz w:val="18"/>
              </w:rPr>
              <w:t>19. Es probable que en un entorno formal educativo se produjera un texto como en esta</w:t>
            </w:r>
          </w:p>
          <w:p>
            <w:pPr>
              <w:pStyle w:val="TableParagraph"/>
              <w:spacing w:before="1"/>
              <w:ind w:left="1360" w:right="1361"/>
              <w:rPr>
                <w:rFonts w:ascii="Calibri" w:hAnsi="Calibri"/>
                <w:sz w:val="18"/>
              </w:rPr>
            </w:pPr>
            <w:r>
              <w:rPr>
                <w:rFonts w:ascii="Calibri" w:hAnsi="Calibri"/>
                <w:sz w:val="18"/>
              </w:rPr>
              <w:t>grabación.</w:t>
            </w:r>
          </w:p>
        </w:tc>
        <w:tc>
          <w:tcPr>
            <w:tcW w:w="1232" w:type="dxa"/>
          </w:tcPr>
          <w:p>
            <w:pPr>
              <w:pStyle w:val="TableParagraph"/>
              <w:ind w:left="300" w:firstLine="31"/>
              <w:jc w:val="left"/>
              <w:rPr>
                <w:rFonts w:ascii="Calibri"/>
                <w:sz w:val="18"/>
              </w:rPr>
            </w:pPr>
            <w:r>
              <w:rPr>
                <w:rFonts w:ascii="Calibri"/>
                <w:sz w:val="18"/>
              </w:rPr>
              <w:t>Muy de Acuerdo</w:t>
            </w:r>
          </w:p>
          <w:p>
            <w:pPr>
              <w:pStyle w:val="TableParagraph"/>
              <w:ind w:left="474"/>
              <w:jc w:val="left"/>
              <w:rPr>
                <w:rFonts w:ascii="Calibri"/>
                <w:sz w:val="20"/>
              </w:rPr>
            </w:pPr>
            <w:r>
              <w:rPr>
                <w:rFonts w:ascii="Calibri"/>
                <w:sz w:val="20"/>
              </w:rPr>
              <w:drawing>
                <wp:inline distT="0" distB="0" distL="0" distR="0">
                  <wp:extent cx="168021" cy="168021"/>
                  <wp:effectExtent l="0" t="0" r="0" b="0"/>
                  <wp:docPr id="207" name="image70.png" descr=""/>
                  <wp:cNvGraphicFramePr>
                    <a:graphicFrameLocks noChangeAspect="1"/>
                  </wp:cNvGraphicFramePr>
                  <a:graphic>
                    <a:graphicData uri="http://schemas.openxmlformats.org/drawingml/2006/picture">
                      <pic:pic>
                        <pic:nvPicPr>
                          <pic:cNvPr id="208"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p>
            <w:pPr>
              <w:pStyle w:val="TableParagraph"/>
              <w:spacing w:before="6"/>
              <w:jc w:val="left"/>
              <w:rPr>
                <w:rFonts w:ascii="Calibri"/>
                <w:sz w:val="18"/>
              </w:rPr>
            </w:pPr>
          </w:p>
        </w:tc>
        <w:tc>
          <w:tcPr>
            <w:tcW w:w="895" w:type="dxa"/>
            <w:shd w:val="clear" w:color="auto" w:fill="D9D9D9"/>
          </w:tcPr>
          <w:p>
            <w:pPr>
              <w:pStyle w:val="TableParagraph"/>
              <w:ind w:left="141" w:right="125" w:firstLine="199"/>
              <w:jc w:val="left"/>
              <w:rPr>
                <w:rFonts w:ascii="Calibri"/>
                <w:sz w:val="18"/>
              </w:rPr>
            </w:pPr>
            <w:r>
              <w:rPr>
                <w:rFonts w:ascii="Calibri"/>
                <w:sz w:val="18"/>
              </w:rPr>
              <w:t>De acuerdo</w:t>
            </w:r>
          </w:p>
          <w:p>
            <w:pPr>
              <w:pStyle w:val="TableParagraph"/>
              <w:ind w:left="305"/>
              <w:jc w:val="left"/>
              <w:rPr>
                <w:rFonts w:ascii="Calibri"/>
                <w:sz w:val="20"/>
              </w:rPr>
            </w:pPr>
            <w:r>
              <w:rPr>
                <w:rFonts w:ascii="Calibri"/>
                <w:sz w:val="20"/>
              </w:rPr>
              <w:drawing>
                <wp:inline distT="0" distB="0" distL="0" distR="0">
                  <wp:extent cx="168021" cy="168021"/>
                  <wp:effectExtent l="0" t="0" r="0" b="0"/>
                  <wp:docPr id="209" name="image70.png" descr=""/>
                  <wp:cNvGraphicFramePr>
                    <a:graphicFrameLocks noChangeAspect="1"/>
                  </wp:cNvGraphicFramePr>
                  <a:graphic>
                    <a:graphicData uri="http://schemas.openxmlformats.org/drawingml/2006/picture">
                      <pic:pic>
                        <pic:nvPicPr>
                          <pic:cNvPr id="210"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p>
            <w:pPr>
              <w:pStyle w:val="TableParagraph"/>
              <w:spacing w:before="6"/>
              <w:jc w:val="left"/>
              <w:rPr>
                <w:rFonts w:ascii="Calibri"/>
                <w:sz w:val="18"/>
              </w:rPr>
            </w:pPr>
          </w:p>
        </w:tc>
        <w:tc>
          <w:tcPr>
            <w:tcW w:w="853" w:type="dxa"/>
          </w:tcPr>
          <w:p>
            <w:pPr>
              <w:pStyle w:val="TableParagraph"/>
              <w:ind w:left="297" w:right="117" w:hanging="164"/>
              <w:jc w:val="left"/>
              <w:rPr>
                <w:rFonts w:ascii="Calibri"/>
                <w:sz w:val="18"/>
              </w:rPr>
            </w:pPr>
            <w:r>
              <w:rPr>
                <w:rFonts w:ascii="Calibri"/>
                <w:sz w:val="18"/>
              </w:rPr>
              <w:t>Indifere nte</w:t>
            </w:r>
          </w:p>
          <w:p>
            <w:pPr>
              <w:pStyle w:val="TableParagraph"/>
              <w:spacing w:before="11"/>
              <w:jc w:val="left"/>
              <w:rPr>
                <w:rFonts w:ascii="Calibri"/>
                <w:sz w:val="17"/>
              </w:rPr>
            </w:pPr>
          </w:p>
          <w:p>
            <w:pPr>
              <w:pStyle w:val="TableParagraph"/>
              <w:ind w:left="284"/>
              <w:jc w:val="left"/>
              <w:rPr>
                <w:rFonts w:ascii="Calibri"/>
                <w:sz w:val="20"/>
              </w:rPr>
            </w:pPr>
            <w:r>
              <w:rPr>
                <w:rFonts w:ascii="Calibri"/>
                <w:sz w:val="20"/>
              </w:rPr>
              <w:drawing>
                <wp:inline distT="0" distB="0" distL="0" distR="0">
                  <wp:extent cx="168021" cy="168021"/>
                  <wp:effectExtent l="0" t="0" r="0" b="0"/>
                  <wp:docPr id="211" name="image70.png" descr=""/>
                  <wp:cNvGraphicFramePr>
                    <a:graphicFrameLocks noChangeAspect="1"/>
                  </wp:cNvGraphicFramePr>
                  <a:graphic>
                    <a:graphicData uri="http://schemas.openxmlformats.org/drawingml/2006/picture">
                      <pic:pic>
                        <pic:nvPicPr>
                          <pic:cNvPr id="212" name="image70.png"/>
                          <pic:cNvPicPr/>
                        </pic:nvPicPr>
                        <pic:blipFill>
                          <a:blip r:embed="rId139" cstate="print"/>
                          <a:stretch>
                            <a:fillRect/>
                          </a:stretch>
                        </pic:blipFill>
                        <pic:spPr>
                          <a:xfrm>
                            <a:off x="0" y="0"/>
                            <a:ext cx="168021" cy="168021"/>
                          </a:xfrm>
                          <a:prstGeom prst="rect">
                            <a:avLst/>
                          </a:prstGeom>
                        </pic:spPr>
                      </pic:pic>
                    </a:graphicData>
                  </a:graphic>
                </wp:inline>
              </w:drawing>
            </w:r>
            <w:r>
              <w:rPr>
                <w:rFonts w:ascii="Calibri"/>
                <w:sz w:val="20"/>
              </w:rPr>
            </w:r>
          </w:p>
        </w:tc>
        <w:tc>
          <w:tcPr>
            <w:tcW w:w="1027" w:type="dxa"/>
            <w:shd w:val="clear" w:color="auto" w:fill="D9D9D9"/>
          </w:tcPr>
          <w:p>
            <w:pPr>
              <w:pStyle w:val="TableParagraph"/>
              <w:ind w:left="129" w:right="128" w:firstLine="1"/>
              <w:rPr>
                <w:rFonts w:ascii="Calibri"/>
                <w:sz w:val="18"/>
              </w:rPr>
            </w:pPr>
            <w:r>
              <w:rPr>
                <w:rFonts w:ascii="Calibri"/>
                <w:sz w:val="18"/>
              </w:rPr>
              <w:t>En   desacuerd o</w:t>
            </w:r>
          </w:p>
        </w:tc>
        <w:tc>
          <w:tcPr>
            <w:tcW w:w="1114" w:type="dxa"/>
          </w:tcPr>
          <w:p>
            <w:pPr>
              <w:pStyle w:val="TableParagraph"/>
              <w:ind w:left="124" w:right="107" w:firstLine="151"/>
              <w:jc w:val="left"/>
              <w:rPr>
                <w:rFonts w:ascii="Calibri"/>
                <w:sz w:val="18"/>
              </w:rPr>
            </w:pPr>
            <w:r>
              <w:rPr>
                <w:rFonts w:ascii="Calibri"/>
                <w:sz w:val="18"/>
              </w:rPr>
              <w:t>Muy en desacuerdo</w:t>
            </w:r>
          </w:p>
          <w:p>
            <w:pPr>
              <w:pStyle w:val="TableParagraph"/>
              <w:ind w:left="413"/>
              <w:jc w:val="left"/>
              <w:rPr>
                <w:rFonts w:ascii="Calibri"/>
                <w:sz w:val="20"/>
              </w:rPr>
            </w:pPr>
            <w:r>
              <w:rPr>
                <w:rFonts w:ascii="Calibri"/>
                <w:sz w:val="20"/>
              </w:rPr>
              <w:drawing>
                <wp:inline distT="0" distB="0" distL="0" distR="0">
                  <wp:extent cx="169548" cy="168021"/>
                  <wp:effectExtent l="0" t="0" r="0" b="0"/>
                  <wp:docPr id="213" name="image70.png" descr=""/>
                  <wp:cNvGraphicFramePr>
                    <a:graphicFrameLocks noChangeAspect="1"/>
                  </wp:cNvGraphicFramePr>
                  <a:graphic>
                    <a:graphicData uri="http://schemas.openxmlformats.org/drawingml/2006/picture">
                      <pic:pic>
                        <pic:nvPicPr>
                          <pic:cNvPr id="214" name="image70.png"/>
                          <pic:cNvPicPr/>
                        </pic:nvPicPr>
                        <pic:blipFill>
                          <a:blip r:embed="rId139" cstate="print"/>
                          <a:stretch>
                            <a:fillRect/>
                          </a:stretch>
                        </pic:blipFill>
                        <pic:spPr>
                          <a:xfrm>
                            <a:off x="0" y="0"/>
                            <a:ext cx="169548" cy="168021"/>
                          </a:xfrm>
                          <a:prstGeom prst="rect">
                            <a:avLst/>
                          </a:prstGeom>
                        </pic:spPr>
                      </pic:pic>
                    </a:graphicData>
                  </a:graphic>
                </wp:inline>
              </w:drawing>
            </w:r>
            <w:r>
              <w:rPr>
                <w:rFonts w:ascii="Calibri"/>
                <w:sz w:val="20"/>
              </w:rPr>
            </w:r>
          </w:p>
          <w:p>
            <w:pPr>
              <w:pStyle w:val="TableParagraph"/>
              <w:spacing w:before="6"/>
              <w:jc w:val="left"/>
              <w:rPr>
                <w:rFonts w:ascii="Calibri"/>
                <w:sz w:val="18"/>
              </w:rPr>
            </w:pPr>
          </w:p>
        </w:tc>
      </w:tr>
      <w:tr>
        <w:trPr>
          <w:trHeight w:val="938" w:hRule="exact"/>
        </w:trPr>
        <w:tc>
          <w:tcPr>
            <w:tcW w:w="3936" w:type="dxa"/>
            <w:shd w:val="clear" w:color="auto" w:fill="D9D9D9"/>
          </w:tcPr>
          <w:p>
            <w:pPr>
              <w:pStyle w:val="TableParagraph"/>
              <w:ind w:left="127" w:firstLine="136"/>
              <w:jc w:val="left"/>
              <w:rPr>
                <w:rFonts w:ascii="Calibri" w:hAnsi="Calibri"/>
                <w:sz w:val="18"/>
              </w:rPr>
            </w:pPr>
            <w:r>
              <w:rPr>
                <w:rFonts w:ascii="Calibri" w:hAnsi="Calibri"/>
                <w:sz w:val="18"/>
              </w:rPr>
              <w:t>20. Para tener influencia en sus partidarios, un candidato a un puesto político se expresaría como</w:t>
            </w:r>
          </w:p>
          <w:p>
            <w:pPr>
              <w:pStyle w:val="TableParagraph"/>
              <w:spacing w:before="1"/>
              <w:ind w:left="1360" w:right="1361"/>
              <w:rPr>
                <w:rFonts w:ascii="Calibri" w:hAnsi="Calibri"/>
                <w:sz w:val="18"/>
              </w:rPr>
            </w:pPr>
            <w:r>
              <w:rPr>
                <w:rFonts w:ascii="Calibri" w:hAnsi="Calibri"/>
                <w:sz w:val="18"/>
              </w:rPr>
              <w:t>en la grabación.</w:t>
            </w:r>
          </w:p>
        </w:tc>
        <w:tc>
          <w:tcPr>
            <w:tcW w:w="1232" w:type="dxa"/>
          </w:tcPr>
          <w:p>
            <w:pPr>
              <w:pStyle w:val="TableParagraph"/>
              <w:ind w:left="300" w:firstLine="31"/>
              <w:jc w:val="left"/>
              <w:rPr>
                <w:rFonts w:ascii="Calibri"/>
                <w:sz w:val="18"/>
              </w:rPr>
            </w:pPr>
            <w:r>
              <w:rPr>
                <w:rFonts w:ascii="Calibri"/>
                <w:sz w:val="18"/>
              </w:rPr>
              <w:t>Muy de Acuerdo</w:t>
            </w:r>
          </w:p>
          <w:p>
            <w:pPr>
              <w:pStyle w:val="TableParagraph"/>
              <w:ind w:left="474"/>
              <w:jc w:val="left"/>
              <w:rPr>
                <w:rFonts w:ascii="Calibri"/>
                <w:sz w:val="20"/>
              </w:rPr>
            </w:pPr>
            <w:r>
              <w:rPr>
                <w:rFonts w:ascii="Calibri"/>
                <w:sz w:val="20"/>
              </w:rPr>
              <w:drawing>
                <wp:inline distT="0" distB="0" distL="0" distR="0">
                  <wp:extent cx="168021" cy="168020"/>
                  <wp:effectExtent l="0" t="0" r="0" b="0"/>
                  <wp:docPr id="215" name="image70.png" descr=""/>
                  <wp:cNvGraphicFramePr>
                    <a:graphicFrameLocks noChangeAspect="1"/>
                  </wp:cNvGraphicFramePr>
                  <a:graphic>
                    <a:graphicData uri="http://schemas.openxmlformats.org/drawingml/2006/picture">
                      <pic:pic>
                        <pic:nvPicPr>
                          <pic:cNvPr id="216"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p>
            <w:pPr>
              <w:pStyle w:val="TableParagraph"/>
              <w:spacing w:before="6"/>
              <w:jc w:val="left"/>
              <w:rPr>
                <w:rFonts w:ascii="Calibri"/>
                <w:sz w:val="18"/>
              </w:rPr>
            </w:pPr>
          </w:p>
        </w:tc>
        <w:tc>
          <w:tcPr>
            <w:tcW w:w="895" w:type="dxa"/>
            <w:shd w:val="clear" w:color="auto" w:fill="D9D9D9"/>
          </w:tcPr>
          <w:p>
            <w:pPr>
              <w:pStyle w:val="TableParagraph"/>
              <w:ind w:left="141" w:right="125" w:firstLine="199"/>
              <w:jc w:val="left"/>
              <w:rPr>
                <w:rFonts w:ascii="Calibri"/>
                <w:sz w:val="18"/>
              </w:rPr>
            </w:pPr>
            <w:r>
              <w:rPr>
                <w:rFonts w:ascii="Calibri"/>
                <w:sz w:val="18"/>
              </w:rPr>
              <w:t>De acuerdo</w:t>
            </w:r>
          </w:p>
          <w:p>
            <w:pPr>
              <w:pStyle w:val="TableParagraph"/>
              <w:ind w:left="305"/>
              <w:jc w:val="left"/>
              <w:rPr>
                <w:rFonts w:ascii="Calibri"/>
                <w:sz w:val="20"/>
              </w:rPr>
            </w:pPr>
            <w:r>
              <w:rPr>
                <w:rFonts w:ascii="Calibri"/>
                <w:sz w:val="20"/>
              </w:rPr>
              <w:drawing>
                <wp:inline distT="0" distB="0" distL="0" distR="0">
                  <wp:extent cx="168021" cy="168020"/>
                  <wp:effectExtent l="0" t="0" r="0" b="0"/>
                  <wp:docPr id="217" name="image70.png" descr=""/>
                  <wp:cNvGraphicFramePr>
                    <a:graphicFrameLocks noChangeAspect="1"/>
                  </wp:cNvGraphicFramePr>
                  <a:graphic>
                    <a:graphicData uri="http://schemas.openxmlformats.org/drawingml/2006/picture">
                      <pic:pic>
                        <pic:nvPicPr>
                          <pic:cNvPr id="218" name="image70.png"/>
                          <pic:cNvPicPr/>
                        </pic:nvPicPr>
                        <pic:blipFill>
                          <a:blip r:embed="rId139" cstate="print"/>
                          <a:stretch>
                            <a:fillRect/>
                          </a:stretch>
                        </pic:blipFill>
                        <pic:spPr>
                          <a:xfrm>
                            <a:off x="0" y="0"/>
                            <a:ext cx="168021" cy="168020"/>
                          </a:xfrm>
                          <a:prstGeom prst="rect">
                            <a:avLst/>
                          </a:prstGeom>
                        </pic:spPr>
                      </pic:pic>
                    </a:graphicData>
                  </a:graphic>
                </wp:inline>
              </w:drawing>
            </w:r>
            <w:r>
              <w:rPr>
                <w:rFonts w:ascii="Calibri"/>
                <w:sz w:val="20"/>
              </w:rPr>
            </w:r>
          </w:p>
          <w:p>
            <w:pPr>
              <w:pStyle w:val="TableParagraph"/>
              <w:spacing w:before="6"/>
              <w:jc w:val="left"/>
              <w:rPr>
                <w:rFonts w:ascii="Calibri"/>
                <w:sz w:val="18"/>
              </w:rPr>
            </w:pPr>
          </w:p>
        </w:tc>
        <w:tc>
          <w:tcPr>
            <w:tcW w:w="853" w:type="dxa"/>
          </w:tcPr>
          <w:p>
            <w:pPr>
              <w:pStyle w:val="TableParagraph"/>
              <w:ind w:left="297" w:right="117" w:hanging="164"/>
              <w:jc w:val="left"/>
              <w:rPr>
                <w:rFonts w:ascii="Calibri"/>
                <w:sz w:val="18"/>
              </w:rPr>
            </w:pPr>
            <w:r>
              <w:rPr>
                <w:rFonts w:ascii="Calibri"/>
                <w:sz w:val="18"/>
              </w:rPr>
              <w:t>Indifere nte</w:t>
            </w:r>
          </w:p>
          <w:p>
            <w:pPr>
              <w:pStyle w:val="TableParagraph"/>
              <w:spacing w:before="11"/>
              <w:jc w:val="left"/>
              <w:rPr>
                <w:rFonts w:ascii="Calibri"/>
                <w:sz w:val="17"/>
              </w:rPr>
            </w:pPr>
          </w:p>
          <w:p>
            <w:pPr>
              <w:pStyle w:val="TableParagraph"/>
              <w:ind w:left="284"/>
              <w:jc w:val="left"/>
              <w:rPr>
                <w:rFonts w:ascii="Calibri"/>
                <w:sz w:val="20"/>
              </w:rPr>
            </w:pPr>
            <w:r>
              <w:rPr>
                <w:rFonts w:ascii="Calibri"/>
                <w:sz w:val="20"/>
              </w:rPr>
              <w:drawing>
                <wp:inline distT="0" distB="0" distL="0" distR="0">
                  <wp:extent cx="166507" cy="168020"/>
                  <wp:effectExtent l="0" t="0" r="0" b="0"/>
                  <wp:docPr id="219" name="image70.png" descr=""/>
                  <wp:cNvGraphicFramePr>
                    <a:graphicFrameLocks noChangeAspect="1"/>
                  </wp:cNvGraphicFramePr>
                  <a:graphic>
                    <a:graphicData uri="http://schemas.openxmlformats.org/drawingml/2006/picture">
                      <pic:pic>
                        <pic:nvPicPr>
                          <pic:cNvPr id="220" name="image70.png"/>
                          <pic:cNvPicPr/>
                        </pic:nvPicPr>
                        <pic:blipFill>
                          <a:blip r:embed="rId139" cstate="print"/>
                          <a:stretch>
                            <a:fillRect/>
                          </a:stretch>
                        </pic:blipFill>
                        <pic:spPr>
                          <a:xfrm>
                            <a:off x="0" y="0"/>
                            <a:ext cx="166507" cy="168020"/>
                          </a:xfrm>
                          <a:prstGeom prst="rect">
                            <a:avLst/>
                          </a:prstGeom>
                        </pic:spPr>
                      </pic:pic>
                    </a:graphicData>
                  </a:graphic>
                </wp:inline>
              </w:drawing>
            </w:r>
            <w:r>
              <w:rPr>
                <w:rFonts w:ascii="Calibri"/>
                <w:sz w:val="20"/>
              </w:rPr>
            </w:r>
          </w:p>
        </w:tc>
        <w:tc>
          <w:tcPr>
            <w:tcW w:w="1027" w:type="dxa"/>
            <w:shd w:val="clear" w:color="auto" w:fill="D9D9D9"/>
          </w:tcPr>
          <w:p>
            <w:pPr>
              <w:pStyle w:val="TableParagraph"/>
              <w:ind w:left="129" w:right="128" w:firstLine="1"/>
              <w:rPr>
                <w:rFonts w:ascii="Calibri"/>
                <w:sz w:val="18"/>
              </w:rPr>
            </w:pPr>
            <w:r>
              <w:rPr>
                <w:rFonts w:ascii="Calibri"/>
                <w:sz w:val="18"/>
              </w:rPr>
              <w:t>En   desacuerd o</w:t>
            </w:r>
          </w:p>
        </w:tc>
        <w:tc>
          <w:tcPr>
            <w:tcW w:w="1114" w:type="dxa"/>
          </w:tcPr>
          <w:p>
            <w:pPr>
              <w:pStyle w:val="TableParagraph"/>
              <w:ind w:left="124" w:right="107" w:firstLine="151"/>
              <w:jc w:val="left"/>
              <w:rPr>
                <w:rFonts w:ascii="Calibri"/>
                <w:sz w:val="18"/>
              </w:rPr>
            </w:pPr>
            <w:r>
              <w:rPr>
                <w:rFonts w:ascii="Calibri"/>
                <w:sz w:val="18"/>
              </w:rPr>
              <w:t>Muy en desacuerdo</w:t>
            </w:r>
          </w:p>
          <w:p>
            <w:pPr>
              <w:pStyle w:val="TableParagraph"/>
              <w:ind w:left="413"/>
              <w:jc w:val="left"/>
              <w:rPr>
                <w:rFonts w:ascii="Calibri"/>
                <w:sz w:val="20"/>
              </w:rPr>
            </w:pPr>
            <w:r>
              <w:rPr>
                <w:rFonts w:ascii="Calibri"/>
                <w:sz w:val="20"/>
              </w:rPr>
              <w:drawing>
                <wp:inline distT="0" distB="0" distL="0" distR="0">
                  <wp:extent cx="169548" cy="168020"/>
                  <wp:effectExtent l="0" t="0" r="0" b="0"/>
                  <wp:docPr id="221" name="image70.png" descr=""/>
                  <wp:cNvGraphicFramePr>
                    <a:graphicFrameLocks noChangeAspect="1"/>
                  </wp:cNvGraphicFramePr>
                  <a:graphic>
                    <a:graphicData uri="http://schemas.openxmlformats.org/drawingml/2006/picture">
                      <pic:pic>
                        <pic:nvPicPr>
                          <pic:cNvPr id="222" name="image70.png"/>
                          <pic:cNvPicPr/>
                        </pic:nvPicPr>
                        <pic:blipFill>
                          <a:blip r:embed="rId139" cstate="print"/>
                          <a:stretch>
                            <a:fillRect/>
                          </a:stretch>
                        </pic:blipFill>
                        <pic:spPr>
                          <a:xfrm>
                            <a:off x="0" y="0"/>
                            <a:ext cx="169548" cy="168020"/>
                          </a:xfrm>
                          <a:prstGeom prst="rect">
                            <a:avLst/>
                          </a:prstGeom>
                        </pic:spPr>
                      </pic:pic>
                    </a:graphicData>
                  </a:graphic>
                </wp:inline>
              </w:drawing>
            </w:r>
            <w:r>
              <w:rPr>
                <w:rFonts w:ascii="Calibri"/>
                <w:sz w:val="20"/>
              </w:rPr>
            </w:r>
          </w:p>
          <w:p>
            <w:pPr>
              <w:pStyle w:val="TableParagraph"/>
              <w:spacing w:before="6"/>
              <w:jc w:val="left"/>
              <w:rPr>
                <w:rFonts w:ascii="Calibri"/>
                <w:sz w:val="18"/>
              </w:rPr>
            </w:pPr>
          </w:p>
        </w:tc>
      </w:tr>
    </w:tbl>
    <w:p>
      <w:pPr>
        <w:spacing w:after="0"/>
        <w:jc w:val="left"/>
        <w:rPr>
          <w:rFonts w:ascii="Calibri"/>
          <w:sz w:val="18"/>
        </w:rPr>
        <w:sectPr>
          <w:headerReference w:type="default" r:id="rId140"/>
          <w:footerReference w:type="default" r:id="rId141"/>
          <w:pgSz w:w="12240" w:h="15840"/>
          <w:pgMar w:header="0" w:footer="734" w:top="1500" w:bottom="920" w:left="1600" w:right="1360"/>
        </w:sectPr>
      </w:pPr>
    </w:p>
    <w:p>
      <w:pPr>
        <w:pStyle w:val="BodyText"/>
        <w:spacing w:before="4"/>
        <w:rPr>
          <w:rFonts w:ascii="Times New Roman"/>
          <w:sz w:val="17"/>
        </w:rPr>
      </w:pPr>
      <w:r>
        <w:rPr/>
        <w:drawing>
          <wp:anchor distT="0" distB="0" distL="0" distR="0" allowOverlap="1" layoutInCell="1" locked="0" behindDoc="0" simplePos="0" relativeHeight="4912">
            <wp:simplePos x="0" y="0"/>
            <wp:positionH relativeFrom="page">
              <wp:posOffset>0</wp:posOffset>
            </wp:positionH>
            <wp:positionV relativeFrom="page">
              <wp:posOffset>488950</wp:posOffset>
            </wp:positionV>
            <wp:extent cx="7569200" cy="9715500"/>
            <wp:effectExtent l="0" t="0" r="0" b="0"/>
            <wp:wrapNone/>
            <wp:docPr id="223" name="image71.jpeg" descr=""/>
            <wp:cNvGraphicFramePr>
              <a:graphicFrameLocks noChangeAspect="1"/>
            </wp:cNvGraphicFramePr>
            <a:graphic>
              <a:graphicData uri="http://schemas.openxmlformats.org/drawingml/2006/picture">
                <pic:pic>
                  <pic:nvPicPr>
                    <pic:cNvPr id="224" name="image71.jpeg"/>
                    <pic:cNvPicPr/>
                  </pic:nvPicPr>
                  <pic:blipFill>
                    <a:blip r:embed="rId144" cstate="print"/>
                    <a:stretch>
                      <a:fillRect/>
                    </a:stretch>
                  </pic:blipFill>
                  <pic:spPr>
                    <a:xfrm>
                      <a:off x="0" y="0"/>
                      <a:ext cx="7569200" cy="9715500"/>
                    </a:xfrm>
                    <a:prstGeom prst="rect">
                      <a:avLst/>
                    </a:prstGeom>
                  </pic:spPr>
                </pic:pic>
              </a:graphicData>
            </a:graphic>
          </wp:anchor>
        </w:drawing>
      </w:r>
    </w:p>
    <w:sectPr>
      <w:headerReference w:type="default" r:id="rId142"/>
      <w:footerReference w:type="default" r:id="rId143"/>
      <w:pgSz w:w="11920" w:h="16840"/>
      <w:pgMar w:header="0" w:footer="0" w:top="760" w:bottom="2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Arabic Typesetting">
    <w:altName w:val="Arabic Typesetting"/>
    <w:charset w:val="0"/>
    <w:family w:val="script"/>
    <w:pitch w:val="variable"/>
  </w:font>
  <w:font w:name="Calibri">
    <w:altName w:val="Calibri"/>
    <w:charset w:val="0"/>
    <w:family w:val="swiss"/>
    <w:pitch w:val="variable"/>
  </w:font>
  <w:font w:name="Calibri Light">
    <w:altName w:val="Calibri Light"/>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8.630005pt;margin-top:730.856018pt;width:9.1pt;height:13.05pt;mso-position-horizontal-relative:page;mso-position-vertical-relative:page;z-index:-249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5.3pt;height:13.05pt;mso-position-horizontal-relative:page;mso-position-vertical-relative:page;z-index:-249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5.3pt;height:13.05pt;mso-position-horizontal-relative:page;mso-position-vertical-relative:page;z-index:-248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320007pt;margin-top:730.856018pt;width:13.3pt;height:13.05pt;mso-position-horizontal-relative:page;mso-position-vertical-relative:page;z-index:-248920"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5.3pt;height:13.05pt;mso-position-horizontal-relative:page;mso-position-vertical-relative:page;z-index:-248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5.3pt;height:13.05pt;mso-position-horizontal-relative:page;mso-position-vertical-relative:page;z-index:-248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44</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320007pt;margin-top:730.856018pt;width:13.3pt;height:13.05pt;mso-position-horizontal-relative:page;mso-position-vertical-relative:page;z-index:-24880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5.3pt;height:13.05pt;mso-position-horizontal-relative:page;mso-position-vertical-relative:page;z-index:-248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320007pt;margin-top:730.856018pt;width:13.3pt;height:13.05pt;mso-position-horizontal-relative:page;mso-position-vertical-relative:page;z-index:-24875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029999pt;margin-top:730.856018pt;width:19.9pt;height:13.05pt;mso-position-horizontal-relative:page;mso-position-vertical-relative:page;z-index:-249280" type="#_x0000_t202" filled="false" stroked="false">
          <v:textbox inset="0,0,0,0">
            <w:txbxContent>
              <w:p>
                <w:pPr>
                  <w:spacing w:line="245" w:lineRule="exact" w:before="0"/>
                  <w:ind w:left="205" w:right="0" w:firstLine="0"/>
                  <w:jc w:val="left"/>
                  <w:rPr>
                    <w:rFonts w:ascii="Calibri"/>
                    <w:sz w:val="22"/>
                  </w:rPr>
                </w:pPr>
                <w:r>
                  <w:rPr/>
                  <w:fldChar w:fldCharType="begin"/>
                </w:r>
                <w:r>
                  <w:rPr>
                    <w:rFonts w:ascii="Calibri"/>
                    <w:sz w:val="22"/>
                  </w:rPr>
                  <w:instrText> PAGE  \* roman </w:instrText>
                </w:r>
                <w:r>
                  <w:rPr/>
                  <w:fldChar w:fldCharType="separate"/>
                </w:r>
                <w:r>
                  <w:rPr/>
                  <w:t>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5.3pt;height:13.05pt;mso-position-horizontal-relative:page;mso-position-vertical-relative:page;z-index:-248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320007pt;margin-top:730.856018pt;width:13.3pt;height:13.05pt;mso-position-horizontal-relative:page;mso-position-vertical-relative:page;z-index:-24870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5.3pt;height:13.05pt;mso-position-horizontal-relative:page;mso-position-vertical-relative:page;z-index:-248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320007pt;margin-top:730.856018pt;width:13.3pt;height:13.05pt;mso-position-horizontal-relative:page;mso-position-vertical-relative:page;z-index:-248656"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320007pt;margin-top:730.856018pt;width:13.3pt;height:13.05pt;mso-position-horizontal-relative:page;mso-position-vertical-relative:page;z-index:-248632" type="#_x0000_t202" filled="false" stroked="false">
          <v:textbox inset="0,0,0,0">
            <w:txbxContent>
              <w:p>
                <w:pPr>
                  <w:spacing w:line="245" w:lineRule="exact" w:before="0"/>
                  <w:ind w:left="20" w:right="0" w:firstLine="0"/>
                  <w:jc w:val="left"/>
                  <w:rPr>
                    <w:rFonts w:ascii="Calibri"/>
                    <w:sz w:val="22"/>
                  </w:rPr>
                </w:pPr>
                <w:r>
                  <w:rPr>
                    <w:rFonts w:ascii="Calibri"/>
                    <w:sz w:val="22"/>
                  </w:rPr>
                  <w:t>81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5.3pt;height:13.05pt;mso-position-horizontal-relative:page;mso-position-vertical-relative:page;z-index:-248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5.3pt;height:13.05pt;mso-position-horizontal-relative:page;mso-position-vertical-relative:page;z-index:-248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86</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709991pt;margin-top:730.856018pt;width:16.650pt;height:13.05pt;mso-position-horizontal-relative:page;mso-position-vertical-relative:page;z-index:-249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4.3pt;height:13.05pt;mso-position-horizontal-relative:page;mso-position-vertical-relative:page;z-index:-2484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w:t>
                </w:r>
                <w:r>
                  <w:rPr/>
                  <w:fldChar w:fldCharType="end"/>
                </w:r>
                <w:r>
                  <w:rPr>
                    <w:rFonts w:ascii="Calibri"/>
                    <w:sz w:val="22"/>
                  </w:rPr>
                  <w:t>9</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5.3pt;height:13.05pt;mso-position-horizontal-relative:page;mso-position-vertical-relative:page;z-index:-248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75pt;margin-top:730.856018pt;width:39.2pt;height:13.05pt;mso-position-horizontal-relative:page;mso-position-vertical-relative:page;z-index:-248368" type="#_x0000_t202" filled="false" stroked="false">
          <v:textbox inset="0,0,0,0">
            <w:txbxContent>
              <w:p>
                <w:pPr>
                  <w:spacing w:line="245" w:lineRule="exact" w:before="0"/>
                  <w:ind w:left="20" w:right="0" w:firstLine="0"/>
                  <w:jc w:val="left"/>
                  <w:rPr>
                    <w:rFonts w:ascii="Calibri"/>
                    <w:sz w:val="22"/>
                  </w:rPr>
                </w:pPr>
                <w:r>
                  <w:rPr>
                    <w:rFonts w:ascii="Calibri"/>
                    <w:sz w:val="22"/>
                  </w:rPr>
                  <w:t>Anexo A</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75pt;margin-top:730.856018pt;width:39.2pt;height:13.05pt;mso-position-horizontal-relative:page;mso-position-vertical-relative:page;z-index:-248344" type="#_x0000_t202" filled="false" stroked="false">
          <v:textbox inset="0,0,0,0">
            <w:txbxContent>
              <w:p>
                <w:pPr>
                  <w:spacing w:line="245" w:lineRule="exact" w:before="0"/>
                  <w:ind w:left="20" w:right="0" w:firstLine="0"/>
                  <w:jc w:val="left"/>
                  <w:rPr>
                    <w:rFonts w:ascii="Calibri"/>
                    <w:sz w:val="22"/>
                  </w:rPr>
                </w:pPr>
                <w:r>
                  <w:rPr>
                    <w:rFonts w:ascii="Calibri"/>
                    <w:sz w:val="22"/>
                  </w:rPr>
                  <w:t>Anexo A</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989990pt;margin-top:730.856018pt;width:38.75pt;height:13.05pt;mso-position-horizontal-relative:page;mso-position-vertical-relative:page;z-index:-248320" type="#_x0000_t202" filled="false" stroked="false">
          <v:textbox inset="0,0,0,0">
            <w:txbxContent>
              <w:p>
                <w:pPr>
                  <w:spacing w:line="245" w:lineRule="exact" w:before="0"/>
                  <w:ind w:left="20" w:right="0" w:firstLine="0"/>
                  <w:jc w:val="left"/>
                  <w:rPr>
                    <w:rFonts w:ascii="Calibri"/>
                    <w:sz w:val="22"/>
                  </w:rPr>
                </w:pPr>
                <w:r>
                  <w:rPr>
                    <w:rFonts w:ascii="Calibri"/>
                    <w:sz w:val="22"/>
                  </w:rPr>
                  <w:t>Anexo B</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989990pt;margin-top:730.856018pt;width:38.75pt;height:13.05pt;mso-position-horizontal-relative:page;mso-position-vertical-relative:page;z-index:-248296" type="#_x0000_t202" filled="false" stroked="false">
          <v:textbox inset="0,0,0,0">
            <w:txbxContent>
              <w:p>
                <w:pPr>
                  <w:spacing w:line="245" w:lineRule="exact" w:before="0"/>
                  <w:ind w:left="20" w:right="0" w:firstLine="0"/>
                  <w:jc w:val="left"/>
                  <w:rPr>
                    <w:rFonts w:ascii="Calibri"/>
                    <w:sz w:val="22"/>
                  </w:rPr>
                </w:pPr>
                <w:r>
                  <w:rPr>
                    <w:rFonts w:ascii="Calibri"/>
                    <w:sz w:val="22"/>
                  </w:rPr>
                  <w:t>Anexo B</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989990pt;margin-top:730.856018pt;width:38.6pt;height:13.05pt;mso-position-horizontal-relative:page;mso-position-vertical-relative:page;z-index:-248272" type="#_x0000_t202" filled="false" stroked="false">
          <v:textbox inset="0,0,0,0">
            <w:txbxContent>
              <w:p>
                <w:pPr>
                  <w:spacing w:line="245" w:lineRule="exact" w:before="0"/>
                  <w:ind w:left="20" w:right="0" w:firstLine="0"/>
                  <w:jc w:val="left"/>
                  <w:rPr>
                    <w:rFonts w:ascii="Calibri"/>
                    <w:sz w:val="22"/>
                  </w:rPr>
                </w:pPr>
                <w:r>
                  <w:rPr>
                    <w:rFonts w:ascii="Calibri"/>
                    <w:sz w:val="22"/>
                  </w:rPr>
                  <w:t>Anexo C</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989990pt;margin-top:730.856018pt;width:38.6pt;height:13.05pt;mso-position-horizontal-relative:page;mso-position-vertical-relative:page;z-index:-248248" type="#_x0000_t202" filled="false" stroked="false">
          <v:textbox inset="0,0,0,0">
            <w:txbxContent>
              <w:p>
                <w:pPr>
                  <w:spacing w:line="245" w:lineRule="exact" w:before="0"/>
                  <w:ind w:left="20" w:right="0" w:firstLine="0"/>
                  <w:jc w:val="left"/>
                  <w:rPr>
                    <w:rFonts w:ascii="Calibri"/>
                    <w:sz w:val="22"/>
                  </w:rPr>
                </w:pPr>
                <w:r>
                  <w:rPr>
                    <w:rFonts w:ascii="Calibri"/>
                    <w:sz w:val="22"/>
                  </w:rPr>
                  <w:t>Anexo C</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510010pt;margin-top:744.296021pt;width:39.5pt;height:13.05pt;mso-position-horizontal-relative:page;mso-position-vertical-relative:page;z-index:-248224" type="#_x0000_t202" filled="false" stroked="false">
          <v:textbox inset="0,0,0,0">
            <w:txbxContent>
              <w:p>
                <w:pPr>
                  <w:spacing w:line="245" w:lineRule="exact" w:before="0"/>
                  <w:ind w:left="20" w:right="0" w:firstLine="0"/>
                  <w:jc w:val="left"/>
                  <w:rPr>
                    <w:rFonts w:ascii="Calibri"/>
                    <w:sz w:val="22"/>
                  </w:rPr>
                </w:pPr>
                <w:r>
                  <w:rPr>
                    <w:rFonts w:ascii="Calibri"/>
                    <w:sz w:val="22"/>
                  </w:rPr>
                  <w:t>Anexo D</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350006pt;margin-top:730.856018pt;width:11.3pt;height:13.05pt;mso-position-horizontal-relative:page;mso-position-vertical-relative:page;z-index:-249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ix</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510010pt;margin-top:744.296021pt;width:39.5pt;height:13.05pt;mso-position-horizontal-relative:page;mso-position-vertical-relative:page;z-index:-248200" type="#_x0000_t202" filled="false" stroked="false">
          <v:textbox inset="0,0,0,0">
            <w:txbxContent>
              <w:p>
                <w:pPr>
                  <w:spacing w:line="245" w:lineRule="exact" w:before="0"/>
                  <w:ind w:left="20" w:right="0" w:firstLine="0"/>
                  <w:jc w:val="left"/>
                  <w:rPr>
                    <w:rFonts w:ascii="Calibri"/>
                    <w:sz w:val="22"/>
                  </w:rPr>
                </w:pPr>
                <w:r>
                  <w:rPr>
                    <w:rFonts w:ascii="Calibri"/>
                    <w:sz w:val="22"/>
                  </w:rPr>
                  <w:t>Anexo D</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390015pt;margin-top:730.856018pt;width:9.6pt;height:13.05pt;mso-position-horizontal-relative:page;mso-position-vertical-relative:page;z-index:-249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960022pt;margin-top:730.856018pt;width:9.6pt;height:13.05pt;mso-position-horizontal-relative:page;mso-position-vertical-relative:page;z-index:-249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6</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320007pt;margin-top:730.856018pt;width:13.3pt;height:13.05pt;mso-position-horizontal-relative:page;mso-position-vertical-relative:page;z-index:-24911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320007pt;margin-top:730.856018pt;width:15.3pt;height:13.05pt;mso-position-horizontal-relative:page;mso-position-vertical-relative:page;z-index:-249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36.439999pt;width:95.3pt;height:13.05pt;mso-position-horizontal-relative:page;mso-position-vertical-relative:page;z-index:-249184" type="#_x0000_t202" filled="false" stroked="false">
          <v:textbox inset="0,0,0,0">
            <w:txbxContent>
              <w:p>
                <w:pPr>
                  <w:spacing w:line="245" w:lineRule="exact" w:before="0"/>
                  <w:ind w:left="20" w:right="0" w:firstLine="0"/>
                  <w:jc w:val="left"/>
                  <w:rPr>
                    <w:rFonts w:ascii="Calibri" w:hAnsi="Calibri"/>
                    <w:i/>
                    <w:sz w:val="22"/>
                  </w:rPr>
                </w:pPr>
                <w:r>
                  <w:rPr>
                    <w:rFonts w:ascii="Calibri" w:hAnsi="Calibri"/>
                    <w:i/>
                    <w:sz w:val="22"/>
                  </w:rPr>
                  <w:t>García, J. Actitudes...</w:t>
                </w:r>
              </w:p>
            </w:txbxContent>
          </v:textbox>
          <w10:wrap type="none"/>
        </v:shape>
      </w:pict>
    </w:r>
    <w:r>
      <w:rPr/>
      <w:pict>
        <v:shape style="position:absolute;margin-left:453.540009pt;margin-top:36.439999pt;width:102.35pt;height:13.05pt;mso-position-horizontal-relative:page;mso-position-vertical-relative:page;z-index:-249160" type="#_x0000_t202" filled="false" stroked="false">
          <v:textbox inset="0,0,0,0">
            <w:txbxContent>
              <w:p>
                <w:pPr>
                  <w:spacing w:line="245" w:lineRule="exact" w:before="0"/>
                  <w:ind w:left="20" w:right="-1" w:firstLine="0"/>
                  <w:jc w:val="left"/>
                  <w:rPr>
                    <w:rFonts w:ascii="Calibri" w:hAnsi="Calibri"/>
                    <w:i/>
                    <w:sz w:val="22"/>
                  </w:rPr>
                </w:pPr>
                <w:r>
                  <w:rPr>
                    <w:rFonts w:ascii="Calibri" w:hAnsi="Calibri"/>
                    <w:i/>
                    <w:sz w:val="22"/>
                  </w:rPr>
                  <w:t>Capítulo 1 Anglicismos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36.439999pt;width:94.55pt;height:13.05pt;mso-position-horizontal-relative:page;mso-position-vertical-relative:page;z-index:-248536" type="#_x0000_t202" filled="false" stroked="false">
          <v:textbox inset="0,0,0,0">
            <w:txbxContent>
              <w:p>
                <w:pPr>
                  <w:spacing w:line="245" w:lineRule="exact" w:before="0"/>
                  <w:ind w:left="20" w:right="0" w:firstLine="0"/>
                  <w:jc w:val="left"/>
                  <w:rPr>
                    <w:rFonts w:ascii="Calibri" w:hAnsi="Calibri"/>
                    <w:i/>
                    <w:sz w:val="22"/>
                  </w:rPr>
                </w:pPr>
                <w:r>
                  <w:rPr>
                    <w:rFonts w:ascii="Calibri" w:hAnsi="Calibri"/>
                    <w:i/>
                    <w:sz w:val="22"/>
                  </w:rPr>
                  <w:t>García, J. Actitudes…</w:t>
                </w:r>
              </w:p>
            </w:txbxContent>
          </v:textbox>
          <w10:wrap type="none"/>
        </v:shape>
      </w:pict>
    </w:r>
    <w:r>
      <w:rPr/>
      <w:pict>
        <v:shape style="position:absolute;margin-left:468.540009pt;margin-top:36.439999pt;width:59.45pt;height:13.05pt;mso-position-horizontal-relative:page;mso-position-vertical-relative:page;z-index:-248512" type="#_x0000_t202" filled="false" stroked="false">
          <v:textbox inset="0,0,0,0">
            <w:txbxContent>
              <w:p>
                <w:pPr>
                  <w:spacing w:line="245" w:lineRule="exact" w:before="0"/>
                  <w:ind w:left="20" w:right="0" w:firstLine="0"/>
                  <w:jc w:val="left"/>
                  <w:rPr>
                    <w:rFonts w:ascii="Calibri"/>
                    <w:i/>
                    <w:sz w:val="22"/>
                  </w:rPr>
                </w:pPr>
                <w:r>
                  <w:rPr>
                    <w:rFonts w:ascii="Calibri"/>
                    <w:i/>
                    <w:sz w:val="22"/>
                  </w:rPr>
                  <w:t>Conclusiones</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36.439999pt;width:94.55pt;height:13.05pt;mso-position-horizontal-relative:page;mso-position-vertical-relative:page;z-index:-248464" type="#_x0000_t202" filled="false" stroked="false">
          <v:textbox inset="0,0,0,0">
            <w:txbxContent>
              <w:p>
                <w:pPr>
                  <w:spacing w:line="245" w:lineRule="exact" w:before="0"/>
                  <w:ind w:left="20" w:right="0" w:firstLine="0"/>
                  <w:jc w:val="left"/>
                  <w:rPr>
                    <w:rFonts w:ascii="Calibri" w:hAnsi="Calibri"/>
                    <w:i/>
                    <w:sz w:val="22"/>
                  </w:rPr>
                </w:pPr>
                <w:r>
                  <w:rPr>
                    <w:rFonts w:ascii="Calibri" w:hAnsi="Calibri"/>
                    <w:i/>
                    <w:sz w:val="22"/>
                  </w:rPr>
                  <w:t>García, J. Actitudes…</w:t>
                </w:r>
              </w:p>
            </w:txbxContent>
          </v:textbox>
          <w10:wrap type="none"/>
        </v:shape>
      </w:pict>
    </w:r>
    <w:r>
      <w:rPr/>
      <w:pict>
        <v:shape style="position:absolute;margin-left:474.420013pt;margin-top:36.439999pt;width:53.7pt;height:13.05pt;mso-position-horizontal-relative:page;mso-position-vertical-relative:page;z-index:-248440" type="#_x0000_t202" filled="false" stroked="false">
          <v:textbox inset="0,0,0,0">
            <w:txbxContent>
              <w:p>
                <w:pPr>
                  <w:spacing w:line="245" w:lineRule="exact" w:before="0"/>
                  <w:ind w:left="20" w:right="0" w:firstLine="0"/>
                  <w:jc w:val="left"/>
                  <w:rPr>
                    <w:rFonts w:ascii="Calibri"/>
                    <w:i/>
                    <w:sz w:val="22"/>
                  </w:rPr>
                </w:pPr>
                <w:r>
                  <w:rPr>
                    <w:rFonts w:ascii="Calibri"/>
                    <w:i/>
                    <w:sz w:val="22"/>
                  </w:rPr>
                  <w:t>Referencias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36.439999pt;width:95.3pt;height:13.05pt;mso-position-horizontal-relative:page;mso-position-vertical-relative:page;z-index:-249064" type="#_x0000_t202" filled="false" stroked="false">
          <v:textbox inset="0,0,0,0">
            <w:txbxContent>
              <w:p>
                <w:pPr>
                  <w:spacing w:line="245" w:lineRule="exact" w:before="0"/>
                  <w:ind w:left="20" w:right="0" w:firstLine="0"/>
                  <w:jc w:val="left"/>
                  <w:rPr>
                    <w:rFonts w:ascii="Calibri" w:hAnsi="Calibri"/>
                    <w:i/>
                    <w:sz w:val="22"/>
                  </w:rPr>
                </w:pPr>
                <w:r>
                  <w:rPr>
                    <w:rFonts w:ascii="Calibri" w:hAnsi="Calibri"/>
                    <w:i/>
                    <w:sz w:val="22"/>
                  </w:rPr>
                  <w:t>García, J. Actitudes...</w:t>
                </w:r>
              </w:p>
            </w:txbxContent>
          </v:textbox>
          <w10:wrap type="none"/>
        </v:shape>
      </w:pict>
    </w:r>
    <w:r>
      <w:rPr/>
      <w:pict>
        <v:shape style="position:absolute;margin-left:356.549988pt;margin-top:36.439999pt;width:197.9pt;height:13.05pt;mso-position-horizontal-relative:page;mso-position-vertical-relative:page;z-index:-249040" type="#_x0000_t202" filled="false" stroked="false">
          <v:textbox inset="0,0,0,0">
            <w:txbxContent>
              <w:p>
                <w:pPr>
                  <w:spacing w:line="245" w:lineRule="exact" w:before="0"/>
                  <w:ind w:left="20" w:right="-4" w:firstLine="0"/>
                  <w:jc w:val="left"/>
                  <w:rPr>
                    <w:rFonts w:ascii="Calibri" w:hAnsi="Calibri"/>
                    <w:i/>
                    <w:sz w:val="22"/>
                  </w:rPr>
                </w:pPr>
                <w:r>
                  <w:rPr>
                    <w:rFonts w:ascii="Calibri" w:hAnsi="Calibri"/>
                    <w:i/>
                    <w:sz w:val="22"/>
                  </w:rPr>
                  <w:t>Capítulo 2 Actitudes y Creencias Lingüísticas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36.439999pt;width:95.3pt;height:13.05pt;mso-position-horizontal-relative:page;mso-position-vertical-relative:page;z-index:-248992" type="#_x0000_t202" filled="false" stroked="false">
          <v:textbox inset="0,0,0,0">
            <w:txbxContent>
              <w:p>
                <w:pPr>
                  <w:spacing w:line="245" w:lineRule="exact" w:before="0"/>
                  <w:ind w:left="20" w:right="0" w:firstLine="0"/>
                  <w:jc w:val="left"/>
                  <w:rPr>
                    <w:rFonts w:ascii="Calibri" w:hAnsi="Calibri"/>
                    <w:i/>
                    <w:sz w:val="22"/>
                  </w:rPr>
                </w:pPr>
                <w:r>
                  <w:rPr>
                    <w:rFonts w:ascii="Calibri" w:hAnsi="Calibri"/>
                    <w:i/>
                    <w:sz w:val="22"/>
                  </w:rPr>
                  <w:t>García, J. Actitudes...</w:t>
                </w:r>
              </w:p>
            </w:txbxContent>
          </v:textbox>
          <w10:wrap type="none"/>
        </v:shape>
      </w:pict>
    </w:r>
    <w:r>
      <w:rPr/>
      <w:pict>
        <v:shape style="position:absolute;margin-left:324.149994pt;margin-top:36.439999pt;width:232.2pt;height:13.05pt;mso-position-horizontal-relative:page;mso-position-vertical-relative:page;z-index:-248968" type="#_x0000_t202" filled="false" stroked="false">
          <v:textbox inset="0,0,0,0">
            <w:txbxContent>
              <w:p>
                <w:pPr>
                  <w:spacing w:line="245" w:lineRule="exact" w:before="0"/>
                  <w:ind w:left="20" w:right="-2" w:firstLine="0"/>
                  <w:jc w:val="left"/>
                  <w:rPr>
                    <w:rFonts w:ascii="Calibri" w:hAnsi="Calibri"/>
                    <w:i/>
                    <w:sz w:val="22"/>
                  </w:rPr>
                </w:pPr>
                <w:r>
                  <w:rPr>
                    <w:rFonts w:ascii="Calibri" w:hAnsi="Calibri"/>
                    <w:i/>
                    <w:sz w:val="22"/>
                  </w:rPr>
                  <w:t>Capítulo 3 Diseño y Metodología de la Investigación</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36.439999pt;width:95.3pt;height:13.05pt;mso-position-horizontal-relative:page;mso-position-vertical-relative:page;z-index:-248872" type="#_x0000_t202" filled="false" stroked="false">
          <v:textbox inset="0,0,0,0">
            <w:txbxContent>
              <w:p>
                <w:pPr>
                  <w:spacing w:line="245" w:lineRule="exact" w:before="0"/>
                  <w:ind w:left="20" w:right="0" w:firstLine="0"/>
                  <w:jc w:val="left"/>
                  <w:rPr>
                    <w:rFonts w:ascii="Calibri" w:hAnsi="Calibri"/>
                    <w:i/>
                    <w:sz w:val="22"/>
                  </w:rPr>
                </w:pPr>
                <w:r>
                  <w:rPr>
                    <w:rFonts w:ascii="Calibri" w:hAnsi="Calibri"/>
                    <w:i/>
                    <w:sz w:val="22"/>
                  </w:rPr>
                  <w:t>García, J. Actitudes...</w:t>
                </w:r>
              </w:p>
            </w:txbxContent>
          </v:textbox>
          <w10:wrap type="none"/>
        </v:shape>
      </w:pict>
    </w:r>
    <w:r>
      <w:rPr/>
      <w:pict>
        <v:shape style="position:absolute;margin-left:334.109985pt;margin-top:36.439999pt;width:221.7pt;height:13.05pt;mso-position-horizontal-relative:page;mso-position-vertical-relative:page;z-index:-248848" type="#_x0000_t202" filled="false" stroked="false">
          <v:textbox inset="0,0,0,0">
            <w:txbxContent>
              <w:p>
                <w:pPr>
                  <w:spacing w:line="245" w:lineRule="exact" w:before="0"/>
                  <w:ind w:left="20" w:right="-1" w:firstLine="0"/>
                  <w:jc w:val="left"/>
                  <w:rPr>
                    <w:rFonts w:ascii="Calibri" w:hAnsi="Calibri"/>
                    <w:i/>
                    <w:sz w:val="22"/>
                  </w:rPr>
                </w:pPr>
                <w:r>
                  <w:rPr>
                    <w:rFonts w:ascii="Calibri" w:hAnsi="Calibri"/>
                    <w:i/>
                    <w:sz w:val="22"/>
                  </w:rPr>
                  <w:t>Capítulo 4 Análisis e Interpretación de Resultados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36.439999pt;width:95.3pt;height:13.05pt;mso-position-horizontal-relative:page;mso-position-vertical-relative:page;z-index:-248608" type="#_x0000_t202" filled="false" stroked="false">
          <v:textbox inset="0,0,0,0">
            <w:txbxContent>
              <w:p>
                <w:pPr>
                  <w:spacing w:line="245" w:lineRule="exact" w:before="0"/>
                  <w:ind w:left="20" w:right="0" w:firstLine="0"/>
                  <w:jc w:val="left"/>
                  <w:rPr>
                    <w:rFonts w:ascii="Calibri" w:hAnsi="Calibri"/>
                    <w:i/>
                    <w:sz w:val="22"/>
                  </w:rPr>
                </w:pPr>
                <w:r>
                  <w:rPr>
                    <w:rFonts w:ascii="Calibri" w:hAnsi="Calibri"/>
                    <w:i/>
                    <w:sz w:val="22"/>
                  </w:rPr>
                  <w:t>García, J. Actitudes...</w:t>
                </w:r>
              </w:p>
            </w:txbxContent>
          </v:textbox>
          <w10:wrap type="none"/>
        </v:shape>
      </w:pict>
    </w:r>
    <w:r>
      <w:rPr/>
      <w:pict>
        <v:shape style="position:absolute;margin-left:510.779999pt;margin-top:36.439999pt;width:43.85pt;height:13.05pt;mso-position-horizontal-relative:page;mso-position-vertical-relative:page;z-index:-248584" type="#_x0000_t202" filled="false" stroked="false">
          <v:textbox inset="0,0,0,0">
            <w:txbxContent>
              <w:p>
                <w:pPr>
                  <w:spacing w:line="245" w:lineRule="exact" w:before="0"/>
                  <w:ind w:left="20" w:right="-2" w:firstLine="0"/>
                  <w:jc w:val="left"/>
                  <w:rPr>
                    <w:rFonts w:ascii="Calibri" w:hAnsi="Calibri"/>
                    <w:i/>
                    <w:sz w:val="22"/>
                  </w:rPr>
                </w:pPr>
                <w:r>
                  <w:rPr>
                    <w:rFonts w:ascii="Calibri" w:hAnsi="Calibri"/>
                    <w:i/>
                    <w:sz w:val="22"/>
                  </w:rPr>
                  <w:t>Discusión</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3"/>
      <w:numFmt w:val="decimal"/>
      <w:lvlText w:val="%1"/>
      <w:lvlJc w:val="left"/>
      <w:pPr>
        <w:ind w:left="1479" w:hanging="670"/>
        <w:jc w:val="left"/>
      </w:pPr>
      <w:rPr>
        <w:rFonts w:hint="default"/>
      </w:rPr>
    </w:lvl>
    <w:lvl w:ilvl="1">
      <w:start w:val="1"/>
      <w:numFmt w:val="decimal"/>
      <w:lvlText w:val="%1.%2"/>
      <w:lvlJc w:val="left"/>
      <w:pPr>
        <w:ind w:left="1479" w:hanging="670"/>
        <w:jc w:val="left"/>
      </w:pPr>
      <w:rPr>
        <w:rFonts w:hint="default"/>
      </w:rPr>
    </w:lvl>
    <w:lvl w:ilvl="2">
      <w:start w:val="1"/>
      <w:numFmt w:val="decimal"/>
      <w:lvlText w:val="%1.%2.%3."/>
      <w:lvlJc w:val="left"/>
      <w:pPr>
        <w:ind w:left="1479" w:hanging="670"/>
        <w:jc w:val="left"/>
      </w:pPr>
      <w:rPr>
        <w:rFonts w:hint="default" w:ascii="Arial" w:hAnsi="Arial" w:eastAsia="Arial" w:cs="Arial"/>
        <w:b/>
        <w:bCs/>
        <w:spacing w:val="-2"/>
        <w:w w:val="99"/>
        <w:sz w:val="24"/>
        <w:szCs w:val="24"/>
      </w:rPr>
    </w:lvl>
    <w:lvl w:ilvl="3">
      <w:start w:val="1"/>
      <w:numFmt w:val="bullet"/>
      <w:lvlText w:val="•"/>
      <w:lvlJc w:val="left"/>
      <w:pPr>
        <w:ind w:left="3922" w:hanging="670"/>
      </w:pPr>
      <w:rPr>
        <w:rFonts w:hint="default"/>
      </w:rPr>
    </w:lvl>
    <w:lvl w:ilvl="4">
      <w:start w:val="1"/>
      <w:numFmt w:val="bullet"/>
      <w:lvlText w:val="•"/>
      <w:lvlJc w:val="left"/>
      <w:pPr>
        <w:ind w:left="4736" w:hanging="670"/>
      </w:pPr>
      <w:rPr>
        <w:rFonts w:hint="default"/>
      </w:rPr>
    </w:lvl>
    <w:lvl w:ilvl="5">
      <w:start w:val="1"/>
      <w:numFmt w:val="bullet"/>
      <w:lvlText w:val="•"/>
      <w:lvlJc w:val="left"/>
      <w:pPr>
        <w:ind w:left="5550" w:hanging="670"/>
      </w:pPr>
      <w:rPr>
        <w:rFonts w:hint="default"/>
      </w:rPr>
    </w:lvl>
    <w:lvl w:ilvl="6">
      <w:start w:val="1"/>
      <w:numFmt w:val="bullet"/>
      <w:lvlText w:val="•"/>
      <w:lvlJc w:val="left"/>
      <w:pPr>
        <w:ind w:left="6364" w:hanging="670"/>
      </w:pPr>
      <w:rPr>
        <w:rFonts w:hint="default"/>
      </w:rPr>
    </w:lvl>
    <w:lvl w:ilvl="7">
      <w:start w:val="1"/>
      <w:numFmt w:val="bullet"/>
      <w:lvlText w:val="•"/>
      <w:lvlJc w:val="left"/>
      <w:pPr>
        <w:ind w:left="7178" w:hanging="670"/>
      </w:pPr>
      <w:rPr>
        <w:rFonts w:hint="default"/>
      </w:rPr>
    </w:lvl>
    <w:lvl w:ilvl="8">
      <w:start w:val="1"/>
      <w:numFmt w:val="bullet"/>
      <w:lvlText w:val="•"/>
      <w:lvlJc w:val="left"/>
      <w:pPr>
        <w:ind w:left="7992" w:hanging="670"/>
      </w:pPr>
      <w:rPr>
        <w:rFonts w:hint="default"/>
      </w:rPr>
    </w:lvl>
  </w:abstractNum>
  <w:abstractNum w:abstractNumId="2">
    <w:multiLevelType w:val="hybridMultilevel"/>
    <w:lvl w:ilvl="0">
      <w:start w:val="3"/>
      <w:numFmt w:val="decimal"/>
      <w:lvlText w:val="%1"/>
      <w:lvlJc w:val="left"/>
      <w:pPr>
        <w:ind w:left="572" w:hanging="471"/>
        <w:jc w:val="left"/>
      </w:pPr>
      <w:rPr>
        <w:rFonts w:hint="default"/>
      </w:rPr>
    </w:lvl>
    <w:lvl w:ilvl="1">
      <w:start w:val="1"/>
      <w:numFmt w:val="decimal"/>
      <w:lvlText w:val="%1.%2."/>
      <w:lvlJc w:val="left"/>
      <w:pPr>
        <w:ind w:left="572" w:hanging="471"/>
        <w:jc w:val="left"/>
      </w:pPr>
      <w:rPr>
        <w:rFonts w:hint="default" w:ascii="Arial" w:hAnsi="Arial" w:eastAsia="Arial" w:cs="Arial"/>
        <w:b/>
        <w:bCs/>
        <w:w w:val="99"/>
        <w:sz w:val="24"/>
        <w:szCs w:val="24"/>
      </w:rPr>
    </w:lvl>
    <w:lvl w:ilvl="2">
      <w:start w:val="1"/>
      <w:numFmt w:val="decimal"/>
      <w:lvlText w:val="%3."/>
      <w:lvlJc w:val="left"/>
      <w:pPr>
        <w:ind w:left="822" w:hanging="360"/>
        <w:jc w:val="right"/>
      </w:pPr>
      <w:rPr>
        <w:rFonts w:hint="default" w:ascii="Arial" w:hAnsi="Arial" w:eastAsia="Arial" w:cs="Arial"/>
        <w:b/>
        <w:bCs/>
        <w:w w:val="99"/>
        <w:sz w:val="24"/>
        <w:szCs w:val="24"/>
      </w:rPr>
    </w:lvl>
    <w:lvl w:ilvl="3">
      <w:start w:val="1"/>
      <w:numFmt w:val="bullet"/>
      <w:lvlText w:val="•"/>
      <w:lvlJc w:val="left"/>
      <w:pPr>
        <w:ind w:left="2775"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731" w:hanging="360"/>
      </w:pPr>
      <w:rPr>
        <w:rFonts w:hint="default"/>
      </w:rPr>
    </w:lvl>
    <w:lvl w:ilvl="6">
      <w:start w:val="1"/>
      <w:numFmt w:val="bullet"/>
      <w:lvlText w:val="•"/>
      <w:lvlJc w:val="left"/>
      <w:pPr>
        <w:ind w:left="5708" w:hanging="360"/>
      </w:pPr>
      <w:rPr>
        <w:rFonts w:hint="default"/>
      </w:rPr>
    </w:lvl>
    <w:lvl w:ilvl="7">
      <w:start w:val="1"/>
      <w:numFmt w:val="bullet"/>
      <w:lvlText w:val="•"/>
      <w:lvlJc w:val="left"/>
      <w:pPr>
        <w:ind w:left="6686" w:hanging="360"/>
      </w:pPr>
      <w:rPr>
        <w:rFonts w:hint="default"/>
      </w:rPr>
    </w:lvl>
    <w:lvl w:ilvl="8">
      <w:start w:val="1"/>
      <w:numFmt w:val="bullet"/>
      <w:lvlText w:val="•"/>
      <w:lvlJc w:val="left"/>
      <w:pPr>
        <w:ind w:left="7664" w:hanging="360"/>
      </w:pPr>
      <w:rPr>
        <w:rFonts w:hint="default"/>
      </w:rPr>
    </w:lvl>
  </w:abstractNum>
  <w:abstractNum w:abstractNumId="1">
    <w:multiLevelType w:val="hybridMultilevel"/>
    <w:lvl w:ilvl="0">
      <w:start w:val="2"/>
      <w:numFmt w:val="decimal"/>
      <w:lvlText w:val="%1"/>
      <w:lvlJc w:val="left"/>
      <w:pPr>
        <w:ind w:left="572" w:hanging="471"/>
        <w:jc w:val="left"/>
      </w:pPr>
      <w:rPr>
        <w:rFonts w:hint="default"/>
      </w:rPr>
    </w:lvl>
    <w:lvl w:ilvl="1">
      <w:start w:val="1"/>
      <w:numFmt w:val="decimal"/>
      <w:lvlText w:val="%1.%2."/>
      <w:lvlJc w:val="left"/>
      <w:pPr>
        <w:ind w:left="572" w:hanging="471"/>
        <w:jc w:val="left"/>
      </w:pPr>
      <w:rPr>
        <w:rFonts w:hint="default" w:ascii="Arial" w:hAnsi="Arial" w:eastAsia="Arial" w:cs="Arial"/>
        <w:b/>
        <w:bCs/>
        <w:w w:val="99"/>
        <w:sz w:val="24"/>
        <w:szCs w:val="24"/>
      </w:rPr>
    </w:lvl>
    <w:lvl w:ilvl="2">
      <w:start w:val="1"/>
      <w:numFmt w:val="bullet"/>
      <w:lvlText w:val="•"/>
      <w:lvlJc w:val="left"/>
      <w:pPr>
        <w:ind w:left="2388" w:hanging="471"/>
      </w:pPr>
      <w:rPr>
        <w:rFonts w:hint="default"/>
      </w:rPr>
    </w:lvl>
    <w:lvl w:ilvl="3">
      <w:start w:val="1"/>
      <w:numFmt w:val="bullet"/>
      <w:lvlText w:val="•"/>
      <w:lvlJc w:val="left"/>
      <w:pPr>
        <w:ind w:left="3292" w:hanging="471"/>
      </w:pPr>
      <w:rPr>
        <w:rFonts w:hint="default"/>
      </w:rPr>
    </w:lvl>
    <w:lvl w:ilvl="4">
      <w:start w:val="1"/>
      <w:numFmt w:val="bullet"/>
      <w:lvlText w:val="•"/>
      <w:lvlJc w:val="left"/>
      <w:pPr>
        <w:ind w:left="4196" w:hanging="471"/>
      </w:pPr>
      <w:rPr>
        <w:rFonts w:hint="default"/>
      </w:rPr>
    </w:lvl>
    <w:lvl w:ilvl="5">
      <w:start w:val="1"/>
      <w:numFmt w:val="bullet"/>
      <w:lvlText w:val="•"/>
      <w:lvlJc w:val="left"/>
      <w:pPr>
        <w:ind w:left="5100" w:hanging="471"/>
      </w:pPr>
      <w:rPr>
        <w:rFonts w:hint="default"/>
      </w:rPr>
    </w:lvl>
    <w:lvl w:ilvl="6">
      <w:start w:val="1"/>
      <w:numFmt w:val="bullet"/>
      <w:lvlText w:val="•"/>
      <w:lvlJc w:val="left"/>
      <w:pPr>
        <w:ind w:left="6004" w:hanging="471"/>
      </w:pPr>
      <w:rPr>
        <w:rFonts w:hint="default"/>
      </w:rPr>
    </w:lvl>
    <w:lvl w:ilvl="7">
      <w:start w:val="1"/>
      <w:numFmt w:val="bullet"/>
      <w:lvlText w:val="•"/>
      <w:lvlJc w:val="left"/>
      <w:pPr>
        <w:ind w:left="6908" w:hanging="471"/>
      </w:pPr>
      <w:rPr>
        <w:rFonts w:hint="default"/>
      </w:rPr>
    </w:lvl>
    <w:lvl w:ilvl="8">
      <w:start w:val="1"/>
      <w:numFmt w:val="bullet"/>
      <w:lvlText w:val="•"/>
      <w:lvlJc w:val="left"/>
      <w:pPr>
        <w:ind w:left="7812" w:hanging="471"/>
      </w:pPr>
      <w:rPr>
        <w:rFonts w:hint="default"/>
      </w:rPr>
    </w:lvl>
  </w:abstractNum>
  <w:abstractNum w:abstractNumId="0">
    <w:multiLevelType w:val="hybridMultilevel"/>
    <w:lvl w:ilvl="0">
      <w:start w:val="1"/>
      <w:numFmt w:val="decimal"/>
      <w:lvlText w:val="%1"/>
      <w:lvlJc w:val="left"/>
      <w:pPr>
        <w:ind w:left="571" w:hanging="470"/>
        <w:jc w:val="left"/>
      </w:pPr>
      <w:rPr>
        <w:rFonts w:hint="default"/>
      </w:rPr>
    </w:lvl>
    <w:lvl w:ilvl="1">
      <w:start w:val="1"/>
      <w:numFmt w:val="decimal"/>
      <w:lvlText w:val="%1.%2."/>
      <w:lvlJc w:val="left"/>
      <w:pPr>
        <w:ind w:left="571" w:hanging="470"/>
        <w:jc w:val="left"/>
      </w:pPr>
      <w:rPr>
        <w:rFonts w:hint="default" w:ascii="Arial" w:hAnsi="Arial" w:eastAsia="Arial" w:cs="Arial"/>
        <w:b/>
        <w:bCs/>
        <w:spacing w:val="-3"/>
        <w:w w:val="99"/>
        <w:sz w:val="24"/>
        <w:szCs w:val="24"/>
      </w:rPr>
    </w:lvl>
    <w:lvl w:ilvl="2">
      <w:start w:val="1"/>
      <w:numFmt w:val="decimal"/>
      <w:lvlText w:val="%3)"/>
      <w:lvlJc w:val="left"/>
      <w:pPr>
        <w:ind w:left="1527" w:hanging="360"/>
        <w:jc w:val="left"/>
      </w:pPr>
      <w:rPr>
        <w:rFonts w:hint="default" w:ascii="Arial" w:hAnsi="Arial" w:eastAsia="Arial" w:cs="Arial"/>
        <w:w w:val="99"/>
        <w:sz w:val="24"/>
        <w:szCs w:val="24"/>
      </w:rPr>
    </w:lvl>
    <w:lvl w:ilvl="3">
      <w:start w:val="1"/>
      <w:numFmt w:val="bullet"/>
      <w:lvlText w:val="•"/>
      <w:lvlJc w:val="left"/>
      <w:pPr>
        <w:ind w:left="3320" w:hanging="360"/>
      </w:pPr>
      <w:rPr>
        <w:rFonts w:hint="default"/>
      </w:rPr>
    </w:lvl>
    <w:lvl w:ilvl="4">
      <w:start w:val="1"/>
      <w:numFmt w:val="bullet"/>
      <w:lvlText w:val="•"/>
      <w:lvlJc w:val="left"/>
      <w:pPr>
        <w:ind w:left="4220"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6020" w:hanging="360"/>
      </w:pPr>
      <w:rPr>
        <w:rFonts w:hint="default"/>
      </w:rPr>
    </w:lvl>
    <w:lvl w:ilvl="7">
      <w:start w:val="1"/>
      <w:numFmt w:val="bullet"/>
      <w:lvlText w:val="•"/>
      <w:lvlJc w:val="left"/>
      <w:pPr>
        <w:ind w:left="6920" w:hanging="360"/>
      </w:pPr>
      <w:rPr>
        <w:rFonts w:hint="default"/>
      </w:rPr>
    </w:lvl>
    <w:lvl w:ilvl="8">
      <w:start w:val="1"/>
      <w:numFmt w:val="bullet"/>
      <w:lvlText w:val="•"/>
      <w:lvlJc w:val="left"/>
      <w:pPr>
        <w:ind w:left="7820" w:hanging="360"/>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ind w:left="110"/>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outlineLvl w:val="1"/>
    </w:pPr>
    <w:rPr>
      <w:rFonts w:ascii="Arial" w:hAnsi="Arial" w:eastAsia="Arial" w:cs="Arial"/>
      <w:b/>
      <w:bCs/>
      <w:sz w:val="24"/>
      <w:szCs w:val="24"/>
    </w:rPr>
  </w:style>
  <w:style w:styleId="ListParagraph" w:type="paragraph">
    <w:name w:val="List Paragraph"/>
    <w:basedOn w:val="Normal"/>
    <w:uiPriority w:val="1"/>
    <w:qFormat/>
    <w:pPr>
      <w:ind w:left="571" w:hanging="36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hyperlink" Target="http://www.brainyquote.com/quotes/authors/c/charles_spurgeon.html" TargetMode="Externa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header" Target="header1.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header" Target="header2.xml"/><Relationship Id="rId18" Type="http://schemas.openxmlformats.org/officeDocument/2006/relationships/footer" Target="footer9.xml"/><Relationship Id="rId19" Type="http://schemas.openxmlformats.org/officeDocument/2006/relationships/header" Target="header3.xml"/><Relationship Id="rId20" Type="http://schemas.openxmlformats.org/officeDocument/2006/relationships/footer" Target="footer10.xml"/><Relationship Id="rId21" Type="http://schemas.openxmlformats.org/officeDocument/2006/relationships/header" Target="header4.xml"/><Relationship Id="rId22" Type="http://schemas.openxmlformats.org/officeDocument/2006/relationships/footer" Target="footer11.xml"/><Relationship Id="rId23" Type="http://schemas.openxmlformats.org/officeDocument/2006/relationships/header" Target="header5.xml"/><Relationship Id="rId24" Type="http://schemas.openxmlformats.org/officeDocument/2006/relationships/footer" Target="footer12.xml"/><Relationship Id="rId25" Type="http://schemas.openxmlformats.org/officeDocument/2006/relationships/image" Target="media/image3.png"/><Relationship Id="rId26" Type="http://schemas.openxmlformats.org/officeDocument/2006/relationships/footer" Target="footer13.xml"/><Relationship Id="rId27" Type="http://schemas.openxmlformats.org/officeDocument/2006/relationships/image" Target="media/image4.png"/><Relationship Id="rId28" Type="http://schemas.openxmlformats.org/officeDocument/2006/relationships/image" Target="media/image5.png"/><Relationship Id="rId29" Type="http://schemas.openxmlformats.org/officeDocument/2006/relationships/footer" Target="footer14.xml"/><Relationship Id="rId30" Type="http://schemas.openxmlformats.org/officeDocument/2006/relationships/image" Target="media/image6.png"/><Relationship Id="rId31" Type="http://schemas.openxmlformats.org/officeDocument/2006/relationships/image" Target="media/image7.png"/><Relationship Id="rId32" Type="http://schemas.openxmlformats.org/officeDocument/2006/relationships/header" Target="header6.xml"/><Relationship Id="rId33" Type="http://schemas.openxmlformats.org/officeDocument/2006/relationships/footer" Target="footer15.xml"/><Relationship Id="rId34" Type="http://schemas.openxmlformats.org/officeDocument/2006/relationships/header" Target="header7.xml"/><Relationship Id="rId35" Type="http://schemas.openxmlformats.org/officeDocument/2006/relationships/footer" Target="footer16.xml"/><Relationship Id="rId36" Type="http://schemas.openxmlformats.org/officeDocument/2006/relationships/footer" Target="footer17.xml"/><Relationship Id="rId37" Type="http://schemas.openxmlformats.org/officeDocument/2006/relationships/footer" Target="footer18.xml"/><Relationship Id="rId38" Type="http://schemas.openxmlformats.org/officeDocument/2006/relationships/footer" Target="footer19.xml"/><Relationship Id="rId39" Type="http://schemas.openxmlformats.org/officeDocument/2006/relationships/footer" Target="footer20.xml"/><Relationship Id="rId40" Type="http://schemas.openxmlformats.org/officeDocument/2006/relationships/footer" Target="footer21.xml"/><Relationship Id="rId41" Type="http://schemas.openxmlformats.org/officeDocument/2006/relationships/footer" Target="footer22.xml"/><Relationship Id="rId42" Type="http://schemas.openxmlformats.org/officeDocument/2006/relationships/image" Target="media/image8.png"/><Relationship Id="rId43" Type="http://schemas.openxmlformats.org/officeDocument/2006/relationships/image" Target="media/image9.png"/><Relationship Id="rId44" Type="http://schemas.openxmlformats.org/officeDocument/2006/relationships/image" Target="media/image10.png"/><Relationship Id="rId45" Type="http://schemas.openxmlformats.org/officeDocument/2006/relationships/image" Target="media/image11.png"/><Relationship Id="rId46" Type="http://schemas.openxmlformats.org/officeDocument/2006/relationships/image" Target="media/image12.png"/><Relationship Id="rId47" Type="http://schemas.openxmlformats.org/officeDocument/2006/relationships/image" Target="media/image13.png"/><Relationship Id="rId48" Type="http://schemas.openxmlformats.org/officeDocument/2006/relationships/image" Target="media/image14.png"/><Relationship Id="rId49" Type="http://schemas.openxmlformats.org/officeDocument/2006/relationships/image" Target="media/image15.png"/><Relationship Id="rId50" Type="http://schemas.openxmlformats.org/officeDocument/2006/relationships/image" Target="media/image16.png"/><Relationship Id="rId51" Type="http://schemas.openxmlformats.org/officeDocument/2006/relationships/footer" Target="footer23.xml"/><Relationship Id="rId52" Type="http://schemas.openxmlformats.org/officeDocument/2006/relationships/image" Target="media/image17.png"/><Relationship Id="rId53" Type="http://schemas.openxmlformats.org/officeDocument/2006/relationships/image" Target="media/image18.png"/><Relationship Id="rId54" Type="http://schemas.openxmlformats.org/officeDocument/2006/relationships/image" Target="media/image19.png"/><Relationship Id="rId55" Type="http://schemas.openxmlformats.org/officeDocument/2006/relationships/image" Target="media/image20.png"/><Relationship Id="rId56" Type="http://schemas.openxmlformats.org/officeDocument/2006/relationships/image" Target="media/image21.png"/><Relationship Id="rId57" Type="http://schemas.openxmlformats.org/officeDocument/2006/relationships/image" Target="media/image22.png"/><Relationship Id="rId58" Type="http://schemas.openxmlformats.org/officeDocument/2006/relationships/image" Target="media/image23.png"/><Relationship Id="rId59" Type="http://schemas.openxmlformats.org/officeDocument/2006/relationships/image" Target="media/image24.png"/><Relationship Id="rId60" Type="http://schemas.openxmlformats.org/officeDocument/2006/relationships/image" Target="media/image25.png"/><Relationship Id="rId61" Type="http://schemas.openxmlformats.org/officeDocument/2006/relationships/image" Target="media/image26.png"/><Relationship Id="rId62" Type="http://schemas.openxmlformats.org/officeDocument/2006/relationships/image" Target="media/image27.png"/><Relationship Id="rId63" Type="http://schemas.openxmlformats.org/officeDocument/2006/relationships/image" Target="media/image28.png"/><Relationship Id="rId64" Type="http://schemas.openxmlformats.org/officeDocument/2006/relationships/image" Target="media/image29.png"/><Relationship Id="rId65" Type="http://schemas.openxmlformats.org/officeDocument/2006/relationships/image" Target="media/image30.png"/><Relationship Id="rId66" Type="http://schemas.openxmlformats.org/officeDocument/2006/relationships/image" Target="media/image31.png"/><Relationship Id="rId67" Type="http://schemas.openxmlformats.org/officeDocument/2006/relationships/image" Target="media/image32.png"/><Relationship Id="rId68" Type="http://schemas.openxmlformats.org/officeDocument/2006/relationships/image" Target="media/image33.png"/><Relationship Id="rId69" Type="http://schemas.openxmlformats.org/officeDocument/2006/relationships/image" Target="media/image34.png"/><Relationship Id="rId70" Type="http://schemas.openxmlformats.org/officeDocument/2006/relationships/image" Target="media/image35.png"/><Relationship Id="rId71" Type="http://schemas.openxmlformats.org/officeDocument/2006/relationships/image" Target="media/image36.png"/><Relationship Id="rId72" Type="http://schemas.openxmlformats.org/officeDocument/2006/relationships/image" Target="media/image37.png"/><Relationship Id="rId73" Type="http://schemas.openxmlformats.org/officeDocument/2006/relationships/image" Target="media/image38.png"/><Relationship Id="rId74" Type="http://schemas.openxmlformats.org/officeDocument/2006/relationships/image" Target="media/image39.png"/><Relationship Id="rId75" Type="http://schemas.openxmlformats.org/officeDocument/2006/relationships/image" Target="media/image40.png"/><Relationship Id="rId76" Type="http://schemas.openxmlformats.org/officeDocument/2006/relationships/image" Target="media/image41.png"/><Relationship Id="rId77" Type="http://schemas.openxmlformats.org/officeDocument/2006/relationships/image" Target="media/image42.png"/><Relationship Id="rId78" Type="http://schemas.openxmlformats.org/officeDocument/2006/relationships/image" Target="media/image43.png"/><Relationship Id="rId79" Type="http://schemas.openxmlformats.org/officeDocument/2006/relationships/image" Target="media/image44.png"/><Relationship Id="rId80" Type="http://schemas.openxmlformats.org/officeDocument/2006/relationships/image" Target="media/image45.png"/><Relationship Id="rId81" Type="http://schemas.openxmlformats.org/officeDocument/2006/relationships/image" Target="media/image46.png"/><Relationship Id="rId82" Type="http://schemas.openxmlformats.org/officeDocument/2006/relationships/image" Target="media/image47.png"/><Relationship Id="rId83" Type="http://schemas.openxmlformats.org/officeDocument/2006/relationships/image" Target="media/image48.png"/><Relationship Id="rId84" Type="http://schemas.openxmlformats.org/officeDocument/2006/relationships/image" Target="media/image49.png"/><Relationship Id="rId85" Type="http://schemas.openxmlformats.org/officeDocument/2006/relationships/image" Target="media/image50.png"/><Relationship Id="rId86" Type="http://schemas.openxmlformats.org/officeDocument/2006/relationships/image" Target="media/image51.png"/><Relationship Id="rId87" Type="http://schemas.openxmlformats.org/officeDocument/2006/relationships/image" Target="media/image52.png"/><Relationship Id="rId88" Type="http://schemas.openxmlformats.org/officeDocument/2006/relationships/image" Target="media/image53.png"/><Relationship Id="rId89" Type="http://schemas.openxmlformats.org/officeDocument/2006/relationships/image" Target="media/image54.png"/><Relationship Id="rId90" Type="http://schemas.openxmlformats.org/officeDocument/2006/relationships/image" Target="media/image55.png"/><Relationship Id="rId91" Type="http://schemas.openxmlformats.org/officeDocument/2006/relationships/image" Target="media/image56.png"/><Relationship Id="rId92" Type="http://schemas.openxmlformats.org/officeDocument/2006/relationships/image" Target="media/image57.png"/><Relationship Id="rId93" Type="http://schemas.openxmlformats.org/officeDocument/2006/relationships/image" Target="media/image58.png"/><Relationship Id="rId94" Type="http://schemas.openxmlformats.org/officeDocument/2006/relationships/image" Target="media/image59.png"/><Relationship Id="rId95" Type="http://schemas.openxmlformats.org/officeDocument/2006/relationships/image" Target="media/image60.png"/><Relationship Id="rId96" Type="http://schemas.openxmlformats.org/officeDocument/2006/relationships/image" Target="media/image61.png"/><Relationship Id="rId97" Type="http://schemas.openxmlformats.org/officeDocument/2006/relationships/image" Target="media/image62.png"/><Relationship Id="rId98" Type="http://schemas.openxmlformats.org/officeDocument/2006/relationships/image" Target="media/image63.png"/><Relationship Id="rId99" Type="http://schemas.openxmlformats.org/officeDocument/2006/relationships/image" Target="media/image64.png"/><Relationship Id="rId100" Type="http://schemas.openxmlformats.org/officeDocument/2006/relationships/image" Target="media/image65.png"/><Relationship Id="rId101" Type="http://schemas.openxmlformats.org/officeDocument/2006/relationships/footer" Target="footer24.xml"/><Relationship Id="rId102" Type="http://schemas.openxmlformats.org/officeDocument/2006/relationships/header" Target="header8.xml"/><Relationship Id="rId103" Type="http://schemas.openxmlformats.org/officeDocument/2006/relationships/footer" Target="footer25.xml"/><Relationship Id="rId104" Type="http://schemas.openxmlformats.org/officeDocument/2006/relationships/header" Target="header9.xml"/><Relationship Id="rId105" Type="http://schemas.openxmlformats.org/officeDocument/2006/relationships/footer" Target="footer26.xml"/><Relationship Id="rId106" Type="http://schemas.openxmlformats.org/officeDocument/2006/relationships/header" Target="header10.xml"/><Relationship Id="rId107" Type="http://schemas.openxmlformats.org/officeDocument/2006/relationships/footer" Target="footer27.xml"/><Relationship Id="rId108" Type="http://schemas.openxmlformats.org/officeDocument/2006/relationships/header" Target="header11.xml"/><Relationship Id="rId109" Type="http://schemas.openxmlformats.org/officeDocument/2006/relationships/footer" Target="footer28.xml"/><Relationship Id="rId110" Type="http://schemas.openxmlformats.org/officeDocument/2006/relationships/header" Target="header12.xml"/><Relationship Id="rId111" Type="http://schemas.openxmlformats.org/officeDocument/2006/relationships/footer" Target="footer29.xml"/><Relationship Id="rId112" Type="http://schemas.openxmlformats.org/officeDocument/2006/relationships/header" Target="header13.xml"/><Relationship Id="rId113" Type="http://schemas.openxmlformats.org/officeDocument/2006/relationships/footer" Target="footer30.xml"/><Relationship Id="rId114" Type="http://schemas.openxmlformats.org/officeDocument/2006/relationships/hyperlink" Target="http://dialnet.unirioja.es/servlet/articulo?codigo=760026" TargetMode="External"/><Relationship Id="rId115" Type="http://schemas.openxmlformats.org/officeDocument/2006/relationships/hyperlink" Target="http://ebevidencia.com/wp-content/uploads/2014/02/Metodolog%C3%ADa-de-la-investigaci%C3%B3n-cuantitativa-en-las-ciencias-sociales.pdf" TargetMode="External"/><Relationship Id="rId116" Type="http://schemas.openxmlformats.org/officeDocument/2006/relationships/footer" Target="footer31.xml"/><Relationship Id="rId117" Type="http://schemas.openxmlformats.org/officeDocument/2006/relationships/hyperlink" Target="http://www.unav.es/linguis/simposiosel/actas/act/20.pdf" TargetMode="External"/><Relationship Id="rId118" Type="http://schemas.openxmlformats.org/officeDocument/2006/relationships/hyperlink" Target="http://dialnet.unirioja.es/descarga/articulo/1308091.pdf" TargetMode="External"/><Relationship Id="rId119" Type="http://schemas.openxmlformats.org/officeDocument/2006/relationships/header" Target="header14.xml"/><Relationship Id="rId120" Type="http://schemas.openxmlformats.org/officeDocument/2006/relationships/footer" Target="footer32.xml"/><Relationship Id="rId121" Type="http://schemas.openxmlformats.org/officeDocument/2006/relationships/image" Target="media/image66.png"/><Relationship Id="rId122" Type="http://schemas.openxmlformats.org/officeDocument/2006/relationships/image" Target="media/image67.png"/><Relationship Id="rId123" Type="http://schemas.openxmlformats.org/officeDocument/2006/relationships/header" Target="header15.xml"/><Relationship Id="rId124" Type="http://schemas.openxmlformats.org/officeDocument/2006/relationships/footer" Target="footer33.xml"/><Relationship Id="rId125" Type="http://schemas.openxmlformats.org/officeDocument/2006/relationships/header" Target="header16.xml"/><Relationship Id="rId126" Type="http://schemas.openxmlformats.org/officeDocument/2006/relationships/footer" Target="footer34.xml"/><Relationship Id="rId127" Type="http://schemas.openxmlformats.org/officeDocument/2006/relationships/header" Target="header17.xml"/><Relationship Id="rId128" Type="http://schemas.openxmlformats.org/officeDocument/2006/relationships/footer" Target="footer35.xml"/><Relationship Id="rId129" Type="http://schemas.openxmlformats.org/officeDocument/2006/relationships/header" Target="header18.xml"/><Relationship Id="rId130" Type="http://schemas.openxmlformats.org/officeDocument/2006/relationships/footer" Target="footer36.xml"/><Relationship Id="rId131" Type="http://schemas.openxmlformats.org/officeDocument/2006/relationships/header" Target="header19.xml"/><Relationship Id="rId132" Type="http://schemas.openxmlformats.org/officeDocument/2006/relationships/footer" Target="footer37.xml"/><Relationship Id="rId133" Type="http://schemas.openxmlformats.org/officeDocument/2006/relationships/image" Target="media/image68.png"/><Relationship Id="rId134" Type="http://schemas.openxmlformats.org/officeDocument/2006/relationships/header" Target="header20.xml"/><Relationship Id="rId135" Type="http://schemas.openxmlformats.org/officeDocument/2006/relationships/footer" Target="footer38.xml"/><Relationship Id="rId136" Type="http://schemas.openxmlformats.org/officeDocument/2006/relationships/image" Target="media/image69.png"/><Relationship Id="rId137" Type="http://schemas.openxmlformats.org/officeDocument/2006/relationships/header" Target="header21.xml"/><Relationship Id="rId138" Type="http://schemas.openxmlformats.org/officeDocument/2006/relationships/footer" Target="footer39.xml"/><Relationship Id="rId139" Type="http://schemas.openxmlformats.org/officeDocument/2006/relationships/image" Target="media/image70.png"/><Relationship Id="rId140" Type="http://schemas.openxmlformats.org/officeDocument/2006/relationships/header" Target="header22.xml"/><Relationship Id="rId141" Type="http://schemas.openxmlformats.org/officeDocument/2006/relationships/footer" Target="footer40.xml"/><Relationship Id="rId142" Type="http://schemas.openxmlformats.org/officeDocument/2006/relationships/header" Target="header23.xml"/><Relationship Id="rId143" Type="http://schemas.openxmlformats.org/officeDocument/2006/relationships/footer" Target="footer41.xml"/><Relationship Id="rId144" Type="http://schemas.openxmlformats.org/officeDocument/2006/relationships/image" Target="media/image71.jpeg"/><Relationship Id="rId14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2017-05-18T02:31:25Z</dcterms:created>
  <dcterms:modified xsi:type="dcterms:W3CDTF">2017-05-18T02:31:25Z</dcterms:modified>
</cp:coreProperties>
</file>