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0pt;margin-top:0pt;width:612pt;height:792pt;mso-position-horizontal-relative:page;mso-position-vertical-relative:page;z-index:-28096" coordorigin="0,0" coordsize="12240,15840">
            <v:shape style="position:absolute;left:0;top:0;width:12240;height:15840" type="#_x0000_t75" stroked="false">
              <v:imagedata r:id="rId5" o:title=""/>
            </v:shape>
            <v:rect style="position:absolute;left:0;top:3451;width:10260;height:8580" filled="true" fillcolor="#ffd966" stroked="false">
              <v:fill type="solid"/>
            </v:rect>
            <v:shape style="position:absolute;left:10200;top:0;width:2040;height:11184" coordorigin="10200,0" coordsize="2040,11184" path="m12240,4560l10274,4560,10274,11184,12240,11184,12240,4560m12240,0l10200,0,10200,2304,12240,2304,12240,0e" filled="true" fillcolor="#6fac46" stroked="false">
              <v:path arrowok="t"/>
              <v:fill type="solid"/>
            </v:shape>
            <v:rect style="position:absolute;left:0;top:0;width:10205;height:3024" filled="true" fillcolor="#ffd966" stroked="false">
              <v:fill type="solid"/>
            </v:rect>
            <v:rect style="position:absolute;left:10231;top:13471;width:2009;height:2369" filled="true" fillcolor="#6fac46" stroked="false">
              <v:fill type="solid"/>
            </v:rect>
            <v:rect style="position:absolute;left:0;top:12480;width:10234;height:3360" filled="true" fillcolor="#ffd966"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63"/>
        <w:ind w:left="107" w:right="0" w:firstLine="0"/>
        <w:jc w:val="left"/>
        <w:rPr>
          <w:rFonts w:ascii="Calibri" w:hAnsi="Calibri"/>
          <w:b/>
          <w:sz w:val="96"/>
        </w:rPr>
      </w:pPr>
      <w:r>
        <w:rPr>
          <w:rFonts w:ascii="Calibri" w:hAnsi="Calibri"/>
          <w:b/>
          <w:color w:val="001F5F"/>
          <w:w w:val="70"/>
          <w:sz w:val="96"/>
        </w:rPr>
        <w:t>Desarrollo Económico en</w:t>
      </w:r>
      <w:r>
        <w:rPr>
          <w:rFonts w:ascii="Calibri" w:hAnsi="Calibri"/>
          <w:b/>
          <w:color w:val="001F5F"/>
          <w:spacing w:val="-87"/>
          <w:w w:val="70"/>
          <w:sz w:val="96"/>
        </w:rPr>
        <w:t> </w:t>
      </w:r>
      <w:r>
        <w:rPr>
          <w:rFonts w:ascii="Calibri" w:hAnsi="Calibri"/>
          <w:b/>
          <w:color w:val="001F5F"/>
          <w:w w:val="70"/>
          <w:sz w:val="96"/>
        </w:rPr>
        <w:t>México</w:t>
      </w:r>
    </w:p>
    <w:p>
      <w:pPr>
        <w:pStyle w:val="BodyText"/>
        <w:spacing w:before="10"/>
        <w:rPr>
          <w:rFonts w:ascii="Calibri"/>
          <w:b/>
          <w:sz w:val="100"/>
        </w:rPr>
      </w:pPr>
    </w:p>
    <w:p>
      <w:pPr>
        <w:spacing w:before="0"/>
        <w:ind w:left="3416" w:right="5071" w:firstLine="0"/>
        <w:jc w:val="center"/>
        <w:rPr>
          <w:rFonts w:ascii="Calibri"/>
          <w:sz w:val="32"/>
        </w:rPr>
      </w:pPr>
      <w:r>
        <w:rPr>
          <w:rFonts w:ascii="Calibri"/>
          <w:color w:val="001F5F"/>
          <w:w w:val="75"/>
          <w:sz w:val="32"/>
        </w:rPr>
        <w:t>Directores</w:t>
      </w:r>
    </w:p>
    <w:p>
      <w:pPr>
        <w:pStyle w:val="BodyText"/>
        <w:spacing w:before="7"/>
        <w:rPr>
          <w:rFonts w:ascii="Calibri"/>
          <w:sz w:val="30"/>
        </w:rPr>
      </w:pPr>
    </w:p>
    <w:p>
      <w:pPr>
        <w:tabs>
          <w:tab w:pos="5208" w:val="left" w:leader="none"/>
        </w:tabs>
        <w:spacing w:line="487" w:lineRule="exact" w:before="0"/>
        <w:ind w:left="3489" w:right="0" w:firstLine="0"/>
        <w:jc w:val="left"/>
        <w:rPr>
          <w:rFonts w:ascii="Calibri" w:hAnsi="Calibri"/>
          <w:sz w:val="40"/>
        </w:rPr>
      </w:pPr>
      <w:r>
        <w:rPr>
          <w:rFonts w:ascii="Calibri" w:hAnsi="Calibri"/>
          <w:color w:val="001F5F"/>
          <w:w w:val="75"/>
          <w:sz w:val="40"/>
        </w:rPr>
        <w:t>PÉREZ-SOTO,</w:t>
        <w:tab/>
      </w:r>
      <w:r>
        <w:rPr>
          <w:rFonts w:ascii="Calibri" w:hAnsi="Calibri"/>
          <w:color w:val="001F5F"/>
          <w:w w:val="70"/>
          <w:sz w:val="40"/>
        </w:rPr>
        <w:t>Francisco</w:t>
      </w:r>
      <w:r>
        <w:rPr>
          <w:rFonts w:ascii="Calibri" w:hAnsi="Calibri"/>
          <w:color w:val="001F5F"/>
          <w:spacing w:val="33"/>
          <w:w w:val="70"/>
          <w:sz w:val="40"/>
        </w:rPr>
        <w:t> </w:t>
      </w:r>
      <w:r>
        <w:rPr>
          <w:rFonts w:ascii="Calibri" w:hAnsi="Calibri"/>
          <w:color w:val="001F5F"/>
          <w:w w:val="70"/>
          <w:sz w:val="40"/>
        </w:rPr>
        <w:t>PhD.</w:t>
      </w:r>
    </w:p>
    <w:p>
      <w:pPr>
        <w:spacing w:line="387" w:lineRule="exact" w:before="0"/>
        <w:ind w:left="3489" w:right="0" w:firstLine="0"/>
        <w:jc w:val="left"/>
        <w:rPr>
          <w:rFonts w:ascii="Calibri" w:hAnsi="Calibri"/>
          <w:sz w:val="32"/>
        </w:rPr>
      </w:pPr>
      <w:r>
        <w:rPr>
          <w:rFonts w:ascii="Calibri" w:hAnsi="Calibri"/>
          <w:color w:val="001F5F"/>
          <w:w w:val="70"/>
          <w:sz w:val="32"/>
        </w:rPr>
        <w:t>FIGUEROA-HERNÁNDEZ, Esther PhD.</w:t>
      </w:r>
    </w:p>
    <w:p>
      <w:pPr>
        <w:spacing w:line="436" w:lineRule="exact" w:before="0"/>
        <w:ind w:left="3489" w:right="0" w:firstLine="0"/>
        <w:jc w:val="left"/>
        <w:rPr>
          <w:rFonts w:ascii="Calibri" w:hAnsi="Calibri"/>
          <w:sz w:val="36"/>
        </w:rPr>
      </w:pPr>
      <w:r>
        <w:rPr>
          <w:rFonts w:ascii="Calibri" w:hAnsi="Calibri"/>
          <w:color w:val="001F5F"/>
          <w:w w:val="65"/>
          <w:sz w:val="36"/>
        </w:rPr>
        <w:t>GODÍNEZ-MONTOYA,   Lucila  PhD.</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before="198"/>
        <w:ind w:left="6238" w:right="0" w:firstLine="0"/>
        <w:jc w:val="left"/>
        <w:rPr>
          <w:b/>
          <w:sz w:val="36"/>
        </w:rPr>
      </w:pPr>
      <w:r>
        <w:rPr>
          <w:b/>
          <w:sz w:val="56"/>
        </w:rPr>
        <w:t>ECORFAN</w:t>
      </w:r>
      <w:r>
        <w:rPr>
          <w:b/>
          <w:position w:val="21"/>
          <w:sz w:val="36"/>
        </w:rPr>
        <w:t>®</w:t>
      </w:r>
    </w:p>
    <w:p>
      <w:pPr>
        <w:spacing w:after="0"/>
        <w:jc w:val="left"/>
        <w:rPr>
          <w:sz w:val="36"/>
        </w:rPr>
        <w:sectPr>
          <w:type w:val="continuous"/>
          <w:pgSz w:w="12240" w:h="15840"/>
          <w:pgMar w:top="1500" w:bottom="280" w:left="980" w:right="1720"/>
        </w:sectPr>
      </w:pPr>
    </w:p>
    <w:p>
      <w:pPr>
        <w:spacing w:before="54"/>
        <w:ind w:left="102" w:right="0" w:firstLine="0"/>
        <w:jc w:val="left"/>
        <w:rPr>
          <w:b/>
          <w:sz w:val="20"/>
        </w:rPr>
      </w:pPr>
      <w:r>
        <w:rPr>
          <w:b/>
          <w:sz w:val="20"/>
        </w:rPr>
        <w:t>ECORFAN-México</w:t>
      </w:r>
    </w:p>
    <w:p>
      <w:pPr>
        <w:spacing w:before="173"/>
        <w:ind w:left="102" w:right="0" w:firstLine="0"/>
        <w:jc w:val="left"/>
        <w:rPr>
          <w:i/>
          <w:sz w:val="20"/>
        </w:rPr>
      </w:pPr>
      <w:r>
        <w:rPr>
          <w:i/>
          <w:sz w:val="20"/>
        </w:rPr>
        <w:t>Desarrollo Económico en México</w:t>
      </w:r>
    </w:p>
    <w:p>
      <w:pPr>
        <w:pStyle w:val="BodyText"/>
        <w:spacing w:before="5"/>
        <w:rPr>
          <w:i/>
          <w:sz w:val="20"/>
        </w:rPr>
      </w:pPr>
    </w:p>
    <w:p>
      <w:pPr>
        <w:spacing w:line="228" w:lineRule="exact" w:before="0"/>
        <w:ind w:left="102" w:right="0" w:firstLine="0"/>
        <w:jc w:val="left"/>
        <w:rPr>
          <w:b/>
          <w:sz w:val="20"/>
        </w:rPr>
      </w:pPr>
      <w:r>
        <w:rPr>
          <w:b/>
          <w:sz w:val="20"/>
        </w:rPr>
        <w:t>Directores</w:t>
      </w:r>
    </w:p>
    <w:p>
      <w:pPr>
        <w:spacing w:line="240" w:lineRule="auto" w:before="0"/>
        <w:ind w:left="102" w:right="0" w:firstLine="0"/>
        <w:jc w:val="left"/>
        <w:rPr>
          <w:sz w:val="20"/>
        </w:rPr>
      </w:pPr>
      <w:r>
        <w:rPr>
          <w:sz w:val="20"/>
        </w:rPr>
        <w:t>PÉREZ-SOTO, Francisco PhD. FIGUEROA-HERNÁNDEZ, Esther</w:t>
      </w:r>
      <w:r>
        <w:rPr>
          <w:spacing w:val="-11"/>
          <w:sz w:val="20"/>
        </w:rPr>
        <w:t> </w:t>
      </w:r>
      <w:r>
        <w:rPr>
          <w:sz w:val="20"/>
        </w:rPr>
        <w:t>PhD. GODÍNEZ-MONTOYA, Lucila</w:t>
      </w:r>
      <w:r>
        <w:rPr>
          <w:spacing w:val="-7"/>
          <w:sz w:val="20"/>
        </w:rPr>
        <w:t> </w:t>
      </w:r>
      <w:r>
        <w:rPr>
          <w:sz w:val="20"/>
        </w:rPr>
        <w:t>PhD.</w:t>
      </w:r>
    </w:p>
    <w:p>
      <w:pPr>
        <w:pStyle w:val="BodyText"/>
        <w:spacing w:before="3"/>
        <w:rPr>
          <w:sz w:val="20"/>
        </w:rPr>
      </w:pPr>
    </w:p>
    <w:p>
      <w:pPr>
        <w:spacing w:line="228" w:lineRule="exact" w:before="0"/>
        <w:ind w:left="102" w:right="0" w:firstLine="0"/>
        <w:jc w:val="left"/>
        <w:rPr>
          <w:b/>
          <w:sz w:val="20"/>
        </w:rPr>
      </w:pPr>
      <w:r>
        <w:rPr>
          <w:b/>
          <w:sz w:val="20"/>
        </w:rPr>
        <w:t>Diseñador de Edición</w:t>
      </w:r>
    </w:p>
    <w:p>
      <w:pPr>
        <w:spacing w:line="228" w:lineRule="exact" w:before="0"/>
        <w:ind w:left="102" w:right="0" w:firstLine="0"/>
        <w:jc w:val="left"/>
        <w:rPr>
          <w:sz w:val="20"/>
        </w:rPr>
      </w:pPr>
      <w:r>
        <w:rPr>
          <w:sz w:val="20"/>
        </w:rPr>
        <w:t>ESPINOZA-GÓMEZ, Luis MsC.</w:t>
      </w:r>
    </w:p>
    <w:p>
      <w:pPr>
        <w:pStyle w:val="BodyText"/>
        <w:spacing w:before="5"/>
        <w:rPr>
          <w:sz w:val="20"/>
        </w:rPr>
      </w:pPr>
    </w:p>
    <w:p>
      <w:pPr>
        <w:spacing w:line="228" w:lineRule="exact" w:before="0"/>
        <w:ind w:left="102" w:right="0" w:firstLine="0"/>
        <w:jc w:val="left"/>
        <w:rPr>
          <w:b/>
          <w:sz w:val="20"/>
        </w:rPr>
      </w:pPr>
      <w:r>
        <w:rPr>
          <w:b/>
          <w:sz w:val="20"/>
        </w:rPr>
        <w:t>Producción Tipográfica</w:t>
      </w:r>
    </w:p>
    <w:p>
      <w:pPr>
        <w:spacing w:line="228" w:lineRule="exact" w:before="0"/>
        <w:ind w:left="102" w:right="0" w:firstLine="0"/>
        <w:jc w:val="left"/>
        <w:rPr>
          <w:sz w:val="20"/>
        </w:rPr>
      </w:pPr>
      <w:r>
        <w:rPr>
          <w:sz w:val="20"/>
        </w:rPr>
        <w:t>TREJO-RAMOS, Iván BsC.</w:t>
      </w:r>
    </w:p>
    <w:p>
      <w:pPr>
        <w:pStyle w:val="BodyText"/>
        <w:spacing w:before="3"/>
        <w:rPr>
          <w:sz w:val="20"/>
        </w:rPr>
      </w:pPr>
    </w:p>
    <w:p>
      <w:pPr>
        <w:spacing w:line="228" w:lineRule="exact" w:before="0"/>
        <w:ind w:left="102" w:right="0" w:firstLine="0"/>
        <w:jc w:val="left"/>
        <w:rPr>
          <w:b/>
          <w:sz w:val="20"/>
        </w:rPr>
      </w:pPr>
      <w:r>
        <w:rPr>
          <w:b/>
          <w:sz w:val="20"/>
        </w:rPr>
        <w:t>Producción WEB</w:t>
      </w:r>
    </w:p>
    <w:p>
      <w:pPr>
        <w:spacing w:line="228" w:lineRule="exact" w:before="0"/>
        <w:ind w:left="102" w:right="0" w:firstLine="0"/>
        <w:jc w:val="left"/>
        <w:rPr>
          <w:sz w:val="20"/>
        </w:rPr>
      </w:pPr>
      <w:r>
        <w:rPr>
          <w:sz w:val="20"/>
        </w:rPr>
        <w:t>ESCAMILLA-BOUCHAN, Imelda PhD.</w:t>
      </w:r>
    </w:p>
    <w:p>
      <w:pPr>
        <w:pStyle w:val="BodyText"/>
        <w:spacing w:before="5"/>
        <w:rPr>
          <w:sz w:val="20"/>
        </w:rPr>
      </w:pPr>
    </w:p>
    <w:p>
      <w:pPr>
        <w:spacing w:line="228" w:lineRule="exact" w:before="0"/>
        <w:ind w:left="102" w:right="0" w:firstLine="0"/>
        <w:jc w:val="left"/>
        <w:rPr>
          <w:b/>
          <w:sz w:val="20"/>
        </w:rPr>
      </w:pPr>
      <w:r>
        <w:rPr>
          <w:b/>
          <w:sz w:val="20"/>
        </w:rPr>
        <w:t>Producción Digital</w:t>
      </w:r>
    </w:p>
    <w:p>
      <w:pPr>
        <w:spacing w:line="228" w:lineRule="exact" w:before="0"/>
        <w:ind w:left="102" w:right="0" w:firstLine="0"/>
        <w:jc w:val="left"/>
        <w:rPr>
          <w:sz w:val="20"/>
        </w:rPr>
      </w:pPr>
      <w:r>
        <w:rPr>
          <w:sz w:val="20"/>
        </w:rPr>
        <w:t>LUNA-SOTO, Vladimir PhD.</w:t>
      </w:r>
    </w:p>
    <w:p>
      <w:pPr>
        <w:spacing w:line="228" w:lineRule="exact" w:before="54"/>
        <w:ind w:left="102" w:right="0" w:firstLine="0"/>
        <w:jc w:val="both"/>
        <w:rPr>
          <w:b/>
          <w:sz w:val="20"/>
        </w:rPr>
      </w:pPr>
      <w:r>
        <w:rPr/>
        <w:br w:type="column"/>
      </w:r>
      <w:r>
        <w:rPr>
          <w:b/>
          <w:sz w:val="20"/>
        </w:rPr>
        <w:t>Editor en Jefe</w:t>
      </w:r>
    </w:p>
    <w:p>
      <w:pPr>
        <w:spacing w:line="228" w:lineRule="exact" w:before="0"/>
        <w:ind w:left="102" w:right="0" w:firstLine="0"/>
        <w:jc w:val="both"/>
        <w:rPr>
          <w:sz w:val="20"/>
        </w:rPr>
      </w:pPr>
      <w:r>
        <w:rPr>
          <w:sz w:val="20"/>
        </w:rPr>
        <w:t>RAMOS-ESCAMILLA, María PhD.</w:t>
      </w:r>
    </w:p>
    <w:p>
      <w:pPr>
        <w:pStyle w:val="BodyText"/>
        <w:rPr>
          <w:sz w:val="20"/>
        </w:rPr>
      </w:pPr>
    </w:p>
    <w:p>
      <w:pPr>
        <w:spacing w:before="1"/>
        <w:ind w:left="102" w:right="117" w:firstLine="0"/>
        <w:jc w:val="both"/>
        <w:rPr>
          <w:sz w:val="20"/>
        </w:rPr>
      </w:pPr>
      <w:r>
        <w:rPr>
          <w:sz w:val="20"/>
        </w:rPr>
        <w:t>Ninguna parte de este escrito amparado por la Ley de Derechos de Autor, podrá ser reproducida, transmitida</w:t>
      </w:r>
      <w:r>
        <w:rPr>
          <w:spacing w:val="-7"/>
          <w:sz w:val="20"/>
        </w:rPr>
        <w:t> </w:t>
      </w:r>
      <w:r>
        <w:rPr>
          <w:sz w:val="20"/>
        </w:rPr>
        <w:t>o</w:t>
      </w:r>
      <w:r>
        <w:rPr>
          <w:spacing w:val="-7"/>
          <w:sz w:val="20"/>
        </w:rPr>
        <w:t> </w:t>
      </w:r>
      <w:r>
        <w:rPr>
          <w:sz w:val="20"/>
        </w:rPr>
        <w:t>utilizada</w:t>
      </w:r>
      <w:r>
        <w:rPr>
          <w:spacing w:val="-7"/>
          <w:sz w:val="20"/>
        </w:rPr>
        <w:t> </w:t>
      </w:r>
      <w:r>
        <w:rPr>
          <w:sz w:val="20"/>
        </w:rPr>
        <w:t>en</w:t>
      </w:r>
      <w:r>
        <w:rPr>
          <w:spacing w:val="-9"/>
          <w:sz w:val="20"/>
        </w:rPr>
        <w:t> </w:t>
      </w:r>
      <w:r>
        <w:rPr>
          <w:sz w:val="20"/>
        </w:rPr>
        <w:t>cualquier</w:t>
      </w:r>
      <w:r>
        <w:rPr>
          <w:spacing w:val="-7"/>
          <w:sz w:val="20"/>
        </w:rPr>
        <w:t> </w:t>
      </w:r>
      <w:r>
        <w:rPr>
          <w:sz w:val="20"/>
        </w:rPr>
        <w:t>forma</w:t>
      </w:r>
      <w:r>
        <w:rPr>
          <w:spacing w:val="-7"/>
          <w:sz w:val="20"/>
        </w:rPr>
        <w:t> </w:t>
      </w:r>
      <w:r>
        <w:rPr>
          <w:sz w:val="20"/>
        </w:rPr>
        <w:t>o</w:t>
      </w:r>
      <w:r>
        <w:rPr>
          <w:spacing w:val="-5"/>
          <w:sz w:val="20"/>
        </w:rPr>
        <w:t> </w:t>
      </w:r>
      <w:r>
        <w:rPr>
          <w:sz w:val="20"/>
        </w:rPr>
        <w:t>medio, ya</w:t>
      </w:r>
      <w:r>
        <w:rPr>
          <w:spacing w:val="-11"/>
          <w:sz w:val="20"/>
        </w:rPr>
        <w:t> </w:t>
      </w:r>
      <w:r>
        <w:rPr>
          <w:sz w:val="20"/>
        </w:rPr>
        <w:t>sea</w:t>
      </w:r>
      <w:r>
        <w:rPr>
          <w:spacing w:val="-8"/>
          <w:sz w:val="20"/>
        </w:rPr>
        <w:t> </w:t>
      </w:r>
      <w:r>
        <w:rPr>
          <w:sz w:val="20"/>
        </w:rPr>
        <w:t>gráfico,</w:t>
      </w:r>
      <w:r>
        <w:rPr>
          <w:spacing w:val="-11"/>
          <w:sz w:val="20"/>
        </w:rPr>
        <w:t> </w:t>
      </w:r>
      <w:r>
        <w:rPr>
          <w:sz w:val="20"/>
        </w:rPr>
        <w:t>electrónico</w:t>
      </w:r>
      <w:r>
        <w:rPr>
          <w:spacing w:val="-10"/>
          <w:sz w:val="20"/>
        </w:rPr>
        <w:t> </w:t>
      </w:r>
      <w:r>
        <w:rPr>
          <w:sz w:val="20"/>
        </w:rPr>
        <w:t>o</w:t>
      </w:r>
      <w:r>
        <w:rPr>
          <w:spacing w:val="-8"/>
          <w:sz w:val="20"/>
        </w:rPr>
        <w:t> </w:t>
      </w:r>
      <w:r>
        <w:rPr>
          <w:sz w:val="20"/>
        </w:rPr>
        <w:t>mecánico,</w:t>
      </w:r>
      <w:r>
        <w:rPr>
          <w:spacing w:val="-11"/>
          <w:sz w:val="20"/>
        </w:rPr>
        <w:t> </w:t>
      </w:r>
      <w:r>
        <w:rPr>
          <w:sz w:val="20"/>
        </w:rPr>
        <w:t>incluyendo, pero sin limitarse a lo siguiente: Citas en artículos y comentarios bibliográficos, de compilación de datos periodísticos radiofónicos o electrónicos. Visite nuestro sitio WEB en:</w:t>
      </w:r>
      <w:r>
        <w:rPr>
          <w:spacing w:val="-17"/>
          <w:sz w:val="20"/>
        </w:rPr>
        <w:t> </w:t>
      </w:r>
      <w:hyperlink r:id="rId6">
        <w:r>
          <w:rPr>
            <w:sz w:val="20"/>
          </w:rPr>
          <w:t>www.ecorfan.org</w:t>
        </w:r>
      </w:hyperlink>
    </w:p>
    <w:p>
      <w:pPr>
        <w:pStyle w:val="BodyText"/>
        <w:spacing w:before="9"/>
        <w:rPr>
          <w:sz w:val="19"/>
        </w:rPr>
      </w:pPr>
    </w:p>
    <w:p>
      <w:pPr>
        <w:spacing w:before="1"/>
        <w:ind w:left="102" w:right="0" w:firstLine="0"/>
        <w:jc w:val="both"/>
        <w:rPr>
          <w:sz w:val="20"/>
        </w:rPr>
      </w:pPr>
      <w:r>
        <w:rPr>
          <w:sz w:val="20"/>
        </w:rPr>
        <w:t>ISBN: 978-607-8324-72-9</w:t>
      </w:r>
    </w:p>
    <w:p>
      <w:pPr>
        <w:spacing w:before="0"/>
        <w:ind w:left="102" w:right="1149" w:firstLine="0"/>
        <w:jc w:val="left"/>
        <w:rPr>
          <w:sz w:val="20"/>
        </w:rPr>
      </w:pPr>
      <w:r>
        <w:rPr>
          <w:sz w:val="20"/>
        </w:rPr>
        <w:t>Sello Editorial ECORFAN: 607-8324 Número de Control B: 2016-01 Clasificación B (2016): 160916-0101</w:t>
      </w:r>
    </w:p>
    <w:p>
      <w:pPr>
        <w:pStyle w:val="BodyText"/>
        <w:spacing w:before="10"/>
        <w:rPr>
          <w:sz w:val="19"/>
        </w:rPr>
      </w:pPr>
    </w:p>
    <w:p>
      <w:pPr>
        <w:spacing w:before="0"/>
        <w:ind w:left="102" w:right="118" w:firstLine="0"/>
        <w:jc w:val="both"/>
        <w:rPr>
          <w:sz w:val="20"/>
        </w:rPr>
      </w:pPr>
      <w:r>
        <w:rPr>
          <w:sz w:val="20"/>
        </w:rPr>
        <w:t>A los efectos de los artículos 13, 162 163 fracción I, 164 fracción I, 168, 169,209, y otra fracción aplicable III de la Ley del Derecho de Autor.</w:t>
      </w:r>
    </w:p>
    <w:p>
      <w:pPr>
        <w:spacing w:after="0"/>
        <w:jc w:val="both"/>
        <w:rPr>
          <w:sz w:val="20"/>
        </w:rPr>
        <w:sectPr>
          <w:pgSz w:w="12240" w:h="15840"/>
          <w:pgMar w:top="1360" w:bottom="280" w:left="1600" w:right="1580"/>
          <w:cols w:num="2" w:equalWidth="0">
            <w:col w:w="3467" w:space="1305"/>
            <w:col w:w="4288"/>
          </w:cols>
        </w:sectPr>
      </w:pPr>
    </w:p>
    <w:p>
      <w:pPr>
        <w:pStyle w:val="Heading1"/>
        <w:spacing w:before="53"/>
      </w:pPr>
      <w:r>
        <w:rPr/>
        <w:t>Contenido</w:t>
      </w:r>
    </w:p>
    <w:p>
      <w:pPr>
        <w:tabs>
          <w:tab w:pos="8829" w:val="left" w:leader="none"/>
        </w:tabs>
        <w:spacing w:before="272"/>
        <w:ind w:left="102" w:right="0" w:firstLine="0"/>
        <w:jc w:val="left"/>
        <w:rPr>
          <w:sz w:val="20"/>
        </w:rPr>
      </w:pPr>
      <w:r>
        <w:rPr>
          <w:sz w:val="20"/>
        </w:rPr>
        <w:t>Presencia de la mancha de asfalto en maíz (</w:t>
      </w:r>
      <w:r>
        <w:rPr>
          <w:i/>
          <w:sz w:val="20"/>
        </w:rPr>
        <w:t>zea MAYS </w:t>
      </w:r>
      <w:r>
        <w:rPr>
          <w:sz w:val="20"/>
        </w:rPr>
        <w:t>l.) En villaflores,</w:t>
      </w:r>
      <w:r>
        <w:rPr>
          <w:spacing w:val="-20"/>
          <w:sz w:val="20"/>
        </w:rPr>
        <w:t> </w:t>
      </w:r>
      <w:r>
        <w:rPr>
          <w:sz w:val="20"/>
        </w:rPr>
        <w:t>Chiapas,</w:t>
      </w:r>
      <w:r>
        <w:rPr>
          <w:spacing w:val="-2"/>
          <w:sz w:val="20"/>
        </w:rPr>
        <w:t> </w:t>
      </w:r>
      <w:r>
        <w:rPr>
          <w:sz w:val="20"/>
        </w:rPr>
        <w:t>México</w:t>
        <w:tab/>
        <w:t>1</w:t>
      </w:r>
    </w:p>
    <w:p>
      <w:pPr>
        <w:tabs>
          <w:tab w:pos="8731" w:val="left" w:leader="none"/>
        </w:tabs>
        <w:spacing w:before="118"/>
        <w:ind w:left="102" w:right="0" w:firstLine="0"/>
        <w:jc w:val="left"/>
        <w:rPr>
          <w:sz w:val="20"/>
        </w:rPr>
      </w:pPr>
      <w:r>
        <w:rPr>
          <w:sz w:val="20"/>
        </w:rPr>
        <w:t>Comparación de la transmisión de la radiación fotosintéticamente activa</w:t>
      </w:r>
      <w:r>
        <w:rPr>
          <w:spacing w:val="-18"/>
          <w:sz w:val="20"/>
        </w:rPr>
        <w:t> </w:t>
      </w:r>
      <w:r>
        <w:rPr>
          <w:sz w:val="20"/>
        </w:rPr>
        <w:t>en</w:t>
      </w:r>
      <w:r>
        <w:rPr>
          <w:spacing w:val="-3"/>
          <w:sz w:val="20"/>
        </w:rPr>
        <w:t> </w:t>
      </w:r>
      <w:r>
        <w:rPr>
          <w:sz w:val="20"/>
        </w:rPr>
        <w:t>invernadero</w:t>
        <w:tab/>
        <w:t>15</w:t>
      </w:r>
    </w:p>
    <w:p>
      <w:pPr>
        <w:tabs>
          <w:tab w:pos="8709" w:val="left" w:leader="none"/>
        </w:tabs>
        <w:spacing w:before="121"/>
        <w:ind w:left="102" w:right="0" w:firstLine="0"/>
        <w:jc w:val="left"/>
        <w:rPr>
          <w:sz w:val="22"/>
        </w:rPr>
      </w:pPr>
      <w:r>
        <w:rPr>
          <w:sz w:val="20"/>
        </w:rPr>
        <w:t>El PIB agropecuario en las tres</w:t>
      </w:r>
      <w:r>
        <w:rPr>
          <w:spacing w:val="-11"/>
          <w:sz w:val="20"/>
        </w:rPr>
        <w:t> </w:t>
      </w:r>
      <w:r>
        <w:rPr>
          <w:sz w:val="20"/>
        </w:rPr>
        <w:t>últimas</w:t>
      </w:r>
      <w:r>
        <w:rPr>
          <w:spacing w:val="1"/>
          <w:sz w:val="20"/>
        </w:rPr>
        <w:t> </w:t>
      </w:r>
      <w:r>
        <w:rPr>
          <w:sz w:val="20"/>
        </w:rPr>
        <w:t>décadas</w:t>
      </w:r>
      <w:r>
        <w:rPr>
          <w:sz w:val="22"/>
        </w:rPr>
        <w:tab/>
        <w:t>25</w:t>
      </w:r>
    </w:p>
    <w:p>
      <w:pPr>
        <w:tabs>
          <w:tab w:pos="8731" w:val="left" w:leader="none"/>
        </w:tabs>
        <w:spacing w:before="118"/>
        <w:ind w:left="102" w:right="0" w:firstLine="0"/>
        <w:jc w:val="left"/>
        <w:rPr>
          <w:sz w:val="20"/>
        </w:rPr>
      </w:pPr>
      <w:r>
        <w:rPr>
          <w:sz w:val="20"/>
        </w:rPr>
        <w:t>Migración,  remesas y pobreza</w:t>
      </w:r>
      <w:r>
        <w:rPr>
          <w:spacing w:val="-12"/>
          <w:sz w:val="20"/>
        </w:rPr>
        <w:t> </w:t>
      </w:r>
      <w:r>
        <w:rPr>
          <w:sz w:val="20"/>
        </w:rPr>
        <w:t>en</w:t>
      </w:r>
      <w:r>
        <w:rPr>
          <w:spacing w:val="-3"/>
          <w:sz w:val="20"/>
        </w:rPr>
        <w:t> </w:t>
      </w:r>
      <w:r>
        <w:rPr>
          <w:sz w:val="20"/>
        </w:rPr>
        <w:t>México</w:t>
        <w:tab/>
        <w:t>36</w:t>
      </w:r>
    </w:p>
    <w:p>
      <w:pPr>
        <w:tabs>
          <w:tab w:pos="8731" w:val="left" w:leader="none"/>
        </w:tabs>
        <w:spacing w:before="118"/>
        <w:ind w:left="102" w:right="0" w:firstLine="0"/>
        <w:jc w:val="left"/>
        <w:rPr>
          <w:sz w:val="20"/>
        </w:rPr>
      </w:pPr>
      <w:r>
        <w:rPr>
          <w:sz w:val="20"/>
        </w:rPr>
        <w:t>Comportamiento de líneas elite de cebada maltera en los Valles Altos</w:t>
      </w:r>
      <w:r>
        <w:rPr>
          <w:spacing w:val="-21"/>
          <w:sz w:val="20"/>
        </w:rPr>
        <w:t> </w:t>
      </w:r>
      <w:r>
        <w:rPr>
          <w:sz w:val="20"/>
        </w:rPr>
        <w:t>de</w:t>
      </w:r>
      <w:r>
        <w:rPr>
          <w:spacing w:val="-2"/>
          <w:sz w:val="20"/>
        </w:rPr>
        <w:t> </w:t>
      </w:r>
      <w:r>
        <w:rPr>
          <w:sz w:val="20"/>
        </w:rPr>
        <w:t>México</w:t>
        <w:tab/>
        <w:t>54</w:t>
      </w:r>
    </w:p>
    <w:p>
      <w:pPr>
        <w:tabs>
          <w:tab w:pos="8707" w:val="left" w:leader="none"/>
        </w:tabs>
        <w:spacing w:before="118"/>
        <w:ind w:left="102" w:right="0" w:firstLine="0"/>
        <w:jc w:val="left"/>
        <w:rPr>
          <w:sz w:val="20"/>
        </w:rPr>
      </w:pPr>
      <w:r>
        <w:rPr>
          <w:sz w:val="20"/>
        </w:rPr>
        <w:t>El huerto familiar orgánico, diversificado y agroecológico: la experiencia del</w:t>
      </w:r>
      <w:r>
        <w:rPr>
          <w:spacing w:val="-24"/>
          <w:sz w:val="20"/>
        </w:rPr>
        <w:t> </w:t>
      </w:r>
      <w:r>
        <w:rPr>
          <w:sz w:val="20"/>
        </w:rPr>
        <w:t>Módulo</w:t>
      </w:r>
      <w:r>
        <w:rPr>
          <w:spacing w:val="-2"/>
          <w:sz w:val="20"/>
        </w:rPr>
        <w:t> </w:t>
      </w:r>
      <w:r>
        <w:rPr>
          <w:sz w:val="20"/>
        </w:rPr>
        <w:t>Jurásico</w:t>
        <w:tab/>
        <w:t>59</w:t>
      </w:r>
    </w:p>
    <w:p>
      <w:pPr>
        <w:tabs>
          <w:tab w:pos="8731" w:val="left" w:leader="none"/>
        </w:tabs>
        <w:spacing w:before="118"/>
        <w:ind w:left="102" w:right="0" w:firstLine="0"/>
        <w:jc w:val="left"/>
        <w:rPr>
          <w:sz w:val="20"/>
        </w:rPr>
      </w:pPr>
      <w:r>
        <w:rPr>
          <w:sz w:val="20"/>
        </w:rPr>
        <w:t>El Charal (</w:t>
      </w:r>
      <w:r>
        <w:rPr>
          <w:i/>
          <w:sz w:val="20"/>
        </w:rPr>
        <w:t>Chirostoma</w:t>
      </w:r>
      <w:r>
        <w:rPr>
          <w:sz w:val="20"/>
        </w:rPr>
        <w:t>, Poeciliidae) y su uso en  la</w:t>
      </w:r>
      <w:r>
        <w:rPr>
          <w:spacing w:val="-21"/>
          <w:sz w:val="20"/>
        </w:rPr>
        <w:t> </w:t>
      </w:r>
      <w:r>
        <w:rPr>
          <w:sz w:val="20"/>
        </w:rPr>
        <w:t>alimentación</w:t>
      </w:r>
      <w:r>
        <w:rPr>
          <w:spacing w:val="-3"/>
          <w:sz w:val="20"/>
        </w:rPr>
        <w:t> </w:t>
      </w:r>
      <w:r>
        <w:rPr>
          <w:sz w:val="20"/>
        </w:rPr>
        <w:t>prehispánica</w:t>
        <w:tab/>
        <w:t>85</w:t>
      </w:r>
    </w:p>
    <w:p>
      <w:pPr>
        <w:tabs>
          <w:tab w:pos="8731" w:val="left" w:leader="none"/>
        </w:tabs>
        <w:spacing w:before="118"/>
        <w:ind w:left="102" w:right="0" w:firstLine="0"/>
        <w:jc w:val="left"/>
        <w:rPr>
          <w:sz w:val="20"/>
        </w:rPr>
      </w:pPr>
      <w:r>
        <w:rPr>
          <w:sz w:val="20"/>
        </w:rPr>
        <w:t>Entomofauna asociada al agroecosistema alfalfa (Medicago sativa L.) en el centro</w:t>
      </w:r>
      <w:r>
        <w:rPr>
          <w:spacing w:val="-16"/>
          <w:sz w:val="20"/>
        </w:rPr>
        <w:t> </w:t>
      </w:r>
      <w:r>
        <w:rPr>
          <w:sz w:val="20"/>
        </w:rPr>
        <w:t>de</w:t>
      </w:r>
      <w:r>
        <w:rPr>
          <w:spacing w:val="-3"/>
          <w:sz w:val="20"/>
        </w:rPr>
        <w:t> </w:t>
      </w:r>
      <w:r>
        <w:rPr>
          <w:sz w:val="20"/>
        </w:rPr>
        <w:t>capacitación</w:t>
        <w:tab/>
        <w:t>99</w:t>
      </w:r>
    </w:p>
    <w:p>
      <w:pPr>
        <w:tabs>
          <w:tab w:pos="8630" w:val="left" w:leader="none"/>
        </w:tabs>
        <w:spacing w:before="118"/>
        <w:ind w:left="102" w:right="0" w:firstLine="0"/>
        <w:jc w:val="left"/>
        <w:rPr>
          <w:sz w:val="20"/>
        </w:rPr>
      </w:pPr>
      <w:r>
        <w:rPr>
          <w:sz w:val="20"/>
        </w:rPr>
        <w:t>Diversidad arbórea y silvicultura comunitaria en la region Chatina</w:t>
      </w:r>
      <w:r>
        <w:rPr>
          <w:spacing w:val="-23"/>
          <w:sz w:val="20"/>
        </w:rPr>
        <w:t> </w:t>
      </w:r>
      <w:r>
        <w:rPr>
          <w:sz w:val="20"/>
        </w:rPr>
        <w:t>de</w:t>
      </w:r>
      <w:r>
        <w:rPr>
          <w:spacing w:val="-3"/>
          <w:sz w:val="20"/>
        </w:rPr>
        <w:t> </w:t>
      </w:r>
      <w:r>
        <w:rPr>
          <w:sz w:val="20"/>
        </w:rPr>
        <w:t>Oaxaca</w:t>
        <w:tab/>
        <w:t>105</w:t>
      </w:r>
    </w:p>
    <w:p>
      <w:pPr>
        <w:tabs>
          <w:tab w:pos="8630" w:val="left" w:leader="none"/>
        </w:tabs>
        <w:spacing w:before="118"/>
        <w:ind w:left="102" w:right="0" w:firstLine="0"/>
        <w:jc w:val="left"/>
        <w:rPr>
          <w:sz w:val="20"/>
        </w:rPr>
      </w:pPr>
      <w:r>
        <w:rPr>
          <w:sz w:val="20"/>
        </w:rPr>
        <w:t>Evaluación del efecto de enraizadores hormonales y no hormonales en esquejes</w:t>
      </w:r>
      <w:r>
        <w:rPr>
          <w:spacing w:val="-22"/>
          <w:sz w:val="20"/>
        </w:rPr>
        <w:t> </w:t>
      </w:r>
      <w:r>
        <w:rPr>
          <w:sz w:val="20"/>
        </w:rPr>
        <w:t>de</w:t>
      </w:r>
      <w:r>
        <w:rPr>
          <w:spacing w:val="-2"/>
          <w:sz w:val="20"/>
        </w:rPr>
        <w:t> </w:t>
      </w:r>
      <w:r>
        <w:rPr>
          <w:sz w:val="20"/>
        </w:rPr>
        <w:t>stevia</w:t>
        <w:tab/>
        <w:t>112</w:t>
      </w:r>
    </w:p>
    <w:p>
      <w:pPr>
        <w:tabs>
          <w:tab w:pos="8630" w:val="left" w:leader="none"/>
        </w:tabs>
        <w:spacing w:before="120"/>
        <w:ind w:left="102" w:right="0" w:firstLine="0"/>
        <w:jc w:val="left"/>
        <w:rPr>
          <w:sz w:val="20"/>
        </w:rPr>
      </w:pPr>
      <w:r>
        <w:rPr>
          <w:sz w:val="20"/>
        </w:rPr>
        <w:t>Tenosique, Tabasco Corredor de la migración Infantil Centroamericana: Nuevo rostro en el</w:t>
      </w:r>
      <w:r>
        <w:rPr>
          <w:spacing w:val="-28"/>
          <w:sz w:val="20"/>
        </w:rPr>
        <w:t> </w:t>
      </w:r>
      <w:r>
        <w:rPr>
          <w:sz w:val="20"/>
        </w:rPr>
        <w:t>siglo</w:t>
      </w:r>
      <w:r>
        <w:rPr>
          <w:spacing w:val="-2"/>
          <w:sz w:val="20"/>
        </w:rPr>
        <w:t> </w:t>
      </w:r>
      <w:r>
        <w:rPr>
          <w:sz w:val="20"/>
        </w:rPr>
        <w:t>XXI</w:t>
        <w:tab/>
        <w:t>118</w:t>
      </w:r>
    </w:p>
    <w:p>
      <w:pPr>
        <w:spacing w:after="0"/>
        <w:jc w:val="left"/>
        <w:rPr>
          <w:sz w:val="20"/>
        </w:rPr>
        <w:sectPr>
          <w:pgSz w:w="12240" w:h="15840"/>
          <w:pgMar w:top="1360" w:bottom="280" w:left="1600" w:right="1600"/>
        </w:sectPr>
      </w:pPr>
    </w:p>
    <w:p>
      <w:pPr>
        <w:pStyle w:val="BodyText"/>
        <w:rPr>
          <w:sz w:val="28"/>
        </w:rPr>
      </w:pPr>
    </w:p>
    <w:p>
      <w:pPr>
        <w:spacing w:before="165"/>
        <w:ind w:left="102" w:right="0" w:firstLine="0"/>
        <w:jc w:val="both"/>
        <w:rPr>
          <w:b/>
          <w:sz w:val="28"/>
        </w:rPr>
      </w:pPr>
      <w:r>
        <w:rPr>
          <w:b/>
          <w:sz w:val="28"/>
        </w:rPr>
        <w:t>El PIB agropecuario en las tres últimas décadas</w:t>
      </w:r>
    </w:p>
    <w:p>
      <w:pPr>
        <w:pStyle w:val="BodyText"/>
        <w:rPr>
          <w:b/>
          <w:sz w:val="28"/>
        </w:rPr>
      </w:pPr>
    </w:p>
    <w:p>
      <w:pPr>
        <w:pStyle w:val="BodyText"/>
        <w:spacing w:before="6"/>
        <w:rPr>
          <w:b/>
          <w:sz w:val="27"/>
        </w:rPr>
      </w:pPr>
    </w:p>
    <w:p>
      <w:pPr>
        <w:pStyle w:val="BodyText"/>
        <w:tabs>
          <w:tab w:pos="1966" w:val="left" w:leader="none"/>
          <w:tab w:pos="3407" w:val="left" w:leader="none"/>
          <w:tab w:pos="6592" w:val="left" w:leader="none"/>
          <w:tab w:pos="7790" w:val="left" w:leader="none"/>
        </w:tabs>
        <w:spacing w:before="1"/>
        <w:ind w:left="102" w:right="117"/>
      </w:pPr>
      <w:r>
        <w:rPr/>
        <w:t>PÉREZ-SOTO,</w:t>
        <w:tab/>
        <w:t>Francisco`,</w:t>
        <w:tab/>
        <w:t>FIGUEROA-HERNÁNDEZ,</w:t>
        <w:tab/>
        <w:t>Esther``,</w:t>
        <w:tab/>
        <w:t>GODINEZ- MONTOYA,   Lucila```,   BARRIOS-PUENTE,   Gerónimo````,</w:t>
      </w:r>
      <w:r>
        <w:rPr>
          <w:spacing w:val="27"/>
        </w:rPr>
        <w:t> </w:t>
      </w:r>
      <w:r>
        <w:rPr/>
        <w:t>SEPÚLVEDA-JIMÉNEZ,</w:t>
      </w:r>
    </w:p>
    <w:p>
      <w:pPr>
        <w:pStyle w:val="BodyText"/>
        <w:ind w:left="102"/>
        <w:jc w:val="both"/>
      </w:pPr>
      <w:r>
        <w:rPr/>
        <w:t>Daniel`````</w:t>
      </w:r>
    </w:p>
    <w:p>
      <w:pPr>
        <w:pStyle w:val="BodyText"/>
      </w:pPr>
    </w:p>
    <w:p>
      <w:pPr>
        <w:pStyle w:val="BodyText"/>
      </w:pPr>
    </w:p>
    <w:p>
      <w:pPr>
        <w:pStyle w:val="BodyText"/>
        <w:spacing w:before="4"/>
      </w:pPr>
    </w:p>
    <w:p>
      <w:pPr>
        <w:pStyle w:val="Heading1"/>
        <w:jc w:val="both"/>
      </w:pPr>
      <w:r>
        <w:rPr/>
        <w:t>Resumen</w:t>
      </w:r>
    </w:p>
    <w:p>
      <w:pPr>
        <w:pStyle w:val="BodyText"/>
        <w:spacing w:before="6"/>
        <w:rPr>
          <w:b/>
          <w:sz w:val="23"/>
        </w:rPr>
      </w:pPr>
    </w:p>
    <w:p>
      <w:pPr>
        <w:pStyle w:val="BodyText"/>
        <w:ind w:left="102" w:right="115"/>
        <w:jc w:val="both"/>
      </w:pPr>
      <w:r>
        <w:rPr/>
        <w:t>En</w:t>
      </w:r>
      <w:r>
        <w:rPr>
          <w:spacing w:val="-7"/>
        </w:rPr>
        <w:t> </w:t>
      </w:r>
      <w:r>
        <w:rPr/>
        <w:t>este</w:t>
      </w:r>
      <w:r>
        <w:rPr>
          <w:spacing w:val="-6"/>
        </w:rPr>
        <w:t> </w:t>
      </w:r>
      <w:r>
        <w:rPr/>
        <w:t>artículo</w:t>
      </w:r>
      <w:r>
        <w:rPr>
          <w:spacing w:val="-6"/>
        </w:rPr>
        <w:t> </w:t>
      </w:r>
      <w:r>
        <w:rPr/>
        <w:t>se</w:t>
      </w:r>
      <w:r>
        <w:rPr>
          <w:spacing w:val="-7"/>
        </w:rPr>
        <w:t> </w:t>
      </w:r>
      <w:r>
        <w:rPr/>
        <w:t>presenta</w:t>
      </w:r>
      <w:r>
        <w:rPr>
          <w:spacing w:val="-7"/>
        </w:rPr>
        <w:t> </w:t>
      </w:r>
      <w:r>
        <w:rPr/>
        <w:t>un</w:t>
      </w:r>
      <w:r>
        <w:rPr>
          <w:spacing w:val="-6"/>
        </w:rPr>
        <w:t> </w:t>
      </w:r>
      <w:r>
        <w:rPr/>
        <w:t>breve</w:t>
      </w:r>
      <w:r>
        <w:rPr>
          <w:spacing w:val="-5"/>
        </w:rPr>
        <w:t> </w:t>
      </w:r>
      <w:r>
        <w:rPr/>
        <w:t>análisis,</w:t>
      </w:r>
      <w:r>
        <w:rPr>
          <w:spacing w:val="-6"/>
        </w:rPr>
        <w:t> </w:t>
      </w:r>
      <w:r>
        <w:rPr/>
        <w:t>desde</w:t>
      </w:r>
      <w:r>
        <w:rPr>
          <w:spacing w:val="-7"/>
        </w:rPr>
        <w:t> </w:t>
      </w:r>
      <w:r>
        <w:rPr/>
        <w:t>la</w:t>
      </w:r>
      <w:r>
        <w:rPr>
          <w:spacing w:val="-7"/>
        </w:rPr>
        <w:t> </w:t>
      </w:r>
      <w:r>
        <w:rPr/>
        <w:t>perspectiva</w:t>
      </w:r>
      <w:r>
        <w:rPr>
          <w:spacing w:val="-7"/>
        </w:rPr>
        <w:t> </w:t>
      </w:r>
      <w:r>
        <w:rPr/>
        <w:t>de</w:t>
      </w:r>
      <w:r>
        <w:rPr>
          <w:spacing w:val="-7"/>
        </w:rPr>
        <w:t> </w:t>
      </w:r>
      <w:r>
        <w:rPr/>
        <w:t>la</w:t>
      </w:r>
      <w:r>
        <w:rPr>
          <w:spacing w:val="-7"/>
        </w:rPr>
        <w:t> </w:t>
      </w:r>
      <w:r>
        <w:rPr/>
        <w:t>teoría</w:t>
      </w:r>
      <w:r>
        <w:rPr>
          <w:spacing w:val="-7"/>
        </w:rPr>
        <w:t> </w:t>
      </w:r>
      <w:r>
        <w:rPr/>
        <w:t>económica,</w:t>
      </w:r>
      <w:r>
        <w:rPr>
          <w:spacing w:val="-6"/>
        </w:rPr>
        <w:t> </w:t>
      </w:r>
      <w:r>
        <w:rPr/>
        <w:t>de la reciente teoría de la regresión y del modelo de minimización de los errores, del comportamiento del crecimiento económico de México como función de la inversión gubernamental, las exportaciones y las importaciones, la disponibilidad de crédito, la existencia</w:t>
      </w:r>
      <w:r>
        <w:rPr>
          <w:spacing w:val="-4"/>
        </w:rPr>
        <w:t> </w:t>
      </w:r>
      <w:r>
        <w:rPr/>
        <w:t>de</w:t>
      </w:r>
      <w:r>
        <w:rPr>
          <w:spacing w:val="-5"/>
        </w:rPr>
        <w:t> </w:t>
      </w:r>
      <w:r>
        <w:rPr/>
        <w:t>crisis</w:t>
      </w:r>
      <w:r>
        <w:rPr>
          <w:spacing w:val="-3"/>
        </w:rPr>
        <w:t> </w:t>
      </w:r>
      <w:r>
        <w:rPr/>
        <w:t>en</w:t>
      </w:r>
      <w:r>
        <w:rPr>
          <w:spacing w:val="-4"/>
        </w:rPr>
        <w:t> </w:t>
      </w:r>
      <w:r>
        <w:rPr/>
        <w:t>la economía</w:t>
      </w:r>
      <w:r>
        <w:rPr>
          <w:spacing w:val="-5"/>
        </w:rPr>
        <w:t> </w:t>
      </w:r>
      <w:r>
        <w:rPr/>
        <w:t>así</w:t>
      </w:r>
      <w:r>
        <w:rPr>
          <w:spacing w:val="-3"/>
        </w:rPr>
        <w:t> </w:t>
      </w:r>
      <w:r>
        <w:rPr/>
        <w:t>como</w:t>
      </w:r>
      <w:r>
        <w:rPr>
          <w:spacing w:val="-3"/>
        </w:rPr>
        <w:t> </w:t>
      </w:r>
      <w:r>
        <w:rPr/>
        <w:t>la</w:t>
      </w:r>
      <w:r>
        <w:rPr>
          <w:spacing w:val="-5"/>
        </w:rPr>
        <w:t> </w:t>
      </w:r>
      <w:r>
        <w:rPr/>
        <w:t>presencia</w:t>
      </w:r>
      <w:r>
        <w:rPr>
          <w:spacing w:val="-4"/>
        </w:rPr>
        <w:t> </w:t>
      </w:r>
      <w:r>
        <w:rPr/>
        <w:t>de</w:t>
      </w:r>
      <w:r>
        <w:rPr>
          <w:spacing w:val="-3"/>
        </w:rPr>
        <w:t> </w:t>
      </w:r>
      <w:r>
        <w:rPr/>
        <w:t>sobrevaluación</w:t>
      </w:r>
      <w:r>
        <w:rPr>
          <w:spacing w:val="-2"/>
        </w:rPr>
        <w:t> </w:t>
      </w:r>
      <w:r>
        <w:rPr/>
        <w:t>de</w:t>
      </w:r>
      <w:r>
        <w:rPr>
          <w:spacing w:val="-4"/>
        </w:rPr>
        <w:t> </w:t>
      </w:r>
      <w:r>
        <w:rPr/>
        <w:t>la</w:t>
      </w:r>
      <w:r>
        <w:rPr>
          <w:spacing w:val="-4"/>
        </w:rPr>
        <w:t> </w:t>
      </w:r>
      <w:r>
        <w:rPr/>
        <w:t>moneda</w:t>
      </w:r>
      <w:r>
        <w:rPr>
          <w:spacing w:val="-3"/>
        </w:rPr>
        <w:t> </w:t>
      </w:r>
      <w:r>
        <w:rPr/>
        <w:t>en una perspectiva de largo</w:t>
      </w:r>
      <w:r>
        <w:rPr>
          <w:spacing w:val="-5"/>
        </w:rPr>
        <w:t> </w:t>
      </w:r>
      <w:r>
        <w:rPr/>
        <w:t>plazo.</w:t>
      </w:r>
    </w:p>
    <w:p>
      <w:pPr>
        <w:pStyle w:val="BodyText"/>
        <w:spacing w:before="4"/>
      </w:pPr>
    </w:p>
    <w:p>
      <w:pPr>
        <w:pStyle w:val="Heading1"/>
        <w:jc w:val="both"/>
      </w:pPr>
      <w:r>
        <w:rPr/>
        <w:t>PIB, Agropecuario, Crecimiento Económico, México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23"/>
        </w:rPr>
      </w:pPr>
    </w:p>
    <w:p>
      <w:pPr>
        <w:spacing w:before="1"/>
        <w:ind w:left="102" w:right="45" w:firstLine="0"/>
        <w:jc w:val="left"/>
        <w:rPr>
          <w:sz w:val="20"/>
        </w:rPr>
      </w:pPr>
      <w:r>
        <w:rPr>
          <w:sz w:val="20"/>
        </w:rPr>
        <w:t>`Division of Economic and Administrative Sciences, University of Chapingo. carr 38.5 km. Mexico - Texcoco. CP 56230, Chapingo, State of Mexico. Chapingo, State of Mexico.</w:t>
      </w:r>
    </w:p>
    <w:p>
      <w:pPr>
        <w:spacing w:before="0"/>
        <w:ind w:left="102" w:right="45" w:firstLine="0"/>
        <w:jc w:val="left"/>
        <w:rPr>
          <w:sz w:val="20"/>
        </w:rPr>
      </w:pPr>
      <w:r>
        <w:rPr>
          <w:sz w:val="20"/>
        </w:rPr>
        <w:t>``University Center UAEM Texcoco. Av. Zumpango Garden S / N Fracc. The Tejocote. Texcoco, State of Mexico.</w:t>
      </w:r>
    </w:p>
    <w:p>
      <w:pPr>
        <w:spacing w:before="1"/>
        <w:ind w:left="102" w:right="45" w:firstLine="0"/>
        <w:jc w:val="left"/>
        <w:rPr>
          <w:sz w:val="20"/>
        </w:rPr>
      </w:pPr>
      <w:r>
        <w:rPr>
          <w:sz w:val="20"/>
        </w:rPr>
        <w:t>```University Center UAEM Texcoco. Av. Zumpango Garden S / N Fracc. The Tejocote. Texcoco, State of Mexico.</w:t>
      </w:r>
    </w:p>
    <w:p>
      <w:pPr>
        <w:spacing w:before="0"/>
        <w:ind w:left="102" w:right="45" w:firstLine="0"/>
        <w:jc w:val="left"/>
        <w:rPr>
          <w:sz w:val="20"/>
        </w:rPr>
      </w:pPr>
      <w:r>
        <w:rPr>
          <w:sz w:val="20"/>
        </w:rPr>
        <w:t>````Division of Economic and Administrative Sciences, University of Chapingo. carr 38.5 km. Mexico - Texcoco. CP 56230, Chapingo, State of Mexico. Chapingo, State of Mexico.</w:t>
      </w:r>
    </w:p>
    <w:p>
      <w:pPr>
        <w:spacing w:before="0"/>
        <w:ind w:left="102" w:right="45" w:firstLine="0"/>
        <w:jc w:val="left"/>
        <w:rPr>
          <w:sz w:val="20"/>
        </w:rPr>
      </w:pPr>
      <w:r>
        <w:rPr>
          <w:sz w:val="20"/>
        </w:rPr>
        <w:t>`````Division of Economic and Administrative Sciences, University of Chapingo. carr 38.5 km. Mexico - Texcoco. CP 56230, Chapingo, State of Mexico. Chapingo, State of Mexico.</w:t>
      </w:r>
    </w:p>
    <w:p>
      <w:pPr>
        <w:spacing w:before="0"/>
        <w:ind w:left="102" w:right="0" w:firstLine="0"/>
        <w:jc w:val="both"/>
        <w:rPr>
          <w:sz w:val="20"/>
        </w:rPr>
      </w:pPr>
      <w:hyperlink r:id="rId8">
        <w:r>
          <w:rPr>
            <w:sz w:val="20"/>
          </w:rPr>
          <w:t>perezsotof@hotmail.com</w:t>
        </w:r>
      </w:hyperlink>
    </w:p>
    <w:p>
      <w:pPr>
        <w:pStyle w:val="BodyText"/>
        <w:spacing w:before="9"/>
        <w:rPr>
          <w:sz w:val="19"/>
        </w:rPr>
      </w:pPr>
    </w:p>
    <w:p>
      <w:pPr>
        <w:spacing w:before="1"/>
        <w:ind w:left="102" w:right="45" w:firstLine="0"/>
        <w:jc w:val="left"/>
        <w:rPr>
          <w:sz w:val="20"/>
        </w:rPr>
      </w:pPr>
      <w:r>
        <w:rPr>
          <w:sz w:val="20"/>
        </w:rPr>
        <w:t>F. Pérez, E. Figueroa, L. Godínez (Dir.’s) Desarrollo Económico en México.-©ECORFAN, Texcoco de Mora- México, 2016.</w:t>
      </w:r>
    </w:p>
    <w:p>
      <w:pPr>
        <w:spacing w:after="0"/>
        <w:jc w:val="left"/>
        <w:rPr>
          <w:sz w:val="20"/>
        </w:rPr>
        <w:sectPr>
          <w:headerReference w:type="default" r:id="rId7"/>
          <w:pgSz w:w="12240" w:h="15840"/>
          <w:pgMar w:header="727" w:footer="0" w:top="920" w:bottom="280" w:left="1600" w:right="1580"/>
          <w:pgNumType w:start="25"/>
        </w:sectPr>
      </w:pPr>
    </w:p>
    <w:p>
      <w:pPr>
        <w:pStyle w:val="BodyText"/>
        <w:rPr>
          <w:sz w:val="20"/>
        </w:rPr>
      </w:pPr>
    </w:p>
    <w:p>
      <w:pPr>
        <w:pStyle w:val="BodyText"/>
        <w:spacing w:before="3"/>
        <w:rPr>
          <w:sz w:val="16"/>
        </w:rPr>
      </w:pPr>
    </w:p>
    <w:p>
      <w:pPr>
        <w:pStyle w:val="Heading1"/>
        <w:spacing w:before="69"/>
        <w:jc w:val="both"/>
      </w:pPr>
      <w:r>
        <w:rPr/>
        <w:t>Introducción</w:t>
      </w:r>
    </w:p>
    <w:p>
      <w:pPr>
        <w:pStyle w:val="BodyText"/>
        <w:spacing w:before="6"/>
        <w:rPr>
          <w:b/>
          <w:sz w:val="23"/>
        </w:rPr>
      </w:pPr>
    </w:p>
    <w:p>
      <w:pPr>
        <w:pStyle w:val="BodyText"/>
        <w:ind w:left="102" w:right="119"/>
        <w:jc w:val="both"/>
      </w:pPr>
      <w:r>
        <w:rPr/>
        <w:t>En 1982, México abandonó una política de tipo de cambio fijo a favor de esquemas intermedios; sin embargo, éstos no previnieron la ocurrencia de varias devaluaciones drásticas</w:t>
      </w:r>
      <w:r>
        <w:rPr>
          <w:spacing w:val="-1"/>
        </w:rPr>
        <w:t> </w:t>
      </w:r>
      <w:r>
        <w:rPr/>
        <w:t>y</w:t>
      </w:r>
      <w:r>
        <w:rPr>
          <w:spacing w:val="-11"/>
        </w:rPr>
        <w:t> </w:t>
      </w:r>
      <w:r>
        <w:rPr/>
        <w:t>crisis</w:t>
      </w:r>
      <w:r>
        <w:rPr>
          <w:spacing w:val="-5"/>
        </w:rPr>
        <w:t> </w:t>
      </w:r>
      <w:r>
        <w:rPr/>
        <w:t>económicas</w:t>
      </w:r>
      <w:r>
        <w:rPr>
          <w:spacing w:val="-6"/>
        </w:rPr>
        <w:t> </w:t>
      </w:r>
      <w:r>
        <w:rPr/>
        <w:t>antes</w:t>
      </w:r>
      <w:r>
        <w:rPr>
          <w:spacing w:val="-6"/>
        </w:rPr>
        <w:t> </w:t>
      </w:r>
      <w:r>
        <w:rPr/>
        <w:t>de</w:t>
      </w:r>
      <w:r>
        <w:rPr>
          <w:spacing w:val="-7"/>
        </w:rPr>
        <w:t> </w:t>
      </w:r>
      <w:r>
        <w:rPr/>
        <w:t>que</w:t>
      </w:r>
      <w:r>
        <w:rPr>
          <w:spacing w:val="-7"/>
        </w:rPr>
        <w:t> </w:t>
      </w:r>
      <w:r>
        <w:rPr/>
        <w:t>un</w:t>
      </w:r>
      <w:r>
        <w:rPr>
          <w:spacing w:val="-6"/>
        </w:rPr>
        <w:t> </w:t>
      </w:r>
      <w:r>
        <w:rPr/>
        <w:t>sistema</w:t>
      </w:r>
      <w:r>
        <w:rPr>
          <w:spacing w:val="-7"/>
        </w:rPr>
        <w:t> </w:t>
      </w:r>
      <w:r>
        <w:rPr/>
        <w:t>de</w:t>
      </w:r>
      <w:r>
        <w:rPr>
          <w:spacing w:val="-7"/>
        </w:rPr>
        <w:t> </w:t>
      </w:r>
      <w:r>
        <w:rPr/>
        <w:t>flotación</w:t>
      </w:r>
      <w:r>
        <w:rPr>
          <w:spacing w:val="-6"/>
        </w:rPr>
        <w:t> </w:t>
      </w:r>
      <w:r>
        <w:rPr/>
        <w:t>libre</w:t>
      </w:r>
      <w:r>
        <w:rPr>
          <w:spacing w:val="-8"/>
        </w:rPr>
        <w:t> </w:t>
      </w:r>
      <w:r>
        <w:rPr/>
        <w:t>se</w:t>
      </w:r>
      <w:r>
        <w:rPr>
          <w:spacing w:val="-5"/>
        </w:rPr>
        <w:t> </w:t>
      </w:r>
      <w:r>
        <w:rPr/>
        <w:t>aplicara</w:t>
      </w:r>
      <w:r>
        <w:rPr>
          <w:spacing w:val="-8"/>
        </w:rPr>
        <w:t> </w:t>
      </w:r>
      <w:r>
        <w:rPr/>
        <w:t>a</w:t>
      </w:r>
      <w:r>
        <w:rPr>
          <w:spacing w:val="-7"/>
        </w:rPr>
        <w:t> </w:t>
      </w:r>
      <w:r>
        <w:rPr/>
        <w:t>partir</w:t>
      </w:r>
      <w:r>
        <w:rPr>
          <w:spacing w:val="-7"/>
        </w:rPr>
        <w:t> </w:t>
      </w:r>
      <w:r>
        <w:rPr/>
        <w:t>de 1995. Esta política, junto con otras que promueven la estabilidad económica, parece estar funcionando aceptablemente hasta el presente y por ello las discusiones sobre cuál sistema cambiario es el más recomendable para el país por el momento han sido dejadas de</w:t>
      </w:r>
      <w:r>
        <w:rPr>
          <w:spacing w:val="-10"/>
        </w:rPr>
        <w:t> </w:t>
      </w:r>
      <w:r>
        <w:rPr/>
        <w:t>lado.</w:t>
      </w:r>
    </w:p>
    <w:p>
      <w:pPr>
        <w:pStyle w:val="BodyText"/>
      </w:pPr>
    </w:p>
    <w:p>
      <w:pPr>
        <w:pStyle w:val="BodyText"/>
        <w:ind w:left="102" w:right="118" w:firstLine="707"/>
        <w:jc w:val="both"/>
      </w:pPr>
      <w:r>
        <w:rPr/>
        <w:t>A mediados de los años ochenta, México experimentó una prolongada recesión, comúnmente</w:t>
      </w:r>
      <w:r>
        <w:rPr>
          <w:spacing w:val="-9"/>
        </w:rPr>
        <w:t> </w:t>
      </w:r>
      <w:r>
        <w:rPr/>
        <w:t>entendida</w:t>
      </w:r>
      <w:r>
        <w:rPr>
          <w:spacing w:val="-7"/>
        </w:rPr>
        <w:t> </w:t>
      </w:r>
      <w:r>
        <w:rPr/>
        <w:t>como</w:t>
      </w:r>
      <w:r>
        <w:rPr>
          <w:spacing w:val="-8"/>
        </w:rPr>
        <w:t> </w:t>
      </w:r>
      <w:r>
        <w:rPr/>
        <w:t>una</w:t>
      </w:r>
      <w:r>
        <w:rPr>
          <w:spacing w:val="-10"/>
        </w:rPr>
        <w:t> </w:t>
      </w:r>
      <w:r>
        <w:rPr/>
        <w:t>secuela</w:t>
      </w:r>
      <w:r>
        <w:rPr>
          <w:spacing w:val="-7"/>
        </w:rPr>
        <w:t> </w:t>
      </w:r>
      <w:r>
        <w:rPr/>
        <w:t>de</w:t>
      </w:r>
      <w:r>
        <w:rPr>
          <w:spacing w:val="-7"/>
        </w:rPr>
        <w:t> </w:t>
      </w:r>
      <w:r>
        <w:rPr/>
        <w:t>la</w:t>
      </w:r>
      <w:r>
        <w:rPr>
          <w:spacing w:val="-7"/>
        </w:rPr>
        <w:t> </w:t>
      </w:r>
      <w:r>
        <w:rPr/>
        <w:t>crisis</w:t>
      </w:r>
      <w:r>
        <w:rPr>
          <w:spacing w:val="-8"/>
        </w:rPr>
        <w:t> </w:t>
      </w:r>
      <w:r>
        <w:rPr/>
        <w:t>de</w:t>
      </w:r>
      <w:r>
        <w:rPr>
          <w:spacing w:val="-10"/>
        </w:rPr>
        <w:t> </w:t>
      </w:r>
      <w:r>
        <w:rPr/>
        <w:t>la</w:t>
      </w:r>
      <w:r>
        <w:rPr>
          <w:spacing w:val="-9"/>
        </w:rPr>
        <w:t> </w:t>
      </w:r>
      <w:r>
        <w:rPr/>
        <w:t>deuda</w:t>
      </w:r>
      <w:r>
        <w:rPr>
          <w:spacing w:val="-7"/>
        </w:rPr>
        <w:t> </w:t>
      </w:r>
      <w:r>
        <w:rPr/>
        <w:t>que</w:t>
      </w:r>
      <w:r>
        <w:rPr>
          <w:spacing w:val="-7"/>
        </w:rPr>
        <w:t> </w:t>
      </w:r>
      <w:r>
        <w:rPr/>
        <w:t>estalló</w:t>
      </w:r>
      <w:r>
        <w:rPr>
          <w:spacing w:val="-9"/>
        </w:rPr>
        <w:t> </w:t>
      </w:r>
      <w:r>
        <w:rPr/>
        <w:t>en</w:t>
      </w:r>
      <w:r>
        <w:rPr>
          <w:spacing w:val="-9"/>
        </w:rPr>
        <w:t> </w:t>
      </w:r>
      <w:r>
        <w:rPr/>
        <w:t>1982.</w:t>
      </w:r>
      <w:r>
        <w:rPr>
          <w:spacing w:val="-7"/>
        </w:rPr>
        <w:t> </w:t>
      </w:r>
      <w:r>
        <w:rPr/>
        <w:t>El</w:t>
      </w:r>
      <w:r>
        <w:rPr>
          <w:spacing w:val="-8"/>
        </w:rPr>
        <w:t> </w:t>
      </w:r>
      <w:r>
        <w:rPr/>
        <w:t>país tuvo un desempeño económico decoroso desde el comienzo de la década de 1990 hasta el final</w:t>
      </w:r>
      <w:r>
        <w:rPr>
          <w:spacing w:val="-11"/>
        </w:rPr>
        <w:t> </w:t>
      </w:r>
      <w:r>
        <w:rPr/>
        <w:t>de</w:t>
      </w:r>
      <w:r>
        <w:rPr>
          <w:spacing w:val="-10"/>
        </w:rPr>
        <w:t> </w:t>
      </w:r>
      <w:r>
        <w:rPr/>
        <w:t>1994</w:t>
      </w:r>
      <w:r>
        <w:rPr>
          <w:spacing w:val="-11"/>
        </w:rPr>
        <w:t> </w:t>
      </w:r>
      <w:r>
        <w:rPr/>
        <w:t>cuando</w:t>
      </w:r>
      <w:r>
        <w:rPr>
          <w:spacing w:val="-11"/>
        </w:rPr>
        <w:t> </w:t>
      </w:r>
      <w:r>
        <w:rPr/>
        <w:t>volvió</w:t>
      </w:r>
      <w:r>
        <w:rPr>
          <w:spacing w:val="-11"/>
        </w:rPr>
        <w:t> </w:t>
      </w:r>
      <w:r>
        <w:rPr/>
        <w:t>a</w:t>
      </w:r>
      <w:r>
        <w:rPr>
          <w:spacing w:val="-12"/>
        </w:rPr>
        <w:t> </w:t>
      </w:r>
      <w:r>
        <w:rPr/>
        <w:t>enfrentar</w:t>
      </w:r>
      <w:r>
        <w:rPr>
          <w:spacing w:val="-12"/>
        </w:rPr>
        <w:t> </w:t>
      </w:r>
      <w:r>
        <w:rPr/>
        <w:t>una</w:t>
      </w:r>
      <w:r>
        <w:rPr>
          <w:spacing w:val="-10"/>
        </w:rPr>
        <w:t> </w:t>
      </w:r>
      <w:r>
        <w:rPr/>
        <w:t>crisis</w:t>
      </w:r>
      <w:r>
        <w:rPr>
          <w:spacing w:val="-8"/>
        </w:rPr>
        <w:t> </w:t>
      </w:r>
      <w:r>
        <w:rPr/>
        <w:t>de</w:t>
      </w:r>
      <w:r>
        <w:rPr>
          <w:spacing w:val="-12"/>
        </w:rPr>
        <w:t> </w:t>
      </w:r>
      <w:r>
        <w:rPr/>
        <w:t>proporciones</w:t>
      </w:r>
      <w:r>
        <w:rPr>
          <w:spacing w:val="-11"/>
        </w:rPr>
        <w:t> </w:t>
      </w:r>
      <w:r>
        <w:rPr/>
        <w:t>mayores.</w:t>
      </w:r>
      <w:r>
        <w:rPr>
          <w:spacing w:val="-9"/>
        </w:rPr>
        <w:t> </w:t>
      </w:r>
      <w:r>
        <w:rPr/>
        <w:t>Después</w:t>
      </w:r>
      <w:r>
        <w:rPr>
          <w:spacing w:val="-9"/>
        </w:rPr>
        <w:t> </w:t>
      </w:r>
      <w:r>
        <w:rPr/>
        <w:t>de</w:t>
      </w:r>
      <w:r>
        <w:rPr>
          <w:spacing w:val="-10"/>
        </w:rPr>
        <w:t> </w:t>
      </w:r>
      <w:r>
        <w:rPr/>
        <w:t>esto, la</w:t>
      </w:r>
      <w:r>
        <w:rPr>
          <w:spacing w:val="-7"/>
        </w:rPr>
        <w:t> </w:t>
      </w:r>
      <w:r>
        <w:rPr/>
        <w:t>economía</w:t>
      </w:r>
      <w:r>
        <w:rPr>
          <w:spacing w:val="-5"/>
        </w:rPr>
        <w:t> </w:t>
      </w:r>
      <w:r>
        <w:rPr/>
        <w:t>volvió</w:t>
      </w:r>
      <w:r>
        <w:rPr>
          <w:spacing w:val="-6"/>
        </w:rPr>
        <w:t> </w:t>
      </w:r>
      <w:r>
        <w:rPr/>
        <w:t>a</w:t>
      </w:r>
      <w:r>
        <w:rPr>
          <w:spacing w:val="-5"/>
        </w:rPr>
        <w:t> </w:t>
      </w:r>
      <w:r>
        <w:rPr/>
        <w:t>crecer</w:t>
      </w:r>
      <w:r>
        <w:rPr>
          <w:spacing w:val="-7"/>
        </w:rPr>
        <w:t> </w:t>
      </w:r>
      <w:r>
        <w:rPr/>
        <w:t>nuevamente</w:t>
      </w:r>
      <w:r>
        <w:rPr>
          <w:spacing w:val="-5"/>
        </w:rPr>
        <w:t> </w:t>
      </w:r>
      <w:r>
        <w:rPr/>
        <w:t>a</w:t>
      </w:r>
      <w:r>
        <w:rPr>
          <w:spacing w:val="-5"/>
        </w:rPr>
        <w:t> </w:t>
      </w:r>
      <w:r>
        <w:rPr/>
        <w:t>tasas</w:t>
      </w:r>
      <w:r>
        <w:rPr>
          <w:spacing w:val="-4"/>
        </w:rPr>
        <w:t> </w:t>
      </w:r>
      <w:r>
        <w:rPr/>
        <w:t>altas</w:t>
      </w:r>
      <w:r>
        <w:rPr>
          <w:spacing w:val="-6"/>
        </w:rPr>
        <w:t> </w:t>
      </w:r>
      <w:r>
        <w:rPr/>
        <w:t>de</w:t>
      </w:r>
      <w:r>
        <w:rPr>
          <w:spacing w:val="-5"/>
        </w:rPr>
        <w:t> </w:t>
      </w:r>
      <w:r>
        <w:rPr/>
        <w:t>1996</w:t>
      </w:r>
      <w:r>
        <w:rPr>
          <w:spacing w:val="-4"/>
        </w:rPr>
        <w:t> </w:t>
      </w:r>
      <w:r>
        <w:rPr/>
        <w:t>a</w:t>
      </w:r>
      <w:r>
        <w:rPr>
          <w:spacing w:val="-7"/>
        </w:rPr>
        <w:t> </w:t>
      </w:r>
      <w:r>
        <w:rPr/>
        <w:t>2000,</w:t>
      </w:r>
      <w:r>
        <w:rPr>
          <w:spacing w:val="-4"/>
        </w:rPr>
        <w:t> </w:t>
      </w:r>
      <w:r>
        <w:rPr/>
        <w:t>ayudada</w:t>
      </w:r>
      <w:r>
        <w:rPr>
          <w:spacing w:val="-7"/>
        </w:rPr>
        <w:t> </w:t>
      </w:r>
      <w:r>
        <w:rPr/>
        <w:t>por</w:t>
      </w:r>
      <w:r>
        <w:rPr>
          <w:spacing w:val="-5"/>
        </w:rPr>
        <w:t> </w:t>
      </w:r>
      <w:r>
        <w:rPr/>
        <w:t>el</w:t>
      </w:r>
      <w:r>
        <w:rPr>
          <w:spacing w:val="-6"/>
        </w:rPr>
        <w:t> </w:t>
      </w:r>
      <w:r>
        <w:rPr/>
        <w:t>notable desempeño de su sector externo. México fue hasta 2001 el segundo socio comercial de Estados Unidos, antes de ser desplazado por</w:t>
      </w:r>
      <w:r>
        <w:rPr>
          <w:spacing w:val="-6"/>
        </w:rPr>
        <w:t> </w:t>
      </w:r>
      <w:r>
        <w:rPr/>
        <w:t>China.</w:t>
      </w:r>
    </w:p>
    <w:p>
      <w:pPr>
        <w:pStyle w:val="BodyText"/>
      </w:pPr>
    </w:p>
    <w:p>
      <w:pPr>
        <w:pStyle w:val="BodyText"/>
        <w:ind w:left="102" w:right="118" w:firstLine="707"/>
        <w:jc w:val="both"/>
      </w:pPr>
      <w:r>
        <w:rPr/>
        <w:t>Por lo tanto, los indicadores económicos de México reflejan estos y otros eventos en su alta volatilidad. Sin embargo, es posible, representar su comportamiento estocástico con modelos lineales de parámetros constantes, que implican que esa volatilidad no modifica de modo fundamental las relaciones económicas. En general, los movimientos bruscos de algunas variables reflejan la volatilidad de los factores con los que están relacionadas y no necesariamente inestabilidad de la estructura económica.</w:t>
      </w:r>
    </w:p>
    <w:p>
      <w:pPr>
        <w:pStyle w:val="BodyText"/>
      </w:pPr>
    </w:p>
    <w:p>
      <w:pPr>
        <w:pStyle w:val="BodyText"/>
        <w:ind w:left="102" w:right="118" w:firstLine="707"/>
        <w:jc w:val="both"/>
      </w:pPr>
      <w:r>
        <w:rPr/>
        <w:t>Ahora bien, históricamente “dos hechos estilizados” han caracterizado la economía mexicana desde 1950. En el primero se han observado fases de crecimiento y desinflación que se han asociado a apreciaciones cambiarias reales y que han llevado posteriormente a desequilibrios externos. En el segundo se han registrado fases de estancamiento e inflación que han sido provocadas por las abruptas depreciaciones suscitadas como respuesta a los desequilibrios externos generados por las fases de crecimiento y apreciación.</w:t>
      </w:r>
    </w:p>
    <w:p>
      <w:pPr>
        <w:pStyle w:val="BodyText"/>
      </w:pPr>
    </w:p>
    <w:p>
      <w:pPr>
        <w:pStyle w:val="BodyText"/>
        <w:ind w:left="102" w:right="118" w:firstLine="707"/>
        <w:jc w:val="both"/>
      </w:pPr>
      <w:r>
        <w:rPr/>
        <w:t>Las distintas fases de crecimiento y estancamiento experimentados por la economía mexicana</w:t>
      </w:r>
      <w:r>
        <w:rPr>
          <w:spacing w:val="-12"/>
        </w:rPr>
        <w:t> </w:t>
      </w:r>
      <w:r>
        <w:rPr/>
        <w:t>han</w:t>
      </w:r>
      <w:r>
        <w:rPr>
          <w:spacing w:val="-11"/>
        </w:rPr>
        <w:t> </w:t>
      </w:r>
      <w:r>
        <w:rPr/>
        <w:t>estado</w:t>
      </w:r>
      <w:r>
        <w:rPr>
          <w:spacing w:val="-11"/>
        </w:rPr>
        <w:t> </w:t>
      </w:r>
      <w:r>
        <w:rPr/>
        <w:t>asociadas</w:t>
      </w:r>
      <w:r>
        <w:rPr>
          <w:spacing w:val="-11"/>
        </w:rPr>
        <w:t> </w:t>
      </w:r>
      <w:r>
        <w:rPr/>
        <w:t>con</w:t>
      </w:r>
      <w:r>
        <w:rPr>
          <w:spacing w:val="-11"/>
        </w:rPr>
        <w:t> </w:t>
      </w:r>
      <w:r>
        <w:rPr/>
        <w:t>los</w:t>
      </w:r>
      <w:r>
        <w:rPr>
          <w:spacing w:val="-10"/>
        </w:rPr>
        <w:t> </w:t>
      </w:r>
      <w:r>
        <w:rPr/>
        <w:t>desalineamientos</w:t>
      </w:r>
      <w:r>
        <w:rPr>
          <w:spacing w:val="-10"/>
        </w:rPr>
        <w:t> </w:t>
      </w:r>
      <w:r>
        <w:rPr/>
        <w:t>del</w:t>
      </w:r>
      <w:r>
        <w:rPr>
          <w:spacing w:val="-11"/>
        </w:rPr>
        <w:t> </w:t>
      </w:r>
      <w:r>
        <w:rPr/>
        <w:t>tipo</w:t>
      </w:r>
      <w:r>
        <w:rPr>
          <w:spacing w:val="-11"/>
        </w:rPr>
        <w:t> </w:t>
      </w:r>
      <w:r>
        <w:rPr/>
        <w:t>de</w:t>
      </w:r>
      <w:r>
        <w:rPr>
          <w:spacing w:val="-12"/>
        </w:rPr>
        <w:t> </w:t>
      </w:r>
      <w:r>
        <w:rPr/>
        <w:t>cambio</w:t>
      </w:r>
      <w:r>
        <w:rPr>
          <w:spacing w:val="-11"/>
        </w:rPr>
        <w:t> </w:t>
      </w:r>
      <w:r>
        <w:rPr/>
        <w:t>real</w:t>
      </w:r>
      <w:r>
        <w:rPr>
          <w:spacing w:val="-11"/>
        </w:rPr>
        <w:t> </w:t>
      </w:r>
      <w:r>
        <w:rPr/>
        <w:t>con</w:t>
      </w:r>
      <w:r>
        <w:rPr>
          <w:spacing w:val="-9"/>
        </w:rPr>
        <w:t> </w:t>
      </w:r>
      <w:r>
        <w:rPr/>
        <w:t>respecto a</w:t>
      </w:r>
      <w:r>
        <w:rPr>
          <w:spacing w:val="-5"/>
        </w:rPr>
        <w:t> </w:t>
      </w:r>
      <w:r>
        <w:rPr/>
        <w:t>su</w:t>
      </w:r>
      <w:r>
        <w:rPr>
          <w:spacing w:val="-4"/>
        </w:rPr>
        <w:t> </w:t>
      </w:r>
      <w:r>
        <w:rPr/>
        <w:t>valor</w:t>
      </w:r>
      <w:r>
        <w:rPr>
          <w:spacing w:val="-4"/>
        </w:rPr>
        <w:t> </w:t>
      </w:r>
      <w:r>
        <w:rPr/>
        <w:t>de</w:t>
      </w:r>
      <w:r>
        <w:rPr>
          <w:spacing w:val="-5"/>
        </w:rPr>
        <w:t> </w:t>
      </w:r>
      <w:r>
        <w:rPr/>
        <w:t>equilibrio</w:t>
      </w:r>
      <w:r>
        <w:rPr>
          <w:spacing w:val="-4"/>
        </w:rPr>
        <w:t> </w:t>
      </w:r>
      <w:r>
        <w:rPr/>
        <w:t>de</w:t>
      </w:r>
      <w:r>
        <w:rPr>
          <w:spacing w:val="-5"/>
        </w:rPr>
        <w:t> </w:t>
      </w:r>
      <w:r>
        <w:rPr/>
        <w:t>largo</w:t>
      </w:r>
      <w:r>
        <w:rPr>
          <w:spacing w:val="-4"/>
        </w:rPr>
        <w:t> </w:t>
      </w:r>
      <w:r>
        <w:rPr/>
        <w:t>plazo,</w:t>
      </w:r>
      <w:r>
        <w:rPr>
          <w:spacing w:val="-4"/>
        </w:rPr>
        <w:t> </w:t>
      </w:r>
      <w:r>
        <w:rPr/>
        <w:t>por</w:t>
      </w:r>
      <w:r>
        <w:rPr>
          <w:spacing w:val="-5"/>
        </w:rPr>
        <w:t> </w:t>
      </w:r>
      <w:r>
        <w:rPr/>
        <w:t>sus</w:t>
      </w:r>
      <w:r>
        <w:rPr>
          <w:spacing w:val="-3"/>
        </w:rPr>
        <w:t> </w:t>
      </w:r>
      <w:r>
        <w:rPr/>
        <w:t>efectos</w:t>
      </w:r>
      <w:r>
        <w:rPr>
          <w:spacing w:val="-3"/>
        </w:rPr>
        <w:t> </w:t>
      </w:r>
      <w:r>
        <w:rPr/>
        <w:t>en</w:t>
      </w:r>
      <w:r>
        <w:rPr>
          <w:spacing w:val="-4"/>
        </w:rPr>
        <w:t> </w:t>
      </w:r>
      <w:r>
        <w:rPr/>
        <w:t>la</w:t>
      </w:r>
      <w:r>
        <w:rPr>
          <w:spacing w:val="-4"/>
        </w:rPr>
        <w:t> </w:t>
      </w:r>
      <w:r>
        <w:rPr/>
        <w:t>cuenta</w:t>
      </w:r>
      <w:r>
        <w:rPr>
          <w:spacing w:val="-1"/>
        </w:rPr>
        <w:t> </w:t>
      </w:r>
      <w:r>
        <w:rPr/>
        <w:t>corriente</w:t>
      </w:r>
      <w:r>
        <w:rPr>
          <w:spacing w:val="-1"/>
        </w:rPr>
        <w:t> </w:t>
      </w:r>
      <w:r>
        <w:rPr/>
        <w:t>y</w:t>
      </w:r>
      <w:r>
        <w:rPr>
          <w:spacing w:val="-7"/>
        </w:rPr>
        <w:t> </w:t>
      </w:r>
      <w:r>
        <w:rPr/>
        <w:t>en</w:t>
      </w:r>
      <w:r>
        <w:rPr>
          <w:spacing w:val="-4"/>
        </w:rPr>
        <w:t> </w:t>
      </w:r>
      <w:r>
        <w:rPr/>
        <w:t>el</w:t>
      </w:r>
      <w:r>
        <w:rPr>
          <w:spacing w:val="-3"/>
        </w:rPr>
        <w:t> </w:t>
      </w:r>
      <w:r>
        <w:rPr/>
        <w:t>mercado interno.</w:t>
      </w:r>
    </w:p>
    <w:p>
      <w:pPr>
        <w:pStyle w:val="BodyText"/>
      </w:pPr>
    </w:p>
    <w:p>
      <w:pPr>
        <w:pStyle w:val="BodyText"/>
        <w:ind w:left="102" w:right="120" w:firstLine="707"/>
        <w:jc w:val="both"/>
      </w:pPr>
      <w:r>
        <w:rPr/>
        <w:t>Las</w:t>
      </w:r>
      <w:r>
        <w:rPr>
          <w:spacing w:val="-10"/>
        </w:rPr>
        <w:t> </w:t>
      </w:r>
      <w:r>
        <w:rPr/>
        <w:t>fases</w:t>
      </w:r>
      <w:r>
        <w:rPr>
          <w:spacing w:val="-12"/>
        </w:rPr>
        <w:t> </w:t>
      </w:r>
      <w:r>
        <w:rPr/>
        <w:t>de</w:t>
      </w:r>
      <w:r>
        <w:rPr>
          <w:spacing w:val="-11"/>
        </w:rPr>
        <w:t> </w:t>
      </w:r>
      <w:r>
        <w:rPr/>
        <w:t>crecimiento,</w:t>
      </w:r>
      <w:r>
        <w:rPr>
          <w:spacing w:val="-10"/>
        </w:rPr>
        <w:t> </w:t>
      </w:r>
      <w:r>
        <w:rPr/>
        <w:t>en</w:t>
      </w:r>
      <w:r>
        <w:rPr>
          <w:spacing w:val="-12"/>
        </w:rPr>
        <w:t> </w:t>
      </w:r>
      <w:r>
        <w:rPr/>
        <w:t>términos</w:t>
      </w:r>
      <w:r>
        <w:rPr>
          <w:spacing w:val="-9"/>
        </w:rPr>
        <w:t> </w:t>
      </w:r>
      <w:r>
        <w:rPr/>
        <w:t>generales,</w:t>
      </w:r>
      <w:r>
        <w:rPr>
          <w:spacing w:val="-10"/>
        </w:rPr>
        <w:t> </w:t>
      </w:r>
      <w:r>
        <w:rPr/>
        <w:t>se</w:t>
      </w:r>
      <w:r>
        <w:rPr>
          <w:spacing w:val="-10"/>
        </w:rPr>
        <w:t> </w:t>
      </w:r>
      <w:r>
        <w:rPr/>
        <w:t>han</w:t>
      </w:r>
      <w:r>
        <w:rPr>
          <w:spacing w:val="-12"/>
        </w:rPr>
        <w:t> </w:t>
      </w:r>
      <w:r>
        <w:rPr/>
        <w:t>acompañado</w:t>
      </w:r>
      <w:r>
        <w:rPr>
          <w:spacing w:val="-12"/>
        </w:rPr>
        <w:t> </w:t>
      </w:r>
      <w:r>
        <w:rPr/>
        <w:t>de</w:t>
      </w:r>
      <w:r>
        <w:rPr>
          <w:spacing w:val="-13"/>
        </w:rPr>
        <w:t> </w:t>
      </w:r>
      <w:r>
        <w:rPr/>
        <w:t>apreciaciones del</w:t>
      </w:r>
      <w:r>
        <w:rPr>
          <w:spacing w:val="-14"/>
        </w:rPr>
        <w:t> </w:t>
      </w:r>
      <w:r>
        <w:rPr/>
        <w:t>tipo</w:t>
      </w:r>
      <w:r>
        <w:rPr>
          <w:spacing w:val="-14"/>
        </w:rPr>
        <w:t> </w:t>
      </w:r>
      <w:r>
        <w:rPr/>
        <w:t>de</w:t>
      </w:r>
      <w:r>
        <w:rPr>
          <w:spacing w:val="-15"/>
        </w:rPr>
        <w:t> </w:t>
      </w:r>
      <w:r>
        <w:rPr/>
        <w:t>cambio</w:t>
      </w:r>
      <w:r>
        <w:rPr>
          <w:spacing w:val="-14"/>
        </w:rPr>
        <w:t> </w:t>
      </w:r>
      <w:r>
        <w:rPr/>
        <w:t>real</w:t>
      </w:r>
      <w:r>
        <w:rPr>
          <w:spacing w:val="-14"/>
        </w:rPr>
        <w:t> </w:t>
      </w:r>
      <w:r>
        <w:rPr/>
        <w:t>generando</w:t>
      </w:r>
      <w:r>
        <w:rPr>
          <w:spacing w:val="-14"/>
        </w:rPr>
        <w:t> </w:t>
      </w:r>
      <w:r>
        <w:rPr/>
        <w:t>elevados</w:t>
      </w:r>
      <w:r>
        <w:rPr>
          <w:spacing w:val="-14"/>
        </w:rPr>
        <w:t> </w:t>
      </w:r>
      <w:r>
        <w:rPr/>
        <w:t>déficits</w:t>
      </w:r>
      <w:r>
        <w:rPr>
          <w:spacing w:val="-14"/>
        </w:rPr>
        <w:t> </w:t>
      </w:r>
      <w:r>
        <w:rPr/>
        <w:t>en</w:t>
      </w:r>
      <w:r>
        <w:rPr>
          <w:spacing w:val="-14"/>
        </w:rPr>
        <w:t> </w:t>
      </w:r>
      <w:r>
        <w:rPr/>
        <w:t>la</w:t>
      </w:r>
      <w:r>
        <w:rPr>
          <w:spacing w:val="-15"/>
        </w:rPr>
        <w:t> </w:t>
      </w:r>
      <w:r>
        <w:rPr/>
        <w:t>cuenta</w:t>
      </w:r>
      <w:r>
        <w:rPr>
          <w:spacing w:val="-15"/>
        </w:rPr>
        <w:t> </w:t>
      </w:r>
      <w:r>
        <w:rPr/>
        <w:t>corriente,</w:t>
      </w:r>
      <w:r>
        <w:rPr>
          <w:spacing w:val="-14"/>
        </w:rPr>
        <w:t> </w:t>
      </w:r>
      <w:r>
        <w:rPr/>
        <w:t>lo</w:t>
      </w:r>
      <w:r>
        <w:rPr>
          <w:spacing w:val="-14"/>
        </w:rPr>
        <w:t> </w:t>
      </w:r>
      <w:r>
        <w:rPr/>
        <w:t>cual</w:t>
      </w:r>
      <w:r>
        <w:rPr>
          <w:spacing w:val="-14"/>
        </w:rPr>
        <w:t> </w:t>
      </w:r>
      <w:r>
        <w:rPr/>
        <w:t>ha</w:t>
      </w:r>
      <w:r>
        <w:rPr>
          <w:spacing w:val="-15"/>
        </w:rPr>
        <w:t> </w:t>
      </w:r>
      <w:r>
        <w:rPr/>
        <w:t>generado expectativas devaluatorias y fuga cuantiosa de capitales que a la postre se han traducido en crisis de balanza de pagos y finalmente la realización de dichas</w:t>
      </w:r>
      <w:r>
        <w:rPr>
          <w:spacing w:val="-13"/>
        </w:rPr>
        <w:t> </w:t>
      </w:r>
      <w:r>
        <w:rPr/>
        <w:t>expectativas.</w:t>
      </w:r>
    </w:p>
    <w:p>
      <w:pPr>
        <w:pStyle w:val="BodyText"/>
      </w:pPr>
    </w:p>
    <w:p>
      <w:pPr>
        <w:pStyle w:val="BodyText"/>
        <w:ind w:left="102" w:right="120" w:firstLine="707"/>
        <w:jc w:val="both"/>
      </w:pPr>
      <w:r>
        <w:rPr/>
        <w:t>Ante</w:t>
      </w:r>
      <w:r>
        <w:rPr>
          <w:spacing w:val="-12"/>
        </w:rPr>
        <w:t> </w:t>
      </w:r>
      <w:r>
        <w:rPr/>
        <w:t>éste</w:t>
      </w:r>
      <w:r>
        <w:rPr>
          <w:spacing w:val="-11"/>
        </w:rPr>
        <w:t> </w:t>
      </w:r>
      <w:r>
        <w:rPr/>
        <w:t>marco,</w:t>
      </w:r>
      <w:r>
        <w:rPr>
          <w:spacing w:val="-11"/>
        </w:rPr>
        <w:t> </w:t>
      </w:r>
      <w:r>
        <w:rPr/>
        <w:t>se</w:t>
      </w:r>
      <w:r>
        <w:rPr>
          <w:spacing w:val="-12"/>
        </w:rPr>
        <w:t> </w:t>
      </w:r>
      <w:r>
        <w:rPr/>
        <w:t>ha</w:t>
      </w:r>
      <w:r>
        <w:rPr>
          <w:spacing w:val="-12"/>
        </w:rPr>
        <w:t> </w:t>
      </w:r>
      <w:r>
        <w:rPr/>
        <w:t>tenido</w:t>
      </w:r>
      <w:r>
        <w:rPr>
          <w:spacing w:val="-11"/>
        </w:rPr>
        <w:t> </w:t>
      </w:r>
      <w:r>
        <w:rPr/>
        <w:t>que</w:t>
      </w:r>
      <w:r>
        <w:rPr>
          <w:spacing w:val="-12"/>
        </w:rPr>
        <w:t> </w:t>
      </w:r>
      <w:r>
        <w:rPr/>
        <w:t>devaluar</w:t>
      </w:r>
      <w:r>
        <w:rPr>
          <w:spacing w:val="-12"/>
        </w:rPr>
        <w:t> </w:t>
      </w:r>
      <w:r>
        <w:rPr/>
        <w:t>pero</w:t>
      </w:r>
      <w:r>
        <w:rPr>
          <w:spacing w:val="-11"/>
        </w:rPr>
        <w:t> </w:t>
      </w:r>
      <w:r>
        <w:rPr/>
        <w:t>ahora</w:t>
      </w:r>
      <w:r>
        <w:rPr>
          <w:spacing w:val="-13"/>
        </w:rPr>
        <w:t> </w:t>
      </w:r>
      <w:r>
        <w:rPr/>
        <w:t>las</w:t>
      </w:r>
      <w:r>
        <w:rPr>
          <w:spacing w:val="-11"/>
        </w:rPr>
        <w:t> </w:t>
      </w:r>
      <w:r>
        <w:rPr/>
        <w:t>correcciones</w:t>
      </w:r>
      <w:r>
        <w:rPr>
          <w:spacing w:val="-9"/>
        </w:rPr>
        <w:t> </w:t>
      </w:r>
      <w:r>
        <w:rPr/>
        <w:t>nominales</w:t>
      </w:r>
      <w:r>
        <w:rPr>
          <w:spacing w:val="-11"/>
        </w:rPr>
        <w:t> </w:t>
      </w:r>
      <w:r>
        <w:rPr/>
        <w:t>han sido</w:t>
      </w:r>
      <w:r>
        <w:rPr>
          <w:spacing w:val="-4"/>
        </w:rPr>
        <w:t> </w:t>
      </w:r>
      <w:r>
        <w:rPr/>
        <w:t>mayores</w:t>
      </w:r>
      <w:r>
        <w:rPr>
          <w:spacing w:val="-2"/>
        </w:rPr>
        <w:t> </w:t>
      </w:r>
      <w:r>
        <w:rPr/>
        <w:t>y</w:t>
      </w:r>
      <w:r>
        <w:rPr>
          <w:spacing w:val="-9"/>
        </w:rPr>
        <w:t> </w:t>
      </w:r>
      <w:r>
        <w:rPr/>
        <w:t>sus</w:t>
      </w:r>
      <w:r>
        <w:rPr>
          <w:spacing w:val="-4"/>
        </w:rPr>
        <w:t> </w:t>
      </w:r>
      <w:r>
        <w:rPr/>
        <w:t>costos,</w:t>
      </w:r>
      <w:r>
        <w:rPr>
          <w:spacing w:val="-5"/>
        </w:rPr>
        <w:t> </w:t>
      </w:r>
      <w:r>
        <w:rPr/>
        <w:t>trasladados</w:t>
      </w:r>
      <w:r>
        <w:rPr>
          <w:spacing w:val="-5"/>
        </w:rPr>
        <w:t> </w:t>
      </w:r>
      <w:r>
        <w:rPr/>
        <w:t>a</w:t>
      </w:r>
      <w:r>
        <w:rPr>
          <w:spacing w:val="-6"/>
        </w:rPr>
        <w:t> </w:t>
      </w:r>
      <w:r>
        <w:rPr/>
        <w:t>procesos</w:t>
      </w:r>
      <w:r>
        <w:rPr>
          <w:spacing w:val="-2"/>
        </w:rPr>
        <w:t> </w:t>
      </w:r>
      <w:r>
        <w:rPr/>
        <w:t>inflacionarios</w:t>
      </w:r>
      <w:r>
        <w:rPr>
          <w:spacing w:val="-4"/>
        </w:rPr>
        <w:t> </w:t>
      </w:r>
      <w:r>
        <w:rPr/>
        <w:t>altos y</w:t>
      </w:r>
      <w:r>
        <w:rPr>
          <w:spacing w:val="-10"/>
        </w:rPr>
        <w:t> </w:t>
      </w:r>
      <w:r>
        <w:rPr/>
        <w:t>estancamiento,</w:t>
      </w:r>
      <w:r>
        <w:rPr>
          <w:spacing w:val="-4"/>
        </w:rPr>
        <w:t> </w:t>
      </w:r>
      <w:r>
        <w:rPr/>
        <w:t>no</w:t>
      </w:r>
      <w:r>
        <w:rPr>
          <w:spacing w:val="-5"/>
        </w:rPr>
        <w:t> </w:t>
      </w:r>
      <w:r>
        <w:rPr/>
        <w:t>se han hecho</w:t>
      </w:r>
      <w:r>
        <w:rPr>
          <w:spacing w:val="-4"/>
        </w:rPr>
        <w:t> </w:t>
      </w:r>
      <w:r>
        <w:rPr/>
        <w:t>esperar.</w:t>
      </w:r>
    </w:p>
    <w:p>
      <w:pPr>
        <w:spacing w:after="0"/>
        <w:jc w:val="both"/>
        <w:sectPr>
          <w:pgSz w:w="12240" w:h="15840"/>
          <w:pgMar w:header="727" w:footer="0" w:top="920" w:bottom="280" w:left="1600" w:right="1580"/>
        </w:sectPr>
      </w:pPr>
    </w:p>
    <w:p>
      <w:pPr>
        <w:pStyle w:val="BodyText"/>
        <w:rPr>
          <w:sz w:val="20"/>
        </w:rPr>
      </w:pPr>
    </w:p>
    <w:p>
      <w:pPr>
        <w:pStyle w:val="BodyText"/>
        <w:spacing w:before="9"/>
        <w:rPr>
          <w:sz w:val="15"/>
        </w:rPr>
      </w:pPr>
    </w:p>
    <w:p>
      <w:pPr>
        <w:pStyle w:val="BodyText"/>
        <w:spacing w:before="70"/>
        <w:ind w:left="102" w:right="118" w:firstLine="707"/>
        <w:jc w:val="both"/>
      </w:pPr>
      <w:r>
        <w:rPr/>
        <w:t>Aun cuando las devaluaciones han mejorado eficazmente el equilibrio externo, en el sentido de haber disminuido los déficits en la cuenta corriente, en el corto plazo han producido efectos contractivos sobre el crecimiento económico y han incrementado el nivel de precios, por sus efectos en algunas variables de la demanda interna, conduciendo al desequilibrio interno de la economía.</w:t>
      </w:r>
    </w:p>
    <w:p>
      <w:pPr>
        <w:pStyle w:val="BodyText"/>
      </w:pPr>
    </w:p>
    <w:p>
      <w:pPr>
        <w:pStyle w:val="BodyText"/>
        <w:ind w:left="102" w:right="116" w:firstLine="707"/>
        <w:jc w:val="both"/>
      </w:pPr>
      <w:r>
        <w:rPr/>
        <w:t>Los movimientos del tipo de cambio real han producido efectos distintos en el equilibrio</w:t>
      </w:r>
      <w:r>
        <w:rPr>
          <w:spacing w:val="-4"/>
        </w:rPr>
        <w:t> </w:t>
      </w:r>
      <w:r>
        <w:rPr/>
        <w:t>interno</w:t>
      </w:r>
      <w:r>
        <w:rPr>
          <w:spacing w:val="-1"/>
        </w:rPr>
        <w:t> </w:t>
      </w:r>
      <w:r>
        <w:rPr/>
        <w:t>y</w:t>
      </w:r>
      <w:r>
        <w:rPr>
          <w:spacing w:val="-9"/>
        </w:rPr>
        <w:t> </w:t>
      </w:r>
      <w:r>
        <w:rPr/>
        <w:t>externo,</w:t>
      </w:r>
      <w:r>
        <w:rPr>
          <w:spacing w:val="-4"/>
        </w:rPr>
        <w:t> </w:t>
      </w:r>
      <w:r>
        <w:rPr/>
        <w:t>de</w:t>
      </w:r>
      <w:r>
        <w:rPr>
          <w:spacing w:val="-5"/>
        </w:rPr>
        <w:t> </w:t>
      </w:r>
      <w:r>
        <w:rPr/>
        <w:t>tal</w:t>
      </w:r>
      <w:r>
        <w:rPr>
          <w:spacing w:val="-4"/>
        </w:rPr>
        <w:t> </w:t>
      </w:r>
      <w:r>
        <w:rPr/>
        <w:t>suerte</w:t>
      </w:r>
      <w:r>
        <w:rPr>
          <w:spacing w:val="-5"/>
        </w:rPr>
        <w:t> </w:t>
      </w:r>
      <w:r>
        <w:rPr/>
        <w:t>que</w:t>
      </w:r>
      <w:r>
        <w:rPr>
          <w:spacing w:val="-5"/>
        </w:rPr>
        <w:t> </w:t>
      </w:r>
      <w:r>
        <w:rPr/>
        <w:t>preservar</w:t>
      </w:r>
      <w:r>
        <w:rPr>
          <w:spacing w:val="-5"/>
        </w:rPr>
        <w:t> </w:t>
      </w:r>
      <w:r>
        <w:rPr/>
        <w:t>uno</w:t>
      </w:r>
      <w:r>
        <w:rPr>
          <w:spacing w:val="-4"/>
        </w:rPr>
        <w:t> </w:t>
      </w:r>
      <w:r>
        <w:rPr/>
        <w:t>implica</w:t>
      </w:r>
      <w:r>
        <w:rPr>
          <w:spacing w:val="-5"/>
        </w:rPr>
        <w:t> </w:t>
      </w:r>
      <w:r>
        <w:rPr/>
        <w:t>el</w:t>
      </w:r>
      <w:r>
        <w:rPr>
          <w:spacing w:val="-3"/>
        </w:rPr>
        <w:t> </w:t>
      </w:r>
      <w:r>
        <w:rPr/>
        <w:t>deterioro</w:t>
      </w:r>
      <w:r>
        <w:rPr>
          <w:spacing w:val="-4"/>
        </w:rPr>
        <w:t> </w:t>
      </w:r>
      <w:r>
        <w:rPr/>
        <w:t>del</w:t>
      </w:r>
      <w:r>
        <w:rPr>
          <w:spacing w:val="-3"/>
        </w:rPr>
        <w:t> </w:t>
      </w:r>
      <w:r>
        <w:rPr/>
        <w:t>otro.</w:t>
      </w:r>
      <w:r>
        <w:rPr>
          <w:spacing w:val="-4"/>
        </w:rPr>
        <w:t> </w:t>
      </w:r>
      <w:r>
        <w:rPr/>
        <w:t>Por lo tanto, es necesario evitar el desalineamiento del tipo de cambio real en magnitudes relevantes y por amplios períodos de tiempo. En resumen, se puede afirmar que el tipo de cambio tiene una importancia determinante en el crecimiento económico de un</w:t>
      </w:r>
      <w:r>
        <w:rPr>
          <w:spacing w:val="-11"/>
        </w:rPr>
        <w:t> </w:t>
      </w:r>
      <w:r>
        <w:rPr/>
        <w:t>país.</w:t>
      </w:r>
    </w:p>
    <w:p>
      <w:pPr>
        <w:pStyle w:val="BodyText"/>
      </w:pPr>
    </w:p>
    <w:p>
      <w:pPr>
        <w:pStyle w:val="BodyText"/>
        <w:ind w:left="102" w:right="116" w:firstLine="707"/>
        <w:jc w:val="both"/>
      </w:pPr>
      <w:r>
        <w:rPr/>
        <w:t>Por lo tanto el principal objetivo de este artículo es ofrecer una medida del efecto de dos variables importantes para la economía mexicana: la actividad económica de Estados Unidos y el tipo de cambio real. Como objetivo secundario se pretende determinar cómo y en qué sentido el tipo de cambio real influye en el corto y largo plazos sobre el crecimiento económico de México.</w:t>
      </w:r>
    </w:p>
    <w:p>
      <w:pPr>
        <w:pStyle w:val="BodyText"/>
      </w:pPr>
    </w:p>
    <w:p>
      <w:pPr>
        <w:pStyle w:val="BodyText"/>
        <w:ind w:left="102" w:right="113" w:firstLine="707"/>
        <w:jc w:val="both"/>
      </w:pPr>
      <w:r>
        <w:rPr/>
        <w:t>Las dos teorías más utilizadas para explicar la relación entre la tasa de cambio real y el crecimiento económico de un país son la visión convencional y la segunda es la llamada hipótesis de la devaluación contraccionista.</w:t>
      </w:r>
    </w:p>
    <w:p>
      <w:pPr>
        <w:pStyle w:val="BodyText"/>
      </w:pPr>
    </w:p>
    <w:p>
      <w:pPr>
        <w:pStyle w:val="BodyText"/>
        <w:ind w:left="102" w:right="117" w:firstLine="707"/>
        <w:jc w:val="both"/>
      </w:pPr>
      <w:r>
        <w:rPr/>
        <w:t>La visión convencional se basa en el concepto de paridad del poder adquisitivo (</w:t>
      </w:r>
      <w:r>
        <w:rPr>
          <w:i/>
        </w:rPr>
        <w:t>Purchasing</w:t>
      </w:r>
      <w:r>
        <w:rPr>
          <w:i/>
          <w:spacing w:val="-10"/>
        </w:rPr>
        <w:t> </w:t>
      </w:r>
      <w:r>
        <w:rPr>
          <w:i/>
        </w:rPr>
        <w:t>Power</w:t>
      </w:r>
      <w:r>
        <w:rPr>
          <w:i/>
          <w:spacing w:val="-10"/>
        </w:rPr>
        <w:t> </w:t>
      </w:r>
      <w:r>
        <w:rPr>
          <w:i/>
        </w:rPr>
        <w:t>Parity,</w:t>
      </w:r>
      <w:r>
        <w:rPr>
          <w:i/>
          <w:spacing w:val="-9"/>
        </w:rPr>
        <w:t> </w:t>
      </w:r>
      <w:r>
        <w:rPr>
          <w:i/>
        </w:rPr>
        <w:t>PPP</w:t>
      </w:r>
      <w:r>
        <w:rPr/>
        <w:t>)</w:t>
      </w:r>
      <w:r>
        <w:rPr>
          <w:spacing w:val="-8"/>
        </w:rPr>
        <w:t> </w:t>
      </w:r>
      <w:r>
        <w:rPr/>
        <w:t>y</w:t>
      </w:r>
      <w:r>
        <w:rPr>
          <w:spacing w:val="-14"/>
        </w:rPr>
        <w:t> </w:t>
      </w:r>
      <w:r>
        <w:rPr/>
        <w:t>según</w:t>
      </w:r>
      <w:r>
        <w:rPr>
          <w:spacing w:val="-10"/>
        </w:rPr>
        <w:t> </w:t>
      </w:r>
      <w:r>
        <w:rPr/>
        <w:t>esta</w:t>
      </w:r>
      <w:r>
        <w:rPr>
          <w:spacing w:val="-10"/>
        </w:rPr>
        <w:t> </w:t>
      </w:r>
      <w:r>
        <w:rPr/>
        <w:t>teoría,</w:t>
      </w:r>
      <w:r>
        <w:rPr>
          <w:spacing w:val="-10"/>
        </w:rPr>
        <w:t> </w:t>
      </w:r>
      <w:r>
        <w:rPr/>
        <w:t>los</w:t>
      </w:r>
      <w:r>
        <w:rPr>
          <w:spacing w:val="-9"/>
        </w:rPr>
        <w:t> </w:t>
      </w:r>
      <w:r>
        <w:rPr/>
        <w:t>impactos</w:t>
      </w:r>
      <w:r>
        <w:rPr>
          <w:spacing w:val="-9"/>
        </w:rPr>
        <w:t> </w:t>
      </w:r>
      <w:r>
        <w:rPr/>
        <w:t>macroeconómicos</w:t>
      </w:r>
      <w:r>
        <w:rPr>
          <w:spacing w:val="-9"/>
        </w:rPr>
        <w:t> </w:t>
      </w:r>
      <w:r>
        <w:rPr/>
        <w:t>del</w:t>
      </w:r>
      <w:r>
        <w:rPr>
          <w:spacing w:val="-9"/>
        </w:rPr>
        <w:t> </w:t>
      </w:r>
      <w:r>
        <w:rPr/>
        <w:t>tipo de</w:t>
      </w:r>
      <w:r>
        <w:rPr>
          <w:spacing w:val="-5"/>
        </w:rPr>
        <w:t> </w:t>
      </w:r>
      <w:r>
        <w:rPr/>
        <w:t>cambio</w:t>
      </w:r>
      <w:r>
        <w:rPr>
          <w:spacing w:val="-4"/>
        </w:rPr>
        <w:t> </w:t>
      </w:r>
      <w:r>
        <w:rPr/>
        <w:t>real</w:t>
      </w:r>
      <w:r>
        <w:rPr>
          <w:spacing w:val="-3"/>
        </w:rPr>
        <w:t> </w:t>
      </w:r>
      <w:r>
        <w:rPr/>
        <w:t>han</w:t>
      </w:r>
      <w:r>
        <w:rPr>
          <w:spacing w:val="-4"/>
        </w:rPr>
        <w:t> </w:t>
      </w:r>
      <w:r>
        <w:rPr/>
        <w:t>descansado</w:t>
      </w:r>
      <w:r>
        <w:rPr>
          <w:spacing w:val="-4"/>
        </w:rPr>
        <w:t> </w:t>
      </w:r>
      <w:r>
        <w:rPr/>
        <w:t>sobre</w:t>
      </w:r>
      <w:r>
        <w:rPr>
          <w:spacing w:val="-5"/>
        </w:rPr>
        <w:t> </w:t>
      </w:r>
      <w:r>
        <w:rPr/>
        <w:t>los</w:t>
      </w:r>
      <w:r>
        <w:rPr>
          <w:spacing w:val="-3"/>
        </w:rPr>
        <w:t> </w:t>
      </w:r>
      <w:r>
        <w:rPr/>
        <w:t>efectos</w:t>
      </w:r>
      <w:r>
        <w:rPr>
          <w:spacing w:val="-3"/>
        </w:rPr>
        <w:t> </w:t>
      </w:r>
      <w:r>
        <w:rPr/>
        <w:t>costo</w:t>
      </w:r>
      <w:r>
        <w:rPr>
          <w:spacing w:val="-1"/>
        </w:rPr>
        <w:t> </w:t>
      </w:r>
      <w:r>
        <w:rPr/>
        <w:t>y</w:t>
      </w:r>
      <w:r>
        <w:rPr>
          <w:spacing w:val="-10"/>
        </w:rPr>
        <w:t> </w:t>
      </w:r>
      <w:r>
        <w:rPr/>
        <w:t>volumen y</w:t>
      </w:r>
      <w:r>
        <w:rPr>
          <w:spacing w:val="-9"/>
        </w:rPr>
        <w:t> </w:t>
      </w:r>
      <w:r>
        <w:rPr/>
        <w:t>sobre</w:t>
      </w:r>
      <w:r>
        <w:rPr>
          <w:spacing w:val="-5"/>
        </w:rPr>
        <w:t> </w:t>
      </w:r>
      <w:r>
        <w:rPr/>
        <w:t>los</w:t>
      </w:r>
      <w:r>
        <w:rPr>
          <w:spacing w:val="-4"/>
        </w:rPr>
        <w:t> </w:t>
      </w:r>
      <w:r>
        <w:rPr/>
        <w:t>efectos</w:t>
      </w:r>
      <w:r>
        <w:rPr>
          <w:spacing w:val="-3"/>
        </w:rPr>
        <w:t> </w:t>
      </w:r>
      <w:r>
        <w:rPr/>
        <w:t>ingreso y</w:t>
      </w:r>
      <w:r>
        <w:rPr>
          <w:spacing w:val="-5"/>
        </w:rPr>
        <w:t> </w:t>
      </w:r>
      <w:r>
        <w:rPr/>
        <w:t>sustitución.</w:t>
      </w:r>
    </w:p>
    <w:p>
      <w:pPr>
        <w:pStyle w:val="BodyText"/>
      </w:pPr>
    </w:p>
    <w:p>
      <w:pPr>
        <w:pStyle w:val="BodyText"/>
        <w:ind w:left="102" w:right="116" w:firstLine="707"/>
        <w:jc w:val="both"/>
      </w:pPr>
      <w:r>
        <w:rPr/>
        <w:t>Así, siempre que el efecto volumen sea mayor que el efecto costo y que el efecto sustitución sea mayor que el efecto ingreso, el resultado neto sobre el producto y el empleo será expansivo. Esta teoría es la más común y puede localizarse en los libros de texto que hablan sobre la balanza de pagos, la macroeconomía de una economía abierta. Por lo tanto no se revisa aquí a detalle y se remite al interesado a este tipo de referencias.</w:t>
      </w:r>
    </w:p>
    <w:p>
      <w:pPr>
        <w:pStyle w:val="BodyText"/>
      </w:pPr>
    </w:p>
    <w:p>
      <w:pPr>
        <w:pStyle w:val="BodyText"/>
        <w:ind w:left="102" w:right="118" w:firstLine="707"/>
        <w:jc w:val="both"/>
      </w:pPr>
      <w:r>
        <w:rPr/>
        <w:t>De acuerdo a la visión convencional, una devaluación real puede estimular el crecimiento económico de un país. Sin embargo, esta visión no es soportada por otras investigaciones teóricas o por la experiencia de algunos países que han implementado devaluaciones en sus tipos de cambio.</w:t>
      </w:r>
    </w:p>
    <w:p>
      <w:pPr>
        <w:pStyle w:val="BodyText"/>
      </w:pPr>
    </w:p>
    <w:p>
      <w:pPr>
        <w:pStyle w:val="BodyText"/>
        <w:ind w:left="102" w:right="119" w:firstLine="707"/>
        <w:jc w:val="both"/>
      </w:pPr>
      <w:r>
        <w:rPr/>
        <w:t>Se sabe que las autoridades monetarias pueden alentar por un periodo limitado, un tipo de cambio nominal lo suficientemente depreciado para cubrir la diferencia entre la inflación nacional y extranjera, estabilizando así el TCR. No obstante, la consideración teórica y la evidencia empírica sugieren que intentar mantener el TCR más depreciado que su nivel de equilibrio conducirá, probablemente a un circulo vicioso, ya que el incremento en el TCR generará presiones a la alza sobre el nivel de precios (inflación), y éstos sobre las expectativas; propiciándose así un aumento en la tasa de depreciación del tipo de cambio nominal. En consecuencia, volverá a aumentar el TCR repitiéndose una y otra vez dicho proceso, lo que eventualmente forzará el abandono del objetivo de un TCR más depreciado.</w:t>
      </w:r>
    </w:p>
    <w:p>
      <w:pPr>
        <w:spacing w:after="0"/>
        <w:jc w:val="both"/>
        <w:sectPr>
          <w:pgSz w:w="12240" w:h="15840"/>
          <w:pgMar w:header="727" w:footer="0" w:top="920" w:bottom="280" w:left="1600" w:right="1580"/>
        </w:sectPr>
      </w:pPr>
    </w:p>
    <w:p>
      <w:pPr>
        <w:pStyle w:val="BodyText"/>
        <w:rPr>
          <w:sz w:val="20"/>
        </w:rPr>
      </w:pPr>
    </w:p>
    <w:p>
      <w:pPr>
        <w:pStyle w:val="BodyText"/>
        <w:spacing w:before="9"/>
        <w:rPr>
          <w:sz w:val="15"/>
        </w:rPr>
      </w:pPr>
    </w:p>
    <w:p>
      <w:pPr>
        <w:pStyle w:val="BodyText"/>
        <w:spacing w:before="70"/>
        <w:ind w:left="102" w:right="117" w:firstLine="707"/>
        <w:jc w:val="both"/>
      </w:pPr>
      <w:r>
        <w:rPr/>
        <w:t>Aun si una devaluación real pudiese ser sostenida sin efectos inflacionarios, esto no significa</w:t>
      </w:r>
      <w:r>
        <w:rPr>
          <w:spacing w:val="-6"/>
        </w:rPr>
        <w:t> </w:t>
      </w:r>
      <w:r>
        <w:rPr/>
        <w:t>que</w:t>
      </w:r>
      <w:r>
        <w:rPr>
          <w:spacing w:val="-6"/>
        </w:rPr>
        <w:t> </w:t>
      </w:r>
      <w:r>
        <w:rPr/>
        <w:t>tal</w:t>
      </w:r>
      <w:r>
        <w:rPr>
          <w:spacing w:val="-5"/>
        </w:rPr>
        <w:t> </w:t>
      </w:r>
      <w:r>
        <w:rPr/>
        <w:t>estrategia</w:t>
      </w:r>
      <w:r>
        <w:rPr>
          <w:spacing w:val="-5"/>
        </w:rPr>
        <w:t> </w:t>
      </w:r>
      <w:r>
        <w:rPr/>
        <w:t>conducirá</w:t>
      </w:r>
      <w:r>
        <w:rPr>
          <w:spacing w:val="-6"/>
        </w:rPr>
        <w:t> </w:t>
      </w:r>
      <w:r>
        <w:rPr/>
        <w:t>a</w:t>
      </w:r>
      <w:r>
        <w:rPr>
          <w:spacing w:val="-6"/>
        </w:rPr>
        <w:t> </w:t>
      </w:r>
      <w:r>
        <w:rPr/>
        <w:t>un</w:t>
      </w:r>
      <w:r>
        <w:rPr>
          <w:spacing w:val="-5"/>
        </w:rPr>
        <w:t> </w:t>
      </w:r>
      <w:r>
        <w:rPr/>
        <w:t>crecimiento</w:t>
      </w:r>
      <w:r>
        <w:rPr>
          <w:spacing w:val="-4"/>
        </w:rPr>
        <w:t> </w:t>
      </w:r>
      <w:r>
        <w:rPr/>
        <w:t>del</w:t>
      </w:r>
      <w:r>
        <w:rPr>
          <w:spacing w:val="-4"/>
        </w:rPr>
        <w:t> </w:t>
      </w:r>
      <w:r>
        <w:rPr/>
        <w:t>producto</w:t>
      </w:r>
      <w:r>
        <w:rPr>
          <w:spacing w:val="-4"/>
        </w:rPr>
        <w:t> </w:t>
      </w:r>
      <w:r>
        <w:rPr/>
        <w:t>más</w:t>
      </w:r>
      <w:r>
        <w:rPr>
          <w:spacing w:val="-5"/>
        </w:rPr>
        <w:t> </w:t>
      </w:r>
      <w:r>
        <w:rPr/>
        <w:t>alto.</w:t>
      </w:r>
      <w:r>
        <w:rPr>
          <w:spacing w:val="-5"/>
        </w:rPr>
        <w:t> </w:t>
      </w:r>
      <w:r>
        <w:rPr/>
        <w:t>En</w:t>
      </w:r>
      <w:r>
        <w:rPr>
          <w:spacing w:val="-5"/>
        </w:rPr>
        <w:t> </w:t>
      </w:r>
      <w:r>
        <w:rPr/>
        <w:t>este</w:t>
      </w:r>
      <w:r>
        <w:rPr>
          <w:spacing w:val="-5"/>
        </w:rPr>
        <w:t> </w:t>
      </w:r>
      <w:r>
        <w:rPr/>
        <w:t>sentido una considerable cantidad de literatura, </w:t>
      </w:r>
      <w:r>
        <w:rPr>
          <w:i/>
        </w:rPr>
        <w:t>denominada por algunos autores como la hipótesis </w:t>
      </w:r>
      <w:r>
        <w:rPr>
          <w:i/>
        </w:rPr>
        <w:t>de la devaluación contraccionista, </w:t>
      </w:r>
      <w:r>
        <w:rPr/>
        <w:t>muestra que por medio de una multitud de canales diferentes, una devaluación de la tasa de cambio podría tener efectos contractivos sobre la actividad económica. Lo que se plantea es que en el largo plazo es posible que los efectos expansivos directos de la devaluación sobre el producto y/o el crecimiento del producto pueden ser compensados por los efectos contractivos en el corto</w:t>
      </w:r>
      <w:r>
        <w:rPr>
          <w:spacing w:val="-13"/>
        </w:rPr>
        <w:t> </w:t>
      </w:r>
      <w:r>
        <w:rPr/>
        <w:t>plazo.</w:t>
      </w:r>
    </w:p>
    <w:p>
      <w:pPr>
        <w:pStyle w:val="BodyText"/>
      </w:pPr>
    </w:p>
    <w:p>
      <w:pPr>
        <w:pStyle w:val="BodyText"/>
        <w:ind w:left="102" w:right="118" w:firstLine="707"/>
        <w:jc w:val="both"/>
      </w:pPr>
      <w:r>
        <w:rPr/>
        <w:t>Algunos de la multitud de canales a través de los cuales una devaluación del tipo de cambio podría tener efectos contractivos son el déficit comercial y la capacidad ociosa, las rigideces de los mercados, los aumentos de la inflación y de la tasa de interés, el llamado efecto contable, la disponibilidad de crédito externo, entre otros.</w:t>
      </w:r>
    </w:p>
    <w:p>
      <w:pPr>
        <w:pStyle w:val="BodyText"/>
      </w:pPr>
    </w:p>
    <w:p>
      <w:pPr>
        <w:pStyle w:val="BodyText"/>
        <w:ind w:left="102" w:right="115" w:firstLine="707"/>
        <w:jc w:val="both"/>
      </w:pPr>
      <w:r>
        <w:rPr/>
        <w:t>El estudio del efecto neto de cada uno de estos canales es motivo de un estudio en sí mismo. Pero estos efectos son estudiados en autores como Krugman y Taylor (1978); Villareal (1974) y Kaming y Rogers (1997).</w:t>
      </w:r>
    </w:p>
    <w:p>
      <w:pPr>
        <w:pStyle w:val="BodyText"/>
      </w:pPr>
    </w:p>
    <w:p>
      <w:pPr>
        <w:pStyle w:val="BodyText"/>
        <w:ind w:left="102" w:right="118" w:firstLine="707"/>
        <w:jc w:val="both"/>
      </w:pPr>
      <w:r>
        <w:rPr/>
        <w:t>Por otra parte, a pesar de que las devaluaciones son inducidas por shocks externos, ellas pueden ejercer por sí solas efectos sobre la actividad económica, independientemente de los shocks externos que generen impactos directos sobre el producto. Usualmente la devaluación es utilizada para aumentar la producción de los bienes comerciables, sin embargo, este efecto positivo sobre el producto puede ser lento y compensado, particularmente en el corto plazo, por impactos contractivos sobre la demanda de bienes no comerciables.</w:t>
      </w:r>
    </w:p>
    <w:p>
      <w:pPr>
        <w:pStyle w:val="BodyText"/>
        <w:spacing w:before="5"/>
      </w:pPr>
    </w:p>
    <w:p>
      <w:pPr>
        <w:pStyle w:val="Heading1"/>
        <w:spacing w:before="0"/>
        <w:jc w:val="both"/>
      </w:pPr>
      <w:r>
        <w:rPr/>
        <w:t>Planteamiento del trabajo</w:t>
      </w:r>
    </w:p>
    <w:p>
      <w:pPr>
        <w:pStyle w:val="BodyText"/>
        <w:spacing w:before="6"/>
        <w:rPr>
          <w:b/>
          <w:sz w:val="23"/>
        </w:rPr>
      </w:pPr>
    </w:p>
    <w:p>
      <w:pPr>
        <w:pStyle w:val="BodyText"/>
        <w:ind w:left="102" w:right="118"/>
        <w:jc w:val="both"/>
      </w:pPr>
      <w:r>
        <w:rPr/>
        <w:t>El</w:t>
      </w:r>
      <w:r>
        <w:rPr>
          <w:spacing w:val="-8"/>
        </w:rPr>
        <w:t> </w:t>
      </w:r>
      <w:r>
        <w:rPr/>
        <w:t>sector</w:t>
      </w:r>
      <w:r>
        <w:rPr>
          <w:spacing w:val="-7"/>
        </w:rPr>
        <w:t> </w:t>
      </w:r>
      <w:r>
        <w:rPr/>
        <w:t>agropecuario</w:t>
      </w:r>
      <w:r>
        <w:rPr>
          <w:spacing w:val="-9"/>
        </w:rPr>
        <w:t> </w:t>
      </w:r>
      <w:r>
        <w:rPr/>
        <w:t>mexicano</w:t>
      </w:r>
      <w:r>
        <w:rPr>
          <w:spacing w:val="-9"/>
        </w:rPr>
        <w:t> </w:t>
      </w:r>
      <w:r>
        <w:rPr/>
        <w:t>ha</w:t>
      </w:r>
      <w:r>
        <w:rPr>
          <w:spacing w:val="-10"/>
        </w:rPr>
        <w:t> </w:t>
      </w:r>
      <w:r>
        <w:rPr/>
        <w:t>pasado</w:t>
      </w:r>
      <w:r>
        <w:rPr>
          <w:spacing w:val="-7"/>
        </w:rPr>
        <w:t> </w:t>
      </w:r>
      <w:r>
        <w:rPr/>
        <w:t>bruscamente</w:t>
      </w:r>
      <w:r>
        <w:rPr>
          <w:spacing w:val="-10"/>
        </w:rPr>
        <w:t> </w:t>
      </w:r>
      <w:r>
        <w:rPr/>
        <w:t>de</w:t>
      </w:r>
      <w:r>
        <w:rPr>
          <w:spacing w:val="-7"/>
        </w:rPr>
        <w:t> </w:t>
      </w:r>
      <w:r>
        <w:rPr/>
        <w:t>un</w:t>
      </w:r>
      <w:r>
        <w:rPr>
          <w:spacing w:val="-9"/>
        </w:rPr>
        <w:t> </w:t>
      </w:r>
      <w:r>
        <w:rPr/>
        <w:t>modelo</w:t>
      </w:r>
      <w:r>
        <w:rPr>
          <w:spacing w:val="-7"/>
        </w:rPr>
        <w:t> </w:t>
      </w:r>
      <w:r>
        <w:rPr/>
        <w:t>de</w:t>
      </w:r>
      <w:r>
        <w:rPr>
          <w:spacing w:val="-5"/>
        </w:rPr>
        <w:t> </w:t>
      </w:r>
      <w:r>
        <w:rPr/>
        <w:t>grandes</w:t>
      </w:r>
      <w:r>
        <w:rPr>
          <w:spacing w:val="-8"/>
        </w:rPr>
        <w:t> </w:t>
      </w:r>
      <w:r>
        <w:rPr/>
        <w:t>subsidios, a un entorno de libre mercado, por lo cual sólo los mejor capacitados y con mayor capital han sobresalido e incluso mejorado sus sistemas de producción y aumentado sus ingresos, mediante la exportación de su</w:t>
      </w:r>
      <w:r>
        <w:rPr>
          <w:spacing w:val="-6"/>
        </w:rPr>
        <w:t> </w:t>
      </w:r>
      <w:r>
        <w:rPr/>
        <w:t>producción.</w:t>
      </w:r>
    </w:p>
    <w:p>
      <w:pPr>
        <w:pStyle w:val="BodyText"/>
      </w:pPr>
    </w:p>
    <w:p>
      <w:pPr>
        <w:pStyle w:val="BodyText"/>
        <w:ind w:left="102" w:right="119" w:firstLine="707"/>
        <w:jc w:val="both"/>
      </w:pPr>
      <w:r>
        <w:rPr/>
        <w:t>La apertura del comercio mejora los incentivos al elevar los precios de producción, incluso después de que las subvenciones se reducen sustancialmente. Sin embargo, factores distintos de los precios como las inversiones públicas en infraestructura, los cambios tecnológicos, el desarrollo humano, y las reformas institucionales son al menos tan importante como los precios en la inducción de una respuesta de la oferta efectiva, incluso teniendo en cuenta los efectos de las innovaciones inducidas por los precios (Hanumantha, 1994).</w:t>
      </w:r>
    </w:p>
    <w:p>
      <w:pPr>
        <w:pStyle w:val="BodyText"/>
      </w:pPr>
    </w:p>
    <w:p>
      <w:pPr>
        <w:pStyle w:val="BodyText"/>
        <w:ind w:left="102" w:right="116" w:firstLine="707"/>
        <w:jc w:val="both"/>
      </w:pPr>
      <w:r>
        <w:rPr/>
        <w:t>Es por eso, que ahora que se cuenta con menores recursos financieros, los cuales se deben de destinar, sin descuidar a la clase vulnerable del medio rural, a los aspectos que contribuyan y repercutan en el mayor crecimiento de dicho sector y que se refleje en el PIB Agropecuario, ya que durante muchos años han existido grandes críticas por la cantidad de recursos financieros destinados al sector y su poca aportación al PIB global de México.</w:t>
      </w:r>
    </w:p>
    <w:p>
      <w:pPr>
        <w:spacing w:after="0"/>
        <w:jc w:val="both"/>
        <w:sectPr>
          <w:pgSz w:w="12240" w:h="15840"/>
          <w:pgMar w:header="727" w:footer="0" w:top="920" w:bottom="280" w:left="1600" w:right="1580"/>
        </w:sectPr>
      </w:pPr>
    </w:p>
    <w:p>
      <w:pPr>
        <w:pStyle w:val="BodyText"/>
        <w:rPr>
          <w:sz w:val="20"/>
        </w:rPr>
      </w:pPr>
    </w:p>
    <w:p>
      <w:pPr>
        <w:pStyle w:val="BodyText"/>
        <w:spacing w:before="9"/>
        <w:rPr>
          <w:sz w:val="15"/>
        </w:rPr>
      </w:pPr>
    </w:p>
    <w:p>
      <w:pPr>
        <w:pStyle w:val="BodyText"/>
        <w:spacing w:before="70"/>
        <w:ind w:left="102" w:right="119" w:firstLine="707"/>
        <w:jc w:val="both"/>
      </w:pPr>
      <w:r>
        <w:rPr/>
        <w:t>Para poder encontrar dichos indicadores que permitan reasignar o justificar los recursos económicos que llegan al sector, por ejemplo Chand (2004) elaboró un modelo econométrico de ecuaciones simultaneas para India, en donde determinó la formación de capital y el crecimiento agrícola, usando como regresores: la superficie sembrada, el intercambio</w:t>
      </w:r>
      <w:r>
        <w:rPr>
          <w:spacing w:val="-5"/>
        </w:rPr>
        <w:t> </w:t>
      </w:r>
      <w:r>
        <w:rPr/>
        <w:t>comercial</w:t>
      </w:r>
      <w:r>
        <w:rPr>
          <w:spacing w:val="-5"/>
        </w:rPr>
        <w:t> </w:t>
      </w:r>
      <w:r>
        <w:rPr/>
        <w:t>entre</w:t>
      </w:r>
      <w:r>
        <w:rPr>
          <w:spacing w:val="-6"/>
        </w:rPr>
        <w:t> </w:t>
      </w:r>
      <w:r>
        <w:rPr/>
        <w:t>el</w:t>
      </w:r>
      <w:r>
        <w:rPr>
          <w:spacing w:val="-4"/>
        </w:rPr>
        <w:t> </w:t>
      </w:r>
      <w:r>
        <w:rPr/>
        <w:t>sector</w:t>
      </w:r>
      <w:r>
        <w:rPr>
          <w:spacing w:val="-3"/>
        </w:rPr>
        <w:t> </w:t>
      </w:r>
      <w:r>
        <w:rPr/>
        <w:t>agrícola</w:t>
      </w:r>
      <w:r>
        <w:rPr>
          <w:spacing w:val="-1"/>
        </w:rPr>
        <w:t> </w:t>
      </w:r>
      <w:r>
        <w:rPr/>
        <w:t>y</w:t>
      </w:r>
      <w:r>
        <w:rPr>
          <w:spacing w:val="-7"/>
        </w:rPr>
        <w:t> </w:t>
      </w:r>
      <w:r>
        <w:rPr/>
        <w:t>el</w:t>
      </w:r>
      <w:r>
        <w:rPr>
          <w:spacing w:val="-4"/>
        </w:rPr>
        <w:t> </w:t>
      </w:r>
      <w:r>
        <w:rPr/>
        <w:t>manufacturero,</w:t>
      </w:r>
      <w:r>
        <w:rPr>
          <w:spacing w:val="-6"/>
        </w:rPr>
        <w:t> </w:t>
      </w:r>
      <w:r>
        <w:rPr/>
        <w:t>el</w:t>
      </w:r>
      <w:r>
        <w:rPr>
          <w:spacing w:val="-4"/>
        </w:rPr>
        <w:t> </w:t>
      </w:r>
      <w:r>
        <w:rPr/>
        <w:t>número</w:t>
      </w:r>
      <w:r>
        <w:rPr>
          <w:spacing w:val="-5"/>
        </w:rPr>
        <w:t> </w:t>
      </w:r>
      <w:r>
        <w:rPr/>
        <w:t>de</w:t>
      </w:r>
      <w:r>
        <w:rPr>
          <w:spacing w:val="-6"/>
        </w:rPr>
        <w:t> </w:t>
      </w:r>
      <w:r>
        <w:rPr/>
        <w:t>trabajadores en la actividad agropecuaria, el crédito destinado al sector y los subsidios, entre</w:t>
      </w:r>
      <w:r>
        <w:rPr>
          <w:spacing w:val="-16"/>
        </w:rPr>
        <w:t> </w:t>
      </w:r>
      <w:r>
        <w:rPr/>
        <w:t>otros.</w:t>
      </w:r>
    </w:p>
    <w:p>
      <w:pPr>
        <w:pStyle w:val="BodyText"/>
      </w:pPr>
    </w:p>
    <w:p>
      <w:pPr>
        <w:pStyle w:val="BodyText"/>
        <w:ind w:left="102" w:right="118" w:firstLine="707"/>
        <w:jc w:val="both"/>
      </w:pPr>
      <w:r>
        <w:rPr/>
        <w:t>Y su variable endógena la establece como el PIB Agropecuario, lo cual nos plantea el antecedente teórico que dichos factores, como otros más, pueden ser significativos en el crecimiento o disminución de dicha variable macroeconómica, la cual es generadora de riqueza, y puede crecer o disminuir según como se le incentive.</w:t>
      </w:r>
    </w:p>
    <w:p>
      <w:pPr>
        <w:pStyle w:val="BodyText"/>
        <w:spacing w:before="4"/>
      </w:pPr>
    </w:p>
    <w:p>
      <w:pPr>
        <w:pStyle w:val="Heading1"/>
        <w:ind w:right="45"/>
      </w:pPr>
      <w:r>
        <w:rPr/>
        <w:t>Objetivo del trabajo</w:t>
      </w:r>
    </w:p>
    <w:p>
      <w:pPr>
        <w:pStyle w:val="BodyText"/>
        <w:spacing w:before="7"/>
        <w:rPr>
          <w:b/>
          <w:sz w:val="23"/>
        </w:rPr>
      </w:pPr>
    </w:p>
    <w:p>
      <w:pPr>
        <w:pStyle w:val="BodyText"/>
        <w:ind w:left="102" w:right="45"/>
      </w:pPr>
      <w:r>
        <w:rPr/>
        <w:t>El objetivo del presente trabajo es generar un modelo de regresión entre variables económicas, que denotaremos genéricamente de la siguiente forma:</w:t>
      </w:r>
    </w:p>
    <w:p>
      <w:pPr>
        <w:pStyle w:val="BodyText"/>
        <w:spacing w:before="10"/>
        <w:rPr>
          <w:sz w:val="23"/>
        </w:rPr>
      </w:pPr>
    </w:p>
    <w:p>
      <w:pPr>
        <w:tabs>
          <w:tab w:pos="8659" w:val="left" w:leader="none"/>
        </w:tabs>
        <w:spacing w:before="0"/>
        <w:ind w:left="102" w:right="45" w:firstLine="0"/>
        <w:jc w:val="left"/>
        <w:rPr>
          <w:sz w:val="24"/>
        </w:rPr>
      </w:pPr>
      <w:r>
        <w:rPr>
          <w:i/>
          <w:position w:val="2"/>
          <w:sz w:val="24"/>
        </w:rPr>
        <w:t>y = f(x</w:t>
      </w:r>
      <w:r>
        <w:rPr>
          <w:i/>
          <w:sz w:val="16"/>
        </w:rPr>
        <w:t>1</w:t>
      </w:r>
      <w:r>
        <w:rPr>
          <w:i/>
          <w:position w:val="2"/>
          <w:sz w:val="24"/>
        </w:rPr>
        <w:t>, x</w:t>
      </w:r>
      <w:r>
        <w:rPr>
          <w:i/>
          <w:sz w:val="16"/>
        </w:rPr>
        <w:t>2</w:t>
      </w:r>
      <w:r>
        <w:rPr>
          <w:i/>
          <w:position w:val="2"/>
          <w:sz w:val="24"/>
        </w:rPr>
        <w:t>, x</w:t>
      </w:r>
      <w:r>
        <w:rPr>
          <w:i/>
          <w:sz w:val="16"/>
        </w:rPr>
        <w:t>3</w:t>
      </w:r>
      <w:r>
        <w:rPr>
          <w:i/>
          <w:position w:val="2"/>
          <w:sz w:val="24"/>
        </w:rPr>
        <w:t>,….,</w:t>
      </w:r>
      <w:r>
        <w:rPr>
          <w:i/>
          <w:spacing w:val="-4"/>
          <w:position w:val="2"/>
          <w:sz w:val="24"/>
        </w:rPr>
        <w:t> </w:t>
      </w:r>
      <w:r>
        <w:rPr>
          <w:i/>
          <w:position w:val="2"/>
          <w:sz w:val="24"/>
        </w:rPr>
        <w:t>x</w:t>
      </w:r>
      <w:r>
        <w:rPr>
          <w:i/>
          <w:sz w:val="16"/>
        </w:rPr>
        <w:t>k</w:t>
      </w:r>
      <w:r>
        <w:rPr>
          <w:i/>
          <w:position w:val="2"/>
          <w:sz w:val="24"/>
        </w:rPr>
        <w:t>,</w:t>
      </w:r>
      <w:r>
        <w:rPr>
          <w:i/>
          <w:spacing w:val="-1"/>
          <w:position w:val="2"/>
          <w:sz w:val="24"/>
        </w:rPr>
        <w:t> </w:t>
      </w:r>
      <w:r>
        <w:rPr>
          <w:i/>
          <w:position w:val="2"/>
          <w:sz w:val="24"/>
        </w:rPr>
        <w:t>ε/β)</w:t>
        <w:tab/>
      </w:r>
      <w:r>
        <w:rPr>
          <w:position w:val="2"/>
          <w:sz w:val="24"/>
        </w:rPr>
        <w:t>(1)</w:t>
      </w:r>
    </w:p>
    <w:p>
      <w:pPr>
        <w:pStyle w:val="BodyText"/>
        <w:spacing w:before="9"/>
        <w:rPr>
          <w:sz w:val="23"/>
        </w:rPr>
      </w:pPr>
    </w:p>
    <w:p>
      <w:pPr>
        <w:pStyle w:val="BodyText"/>
        <w:ind w:left="810" w:right="45"/>
      </w:pPr>
      <w:r>
        <w:rPr/>
        <w:t>Específicamente tratamos con relaciones de dependencia lineal, es decir:</w:t>
      </w:r>
    </w:p>
    <w:p>
      <w:pPr>
        <w:pStyle w:val="BodyText"/>
        <w:spacing w:before="10"/>
        <w:rPr>
          <w:sz w:val="23"/>
        </w:rPr>
      </w:pPr>
    </w:p>
    <w:p>
      <w:pPr>
        <w:tabs>
          <w:tab w:pos="8659" w:val="left" w:leader="none"/>
        </w:tabs>
        <w:spacing w:line="477" w:lineRule="auto" w:before="0"/>
        <w:ind w:left="810" w:right="119" w:hanging="708"/>
        <w:jc w:val="left"/>
        <w:rPr>
          <w:sz w:val="24"/>
        </w:rPr>
      </w:pPr>
      <w:r>
        <w:rPr>
          <w:i/>
          <w:position w:val="2"/>
          <w:sz w:val="24"/>
        </w:rPr>
        <w:t>y</w:t>
      </w:r>
      <w:r>
        <w:rPr>
          <w:i/>
          <w:sz w:val="16"/>
        </w:rPr>
        <w:t>t </w:t>
      </w:r>
      <w:r>
        <w:rPr>
          <w:i/>
          <w:position w:val="2"/>
          <w:sz w:val="24"/>
        </w:rPr>
        <w:t>= β</w:t>
      </w:r>
      <w:r>
        <w:rPr>
          <w:i/>
          <w:sz w:val="16"/>
        </w:rPr>
        <w:t>0  </w:t>
      </w:r>
      <w:r>
        <w:rPr>
          <w:i/>
          <w:position w:val="2"/>
          <w:sz w:val="24"/>
        </w:rPr>
        <w:t>+ β</w:t>
      </w:r>
      <w:r>
        <w:rPr>
          <w:i/>
          <w:sz w:val="16"/>
        </w:rPr>
        <w:t>1</w:t>
      </w:r>
      <w:r>
        <w:rPr>
          <w:i/>
          <w:position w:val="2"/>
          <w:sz w:val="24"/>
        </w:rPr>
        <w:t>x</w:t>
      </w:r>
      <w:r>
        <w:rPr>
          <w:i/>
          <w:sz w:val="16"/>
        </w:rPr>
        <w:t>1t </w:t>
      </w:r>
      <w:r>
        <w:rPr>
          <w:i/>
          <w:position w:val="2"/>
          <w:sz w:val="24"/>
        </w:rPr>
        <w:t>+ β</w:t>
      </w:r>
      <w:r>
        <w:rPr>
          <w:i/>
          <w:sz w:val="16"/>
        </w:rPr>
        <w:t>2</w:t>
      </w:r>
      <w:r>
        <w:rPr>
          <w:i/>
          <w:position w:val="2"/>
          <w:sz w:val="24"/>
        </w:rPr>
        <w:t>x</w:t>
      </w:r>
      <w:r>
        <w:rPr>
          <w:i/>
          <w:sz w:val="16"/>
        </w:rPr>
        <w:t>2t </w:t>
      </w:r>
      <w:r>
        <w:rPr>
          <w:i/>
          <w:position w:val="2"/>
          <w:sz w:val="24"/>
        </w:rPr>
        <w:t>+ ….+ β</w:t>
      </w:r>
      <w:r>
        <w:rPr>
          <w:i/>
          <w:sz w:val="16"/>
        </w:rPr>
        <w:t>k</w:t>
      </w:r>
      <w:r>
        <w:rPr>
          <w:i/>
          <w:position w:val="2"/>
          <w:sz w:val="24"/>
        </w:rPr>
        <w:t>x</w:t>
      </w:r>
      <w:r>
        <w:rPr>
          <w:i/>
          <w:sz w:val="16"/>
        </w:rPr>
        <w:t>kt </w:t>
      </w:r>
      <w:r>
        <w:rPr>
          <w:i/>
          <w:position w:val="2"/>
          <w:sz w:val="24"/>
        </w:rPr>
        <w:t>+ ε</w:t>
      </w:r>
      <w:r>
        <w:rPr>
          <w:i/>
          <w:sz w:val="16"/>
        </w:rPr>
        <w:t>t</w:t>
      </w:r>
      <w:r>
        <w:rPr>
          <w:i/>
          <w:position w:val="2"/>
          <w:sz w:val="24"/>
        </w:rPr>
        <w:t>, t = 1, 2, 3,</w:t>
      </w:r>
      <w:r>
        <w:rPr>
          <w:i/>
          <w:spacing w:val="47"/>
          <w:position w:val="2"/>
          <w:sz w:val="24"/>
        </w:rPr>
        <w:t> </w:t>
      </w:r>
      <w:r>
        <w:rPr>
          <w:i/>
          <w:position w:val="2"/>
          <w:sz w:val="24"/>
        </w:rPr>
        <w:t>...</w:t>
      </w:r>
      <w:r>
        <w:rPr>
          <w:i/>
          <w:spacing w:val="-1"/>
          <w:position w:val="2"/>
          <w:sz w:val="24"/>
        </w:rPr>
        <w:t> </w:t>
      </w:r>
      <w:r>
        <w:rPr>
          <w:i/>
          <w:position w:val="2"/>
          <w:sz w:val="24"/>
        </w:rPr>
        <w:t>n</w:t>
        <w:tab/>
      </w:r>
      <w:r>
        <w:rPr>
          <w:position w:val="2"/>
          <w:sz w:val="24"/>
        </w:rPr>
        <w:t>(2) </w:t>
      </w:r>
      <w:r>
        <w:rPr>
          <w:sz w:val="24"/>
        </w:rPr>
        <w:t>Que denominamos modelo de regresión lineal múltiple</w:t>
      </w:r>
      <w:r>
        <w:rPr>
          <w:spacing w:val="-7"/>
          <w:sz w:val="24"/>
        </w:rPr>
        <w:t> </w:t>
      </w:r>
      <w:r>
        <w:rPr>
          <w:sz w:val="24"/>
        </w:rPr>
        <w:t>donde:</w:t>
      </w:r>
    </w:p>
    <w:p>
      <w:pPr>
        <w:pStyle w:val="BodyText"/>
        <w:spacing w:before="13"/>
        <w:ind w:left="102" w:right="116" w:firstLine="707"/>
        <w:jc w:val="both"/>
      </w:pPr>
      <w:r>
        <w:rPr/>
        <w:t>Los componentes del vector β: son los coeficientes de las variables explicativas y recogen la magnitud del impacto de cada una de las variables explicativas sobre la variable endógena.</w:t>
      </w:r>
    </w:p>
    <w:p>
      <w:pPr>
        <w:pStyle w:val="BodyText"/>
        <w:spacing w:before="10"/>
        <w:rPr>
          <w:sz w:val="23"/>
        </w:rPr>
      </w:pPr>
    </w:p>
    <w:p>
      <w:pPr>
        <w:pStyle w:val="BodyText"/>
        <w:ind w:left="102" w:right="121" w:firstLine="707"/>
        <w:jc w:val="both"/>
      </w:pPr>
      <w:r>
        <w:rPr>
          <w:position w:val="2"/>
        </w:rPr>
        <w:t>La variable aleatoria ε</w:t>
      </w:r>
      <w:r>
        <w:rPr>
          <w:sz w:val="16"/>
        </w:rPr>
        <w:t>i</w:t>
      </w:r>
      <w:r>
        <w:rPr>
          <w:position w:val="2"/>
        </w:rPr>
        <w:t>, a la que nos referimos en lo sucesivo como término de </w:t>
      </w:r>
      <w:r>
        <w:rPr/>
        <w:t>perturbación aleatoria o error del modelo.</w:t>
      </w:r>
    </w:p>
    <w:p>
      <w:pPr>
        <w:pStyle w:val="BodyText"/>
        <w:spacing w:before="10"/>
        <w:rPr>
          <w:sz w:val="23"/>
        </w:rPr>
      </w:pPr>
    </w:p>
    <w:p>
      <w:pPr>
        <w:pStyle w:val="BodyText"/>
        <w:ind w:left="810" w:right="45"/>
      </w:pPr>
      <w:r>
        <w:rPr>
          <w:position w:val="2"/>
        </w:rPr>
        <w:t>Las variables x</w:t>
      </w:r>
      <w:r>
        <w:rPr>
          <w:sz w:val="16"/>
        </w:rPr>
        <w:t>1</w:t>
      </w:r>
      <w:r>
        <w:rPr>
          <w:position w:val="2"/>
        </w:rPr>
        <w:t>, x</w:t>
      </w:r>
      <w:r>
        <w:rPr>
          <w:sz w:val="16"/>
        </w:rPr>
        <w:t>2</w:t>
      </w:r>
      <w:r>
        <w:rPr>
          <w:position w:val="2"/>
        </w:rPr>
        <w:t>, x</w:t>
      </w:r>
      <w:r>
        <w:rPr>
          <w:sz w:val="16"/>
        </w:rPr>
        <w:t>3</w:t>
      </w:r>
      <w:r>
        <w:rPr>
          <w:position w:val="2"/>
        </w:rPr>
        <w:t>,…., x</w:t>
      </w:r>
      <w:r>
        <w:rPr>
          <w:sz w:val="16"/>
        </w:rPr>
        <w:t>k  </w:t>
      </w:r>
      <w:r>
        <w:rPr>
          <w:position w:val="2"/>
        </w:rPr>
        <w:t>se denominan variables explicativas del modelo.</w:t>
      </w:r>
    </w:p>
    <w:p>
      <w:pPr>
        <w:pStyle w:val="BodyText"/>
        <w:spacing w:before="2"/>
      </w:pPr>
    </w:p>
    <w:p>
      <w:pPr>
        <w:pStyle w:val="Heading1"/>
        <w:ind w:right="45"/>
      </w:pPr>
      <w:r>
        <w:rPr/>
        <w:t>Modelos doble logaritmo o de elasticidad constante</w:t>
      </w:r>
    </w:p>
    <w:p>
      <w:pPr>
        <w:pStyle w:val="BodyText"/>
        <w:spacing w:before="6"/>
        <w:rPr>
          <w:b/>
          <w:sz w:val="23"/>
        </w:rPr>
      </w:pPr>
    </w:p>
    <w:p>
      <w:pPr>
        <w:pStyle w:val="BodyText"/>
        <w:ind w:left="102" w:right="45"/>
      </w:pPr>
      <w:r>
        <w:rPr/>
        <w:t>Aunque en su especificación inicial este tipo de modelos no son lineales en los parámetros</w:t>
      </w:r>
    </w:p>
    <w:p>
      <w:pPr>
        <w:pStyle w:val="BodyText"/>
        <w:spacing w:before="3"/>
        <w:rPr>
          <w:sz w:val="14"/>
        </w:rPr>
      </w:pPr>
    </w:p>
    <w:p>
      <w:pPr>
        <w:spacing w:line="44" w:lineRule="exact" w:before="0"/>
        <w:ind w:left="1011" w:right="45" w:firstLine="0"/>
        <w:jc w:val="left"/>
        <w:rPr>
          <w:i/>
          <w:sz w:val="10"/>
        </w:rPr>
      </w:pPr>
      <w:r>
        <w:rPr>
          <w:rFonts w:ascii="Symbol" w:hAnsi="Symbol"/>
          <w:i/>
          <w:w w:val="105"/>
          <w:sz w:val="14"/>
        </w:rPr>
        <w:t></w:t>
      </w:r>
      <w:r>
        <w:rPr>
          <w:i/>
          <w:w w:val="105"/>
          <w:position w:val="-3"/>
          <w:sz w:val="10"/>
        </w:rPr>
        <w:t>t     </w:t>
      </w:r>
      <w:r>
        <w:rPr>
          <w:i/>
          <w:w w:val="105"/>
          <w:sz w:val="14"/>
        </w:rPr>
        <w:t>u</w:t>
      </w:r>
      <w:r>
        <w:rPr>
          <w:i/>
          <w:w w:val="105"/>
          <w:position w:val="-3"/>
          <w:sz w:val="10"/>
        </w:rPr>
        <w:t>t</w:t>
      </w:r>
    </w:p>
    <w:p>
      <w:pPr>
        <w:spacing w:line="299" w:lineRule="exact" w:before="0"/>
        <w:ind w:left="130" w:right="45" w:firstLine="0"/>
        <w:jc w:val="left"/>
        <w:rPr>
          <w:i/>
          <w:sz w:val="24"/>
        </w:rPr>
      </w:pPr>
      <w:r>
        <w:rPr>
          <w:i/>
          <w:w w:val="105"/>
          <w:sz w:val="24"/>
        </w:rPr>
        <w:t>Y</w:t>
      </w:r>
      <w:r>
        <w:rPr>
          <w:i/>
          <w:w w:val="105"/>
          <w:position w:val="-5"/>
          <w:sz w:val="14"/>
        </w:rPr>
        <w:t>t   </w:t>
      </w:r>
      <w:r>
        <w:rPr>
          <w:rFonts w:ascii="Symbol" w:hAnsi="Symbol"/>
          <w:w w:val="105"/>
          <w:sz w:val="24"/>
        </w:rPr>
        <w:t></w:t>
      </w:r>
      <w:r>
        <w:rPr>
          <w:w w:val="105"/>
          <w:sz w:val="24"/>
        </w:rPr>
        <w:t> </w:t>
      </w:r>
      <w:r>
        <w:rPr>
          <w:rFonts w:ascii="Symbol" w:hAnsi="Symbol"/>
          <w:i/>
          <w:w w:val="105"/>
          <w:sz w:val="25"/>
        </w:rPr>
        <w:t></w:t>
      </w:r>
      <w:r>
        <w:rPr>
          <w:w w:val="105"/>
          <w:position w:val="-5"/>
          <w:sz w:val="14"/>
        </w:rPr>
        <w:t>0 </w:t>
      </w:r>
      <w:r>
        <w:rPr>
          <w:i/>
          <w:w w:val="105"/>
          <w:sz w:val="24"/>
        </w:rPr>
        <w:t>X</w:t>
      </w:r>
      <w:r>
        <w:rPr>
          <w:i/>
          <w:w w:val="105"/>
          <w:position w:val="-5"/>
          <w:sz w:val="14"/>
        </w:rPr>
        <w:t>t  </w:t>
      </w:r>
      <w:r>
        <w:rPr>
          <w:i/>
          <w:w w:val="105"/>
          <w:sz w:val="24"/>
        </w:rPr>
        <w:t>e</w:t>
      </w:r>
    </w:p>
    <w:p>
      <w:pPr>
        <w:pStyle w:val="BodyText"/>
        <w:spacing w:before="46"/>
        <w:ind w:left="810" w:right="45"/>
      </w:pPr>
      <w:r>
        <w:rPr/>
        <w:t>Sí son susceptibles de linealización, dado que</w:t>
      </w:r>
    </w:p>
    <w:p>
      <w:pPr>
        <w:spacing w:after="0"/>
        <w:sectPr>
          <w:pgSz w:w="12240" w:h="15840"/>
          <w:pgMar w:header="727" w:footer="0" w:top="920" w:bottom="280" w:left="1600" w:right="1580"/>
        </w:sectPr>
      </w:pPr>
    </w:p>
    <w:p>
      <w:pPr>
        <w:spacing w:before="125"/>
        <w:ind w:left="141" w:right="-1" w:firstLine="0"/>
        <w:jc w:val="left"/>
        <w:rPr>
          <w:i/>
          <w:sz w:val="10"/>
        </w:rPr>
      </w:pPr>
      <w:r>
        <w:rPr/>
        <w:pict>
          <v:shape style="position:absolute;margin-left:103.548187pt;margin-top:16.682100pt;width:52.1pt;height:7pt;mso-position-horizontal-relative:page;mso-position-vertical-relative:paragraph;z-index:-28072" type="#_x0000_t202" filled="false" stroked="false">
            <v:textbox inset="0,0,0,0">
              <w:txbxContent>
                <w:p>
                  <w:pPr>
                    <w:tabs>
                      <w:tab w:pos="728" w:val="left" w:leader="none"/>
                    </w:tabs>
                    <w:spacing w:line="140" w:lineRule="exact" w:before="0"/>
                    <w:ind w:left="0" w:right="0" w:firstLine="0"/>
                    <w:jc w:val="left"/>
                    <w:rPr>
                      <w:i/>
                      <w:sz w:val="14"/>
                    </w:rPr>
                  </w:pPr>
                  <w:r>
                    <w:rPr>
                      <w:i/>
                      <w:w w:val="105"/>
                      <w:sz w:val="14"/>
                    </w:rPr>
                    <w:t>t</w:t>
                    <w:tab/>
                  </w:r>
                  <w:r>
                    <w:rPr>
                      <w:w w:val="105"/>
                      <w:sz w:val="14"/>
                    </w:rPr>
                    <w:t>0    </w:t>
                  </w:r>
                  <w:r>
                    <w:rPr>
                      <w:spacing w:val="15"/>
                      <w:w w:val="105"/>
                      <w:sz w:val="14"/>
                    </w:rPr>
                    <w:t> </w:t>
                  </w:r>
                  <w:r>
                    <w:rPr>
                      <w:i/>
                      <w:w w:val="105"/>
                      <w:sz w:val="14"/>
                    </w:rPr>
                    <w:t>t</w:t>
                  </w:r>
                </w:p>
              </w:txbxContent>
            </v:textbox>
            <w10:wrap type="none"/>
          </v:shape>
        </w:pict>
      </w:r>
      <w:r>
        <w:rPr>
          <w:spacing w:val="-6"/>
          <w:w w:val="105"/>
          <w:sz w:val="24"/>
        </w:rPr>
        <w:t>ln </w:t>
      </w:r>
      <w:r>
        <w:rPr>
          <w:i/>
          <w:w w:val="105"/>
          <w:sz w:val="24"/>
        </w:rPr>
        <w:t>Y </w:t>
      </w:r>
      <w:r>
        <w:rPr>
          <w:rFonts w:ascii="Symbol" w:hAnsi="Symbol"/>
          <w:w w:val="105"/>
          <w:sz w:val="24"/>
        </w:rPr>
        <w:t></w:t>
      </w:r>
      <w:r>
        <w:rPr>
          <w:w w:val="105"/>
          <w:sz w:val="24"/>
        </w:rPr>
        <w:t> </w:t>
      </w:r>
      <w:r>
        <w:rPr>
          <w:spacing w:val="-3"/>
          <w:w w:val="105"/>
          <w:sz w:val="24"/>
        </w:rPr>
        <w:t>ln(</w:t>
      </w:r>
      <w:r>
        <w:rPr>
          <w:rFonts w:ascii="Symbol" w:hAnsi="Symbol"/>
          <w:i/>
          <w:spacing w:val="-3"/>
          <w:w w:val="105"/>
          <w:sz w:val="25"/>
        </w:rPr>
        <w:t></w:t>
      </w:r>
      <w:r>
        <w:rPr>
          <w:i/>
          <w:spacing w:val="-3"/>
          <w:w w:val="105"/>
          <w:sz w:val="25"/>
        </w:rPr>
        <w:t> </w:t>
      </w:r>
      <w:r>
        <w:rPr>
          <w:i/>
          <w:w w:val="105"/>
          <w:sz w:val="24"/>
        </w:rPr>
        <w:t>X </w:t>
      </w:r>
      <w:r>
        <w:rPr>
          <w:rFonts w:ascii="Symbol" w:hAnsi="Symbol"/>
          <w:i/>
          <w:w w:val="105"/>
          <w:position w:val="11"/>
          <w:sz w:val="15"/>
        </w:rPr>
        <w:t></w:t>
      </w:r>
      <w:r>
        <w:rPr>
          <w:i/>
          <w:w w:val="105"/>
          <w:position w:val="8"/>
          <w:sz w:val="10"/>
        </w:rPr>
        <w:t>t</w:t>
      </w:r>
    </w:p>
    <w:p>
      <w:pPr>
        <w:spacing w:before="144"/>
        <w:ind w:left="-10" w:right="-18" w:firstLine="0"/>
        <w:jc w:val="left"/>
        <w:rPr>
          <w:i/>
          <w:sz w:val="10"/>
        </w:rPr>
      </w:pPr>
      <w:r>
        <w:rPr/>
        <w:br w:type="column"/>
      </w:r>
      <w:r>
        <w:rPr>
          <w:i/>
          <w:spacing w:val="1"/>
          <w:w w:val="105"/>
          <w:position w:val="-10"/>
          <w:sz w:val="24"/>
        </w:rPr>
        <w:t>e</w:t>
      </w:r>
      <w:r>
        <w:rPr>
          <w:i/>
          <w:spacing w:val="-1"/>
          <w:w w:val="104"/>
          <w:sz w:val="14"/>
        </w:rPr>
        <w:t>u</w:t>
      </w:r>
      <w:r>
        <w:rPr>
          <w:i/>
          <w:w w:val="105"/>
          <w:position w:val="-3"/>
          <w:sz w:val="10"/>
        </w:rPr>
        <w:t>t</w:t>
      </w:r>
    </w:p>
    <w:p>
      <w:pPr>
        <w:spacing w:before="135"/>
        <w:ind w:left="9" w:right="0" w:firstLine="0"/>
        <w:jc w:val="left"/>
        <w:rPr>
          <w:i/>
          <w:sz w:val="14"/>
        </w:rPr>
      </w:pPr>
      <w:r>
        <w:rPr/>
        <w:br w:type="column"/>
      </w:r>
      <w:r>
        <w:rPr>
          <w:w w:val="105"/>
          <w:sz w:val="24"/>
        </w:rPr>
        <w:t>)</w:t>
      </w:r>
      <w:r>
        <w:rPr>
          <w:spacing w:val="-15"/>
          <w:w w:val="105"/>
          <w:sz w:val="24"/>
        </w:rPr>
        <w:t> </w:t>
      </w:r>
      <w:r>
        <w:rPr>
          <w:rFonts w:ascii="Symbol" w:hAnsi="Symbol"/>
          <w:w w:val="105"/>
          <w:sz w:val="24"/>
        </w:rPr>
        <w:t></w:t>
      </w:r>
      <w:r>
        <w:rPr>
          <w:spacing w:val="-20"/>
          <w:w w:val="105"/>
          <w:sz w:val="24"/>
        </w:rPr>
        <w:t> </w:t>
      </w:r>
      <w:r>
        <w:rPr>
          <w:spacing w:val="-6"/>
          <w:w w:val="105"/>
          <w:sz w:val="24"/>
        </w:rPr>
        <w:t>ln</w:t>
      </w:r>
      <w:r>
        <w:rPr>
          <w:spacing w:val="-22"/>
          <w:w w:val="105"/>
          <w:sz w:val="24"/>
        </w:rPr>
        <w:t> </w:t>
      </w:r>
      <w:r>
        <w:rPr>
          <w:rFonts w:ascii="Symbol" w:hAnsi="Symbol"/>
          <w:i/>
          <w:spacing w:val="2"/>
          <w:w w:val="105"/>
          <w:sz w:val="25"/>
        </w:rPr>
        <w:t></w:t>
      </w:r>
      <w:r>
        <w:rPr>
          <w:spacing w:val="2"/>
          <w:w w:val="105"/>
          <w:position w:val="-5"/>
          <w:sz w:val="14"/>
        </w:rPr>
        <w:t>0</w:t>
      </w:r>
      <w:r>
        <w:rPr>
          <w:spacing w:val="22"/>
          <w:w w:val="105"/>
          <w:position w:val="-5"/>
          <w:sz w:val="14"/>
        </w:rPr>
        <w:t> </w:t>
      </w:r>
      <w:r>
        <w:rPr>
          <w:rFonts w:ascii="Symbol" w:hAnsi="Symbol"/>
          <w:w w:val="105"/>
          <w:sz w:val="24"/>
        </w:rPr>
        <w:t></w:t>
      </w:r>
      <w:r>
        <w:rPr>
          <w:spacing w:val="-23"/>
          <w:w w:val="105"/>
          <w:sz w:val="24"/>
        </w:rPr>
        <w:t> </w:t>
      </w:r>
      <w:r>
        <w:rPr>
          <w:rFonts w:ascii="Symbol" w:hAnsi="Symbol"/>
          <w:i/>
          <w:spacing w:val="-4"/>
          <w:w w:val="105"/>
          <w:sz w:val="25"/>
        </w:rPr>
        <w:t></w:t>
      </w:r>
      <w:r>
        <w:rPr>
          <w:spacing w:val="-4"/>
          <w:w w:val="105"/>
          <w:position w:val="-5"/>
          <w:sz w:val="14"/>
        </w:rPr>
        <w:t>1</w:t>
      </w:r>
      <w:r>
        <w:rPr>
          <w:w w:val="105"/>
          <w:position w:val="-5"/>
          <w:sz w:val="14"/>
        </w:rPr>
        <w:t> </w:t>
      </w:r>
      <w:r>
        <w:rPr>
          <w:spacing w:val="-6"/>
          <w:w w:val="105"/>
          <w:sz w:val="24"/>
        </w:rPr>
        <w:t>ln</w:t>
      </w:r>
      <w:r>
        <w:rPr>
          <w:spacing w:val="-8"/>
          <w:w w:val="105"/>
          <w:sz w:val="24"/>
        </w:rPr>
        <w:t> </w:t>
      </w:r>
      <w:r>
        <w:rPr>
          <w:i/>
          <w:spacing w:val="8"/>
          <w:w w:val="105"/>
          <w:sz w:val="24"/>
        </w:rPr>
        <w:t>X</w:t>
      </w:r>
      <w:r>
        <w:rPr>
          <w:i/>
          <w:spacing w:val="8"/>
          <w:w w:val="105"/>
          <w:position w:val="-5"/>
          <w:sz w:val="14"/>
        </w:rPr>
        <w:t>t</w:t>
      </w:r>
      <w:r>
        <w:rPr>
          <w:i/>
          <w:spacing w:val="32"/>
          <w:w w:val="105"/>
          <w:position w:val="-5"/>
          <w:sz w:val="14"/>
        </w:rPr>
        <w:t> </w:t>
      </w:r>
      <w:r>
        <w:rPr>
          <w:rFonts w:ascii="Symbol" w:hAnsi="Symbol"/>
          <w:w w:val="105"/>
          <w:sz w:val="24"/>
        </w:rPr>
        <w:t></w:t>
      </w:r>
      <w:r>
        <w:rPr>
          <w:spacing w:val="-34"/>
          <w:w w:val="105"/>
          <w:sz w:val="24"/>
        </w:rPr>
        <w:t> </w:t>
      </w:r>
      <w:r>
        <w:rPr>
          <w:i/>
          <w:w w:val="105"/>
          <w:sz w:val="24"/>
        </w:rPr>
        <w:t>u</w:t>
      </w:r>
      <w:r>
        <w:rPr>
          <w:i/>
          <w:w w:val="105"/>
          <w:position w:val="-5"/>
          <w:sz w:val="14"/>
        </w:rPr>
        <w:t>t </w:t>
      </w:r>
      <w:r>
        <w:rPr>
          <w:i/>
          <w:spacing w:val="10"/>
          <w:w w:val="105"/>
          <w:position w:val="-5"/>
          <w:sz w:val="14"/>
        </w:rPr>
        <w:t> </w:t>
      </w:r>
      <w:r>
        <w:rPr>
          <w:rFonts w:ascii="Symbol" w:hAnsi="Symbol"/>
          <w:w w:val="105"/>
          <w:sz w:val="24"/>
        </w:rPr>
        <w:t></w:t>
      </w:r>
      <w:r>
        <w:rPr>
          <w:spacing w:val="-34"/>
          <w:w w:val="105"/>
          <w:sz w:val="24"/>
        </w:rPr>
        <w:t> </w:t>
      </w:r>
      <w:r>
        <w:rPr>
          <w:rFonts w:ascii="Symbol" w:hAnsi="Symbol"/>
          <w:i/>
          <w:spacing w:val="4"/>
          <w:w w:val="105"/>
          <w:sz w:val="25"/>
        </w:rPr>
        <w:t></w:t>
      </w:r>
      <w:r>
        <w:rPr>
          <w:spacing w:val="4"/>
          <w:w w:val="105"/>
          <w:position w:val="-5"/>
          <w:sz w:val="14"/>
        </w:rPr>
        <w:t>0</w:t>
      </w:r>
      <w:r>
        <w:rPr>
          <w:spacing w:val="21"/>
          <w:w w:val="105"/>
          <w:position w:val="-5"/>
          <w:sz w:val="14"/>
        </w:rPr>
        <w:t> </w:t>
      </w:r>
      <w:r>
        <w:rPr>
          <w:rFonts w:ascii="Symbol" w:hAnsi="Symbol"/>
          <w:w w:val="105"/>
          <w:sz w:val="24"/>
        </w:rPr>
        <w:t></w:t>
      </w:r>
      <w:r>
        <w:rPr>
          <w:spacing w:val="-23"/>
          <w:w w:val="105"/>
          <w:sz w:val="24"/>
        </w:rPr>
        <w:t> </w:t>
      </w:r>
      <w:r>
        <w:rPr>
          <w:rFonts w:ascii="Symbol" w:hAnsi="Symbol"/>
          <w:i/>
          <w:w w:val="105"/>
          <w:sz w:val="25"/>
        </w:rPr>
        <w:t></w:t>
      </w:r>
      <w:r>
        <w:rPr>
          <w:i/>
          <w:w w:val="105"/>
          <w:position w:val="-5"/>
          <w:sz w:val="14"/>
        </w:rPr>
        <w:t>t</w:t>
      </w:r>
      <w:r>
        <w:rPr>
          <w:i/>
          <w:spacing w:val="21"/>
          <w:w w:val="105"/>
          <w:position w:val="-5"/>
          <w:sz w:val="14"/>
        </w:rPr>
        <w:t> </w:t>
      </w:r>
      <w:r>
        <w:rPr>
          <w:spacing w:val="-6"/>
          <w:w w:val="105"/>
          <w:sz w:val="24"/>
        </w:rPr>
        <w:t>ln</w:t>
      </w:r>
      <w:r>
        <w:rPr>
          <w:spacing w:val="-8"/>
          <w:w w:val="105"/>
          <w:sz w:val="24"/>
        </w:rPr>
        <w:t> </w:t>
      </w:r>
      <w:r>
        <w:rPr>
          <w:i/>
          <w:spacing w:val="8"/>
          <w:w w:val="105"/>
          <w:sz w:val="24"/>
        </w:rPr>
        <w:t>X</w:t>
      </w:r>
      <w:r>
        <w:rPr>
          <w:i/>
          <w:spacing w:val="8"/>
          <w:w w:val="105"/>
          <w:position w:val="-5"/>
          <w:sz w:val="14"/>
        </w:rPr>
        <w:t>t</w:t>
      </w:r>
      <w:r>
        <w:rPr>
          <w:i/>
          <w:spacing w:val="32"/>
          <w:w w:val="105"/>
          <w:position w:val="-5"/>
          <w:sz w:val="14"/>
        </w:rPr>
        <w:t> </w:t>
      </w:r>
      <w:r>
        <w:rPr>
          <w:rFonts w:ascii="Symbol" w:hAnsi="Symbol"/>
          <w:w w:val="105"/>
          <w:sz w:val="24"/>
        </w:rPr>
        <w:t></w:t>
      </w:r>
      <w:r>
        <w:rPr>
          <w:spacing w:val="-34"/>
          <w:w w:val="105"/>
          <w:sz w:val="24"/>
        </w:rPr>
        <w:t> </w:t>
      </w:r>
      <w:r>
        <w:rPr>
          <w:i/>
          <w:w w:val="105"/>
          <w:sz w:val="24"/>
        </w:rPr>
        <w:t>u</w:t>
      </w:r>
      <w:r>
        <w:rPr>
          <w:i/>
          <w:w w:val="105"/>
          <w:position w:val="-5"/>
          <w:sz w:val="14"/>
        </w:rPr>
        <w:t>t</w:t>
      </w:r>
    </w:p>
    <w:p>
      <w:pPr>
        <w:pStyle w:val="BodyText"/>
        <w:rPr>
          <w:i/>
        </w:rPr>
      </w:pPr>
      <w:r>
        <w:rPr/>
        <w:br w:type="column"/>
      </w:r>
      <w:r>
        <w:rPr>
          <w:i/>
        </w:rPr>
      </w:r>
    </w:p>
    <w:p>
      <w:pPr>
        <w:pStyle w:val="BodyText"/>
        <w:ind w:left="141"/>
      </w:pPr>
      <w:r>
        <w:rPr/>
        <w:t>(3)</w:t>
      </w:r>
    </w:p>
    <w:p>
      <w:pPr>
        <w:spacing w:after="0"/>
        <w:sectPr>
          <w:type w:val="continuous"/>
          <w:pgSz w:w="12240" w:h="15840"/>
          <w:pgMar w:top="1500" w:bottom="280" w:left="1600" w:right="1580"/>
          <w:cols w:num="4" w:equalWidth="0">
            <w:col w:w="1613" w:space="40"/>
            <w:col w:w="207" w:space="40"/>
            <w:col w:w="3958" w:space="2601"/>
            <w:col w:w="601"/>
          </w:cols>
        </w:sectPr>
      </w:pPr>
    </w:p>
    <w:p>
      <w:pPr>
        <w:pStyle w:val="BodyText"/>
        <w:ind w:left="810" w:right="45"/>
      </w:pPr>
      <w:r>
        <w:rPr/>
        <w:t>Obsérvese que haciendo:</w:t>
      </w:r>
    </w:p>
    <w:p>
      <w:pPr>
        <w:tabs>
          <w:tab w:pos="2349" w:val="left" w:leader="none"/>
        </w:tabs>
        <w:spacing w:line="41" w:lineRule="exact" w:before="104"/>
        <w:ind w:left="295" w:right="45" w:firstLine="0"/>
        <w:jc w:val="left"/>
        <w:rPr>
          <w:sz w:val="14"/>
        </w:rPr>
      </w:pPr>
      <w:r>
        <w:rPr>
          <w:w w:val="105"/>
          <w:sz w:val="14"/>
        </w:rPr>
        <w:t>*</w:t>
        <w:tab/>
        <w:t>*</w:t>
      </w:r>
    </w:p>
    <w:p>
      <w:pPr>
        <w:tabs>
          <w:tab w:pos="2161" w:val="left" w:leader="none"/>
        </w:tabs>
        <w:spacing w:line="287" w:lineRule="exact" w:before="0"/>
        <w:ind w:left="130" w:right="45" w:firstLine="0"/>
        <w:jc w:val="left"/>
        <w:rPr>
          <w:i/>
          <w:sz w:val="14"/>
        </w:rPr>
      </w:pPr>
      <w:r>
        <w:rPr>
          <w:i/>
          <w:spacing w:val="-10"/>
          <w:w w:val="105"/>
          <w:sz w:val="24"/>
        </w:rPr>
        <w:t>Y</w:t>
      </w:r>
      <w:r>
        <w:rPr>
          <w:i/>
          <w:spacing w:val="-10"/>
          <w:w w:val="105"/>
          <w:position w:val="-5"/>
          <w:sz w:val="14"/>
        </w:rPr>
        <w:t>t     </w:t>
      </w:r>
      <w:r>
        <w:rPr>
          <w:rFonts w:ascii="Symbol" w:hAnsi="Symbol"/>
          <w:w w:val="105"/>
          <w:sz w:val="24"/>
        </w:rPr>
        <w:t></w:t>
      </w:r>
      <w:r>
        <w:rPr>
          <w:spacing w:val="-6"/>
          <w:w w:val="105"/>
          <w:sz w:val="24"/>
        </w:rPr>
        <w:t> </w:t>
      </w:r>
      <w:r>
        <w:rPr>
          <w:spacing w:val="-5"/>
          <w:w w:val="105"/>
          <w:sz w:val="24"/>
        </w:rPr>
        <w:t>ln</w:t>
      </w:r>
      <w:r>
        <w:rPr>
          <w:spacing w:val="-39"/>
          <w:w w:val="105"/>
          <w:sz w:val="24"/>
        </w:rPr>
        <w:t> </w:t>
      </w:r>
      <w:r>
        <w:rPr>
          <w:i/>
          <w:spacing w:val="-10"/>
          <w:w w:val="105"/>
          <w:sz w:val="24"/>
        </w:rPr>
        <w:t>Y</w:t>
      </w:r>
      <w:r>
        <w:rPr>
          <w:i/>
          <w:spacing w:val="-10"/>
          <w:w w:val="105"/>
          <w:position w:val="-5"/>
          <w:sz w:val="14"/>
        </w:rPr>
        <w:t>t</w:t>
        <w:tab/>
      </w:r>
      <w:r>
        <w:rPr>
          <w:i/>
          <w:spacing w:val="10"/>
          <w:w w:val="105"/>
          <w:sz w:val="24"/>
        </w:rPr>
        <w:t>X</w:t>
      </w:r>
      <w:r>
        <w:rPr>
          <w:i/>
          <w:spacing w:val="10"/>
          <w:w w:val="105"/>
          <w:position w:val="-5"/>
          <w:sz w:val="14"/>
        </w:rPr>
        <w:t>t  </w:t>
      </w:r>
      <w:r>
        <w:rPr>
          <w:rFonts w:ascii="Symbol" w:hAnsi="Symbol"/>
          <w:w w:val="105"/>
          <w:sz w:val="24"/>
        </w:rPr>
        <w:t></w:t>
      </w:r>
      <w:r>
        <w:rPr>
          <w:w w:val="105"/>
          <w:sz w:val="24"/>
        </w:rPr>
        <w:t> </w:t>
      </w:r>
      <w:r>
        <w:rPr>
          <w:spacing w:val="-5"/>
          <w:w w:val="105"/>
          <w:sz w:val="24"/>
        </w:rPr>
        <w:t>ln</w:t>
      </w:r>
      <w:r>
        <w:rPr>
          <w:spacing w:val="-6"/>
          <w:w w:val="105"/>
          <w:sz w:val="24"/>
        </w:rPr>
        <w:t> </w:t>
      </w:r>
      <w:r>
        <w:rPr>
          <w:i/>
          <w:spacing w:val="10"/>
          <w:w w:val="105"/>
          <w:sz w:val="24"/>
        </w:rPr>
        <w:t>X</w:t>
      </w:r>
      <w:r>
        <w:rPr>
          <w:i/>
          <w:spacing w:val="10"/>
          <w:w w:val="105"/>
          <w:position w:val="-5"/>
          <w:sz w:val="14"/>
        </w:rPr>
        <w:t>t</w:t>
      </w:r>
    </w:p>
    <w:p>
      <w:pPr>
        <w:pStyle w:val="BodyText"/>
        <w:spacing w:before="119"/>
        <w:ind w:left="810" w:right="45"/>
      </w:pPr>
      <w:r>
        <w:rPr/>
        <w:t>Se transformaría en:</w:t>
      </w:r>
    </w:p>
    <w:p>
      <w:pPr>
        <w:tabs>
          <w:tab w:pos="1498" w:val="left" w:leader="none"/>
        </w:tabs>
        <w:spacing w:line="30" w:lineRule="exact" w:before="91"/>
        <w:ind w:left="295" w:right="45" w:firstLine="0"/>
        <w:jc w:val="left"/>
        <w:rPr>
          <w:sz w:val="14"/>
        </w:rPr>
      </w:pPr>
      <w:r>
        <w:rPr>
          <w:w w:val="105"/>
          <w:sz w:val="14"/>
        </w:rPr>
        <w:t>*</w:t>
        <w:tab/>
        <w:t>*</w:t>
      </w:r>
    </w:p>
    <w:p>
      <w:pPr>
        <w:spacing w:line="299" w:lineRule="exact" w:before="0"/>
        <w:ind w:left="130" w:right="45" w:firstLine="0"/>
        <w:jc w:val="left"/>
        <w:rPr>
          <w:i/>
          <w:sz w:val="14"/>
        </w:rPr>
      </w:pPr>
      <w:r>
        <w:rPr>
          <w:i/>
          <w:w w:val="105"/>
          <w:sz w:val="24"/>
        </w:rPr>
        <w:t>Y</w:t>
      </w:r>
      <w:r>
        <w:rPr>
          <w:i/>
          <w:w w:val="105"/>
          <w:position w:val="-5"/>
          <w:sz w:val="14"/>
        </w:rPr>
        <w:t>t  </w:t>
      </w:r>
      <w:r>
        <w:rPr>
          <w:rFonts w:ascii="Symbol" w:hAnsi="Symbol"/>
          <w:w w:val="105"/>
          <w:sz w:val="24"/>
        </w:rPr>
        <w:t></w:t>
      </w:r>
      <w:r>
        <w:rPr>
          <w:w w:val="105"/>
          <w:sz w:val="24"/>
        </w:rPr>
        <w:t> </w:t>
      </w:r>
      <w:r>
        <w:rPr>
          <w:rFonts w:ascii="Symbol" w:hAnsi="Symbol"/>
          <w:i/>
          <w:w w:val="105"/>
          <w:sz w:val="25"/>
        </w:rPr>
        <w:t></w:t>
      </w:r>
      <w:r>
        <w:rPr>
          <w:w w:val="105"/>
          <w:position w:val="-5"/>
          <w:sz w:val="14"/>
        </w:rPr>
        <w:t>0 </w:t>
      </w:r>
      <w:r>
        <w:rPr>
          <w:rFonts w:ascii="Symbol" w:hAnsi="Symbol"/>
          <w:w w:val="105"/>
          <w:sz w:val="24"/>
        </w:rPr>
        <w:t></w:t>
      </w:r>
      <w:r>
        <w:rPr>
          <w:w w:val="105"/>
          <w:sz w:val="24"/>
        </w:rPr>
        <w:t> </w:t>
      </w:r>
      <w:r>
        <w:rPr>
          <w:rFonts w:ascii="Symbol" w:hAnsi="Symbol"/>
          <w:i/>
          <w:w w:val="105"/>
          <w:sz w:val="25"/>
        </w:rPr>
        <w:t></w:t>
      </w:r>
      <w:r>
        <w:rPr>
          <w:i/>
          <w:w w:val="105"/>
          <w:position w:val="-5"/>
          <w:sz w:val="14"/>
        </w:rPr>
        <w:t>t </w:t>
      </w:r>
      <w:r>
        <w:rPr>
          <w:i/>
          <w:w w:val="105"/>
          <w:sz w:val="24"/>
        </w:rPr>
        <w:t>X</w:t>
      </w:r>
      <w:r>
        <w:rPr>
          <w:i/>
          <w:w w:val="105"/>
          <w:position w:val="-5"/>
          <w:sz w:val="14"/>
        </w:rPr>
        <w:t>t  </w:t>
      </w:r>
      <w:r>
        <w:rPr>
          <w:rFonts w:ascii="Symbol" w:hAnsi="Symbol"/>
          <w:w w:val="105"/>
          <w:sz w:val="24"/>
        </w:rPr>
        <w:t></w:t>
      </w:r>
      <w:r>
        <w:rPr>
          <w:w w:val="105"/>
          <w:sz w:val="24"/>
        </w:rPr>
        <w:t> </w:t>
      </w:r>
      <w:r>
        <w:rPr>
          <w:i/>
          <w:w w:val="105"/>
          <w:sz w:val="24"/>
        </w:rPr>
        <w:t>u</w:t>
      </w:r>
      <w:r>
        <w:rPr>
          <w:i/>
          <w:w w:val="105"/>
          <w:position w:val="-5"/>
          <w:sz w:val="14"/>
        </w:rPr>
        <w:t>t</w:t>
      </w:r>
    </w:p>
    <w:p>
      <w:pPr>
        <w:spacing w:after="0" w:line="299" w:lineRule="exact"/>
        <w:jc w:val="left"/>
        <w:rPr>
          <w:sz w:val="14"/>
        </w:rPr>
        <w:sectPr>
          <w:type w:val="continuous"/>
          <w:pgSz w:w="12240" w:h="15840"/>
          <w:pgMar w:top="1500" w:bottom="280" w:left="1600" w:right="1580"/>
        </w:sectPr>
      </w:pPr>
    </w:p>
    <w:p>
      <w:pPr>
        <w:pStyle w:val="BodyText"/>
        <w:rPr>
          <w:i/>
          <w:sz w:val="20"/>
        </w:rPr>
      </w:pPr>
    </w:p>
    <w:p>
      <w:pPr>
        <w:pStyle w:val="BodyText"/>
        <w:rPr>
          <w:i/>
          <w:sz w:val="20"/>
        </w:rPr>
      </w:pPr>
    </w:p>
    <w:p>
      <w:pPr>
        <w:pStyle w:val="BodyText"/>
        <w:spacing w:before="9"/>
        <w:rPr>
          <w:i/>
          <w:sz w:val="19"/>
        </w:rPr>
      </w:pPr>
    </w:p>
    <w:p>
      <w:pPr>
        <w:pStyle w:val="BodyText"/>
        <w:spacing w:before="70"/>
        <w:ind w:left="102" w:right="116" w:firstLine="707"/>
        <w:jc w:val="both"/>
      </w:pPr>
      <w:r>
        <w:rPr/>
        <w:t>El</w:t>
      </w:r>
      <w:r>
        <w:rPr>
          <w:spacing w:val="-6"/>
        </w:rPr>
        <w:t> </w:t>
      </w:r>
      <w:r>
        <w:rPr/>
        <w:t>rasgo</w:t>
      </w:r>
      <w:r>
        <w:rPr>
          <w:spacing w:val="-6"/>
        </w:rPr>
        <w:t> </w:t>
      </w:r>
      <w:r>
        <w:rPr/>
        <w:t>más</w:t>
      </w:r>
      <w:r>
        <w:rPr>
          <w:spacing w:val="-7"/>
        </w:rPr>
        <w:t> </w:t>
      </w:r>
      <w:r>
        <w:rPr/>
        <w:t>notable</w:t>
      </w:r>
      <w:r>
        <w:rPr>
          <w:spacing w:val="-7"/>
        </w:rPr>
        <w:t> </w:t>
      </w:r>
      <w:r>
        <w:rPr/>
        <w:t>de</w:t>
      </w:r>
      <w:r>
        <w:rPr>
          <w:spacing w:val="-7"/>
        </w:rPr>
        <w:t> </w:t>
      </w:r>
      <w:r>
        <w:rPr/>
        <w:t>este</w:t>
      </w:r>
      <w:r>
        <w:rPr>
          <w:spacing w:val="-6"/>
        </w:rPr>
        <w:t> </w:t>
      </w:r>
      <w:r>
        <w:rPr/>
        <w:t>tipo</w:t>
      </w:r>
      <w:r>
        <w:rPr>
          <w:spacing w:val="-6"/>
        </w:rPr>
        <w:t> </w:t>
      </w:r>
      <w:r>
        <w:rPr/>
        <w:t>de</w:t>
      </w:r>
      <w:r>
        <w:rPr>
          <w:spacing w:val="-7"/>
        </w:rPr>
        <w:t> </w:t>
      </w:r>
      <w:r>
        <w:rPr/>
        <w:t>modelos</w:t>
      </w:r>
      <w:r>
        <w:rPr>
          <w:spacing w:val="-6"/>
        </w:rPr>
        <w:t> </w:t>
      </w:r>
      <w:r>
        <w:rPr/>
        <w:t>es</w:t>
      </w:r>
      <w:r>
        <w:rPr>
          <w:spacing w:val="-6"/>
        </w:rPr>
        <w:t> </w:t>
      </w:r>
      <w:r>
        <w:rPr/>
        <w:t>que</w:t>
      </w:r>
      <w:r>
        <w:rPr>
          <w:spacing w:val="-7"/>
        </w:rPr>
        <w:t> </w:t>
      </w:r>
      <w:r>
        <w:rPr/>
        <w:t>la</w:t>
      </w:r>
      <w:r>
        <w:rPr>
          <w:spacing w:val="-7"/>
        </w:rPr>
        <w:t> </w:t>
      </w:r>
      <w:r>
        <w:rPr/>
        <w:t>pendiente</w:t>
      </w:r>
      <w:r>
        <w:rPr>
          <w:spacing w:val="-7"/>
        </w:rPr>
        <w:t> </w:t>
      </w:r>
      <w:r>
        <w:rPr/>
        <w:t>de</w:t>
      </w:r>
      <w:r>
        <w:rPr>
          <w:spacing w:val="-7"/>
        </w:rPr>
        <w:t> </w:t>
      </w:r>
      <w:r>
        <w:rPr/>
        <w:t>la</w:t>
      </w:r>
      <w:r>
        <w:rPr>
          <w:spacing w:val="-4"/>
        </w:rPr>
        <w:t> </w:t>
      </w:r>
      <w:r>
        <w:rPr/>
        <w:t>FRM</w:t>
      </w:r>
      <w:r>
        <w:rPr>
          <w:spacing w:val="-6"/>
        </w:rPr>
        <w:t> </w:t>
      </w:r>
      <w:r>
        <w:rPr/>
        <w:t>ajustada, beta 1 mide la elasticidad de la variable dependiente Y con respecto a la variable</w:t>
      </w:r>
      <w:r>
        <w:rPr>
          <w:spacing w:val="-25"/>
        </w:rPr>
        <w:t> </w:t>
      </w:r>
      <w:r>
        <w:rPr/>
        <w:t>explicativa X.</w:t>
      </w:r>
    </w:p>
    <w:p>
      <w:pPr>
        <w:pStyle w:val="BodyText"/>
      </w:pPr>
    </w:p>
    <w:p>
      <w:pPr>
        <w:pStyle w:val="BodyText"/>
        <w:ind w:left="810" w:right="45"/>
      </w:pPr>
      <w:r>
        <w:rPr/>
        <w:t>En donde beta 1 representa la elasticidad de la variable Y con respecto a X</w:t>
      </w:r>
    </w:p>
    <w:p>
      <w:pPr>
        <w:spacing w:after="0"/>
        <w:sectPr>
          <w:pgSz w:w="12240" w:h="15840"/>
          <w:pgMar w:header="727" w:footer="0" w:top="920" w:bottom="280" w:left="1600" w:right="1580"/>
        </w:sectPr>
      </w:pPr>
    </w:p>
    <w:p>
      <w:pPr>
        <w:spacing w:before="246"/>
        <w:ind w:left="152" w:right="-20" w:firstLine="0"/>
        <w:jc w:val="left"/>
        <w:rPr>
          <w:rFonts w:ascii="Symbol" w:hAnsi="Symbol"/>
          <w:sz w:val="24"/>
        </w:rPr>
      </w:pPr>
      <w:r>
        <w:rPr>
          <w:rFonts w:ascii="Symbol" w:hAnsi="Symbol"/>
          <w:i/>
          <w:spacing w:val="5"/>
          <w:sz w:val="25"/>
        </w:rPr>
        <w:t></w:t>
      </w:r>
      <w:r>
        <w:rPr>
          <w:i/>
          <w:spacing w:val="5"/>
          <w:position w:val="-5"/>
          <w:sz w:val="14"/>
        </w:rPr>
        <w:t>t   </w:t>
      </w:r>
      <w:r>
        <w:rPr>
          <w:rFonts w:ascii="Symbol" w:hAnsi="Symbol"/>
          <w:sz w:val="24"/>
        </w:rPr>
        <w:t></w:t>
      </w:r>
      <w:r>
        <w:rPr>
          <w:sz w:val="24"/>
        </w:rPr>
        <w:t>  </w:t>
      </w:r>
      <w:r>
        <w:rPr>
          <w:i/>
          <w:spacing w:val="-6"/>
          <w:sz w:val="24"/>
        </w:rPr>
        <w:t>pendiente </w:t>
      </w:r>
      <w:r>
        <w:rPr>
          <w:rFonts w:ascii="Symbol" w:hAnsi="Symbol"/>
          <w:sz w:val="24"/>
        </w:rPr>
        <w:t></w:t>
      </w:r>
    </w:p>
    <w:p>
      <w:pPr>
        <w:spacing w:before="104"/>
        <w:ind w:left="46" w:right="-7" w:firstLine="0"/>
        <w:jc w:val="left"/>
        <w:rPr>
          <w:sz w:val="14"/>
        </w:rPr>
      </w:pPr>
      <w:r>
        <w:rPr/>
        <w:br w:type="column"/>
      </w:r>
      <w:r>
        <w:rPr>
          <w:i/>
          <w:sz w:val="24"/>
        </w:rPr>
        <w:t>dY</w:t>
      </w:r>
      <w:r>
        <w:rPr>
          <w:i/>
          <w:spacing w:val="-24"/>
          <w:sz w:val="24"/>
        </w:rPr>
        <w:t> </w:t>
      </w:r>
      <w:r>
        <w:rPr>
          <w:position w:val="11"/>
          <w:sz w:val="14"/>
        </w:rPr>
        <w:t>*</w:t>
      </w:r>
    </w:p>
    <w:p>
      <w:pPr>
        <w:spacing w:before="50"/>
        <w:ind w:left="35" w:right="-18" w:firstLine="0"/>
        <w:jc w:val="left"/>
        <w:rPr>
          <w:sz w:val="14"/>
        </w:rPr>
      </w:pPr>
      <w:r>
        <w:rPr/>
        <w:pict>
          <v:line style="position:absolute;mso-position-horizontal-relative:page;mso-position-vertical-relative:paragraph;z-index:1096" from="171.67923pt,2.039307pt" to="193.228772pt,2.039317pt" stroked="true" strokeweight=".484146pt" strokecolor="#000000">
            <w10:wrap type="none"/>
          </v:line>
        </w:pict>
      </w:r>
      <w:r>
        <w:rPr>
          <w:i/>
          <w:sz w:val="24"/>
        </w:rPr>
        <w:t>dX</w:t>
      </w:r>
      <w:r>
        <w:rPr>
          <w:i/>
          <w:spacing w:val="-15"/>
          <w:sz w:val="24"/>
        </w:rPr>
        <w:t> </w:t>
      </w:r>
      <w:r>
        <w:rPr>
          <w:position w:val="11"/>
          <w:sz w:val="14"/>
        </w:rPr>
        <w:t>*</w:t>
      </w:r>
    </w:p>
    <w:p>
      <w:pPr>
        <w:pStyle w:val="BodyText"/>
        <w:spacing w:before="6"/>
        <w:rPr>
          <w:sz w:val="21"/>
        </w:rPr>
      </w:pPr>
      <w:r>
        <w:rPr/>
        <w:br w:type="column"/>
      </w:r>
      <w:r>
        <w:rPr>
          <w:sz w:val="21"/>
        </w:rPr>
      </w:r>
    </w:p>
    <w:p>
      <w:pPr>
        <w:spacing w:before="0"/>
        <w:ind w:left="152" w:right="-18" w:firstLine="0"/>
        <w:jc w:val="left"/>
        <w:rPr>
          <w:sz w:val="14"/>
        </w:rPr>
      </w:pPr>
      <w:r>
        <w:rPr>
          <w:i/>
          <w:sz w:val="24"/>
        </w:rPr>
        <w:t>dY</w:t>
      </w:r>
      <w:r>
        <w:rPr>
          <w:i/>
          <w:spacing w:val="-30"/>
          <w:sz w:val="24"/>
        </w:rPr>
        <w:t> </w:t>
      </w:r>
      <w:r>
        <w:rPr>
          <w:position w:val="11"/>
          <w:sz w:val="14"/>
        </w:rPr>
        <w:t>*</w:t>
      </w:r>
    </w:p>
    <w:p>
      <w:pPr>
        <w:spacing w:line="380" w:lineRule="exact" w:before="115"/>
        <w:ind w:left="33" w:right="-13" w:firstLine="0"/>
        <w:jc w:val="left"/>
        <w:rPr>
          <w:i/>
          <w:sz w:val="24"/>
        </w:rPr>
      </w:pPr>
      <w:r>
        <w:rPr/>
        <w:br w:type="column"/>
      </w:r>
      <w:r>
        <w:rPr>
          <w:rFonts w:ascii="Symbol" w:hAnsi="Symbol"/>
          <w:sz w:val="24"/>
        </w:rPr>
        <w:t></w:t>
      </w:r>
      <w:r>
        <w:rPr>
          <w:spacing w:val="-5"/>
          <w:sz w:val="24"/>
        </w:rPr>
        <w:t> </w:t>
      </w:r>
      <w:r>
        <w:rPr>
          <w:i/>
          <w:sz w:val="24"/>
        </w:rPr>
        <w:t>d</w:t>
      </w:r>
      <w:r>
        <w:rPr>
          <w:i/>
          <w:spacing w:val="-34"/>
          <w:sz w:val="24"/>
        </w:rPr>
        <w:t> </w:t>
      </w:r>
      <w:r>
        <w:rPr>
          <w:spacing w:val="-3"/>
          <w:sz w:val="24"/>
        </w:rPr>
        <w:t>(ln</w:t>
      </w:r>
      <w:r>
        <w:rPr>
          <w:spacing w:val="-32"/>
          <w:sz w:val="24"/>
        </w:rPr>
        <w:t> </w:t>
      </w:r>
      <w:r>
        <w:rPr>
          <w:i/>
          <w:sz w:val="24"/>
        </w:rPr>
        <w:t>Y</w:t>
      </w:r>
      <w:r>
        <w:rPr>
          <w:i/>
          <w:spacing w:val="-30"/>
          <w:sz w:val="24"/>
        </w:rPr>
        <w:t> </w:t>
      </w:r>
      <w:r>
        <w:rPr>
          <w:sz w:val="24"/>
        </w:rPr>
        <w:t>)</w:t>
      </w:r>
      <w:r>
        <w:rPr>
          <w:spacing w:val="-5"/>
          <w:sz w:val="24"/>
        </w:rPr>
        <w:t> </w:t>
      </w:r>
      <w:r>
        <w:rPr>
          <w:rFonts w:ascii="Symbol" w:hAnsi="Symbol"/>
          <w:sz w:val="24"/>
        </w:rPr>
        <w:t></w:t>
      </w:r>
      <w:r>
        <w:rPr>
          <w:spacing w:val="26"/>
          <w:sz w:val="24"/>
        </w:rPr>
        <w:t> </w:t>
      </w:r>
      <w:r>
        <w:rPr>
          <w:position w:val="15"/>
          <w:sz w:val="24"/>
        </w:rPr>
        <w:t>1</w:t>
      </w:r>
      <w:r>
        <w:rPr>
          <w:spacing w:val="8"/>
          <w:position w:val="15"/>
          <w:sz w:val="24"/>
        </w:rPr>
        <w:t> </w:t>
      </w:r>
      <w:r>
        <w:rPr>
          <w:i/>
          <w:sz w:val="24"/>
        </w:rPr>
        <w:t>dY</w:t>
      </w:r>
    </w:p>
    <w:p>
      <w:pPr>
        <w:spacing w:line="230" w:lineRule="exact" w:before="0"/>
        <w:ind w:left="0" w:right="332" w:firstLine="0"/>
        <w:jc w:val="right"/>
        <w:rPr>
          <w:i/>
          <w:sz w:val="24"/>
        </w:rPr>
      </w:pPr>
      <w:r>
        <w:rPr/>
        <w:pict>
          <v:line style="position:absolute;mso-position-horizontal-relative:page;mso-position-vertical-relative:paragraph;z-index:-28000" from="332.987pt,-2.849803pt" to="341.710219pt,-2.849803pt" stroked="true" strokeweight=".138649pt" strokecolor="#000000">
            <w10:wrap type="none"/>
          </v:line>
        </w:pict>
      </w:r>
      <w:r>
        <w:rPr>
          <w:i/>
          <w:w w:val="100"/>
          <w:sz w:val="24"/>
        </w:rPr>
        <w:t>Y</w:t>
      </w:r>
    </w:p>
    <w:p>
      <w:pPr>
        <w:pStyle w:val="BodyText"/>
        <w:rPr>
          <w:i/>
        </w:rPr>
      </w:pPr>
      <w:r>
        <w:rPr/>
        <w:br w:type="column"/>
      </w:r>
      <w:r>
        <w:rPr>
          <w:i/>
        </w:rPr>
      </w:r>
    </w:p>
    <w:p>
      <w:pPr>
        <w:pStyle w:val="BodyText"/>
        <w:ind w:left="152"/>
      </w:pPr>
      <w:r>
        <w:rPr/>
        <w:t>(4)</w:t>
      </w:r>
    </w:p>
    <w:p>
      <w:pPr>
        <w:spacing w:after="0"/>
        <w:sectPr>
          <w:type w:val="continuous"/>
          <w:pgSz w:w="12240" w:h="15840"/>
          <w:pgMar w:top="1500" w:bottom="280" w:left="1600" w:right="1580"/>
          <w:cols w:num="5" w:equalWidth="0">
            <w:col w:w="1775" w:space="40"/>
            <w:col w:w="419" w:space="1122"/>
            <w:col w:w="508" w:space="40"/>
            <w:col w:w="1616" w:space="2927"/>
            <w:col w:w="613"/>
          </w:cols>
        </w:sectPr>
      </w:pPr>
    </w:p>
    <w:p>
      <w:pPr>
        <w:spacing w:before="144"/>
        <w:ind w:left="0" w:right="0" w:firstLine="0"/>
        <w:jc w:val="right"/>
        <w:rPr>
          <w:rFonts w:ascii="Symbol" w:hAnsi="Symbol"/>
          <w:sz w:val="24"/>
        </w:rPr>
      </w:pPr>
      <w:r>
        <w:rPr/>
        <w:pict>
          <v:line style="position:absolute;mso-position-horizontal-relative:page;mso-position-vertical-relative:paragraph;z-index:-27976" from="336.92749pt,16.759848pt" to="348.451307pt,16.759848pt" stroked="true" strokeweight=".138649pt" strokecolor="#000000">
            <w10:wrap type="none"/>
          </v:line>
        </w:pict>
      </w:r>
      <w:r>
        <w:rPr>
          <w:i/>
          <w:sz w:val="24"/>
        </w:rPr>
        <w:t>dX </w:t>
      </w:r>
      <w:r>
        <w:rPr>
          <w:position w:val="11"/>
          <w:sz w:val="14"/>
        </w:rPr>
        <w:t>*  </w:t>
      </w:r>
      <w:r>
        <w:rPr>
          <w:rFonts w:ascii="Symbol" w:hAnsi="Symbol"/>
          <w:sz w:val="24"/>
        </w:rPr>
        <w:t></w:t>
      </w:r>
      <w:r>
        <w:rPr>
          <w:sz w:val="24"/>
        </w:rPr>
        <w:t> </w:t>
      </w:r>
      <w:r>
        <w:rPr>
          <w:i/>
          <w:sz w:val="24"/>
        </w:rPr>
        <w:t>d </w:t>
      </w:r>
      <w:r>
        <w:rPr>
          <w:sz w:val="24"/>
        </w:rPr>
        <w:t>(ln </w:t>
      </w:r>
      <w:r>
        <w:rPr>
          <w:i/>
          <w:sz w:val="24"/>
        </w:rPr>
        <w:t>X </w:t>
      </w:r>
      <w:r>
        <w:rPr>
          <w:sz w:val="24"/>
        </w:rPr>
        <w:t>) </w:t>
      </w:r>
      <w:r>
        <w:rPr>
          <w:rFonts w:ascii="Symbol" w:hAnsi="Symbol"/>
          <w:sz w:val="24"/>
        </w:rPr>
        <w:t></w:t>
      </w:r>
    </w:p>
    <w:p>
      <w:pPr>
        <w:spacing w:before="211"/>
        <w:ind w:left="0" w:right="793" w:firstLine="0"/>
        <w:jc w:val="right"/>
        <w:rPr>
          <w:i/>
          <w:sz w:val="24"/>
        </w:rPr>
      </w:pPr>
      <w:r>
        <w:rPr>
          <w:i/>
          <w:sz w:val="24"/>
        </w:rPr>
        <w:t>dY</w:t>
      </w:r>
    </w:p>
    <w:p>
      <w:pPr>
        <w:spacing w:line="160" w:lineRule="auto" w:before="85"/>
        <w:ind w:left="54" w:right="3302" w:firstLine="20"/>
        <w:jc w:val="left"/>
        <w:rPr>
          <w:i/>
          <w:sz w:val="24"/>
        </w:rPr>
      </w:pPr>
      <w:r>
        <w:rPr/>
        <w:br w:type="column"/>
      </w:r>
      <w:r>
        <w:rPr>
          <w:position w:val="15"/>
          <w:sz w:val="24"/>
        </w:rPr>
        <w:t>1 </w:t>
      </w:r>
      <w:r>
        <w:rPr>
          <w:i/>
          <w:sz w:val="24"/>
        </w:rPr>
        <w:t>dX </w:t>
      </w:r>
      <w:r>
        <w:rPr>
          <w:i/>
          <w:sz w:val="24"/>
        </w:rPr>
        <w:t>X</w:t>
      </w:r>
    </w:p>
    <w:p>
      <w:pPr>
        <w:spacing w:after="0" w:line="160" w:lineRule="auto"/>
        <w:jc w:val="left"/>
        <w:rPr>
          <w:sz w:val="24"/>
        </w:rPr>
        <w:sectPr>
          <w:type w:val="continuous"/>
          <w:pgSz w:w="12240" w:h="15840"/>
          <w:pgMar w:top="1500" w:bottom="280" w:left="1600" w:right="1580"/>
          <w:cols w:num="2" w:equalWidth="0">
            <w:col w:w="5070" w:space="40"/>
            <w:col w:w="3950"/>
          </w:cols>
        </w:sectPr>
      </w:pPr>
    </w:p>
    <w:p>
      <w:pPr>
        <w:spacing w:line="314" w:lineRule="exact" w:before="0"/>
        <w:ind w:left="3517" w:right="3903" w:firstLine="0"/>
        <w:jc w:val="center"/>
        <w:rPr>
          <w:i/>
          <w:sz w:val="24"/>
        </w:rPr>
      </w:pPr>
      <w:r>
        <w:rPr/>
        <w:pict>
          <v:line style="position:absolute;mso-position-horizontal-relative:page;mso-position-vertical-relative:paragraph;z-index:-27952" from="280.72113pt,2.288707pt" to="296.160624pt,2.288707pt" stroked="true" strokeweight=".138649pt" strokecolor="#000000">
            <w10:wrap type="none"/>
          </v:line>
        </w:pict>
      </w:r>
      <w:r>
        <w:rPr>
          <w:rFonts w:ascii="Symbol" w:hAnsi="Symbol"/>
          <w:i/>
          <w:position w:val="-14"/>
          <w:sz w:val="25"/>
        </w:rPr>
        <w:t></w:t>
      </w:r>
      <w:r>
        <w:rPr>
          <w:i/>
          <w:position w:val="-14"/>
          <w:sz w:val="25"/>
        </w:rPr>
        <w:t>  </w:t>
      </w:r>
      <w:r>
        <w:rPr>
          <w:rFonts w:ascii="Symbol" w:hAnsi="Symbol"/>
          <w:position w:val="-14"/>
          <w:sz w:val="24"/>
        </w:rPr>
        <w:t></w:t>
      </w:r>
      <w:r>
        <w:rPr>
          <w:position w:val="-14"/>
          <w:sz w:val="24"/>
        </w:rPr>
        <w:t>   </w:t>
      </w:r>
      <w:r>
        <w:rPr>
          <w:i/>
          <w:position w:val="-5"/>
          <w:sz w:val="24"/>
          <w:u w:val="single"/>
        </w:rPr>
        <w:t>Y   </w:t>
      </w:r>
      <w:r>
        <w:rPr>
          <w:rFonts w:ascii="Symbol" w:hAnsi="Symbol"/>
          <w:position w:val="-14"/>
          <w:sz w:val="24"/>
        </w:rPr>
        <w:t></w:t>
      </w:r>
      <w:r>
        <w:rPr>
          <w:position w:val="-14"/>
          <w:sz w:val="24"/>
        </w:rPr>
        <w:t> </w:t>
      </w:r>
      <w:r>
        <w:rPr>
          <w:i/>
          <w:sz w:val="24"/>
        </w:rPr>
        <w:t>dY  X</w:t>
      </w:r>
    </w:p>
    <w:p>
      <w:pPr>
        <w:spacing w:after="0" w:line="314" w:lineRule="exact"/>
        <w:jc w:val="center"/>
        <w:rPr>
          <w:sz w:val="24"/>
        </w:rPr>
        <w:sectPr>
          <w:type w:val="continuous"/>
          <w:pgSz w:w="12240" w:h="15840"/>
          <w:pgMar w:top="1500" w:bottom="280" w:left="1600" w:right="1580"/>
        </w:sectPr>
      </w:pPr>
    </w:p>
    <w:p>
      <w:pPr>
        <w:tabs>
          <w:tab w:pos="366" w:val="left" w:leader="none"/>
        </w:tabs>
        <w:spacing w:line="255" w:lineRule="exact" w:before="0"/>
        <w:ind w:left="0" w:right="0" w:firstLine="0"/>
        <w:jc w:val="right"/>
        <w:rPr>
          <w:i/>
          <w:sz w:val="24"/>
        </w:rPr>
      </w:pPr>
      <w:r>
        <w:rPr>
          <w:position w:val="9"/>
          <w:sz w:val="14"/>
        </w:rPr>
        <w:t>1</w:t>
        <w:tab/>
      </w:r>
      <w:r>
        <w:rPr>
          <w:i/>
          <w:spacing w:val="-2"/>
          <w:sz w:val="24"/>
        </w:rPr>
        <w:t>dX</w:t>
      </w:r>
    </w:p>
    <w:p>
      <w:pPr>
        <w:spacing w:before="55"/>
        <w:ind w:left="0" w:right="48" w:firstLine="0"/>
        <w:jc w:val="right"/>
        <w:rPr>
          <w:i/>
          <w:sz w:val="24"/>
        </w:rPr>
      </w:pPr>
      <w:r>
        <w:rPr/>
        <w:pict>
          <v:line style="position:absolute;mso-position-horizontal-relative:page;mso-position-vertical-relative:paragraph;z-index:1192" from="280.151672pt,2.248137pt" to="296.731048pt,2.248137pt" stroked="true" strokeweight=".138649pt" strokecolor="#000000">
            <w10:wrap type="none"/>
          </v:line>
        </w:pict>
      </w:r>
      <w:r>
        <w:rPr>
          <w:i/>
          <w:w w:val="100"/>
          <w:sz w:val="24"/>
        </w:rPr>
        <w:t>X</w:t>
      </w:r>
    </w:p>
    <w:p>
      <w:pPr>
        <w:pStyle w:val="BodyText"/>
        <w:spacing w:line="20" w:lineRule="exact"/>
        <w:ind w:left="292"/>
        <w:rPr>
          <w:sz w:val="2"/>
        </w:rPr>
      </w:pPr>
      <w:r>
        <w:rPr/>
        <w:br w:type="column"/>
      </w:r>
      <w:r>
        <w:rPr>
          <w:sz w:val="2"/>
        </w:rPr>
        <w:pict>
          <v:group style="width:30.55pt;height:.15pt;mso-position-horizontal-relative:char;mso-position-vertical-relative:line" coordorigin="0,0" coordsize="611,3">
            <v:line style="position:absolute" from="2,2" to="333,2" stroked="true" strokeweight=".138649pt" strokecolor="#000000"/>
            <v:line style="position:absolute" from="379,2" to="609,2" stroked="true" strokeweight=".138649pt" strokecolor="#000000"/>
          </v:group>
        </w:pict>
      </w:r>
      <w:r>
        <w:rPr>
          <w:sz w:val="2"/>
        </w:rPr>
      </w:r>
    </w:p>
    <w:p>
      <w:pPr>
        <w:spacing w:before="0"/>
        <w:ind w:left="300" w:right="0" w:firstLine="0"/>
        <w:jc w:val="left"/>
        <w:rPr>
          <w:i/>
          <w:sz w:val="24"/>
        </w:rPr>
      </w:pPr>
      <w:r>
        <w:rPr>
          <w:i/>
          <w:sz w:val="24"/>
        </w:rPr>
        <w:t>dX  Y</w:t>
      </w:r>
    </w:p>
    <w:p>
      <w:pPr>
        <w:spacing w:after="0"/>
        <w:jc w:val="left"/>
        <w:rPr>
          <w:sz w:val="24"/>
        </w:rPr>
        <w:sectPr>
          <w:type w:val="continuous"/>
          <w:pgSz w:w="12240" w:h="15840"/>
          <w:pgMar w:top="1500" w:bottom="280" w:left="1600" w:right="1580"/>
          <w:cols w:num="2" w:equalWidth="0">
            <w:col w:w="4277" w:space="40"/>
            <w:col w:w="4743"/>
          </w:cols>
        </w:sectPr>
      </w:pPr>
    </w:p>
    <w:p>
      <w:pPr>
        <w:pStyle w:val="BodyText"/>
        <w:rPr>
          <w:i/>
          <w:sz w:val="11"/>
        </w:rPr>
      </w:pPr>
    </w:p>
    <w:p>
      <w:pPr>
        <w:pStyle w:val="BodyText"/>
        <w:spacing w:before="69"/>
        <w:ind w:left="102" w:right="125" w:firstLine="707"/>
        <w:jc w:val="both"/>
      </w:pPr>
      <w:r>
        <w:rPr/>
        <w:t>El modelo matemático expresado en forma de ecuación queda de la siguiente forma, dado que se utilizará un modelo doble log:</w:t>
      </w:r>
    </w:p>
    <w:p>
      <w:pPr>
        <w:pStyle w:val="BodyText"/>
        <w:spacing w:before="10"/>
        <w:rPr>
          <w:sz w:val="23"/>
        </w:rPr>
      </w:pPr>
    </w:p>
    <w:p>
      <w:pPr>
        <w:tabs>
          <w:tab w:pos="8611" w:val="left" w:leader="none"/>
        </w:tabs>
        <w:spacing w:before="0"/>
        <w:ind w:left="102" w:right="0" w:firstLine="0"/>
        <w:jc w:val="both"/>
        <w:rPr>
          <w:sz w:val="24"/>
        </w:rPr>
      </w:pPr>
      <w:r>
        <w:rPr>
          <w:i/>
          <w:position w:val="2"/>
          <w:sz w:val="24"/>
        </w:rPr>
        <w:t>Ln y</w:t>
      </w:r>
      <w:r>
        <w:rPr>
          <w:i/>
          <w:sz w:val="16"/>
        </w:rPr>
        <w:t>t </w:t>
      </w:r>
      <w:r>
        <w:rPr>
          <w:i/>
          <w:position w:val="2"/>
          <w:sz w:val="24"/>
        </w:rPr>
        <w:t>= β</w:t>
      </w:r>
      <w:r>
        <w:rPr>
          <w:i/>
          <w:sz w:val="16"/>
        </w:rPr>
        <w:t>0  </w:t>
      </w:r>
      <w:r>
        <w:rPr>
          <w:i/>
          <w:position w:val="2"/>
          <w:sz w:val="24"/>
        </w:rPr>
        <w:t>+ β</w:t>
      </w:r>
      <w:r>
        <w:rPr>
          <w:i/>
          <w:sz w:val="16"/>
        </w:rPr>
        <w:t>1 </w:t>
      </w:r>
      <w:r>
        <w:rPr>
          <w:i/>
          <w:position w:val="2"/>
          <w:sz w:val="24"/>
        </w:rPr>
        <w:t>Ln x</w:t>
      </w:r>
      <w:r>
        <w:rPr>
          <w:i/>
          <w:sz w:val="16"/>
        </w:rPr>
        <w:t>1t </w:t>
      </w:r>
      <w:r>
        <w:rPr>
          <w:i/>
          <w:position w:val="2"/>
          <w:sz w:val="24"/>
        </w:rPr>
        <w:t>+ β</w:t>
      </w:r>
      <w:r>
        <w:rPr>
          <w:i/>
          <w:sz w:val="16"/>
        </w:rPr>
        <w:t>2  </w:t>
      </w:r>
      <w:r>
        <w:rPr>
          <w:i/>
          <w:position w:val="2"/>
          <w:sz w:val="24"/>
        </w:rPr>
        <w:t>Ln x</w:t>
      </w:r>
      <w:r>
        <w:rPr>
          <w:i/>
          <w:sz w:val="16"/>
        </w:rPr>
        <w:t>2t </w:t>
      </w:r>
      <w:r>
        <w:rPr>
          <w:i/>
          <w:position w:val="2"/>
          <w:sz w:val="24"/>
        </w:rPr>
        <w:t>+ …..+ β</w:t>
      </w:r>
      <w:r>
        <w:rPr>
          <w:i/>
          <w:sz w:val="16"/>
        </w:rPr>
        <w:t>k </w:t>
      </w:r>
      <w:r>
        <w:rPr>
          <w:i/>
          <w:position w:val="2"/>
          <w:sz w:val="24"/>
        </w:rPr>
        <w:t>Ln x</w:t>
      </w:r>
      <w:r>
        <w:rPr>
          <w:i/>
          <w:sz w:val="16"/>
        </w:rPr>
        <w:t>kt </w:t>
      </w:r>
      <w:r>
        <w:rPr>
          <w:i/>
          <w:position w:val="2"/>
          <w:sz w:val="24"/>
        </w:rPr>
        <w:t>+ ε</w:t>
      </w:r>
      <w:r>
        <w:rPr>
          <w:i/>
          <w:sz w:val="16"/>
        </w:rPr>
        <w:t>t</w:t>
      </w:r>
      <w:r>
        <w:rPr>
          <w:i/>
          <w:position w:val="2"/>
          <w:sz w:val="24"/>
        </w:rPr>
        <w:t>, t = 1, 2, 3, </w:t>
      </w:r>
      <w:r>
        <w:rPr>
          <w:i/>
          <w:spacing w:val="4"/>
          <w:position w:val="2"/>
          <w:sz w:val="24"/>
        </w:rPr>
        <w:t> </w:t>
      </w:r>
      <w:r>
        <w:rPr>
          <w:i/>
          <w:position w:val="2"/>
          <w:sz w:val="24"/>
        </w:rPr>
        <w:t>...</w:t>
      </w:r>
      <w:r>
        <w:rPr>
          <w:i/>
          <w:spacing w:val="-1"/>
          <w:position w:val="2"/>
          <w:sz w:val="24"/>
        </w:rPr>
        <w:t> </w:t>
      </w:r>
      <w:r>
        <w:rPr>
          <w:i/>
          <w:position w:val="2"/>
          <w:sz w:val="24"/>
        </w:rPr>
        <w:t>n</w:t>
        <w:tab/>
      </w:r>
      <w:r>
        <w:rPr>
          <w:position w:val="2"/>
          <w:sz w:val="24"/>
        </w:rPr>
        <w:t>(5)</w:t>
      </w:r>
    </w:p>
    <w:p>
      <w:pPr>
        <w:pStyle w:val="BodyText"/>
        <w:spacing w:before="2"/>
      </w:pPr>
    </w:p>
    <w:p>
      <w:pPr>
        <w:pStyle w:val="Heading1"/>
        <w:jc w:val="both"/>
      </w:pPr>
      <w:r>
        <w:rPr/>
        <w:t>La importancia de la econometría</w:t>
      </w:r>
    </w:p>
    <w:p>
      <w:pPr>
        <w:pStyle w:val="BodyText"/>
        <w:spacing w:before="6"/>
        <w:rPr>
          <w:b/>
          <w:sz w:val="23"/>
        </w:rPr>
      </w:pPr>
    </w:p>
    <w:p>
      <w:pPr>
        <w:pStyle w:val="BodyText"/>
        <w:ind w:left="102" w:right="116"/>
        <w:jc w:val="both"/>
      </w:pPr>
      <w:r>
        <w:rPr/>
        <w:t>Es innegable la gran importancia que tiene la econometría en el ejercicio profesional de los economistas que se dedican a la investigación empírica. En estos momentos es</w:t>
      </w:r>
      <w:r>
        <w:rPr>
          <w:spacing w:val="-41"/>
        </w:rPr>
        <w:t> </w:t>
      </w:r>
      <w:r>
        <w:rPr/>
        <w:t>difícil pensar proyectos de investigación aplicada que no empleen alguna de las técnicas estadísticas comunes en la profesión. No obstante, es importante anotar que los economistas que se dedican</w:t>
      </w:r>
      <w:r>
        <w:rPr>
          <w:spacing w:val="-4"/>
        </w:rPr>
        <w:t> </w:t>
      </w:r>
      <w:r>
        <w:rPr/>
        <w:t>a</w:t>
      </w:r>
      <w:r>
        <w:rPr>
          <w:spacing w:val="-5"/>
        </w:rPr>
        <w:t> </w:t>
      </w:r>
      <w:r>
        <w:rPr/>
        <w:t>la</w:t>
      </w:r>
      <w:r>
        <w:rPr>
          <w:spacing w:val="-5"/>
        </w:rPr>
        <w:t> </w:t>
      </w:r>
      <w:r>
        <w:rPr/>
        <w:t>investigación</w:t>
      </w:r>
      <w:r>
        <w:rPr>
          <w:spacing w:val="-4"/>
        </w:rPr>
        <w:t> </w:t>
      </w:r>
      <w:r>
        <w:rPr/>
        <w:t>son</w:t>
      </w:r>
      <w:r>
        <w:rPr>
          <w:spacing w:val="-4"/>
        </w:rPr>
        <w:t> </w:t>
      </w:r>
      <w:r>
        <w:rPr/>
        <w:t>la</w:t>
      </w:r>
      <w:r>
        <w:rPr>
          <w:spacing w:val="-4"/>
        </w:rPr>
        <w:t> </w:t>
      </w:r>
      <w:r>
        <w:rPr/>
        <w:t>minoría,</w:t>
      </w:r>
      <w:r>
        <w:rPr>
          <w:spacing w:val="-1"/>
        </w:rPr>
        <w:t> </w:t>
      </w:r>
      <w:r>
        <w:rPr/>
        <w:t>y</w:t>
      </w:r>
      <w:r>
        <w:rPr>
          <w:spacing w:val="-6"/>
        </w:rPr>
        <w:t> </w:t>
      </w:r>
      <w:r>
        <w:rPr/>
        <w:t>con</w:t>
      </w:r>
      <w:r>
        <w:rPr>
          <w:spacing w:val="-4"/>
        </w:rPr>
        <w:t> </w:t>
      </w:r>
      <w:r>
        <w:rPr/>
        <w:t>un</w:t>
      </w:r>
      <w:r>
        <w:rPr>
          <w:spacing w:val="-4"/>
        </w:rPr>
        <w:t> </w:t>
      </w:r>
      <w:r>
        <w:rPr/>
        <w:t>nivel</w:t>
      </w:r>
      <w:r>
        <w:rPr>
          <w:spacing w:val="-4"/>
        </w:rPr>
        <w:t> </w:t>
      </w:r>
      <w:r>
        <w:rPr/>
        <w:t>de</w:t>
      </w:r>
      <w:r>
        <w:rPr>
          <w:spacing w:val="-5"/>
        </w:rPr>
        <w:t> </w:t>
      </w:r>
      <w:r>
        <w:rPr/>
        <w:t>formación</w:t>
      </w:r>
      <w:r>
        <w:rPr>
          <w:spacing w:val="-3"/>
        </w:rPr>
        <w:t> </w:t>
      </w:r>
      <w:r>
        <w:rPr/>
        <w:t>igual</w:t>
      </w:r>
      <w:r>
        <w:rPr>
          <w:spacing w:val="-3"/>
        </w:rPr>
        <w:t> </w:t>
      </w:r>
      <w:r>
        <w:rPr/>
        <w:t>o</w:t>
      </w:r>
      <w:r>
        <w:rPr>
          <w:spacing w:val="-4"/>
        </w:rPr>
        <w:t> </w:t>
      </w:r>
      <w:r>
        <w:rPr/>
        <w:t>superior</w:t>
      </w:r>
      <w:r>
        <w:rPr>
          <w:spacing w:val="-5"/>
        </w:rPr>
        <w:t> </w:t>
      </w:r>
      <w:r>
        <w:rPr/>
        <w:t>a</w:t>
      </w:r>
      <w:r>
        <w:rPr>
          <w:spacing w:val="-5"/>
        </w:rPr>
        <w:t> </w:t>
      </w:r>
      <w:r>
        <w:rPr/>
        <w:t>una maestría. Las caracterizaciones y usos operacionales de los modelos son funciones de los principios</w:t>
      </w:r>
      <w:r>
        <w:rPr>
          <w:spacing w:val="-8"/>
        </w:rPr>
        <w:t> </w:t>
      </w:r>
      <w:r>
        <w:rPr/>
        <w:t>sobre</w:t>
      </w:r>
      <w:r>
        <w:rPr>
          <w:spacing w:val="-10"/>
        </w:rPr>
        <w:t> </w:t>
      </w:r>
      <w:r>
        <w:rPr/>
        <w:t>los</w:t>
      </w:r>
      <w:r>
        <w:rPr>
          <w:spacing w:val="-8"/>
        </w:rPr>
        <w:t> </w:t>
      </w:r>
      <w:r>
        <w:rPr/>
        <w:t>cuales</w:t>
      </w:r>
      <w:r>
        <w:rPr>
          <w:spacing w:val="-8"/>
        </w:rPr>
        <w:t> </w:t>
      </w:r>
      <w:r>
        <w:rPr/>
        <w:t>se</w:t>
      </w:r>
      <w:r>
        <w:rPr>
          <w:spacing w:val="-9"/>
        </w:rPr>
        <w:t> </w:t>
      </w:r>
      <w:r>
        <w:rPr/>
        <w:t>construyeron</w:t>
      </w:r>
      <w:r>
        <w:rPr>
          <w:spacing w:val="-5"/>
        </w:rPr>
        <w:t> </w:t>
      </w:r>
      <w:r>
        <w:rPr/>
        <w:t>y</w:t>
      </w:r>
      <w:r>
        <w:rPr>
          <w:spacing w:val="-13"/>
        </w:rPr>
        <w:t> </w:t>
      </w:r>
      <w:r>
        <w:rPr/>
        <w:t>los</w:t>
      </w:r>
      <w:r>
        <w:rPr>
          <w:spacing w:val="-8"/>
        </w:rPr>
        <w:t> </w:t>
      </w:r>
      <w:r>
        <w:rPr/>
        <w:t>objetivos</w:t>
      </w:r>
      <w:r>
        <w:rPr>
          <w:spacing w:val="-8"/>
        </w:rPr>
        <w:t> </w:t>
      </w:r>
      <w:r>
        <w:rPr/>
        <w:t>que</w:t>
      </w:r>
      <w:r>
        <w:rPr>
          <w:spacing w:val="-10"/>
        </w:rPr>
        <w:t> </w:t>
      </w:r>
      <w:r>
        <w:rPr/>
        <w:t>persiguen.</w:t>
      </w:r>
      <w:r>
        <w:rPr>
          <w:spacing w:val="-7"/>
        </w:rPr>
        <w:t> </w:t>
      </w:r>
      <w:r>
        <w:rPr/>
        <w:t>C.</w:t>
      </w:r>
      <w:r>
        <w:rPr>
          <w:spacing w:val="-9"/>
        </w:rPr>
        <w:t> </w:t>
      </w:r>
      <w:r>
        <w:rPr/>
        <w:t>Gini</w:t>
      </w:r>
      <w:r>
        <w:rPr>
          <w:spacing w:val="-8"/>
        </w:rPr>
        <w:t> </w:t>
      </w:r>
      <w:r>
        <w:rPr/>
        <w:t>sistematiza una serie de características de los modelos económicos, destacando, en coincidencia con Hertz, que el principal objetivo de los mismos consiste en realizar una economía del pensamiento, lo que es también objetivo en toda ciencia. Ellos deben sintetizar las características</w:t>
      </w:r>
      <w:r>
        <w:rPr>
          <w:spacing w:val="-8"/>
        </w:rPr>
        <w:t> </w:t>
      </w:r>
      <w:r>
        <w:rPr/>
        <w:t>permanentes</w:t>
      </w:r>
      <w:r>
        <w:rPr>
          <w:spacing w:val="-6"/>
        </w:rPr>
        <w:t> </w:t>
      </w:r>
      <w:r>
        <w:rPr/>
        <w:t>y</w:t>
      </w:r>
      <w:r>
        <w:rPr>
          <w:spacing w:val="-11"/>
        </w:rPr>
        <w:t> </w:t>
      </w:r>
      <w:r>
        <w:rPr/>
        <w:t>relevantes</w:t>
      </w:r>
      <w:r>
        <w:rPr>
          <w:spacing w:val="-9"/>
        </w:rPr>
        <w:t> </w:t>
      </w:r>
      <w:r>
        <w:rPr/>
        <w:t>de</w:t>
      </w:r>
      <w:r>
        <w:rPr>
          <w:spacing w:val="-10"/>
        </w:rPr>
        <w:t> </w:t>
      </w:r>
      <w:r>
        <w:rPr/>
        <w:t>los</w:t>
      </w:r>
      <w:r>
        <w:rPr>
          <w:spacing w:val="-8"/>
        </w:rPr>
        <w:t> </w:t>
      </w:r>
      <w:r>
        <w:rPr/>
        <w:t>fenómenos</w:t>
      </w:r>
      <w:r>
        <w:rPr>
          <w:spacing w:val="-9"/>
        </w:rPr>
        <w:t> </w:t>
      </w:r>
      <w:r>
        <w:rPr/>
        <w:t>sometidos</w:t>
      </w:r>
      <w:r>
        <w:rPr>
          <w:spacing w:val="-8"/>
        </w:rPr>
        <w:t> </w:t>
      </w:r>
      <w:r>
        <w:rPr/>
        <w:t>a</w:t>
      </w:r>
      <w:r>
        <w:rPr>
          <w:spacing w:val="-10"/>
        </w:rPr>
        <w:t> </w:t>
      </w:r>
      <w:r>
        <w:rPr/>
        <w:t>estudio,</w:t>
      </w:r>
      <w:r>
        <w:rPr>
          <w:spacing w:val="-9"/>
        </w:rPr>
        <w:t> </w:t>
      </w:r>
      <w:r>
        <w:rPr/>
        <w:t>para</w:t>
      </w:r>
      <w:r>
        <w:rPr>
          <w:spacing w:val="-10"/>
        </w:rPr>
        <w:t> </w:t>
      </w:r>
      <w:r>
        <w:rPr/>
        <w:t>concluir en un conjunto de conocimientos complejo y consistente. Los modelos no sólo deben satisfacer</w:t>
      </w:r>
      <w:r>
        <w:rPr>
          <w:spacing w:val="-12"/>
        </w:rPr>
        <w:t> </w:t>
      </w:r>
      <w:r>
        <w:rPr/>
        <w:t>una</w:t>
      </w:r>
      <w:r>
        <w:rPr>
          <w:spacing w:val="-10"/>
        </w:rPr>
        <w:t> </w:t>
      </w:r>
      <w:r>
        <w:rPr/>
        <w:t>economía</w:t>
      </w:r>
      <w:r>
        <w:rPr>
          <w:spacing w:val="-10"/>
        </w:rPr>
        <w:t> </w:t>
      </w:r>
      <w:r>
        <w:rPr/>
        <w:t>del</w:t>
      </w:r>
      <w:r>
        <w:rPr>
          <w:spacing w:val="-11"/>
        </w:rPr>
        <w:t> </w:t>
      </w:r>
      <w:r>
        <w:rPr/>
        <w:t>pensamiento,</w:t>
      </w:r>
      <w:r>
        <w:rPr>
          <w:spacing w:val="-11"/>
        </w:rPr>
        <w:t> </w:t>
      </w:r>
      <w:r>
        <w:rPr/>
        <w:t>en</w:t>
      </w:r>
      <w:r>
        <w:rPr>
          <w:spacing w:val="-9"/>
        </w:rPr>
        <w:t> </w:t>
      </w:r>
      <w:r>
        <w:rPr/>
        <w:t>el</w:t>
      </w:r>
      <w:r>
        <w:rPr>
          <w:spacing w:val="-11"/>
        </w:rPr>
        <w:t> </w:t>
      </w:r>
      <w:r>
        <w:rPr/>
        <w:t>sentido</w:t>
      </w:r>
      <w:r>
        <w:rPr>
          <w:spacing w:val="-11"/>
        </w:rPr>
        <w:t> </w:t>
      </w:r>
      <w:r>
        <w:rPr/>
        <w:t>de</w:t>
      </w:r>
      <w:r>
        <w:rPr>
          <w:spacing w:val="-12"/>
        </w:rPr>
        <w:t> </w:t>
      </w:r>
      <w:r>
        <w:rPr/>
        <w:t>minimizar</w:t>
      </w:r>
      <w:r>
        <w:rPr>
          <w:spacing w:val="-12"/>
        </w:rPr>
        <w:t> </w:t>
      </w:r>
      <w:r>
        <w:rPr/>
        <w:t>los</w:t>
      </w:r>
      <w:r>
        <w:rPr>
          <w:spacing w:val="-10"/>
        </w:rPr>
        <w:t> </w:t>
      </w:r>
      <w:r>
        <w:rPr/>
        <w:t>insumos</w:t>
      </w:r>
      <w:r>
        <w:rPr>
          <w:spacing w:val="-11"/>
        </w:rPr>
        <w:t> </w:t>
      </w:r>
      <w:r>
        <w:rPr/>
        <w:t>de</w:t>
      </w:r>
      <w:r>
        <w:rPr>
          <w:spacing w:val="-12"/>
        </w:rPr>
        <w:t> </w:t>
      </w:r>
      <w:r>
        <w:rPr/>
        <w:t>esfuerzo intelectuales</w:t>
      </w:r>
      <w:r>
        <w:rPr>
          <w:spacing w:val="-16"/>
        </w:rPr>
        <w:t> </w:t>
      </w:r>
      <w:r>
        <w:rPr/>
        <w:t>para</w:t>
      </w:r>
      <w:r>
        <w:rPr>
          <w:spacing w:val="-18"/>
        </w:rPr>
        <w:t> </w:t>
      </w:r>
      <w:r>
        <w:rPr/>
        <w:t>alcanzar</w:t>
      </w:r>
      <w:r>
        <w:rPr>
          <w:spacing w:val="-17"/>
        </w:rPr>
        <w:t> </w:t>
      </w:r>
      <w:r>
        <w:rPr/>
        <w:t>un</w:t>
      </w:r>
      <w:r>
        <w:rPr>
          <w:spacing w:val="-16"/>
        </w:rPr>
        <w:t> </w:t>
      </w:r>
      <w:r>
        <w:rPr/>
        <w:t>cierto</w:t>
      </w:r>
      <w:r>
        <w:rPr>
          <w:spacing w:val="-13"/>
        </w:rPr>
        <w:t> </w:t>
      </w:r>
      <w:r>
        <w:rPr/>
        <w:t>grado</w:t>
      </w:r>
      <w:r>
        <w:rPr>
          <w:spacing w:val="-16"/>
        </w:rPr>
        <w:t> </w:t>
      </w:r>
      <w:r>
        <w:rPr/>
        <w:t>de</w:t>
      </w:r>
      <w:r>
        <w:rPr>
          <w:spacing w:val="-14"/>
        </w:rPr>
        <w:t> </w:t>
      </w:r>
      <w:r>
        <w:rPr/>
        <w:t>rigor</w:t>
      </w:r>
      <w:r>
        <w:rPr>
          <w:spacing w:val="-14"/>
        </w:rPr>
        <w:t> </w:t>
      </w:r>
      <w:r>
        <w:rPr/>
        <w:t>científico,</w:t>
      </w:r>
      <w:r>
        <w:rPr>
          <w:spacing w:val="-16"/>
        </w:rPr>
        <w:t> </w:t>
      </w:r>
      <w:r>
        <w:rPr/>
        <w:t>sino</w:t>
      </w:r>
      <w:r>
        <w:rPr>
          <w:spacing w:val="-15"/>
        </w:rPr>
        <w:t> </w:t>
      </w:r>
      <w:r>
        <w:rPr/>
        <w:t>que</w:t>
      </w:r>
      <w:r>
        <w:rPr>
          <w:spacing w:val="-17"/>
        </w:rPr>
        <w:t> </w:t>
      </w:r>
      <w:r>
        <w:rPr/>
        <w:t>también</w:t>
      </w:r>
      <w:r>
        <w:rPr>
          <w:spacing w:val="-16"/>
        </w:rPr>
        <w:t> </w:t>
      </w:r>
      <w:r>
        <w:rPr/>
        <w:t>deben</w:t>
      </w:r>
      <w:r>
        <w:rPr>
          <w:spacing w:val="-13"/>
        </w:rPr>
        <w:t> </w:t>
      </w:r>
      <w:r>
        <w:rPr/>
        <w:t>cumplir con las propiedades de claridad de exposición y rigor. Estos tres requisitos condicionan la fecundidad del conocimiento científico, teoría y</w:t>
      </w:r>
      <w:r>
        <w:rPr>
          <w:spacing w:val="-4"/>
        </w:rPr>
        <w:t> </w:t>
      </w:r>
      <w:r>
        <w:rPr/>
        <w:t>modelo</w:t>
      </w:r>
      <w:r>
        <w:rPr>
          <w:position w:val="9"/>
          <w:sz w:val="16"/>
        </w:rPr>
        <w:t>14</w:t>
      </w:r>
      <w:r>
        <w:rPr/>
        <w:t>.</w:t>
      </w:r>
    </w:p>
    <w:p>
      <w:pPr>
        <w:pStyle w:val="BodyText"/>
      </w:pPr>
    </w:p>
    <w:p>
      <w:pPr>
        <w:pStyle w:val="BodyText"/>
        <w:ind w:left="102" w:right="119" w:firstLine="707"/>
        <w:jc w:val="both"/>
      </w:pPr>
      <w:r>
        <w:rPr/>
        <w:t>Como último, en cualquier investigación, el investigador que quiere describir en forma clara un fenómeno económico tiene que echar mano primeramente de la econometría y las herramientas estadísticas, definiciones, métodos de recolección y cualquier brecha u omisión en los datos para realizar una correcta investigación y así crear el conocimiento.</w:t>
      </w:r>
    </w:p>
    <w:p>
      <w:pPr>
        <w:spacing w:after="0"/>
        <w:jc w:val="both"/>
        <w:sectPr>
          <w:type w:val="continuous"/>
          <w:pgSz w:w="12240" w:h="15840"/>
          <w:pgMar w:top="1500" w:bottom="280" w:left="1600" w:right="1580"/>
        </w:sectPr>
      </w:pPr>
    </w:p>
    <w:p>
      <w:pPr>
        <w:pStyle w:val="BodyText"/>
        <w:rPr>
          <w:sz w:val="20"/>
        </w:rPr>
      </w:pPr>
    </w:p>
    <w:p>
      <w:pPr>
        <w:pStyle w:val="BodyText"/>
        <w:spacing w:before="3"/>
        <w:rPr>
          <w:sz w:val="16"/>
        </w:rPr>
      </w:pPr>
    </w:p>
    <w:p>
      <w:pPr>
        <w:pStyle w:val="Heading1"/>
        <w:spacing w:before="69"/>
        <w:ind w:right="45"/>
      </w:pPr>
      <w:r>
        <w:rPr/>
        <w:t>Especificación del modelo y resultados esperados:</w:t>
      </w:r>
    </w:p>
    <w:p>
      <w:pPr>
        <w:pStyle w:val="BodyText"/>
        <w:spacing w:before="6"/>
        <w:rPr>
          <w:b/>
          <w:sz w:val="23"/>
        </w:rPr>
      </w:pPr>
    </w:p>
    <w:p>
      <w:pPr>
        <w:pStyle w:val="BodyText"/>
        <w:spacing w:line="276" w:lineRule="exact"/>
        <w:ind w:left="102" w:right="45"/>
      </w:pPr>
      <w:r>
        <w:rPr/>
        <w:t>El modelo econométrico de nuestro interés queda especificado de la siguiente manera:</w:t>
      </w:r>
    </w:p>
    <w:p>
      <w:pPr>
        <w:spacing w:before="0"/>
        <w:ind w:left="1602" w:right="1730" w:hanging="1500"/>
        <w:jc w:val="left"/>
        <w:rPr>
          <w:i/>
          <w:sz w:val="24"/>
        </w:rPr>
      </w:pPr>
      <w:r>
        <w:rPr>
          <w:i/>
          <w:position w:val="2"/>
          <w:sz w:val="24"/>
        </w:rPr>
        <w:t>Y</w:t>
      </w:r>
      <w:r>
        <w:rPr>
          <w:i/>
          <w:sz w:val="16"/>
        </w:rPr>
        <w:t>1 </w:t>
      </w:r>
      <w:r>
        <w:rPr>
          <w:i/>
          <w:position w:val="2"/>
          <w:sz w:val="24"/>
        </w:rPr>
        <w:t>= β</w:t>
      </w:r>
      <w:r>
        <w:rPr>
          <w:i/>
          <w:sz w:val="16"/>
        </w:rPr>
        <w:t>0 </w:t>
      </w:r>
      <w:r>
        <w:rPr>
          <w:i/>
          <w:position w:val="2"/>
          <w:sz w:val="24"/>
        </w:rPr>
        <w:t>+ β</w:t>
      </w:r>
      <w:r>
        <w:rPr>
          <w:i/>
          <w:sz w:val="16"/>
        </w:rPr>
        <w:t>1</w:t>
      </w:r>
      <w:r>
        <w:rPr>
          <w:i/>
          <w:position w:val="2"/>
          <w:sz w:val="24"/>
        </w:rPr>
        <w:t>X</w:t>
      </w:r>
      <w:r>
        <w:rPr>
          <w:i/>
          <w:sz w:val="16"/>
        </w:rPr>
        <w:t>11 </w:t>
      </w:r>
      <w:r>
        <w:rPr>
          <w:i/>
          <w:position w:val="2"/>
          <w:sz w:val="24"/>
        </w:rPr>
        <w:t>+ β</w:t>
      </w:r>
      <w:r>
        <w:rPr>
          <w:i/>
          <w:sz w:val="16"/>
        </w:rPr>
        <w:t>2</w:t>
      </w:r>
      <w:r>
        <w:rPr>
          <w:i/>
          <w:position w:val="2"/>
          <w:sz w:val="24"/>
        </w:rPr>
        <w:t>X</w:t>
      </w:r>
      <w:r>
        <w:rPr>
          <w:i/>
          <w:sz w:val="16"/>
        </w:rPr>
        <w:t>31</w:t>
      </w:r>
      <w:r>
        <w:rPr>
          <w:i/>
          <w:position w:val="2"/>
          <w:sz w:val="24"/>
        </w:rPr>
        <w:t>+ β</w:t>
      </w:r>
      <w:r>
        <w:rPr>
          <w:i/>
          <w:sz w:val="16"/>
        </w:rPr>
        <w:t>3</w:t>
      </w:r>
      <w:r>
        <w:rPr>
          <w:i/>
          <w:position w:val="2"/>
          <w:sz w:val="24"/>
        </w:rPr>
        <w:t>X</w:t>
      </w:r>
      <w:r>
        <w:rPr>
          <w:i/>
          <w:sz w:val="16"/>
        </w:rPr>
        <w:t>31 </w:t>
      </w:r>
      <w:r>
        <w:rPr>
          <w:i/>
          <w:position w:val="2"/>
          <w:sz w:val="24"/>
        </w:rPr>
        <w:t>+ β</w:t>
      </w:r>
      <w:r>
        <w:rPr>
          <w:i/>
          <w:sz w:val="16"/>
        </w:rPr>
        <w:t>4</w:t>
      </w:r>
      <w:r>
        <w:rPr>
          <w:i/>
          <w:position w:val="2"/>
          <w:sz w:val="24"/>
        </w:rPr>
        <w:t>X</w:t>
      </w:r>
      <w:r>
        <w:rPr>
          <w:i/>
          <w:sz w:val="16"/>
        </w:rPr>
        <w:t>41 </w:t>
      </w:r>
      <w:r>
        <w:rPr>
          <w:i/>
          <w:position w:val="2"/>
          <w:sz w:val="24"/>
        </w:rPr>
        <w:t>+ β</w:t>
      </w:r>
      <w:r>
        <w:rPr>
          <w:i/>
          <w:sz w:val="16"/>
        </w:rPr>
        <w:t>5</w:t>
      </w:r>
      <w:r>
        <w:rPr>
          <w:i/>
          <w:position w:val="2"/>
          <w:sz w:val="24"/>
        </w:rPr>
        <w:t>X</w:t>
      </w:r>
      <w:r>
        <w:rPr>
          <w:i/>
          <w:sz w:val="16"/>
        </w:rPr>
        <w:t>51 </w:t>
      </w:r>
      <w:r>
        <w:rPr>
          <w:i/>
          <w:position w:val="2"/>
          <w:sz w:val="24"/>
        </w:rPr>
        <w:t>+ β</w:t>
      </w:r>
      <w:r>
        <w:rPr>
          <w:i/>
          <w:sz w:val="16"/>
        </w:rPr>
        <w:t>6</w:t>
      </w:r>
      <w:r>
        <w:rPr>
          <w:i/>
          <w:position w:val="2"/>
          <w:sz w:val="24"/>
        </w:rPr>
        <w:t>X</w:t>
      </w:r>
      <w:r>
        <w:rPr>
          <w:i/>
          <w:sz w:val="16"/>
        </w:rPr>
        <w:t>61 </w:t>
      </w:r>
      <w:r>
        <w:rPr>
          <w:i/>
          <w:position w:val="2"/>
          <w:sz w:val="24"/>
        </w:rPr>
        <w:t>+ β</w:t>
      </w:r>
      <w:r>
        <w:rPr>
          <w:i/>
          <w:sz w:val="16"/>
        </w:rPr>
        <w:t>7</w:t>
      </w:r>
      <w:r>
        <w:rPr>
          <w:i/>
          <w:position w:val="2"/>
          <w:sz w:val="24"/>
        </w:rPr>
        <w:t>X</w:t>
      </w:r>
      <w:r>
        <w:rPr>
          <w:i/>
          <w:sz w:val="16"/>
        </w:rPr>
        <w:t>71</w:t>
      </w:r>
      <w:r>
        <w:rPr>
          <w:i/>
          <w:position w:val="2"/>
          <w:sz w:val="24"/>
        </w:rPr>
        <w:t>+ β</w:t>
      </w:r>
      <w:r>
        <w:rPr>
          <w:i/>
          <w:sz w:val="16"/>
        </w:rPr>
        <w:t>8</w:t>
      </w:r>
      <w:r>
        <w:rPr>
          <w:i/>
          <w:position w:val="2"/>
          <w:sz w:val="24"/>
        </w:rPr>
        <w:t>X</w:t>
      </w:r>
      <w:r>
        <w:rPr>
          <w:i/>
          <w:sz w:val="16"/>
        </w:rPr>
        <w:t>81</w:t>
      </w:r>
      <w:r>
        <w:rPr>
          <w:i/>
          <w:position w:val="2"/>
          <w:sz w:val="24"/>
        </w:rPr>
        <w:t>+ ε</w:t>
      </w:r>
      <w:r>
        <w:rPr>
          <w:i/>
          <w:sz w:val="16"/>
        </w:rPr>
        <w:t>t</w:t>
      </w:r>
      <w:r>
        <w:rPr>
          <w:i/>
          <w:position w:val="2"/>
          <w:sz w:val="24"/>
        </w:rPr>
        <w:t>,  </w:t>
      </w:r>
      <w:r>
        <w:rPr>
          <w:i/>
          <w:sz w:val="24"/>
        </w:rPr>
        <w:t>t = 1, 2, 3,...</w:t>
      </w:r>
      <w:r>
        <w:rPr>
          <w:i/>
          <w:spacing w:val="-2"/>
          <w:sz w:val="24"/>
        </w:rPr>
        <w:t> </w:t>
      </w:r>
      <w:r>
        <w:rPr>
          <w:i/>
          <w:sz w:val="24"/>
        </w:rPr>
        <w:t>T</w:t>
      </w:r>
    </w:p>
    <w:p>
      <w:pPr>
        <w:pStyle w:val="BodyText"/>
        <w:ind w:left="102" w:right="45"/>
      </w:pPr>
      <w:r>
        <w:rPr/>
        <w:t>donde:</w:t>
      </w:r>
    </w:p>
    <w:p>
      <w:pPr>
        <w:pStyle w:val="BodyText"/>
        <w:spacing w:before="11"/>
        <w:rPr>
          <w:sz w:val="25"/>
        </w:rPr>
      </w:pPr>
    </w:p>
    <w:p>
      <w:pPr>
        <w:pStyle w:val="BodyText"/>
        <w:tabs>
          <w:tab w:pos="1513" w:val="left" w:leader="none"/>
        </w:tabs>
        <w:spacing w:line="276" w:lineRule="exact"/>
        <w:ind w:left="102" w:right="119"/>
      </w:pPr>
      <w:r>
        <w:rPr>
          <w:position w:val="2"/>
        </w:rPr>
        <w:t>Y</w:t>
      </w:r>
      <w:r>
        <w:rPr>
          <w:sz w:val="16"/>
        </w:rPr>
        <w:t>1</w:t>
      </w:r>
      <w:r>
        <w:rPr>
          <w:position w:val="2"/>
        </w:rPr>
        <w:t>:</w:t>
        <w:tab/>
        <w:t>Producto Interno Bruto Agropecuario (millones de pesos a precios</w:t>
      </w:r>
      <w:r>
        <w:rPr>
          <w:spacing w:val="-11"/>
          <w:position w:val="2"/>
        </w:rPr>
        <w:t> </w:t>
      </w:r>
      <w:r>
        <w:rPr>
          <w:position w:val="2"/>
        </w:rPr>
        <w:t>de</w:t>
      </w:r>
      <w:r>
        <w:rPr>
          <w:spacing w:val="-2"/>
          <w:position w:val="2"/>
        </w:rPr>
        <w:t> </w:t>
      </w:r>
      <w:r>
        <w:rPr>
          <w:position w:val="2"/>
        </w:rPr>
        <w:t>2003) X</w:t>
      </w:r>
      <w:r>
        <w:rPr>
          <w:sz w:val="16"/>
        </w:rPr>
        <w:t>11</w:t>
      </w:r>
      <w:r>
        <w:rPr>
          <w:position w:val="2"/>
        </w:rPr>
        <w:t>:</w:t>
        <w:tab/>
        <w:t>Gasto</w:t>
      </w:r>
      <w:r>
        <w:rPr>
          <w:spacing w:val="-14"/>
          <w:position w:val="2"/>
        </w:rPr>
        <w:t> </w:t>
      </w:r>
      <w:r>
        <w:rPr>
          <w:position w:val="2"/>
        </w:rPr>
        <w:t>neto</w:t>
      </w:r>
      <w:r>
        <w:rPr>
          <w:spacing w:val="-14"/>
          <w:position w:val="2"/>
        </w:rPr>
        <w:t> </w:t>
      </w:r>
      <w:r>
        <w:rPr>
          <w:position w:val="2"/>
        </w:rPr>
        <w:t>de</w:t>
      </w:r>
      <w:r>
        <w:rPr>
          <w:spacing w:val="-16"/>
          <w:position w:val="2"/>
        </w:rPr>
        <w:t> </w:t>
      </w:r>
      <w:r>
        <w:rPr>
          <w:position w:val="2"/>
        </w:rPr>
        <w:t>la</w:t>
      </w:r>
      <w:r>
        <w:rPr>
          <w:spacing w:val="-15"/>
          <w:position w:val="2"/>
        </w:rPr>
        <w:t> </w:t>
      </w:r>
      <w:r>
        <w:rPr>
          <w:position w:val="2"/>
        </w:rPr>
        <w:t>SAGARPA</w:t>
      </w:r>
      <w:r>
        <w:rPr>
          <w:spacing w:val="-13"/>
          <w:position w:val="2"/>
        </w:rPr>
        <w:t> </w:t>
      </w:r>
      <w:r>
        <w:rPr>
          <w:position w:val="2"/>
        </w:rPr>
        <w:t>y</w:t>
      </w:r>
      <w:r>
        <w:rPr>
          <w:spacing w:val="-17"/>
          <w:position w:val="2"/>
        </w:rPr>
        <w:t> </w:t>
      </w:r>
      <w:r>
        <w:rPr>
          <w:position w:val="2"/>
        </w:rPr>
        <w:t>de</w:t>
      </w:r>
      <w:r>
        <w:rPr>
          <w:spacing w:val="-16"/>
          <w:position w:val="2"/>
        </w:rPr>
        <w:t> </w:t>
      </w:r>
      <w:r>
        <w:rPr>
          <w:position w:val="2"/>
        </w:rPr>
        <w:t>la</w:t>
      </w:r>
      <w:r>
        <w:rPr>
          <w:spacing w:val="-13"/>
          <w:position w:val="2"/>
        </w:rPr>
        <w:t> </w:t>
      </w:r>
      <w:r>
        <w:rPr>
          <w:position w:val="2"/>
        </w:rPr>
        <w:t>SRA</w:t>
      </w:r>
      <w:r>
        <w:rPr>
          <w:spacing w:val="-15"/>
          <w:position w:val="2"/>
        </w:rPr>
        <w:t> </w:t>
      </w:r>
      <w:r>
        <w:rPr>
          <w:position w:val="2"/>
        </w:rPr>
        <w:t>(millones</w:t>
      </w:r>
      <w:r>
        <w:rPr>
          <w:spacing w:val="-15"/>
          <w:position w:val="2"/>
        </w:rPr>
        <w:t> </w:t>
      </w:r>
      <w:r>
        <w:rPr>
          <w:position w:val="2"/>
        </w:rPr>
        <w:t>de</w:t>
      </w:r>
      <w:r>
        <w:rPr>
          <w:spacing w:val="-16"/>
          <w:position w:val="2"/>
        </w:rPr>
        <w:t> </w:t>
      </w:r>
      <w:r>
        <w:rPr>
          <w:position w:val="2"/>
        </w:rPr>
        <w:t>pesos</w:t>
      </w:r>
      <w:r>
        <w:rPr>
          <w:spacing w:val="-12"/>
          <w:position w:val="2"/>
        </w:rPr>
        <w:t> </w:t>
      </w:r>
      <w:r>
        <w:rPr>
          <w:position w:val="2"/>
        </w:rPr>
        <w:t>a</w:t>
      </w:r>
      <w:r>
        <w:rPr>
          <w:spacing w:val="-16"/>
          <w:position w:val="2"/>
        </w:rPr>
        <w:t> </w:t>
      </w:r>
      <w:r>
        <w:rPr>
          <w:position w:val="2"/>
        </w:rPr>
        <w:t>precios</w:t>
      </w:r>
      <w:r>
        <w:rPr>
          <w:spacing w:val="-14"/>
          <w:position w:val="2"/>
        </w:rPr>
        <w:t> </w:t>
      </w:r>
      <w:r>
        <w:rPr>
          <w:position w:val="2"/>
        </w:rPr>
        <w:t>de</w:t>
      </w:r>
      <w:r>
        <w:rPr>
          <w:spacing w:val="-16"/>
          <w:position w:val="2"/>
        </w:rPr>
        <w:t> </w:t>
      </w:r>
      <w:r>
        <w:rPr>
          <w:position w:val="2"/>
        </w:rPr>
        <w:t>2003)</w:t>
      </w:r>
    </w:p>
    <w:p>
      <w:pPr>
        <w:pStyle w:val="BodyText"/>
        <w:tabs>
          <w:tab w:pos="1517" w:val="left" w:leader="none"/>
        </w:tabs>
        <w:spacing w:line="256" w:lineRule="exact" w:before="16"/>
        <w:ind w:left="1513" w:right="119" w:hanging="1412"/>
      </w:pPr>
      <w:r>
        <w:rPr>
          <w:position w:val="2"/>
        </w:rPr>
        <w:t>X</w:t>
      </w:r>
      <w:r>
        <w:rPr>
          <w:sz w:val="16"/>
        </w:rPr>
        <w:t>21</w:t>
      </w:r>
      <w:r>
        <w:rPr>
          <w:position w:val="2"/>
        </w:rPr>
        <w:t>:</w:t>
        <w:tab/>
        <w:tab/>
        <w:t>Importaciones agropecuarias y agroalimentarias (millones de pesos</w:t>
      </w:r>
      <w:r>
        <w:rPr>
          <w:spacing w:val="32"/>
          <w:position w:val="2"/>
        </w:rPr>
        <w:t> </w:t>
      </w:r>
      <w:r>
        <w:rPr>
          <w:position w:val="2"/>
        </w:rPr>
        <w:t>a</w:t>
      </w:r>
      <w:r>
        <w:rPr>
          <w:spacing w:val="4"/>
          <w:position w:val="2"/>
        </w:rPr>
        <w:t> </w:t>
      </w:r>
      <w:r>
        <w:rPr>
          <w:position w:val="2"/>
        </w:rPr>
        <w:t>precios</w:t>
      </w:r>
      <w:r>
        <w:rPr>
          <w:w w:val="99"/>
          <w:position w:val="2"/>
        </w:rPr>
        <w:t> </w:t>
      </w:r>
      <w:r>
        <w:rPr/>
        <w:t>de</w:t>
      </w:r>
      <w:r>
        <w:rPr>
          <w:spacing w:val="-1"/>
        </w:rPr>
        <w:t> </w:t>
      </w:r>
      <w:r>
        <w:rPr/>
        <w:t>2003)</w:t>
      </w:r>
    </w:p>
    <w:p>
      <w:pPr>
        <w:pStyle w:val="BodyText"/>
        <w:tabs>
          <w:tab w:pos="1513" w:val="left" w:leader="none"/>
        </w:tabs>
        <w:ind w:left="1513" w:right="121" w:hanging="1412"/>
      </w:pPr>
      <w:r>
        <w:rPr>
          <w:position w:val="2"/>
        </w:rPr>
        <w:t>X</w:t>
      </w:r>
      <w:r>
        <w:rPr>
          <w:sz w:val="16"/>
        </w:rPr>
        <w:t>31</w:t>
      </w:r>
      <w:r>
        <w:rPr>
          <w:position w:val="2"/>
        </w:rPr>
        <w:t>:</w:t>
        <w:tab/>
        <w:t>Exportaciones agropecuarias y agroalimentarias (millones de pesos</w:t>
      </w:r>
      <w:r>
        <w:rPr>
          <w:spacing w:val="35"/>
          <w:position w:val="2"/>
        </w:rPr>
        <w:t> </w:t>
      </w:r>
      <w:r>
        <w:rPr>
          <w:position w:val="2"/>
        </w:rPr>
        <w:t>a</w:t>
      </w:r>
      <w:r>
        <w:rPr>
          <w:spacing w:val="4"/>
          <w:position w:val="2"/>
        </w:rPr>
        <w:t> </w:t>
      </w:r>
      <w:r>
        <w:rPr>
          <w:position w:val="2"/>
        </w:rPr>
        <w:t>precios</w:t>
      </w:r>
      <w:r>
        <w:rPr>
          <w:w w:val="99"/>
          <w:position w:val="2"/>
        </w:rPr>
        <w:t> </w:t>
      </w:r>
      <w:r>
        <w:rPr/>
        <w:t>de</w:t>
      </w:r>
      <w:r>
        <w:rPr>
          <w:spacing w:val="-2"/>
        </w:rPr>
        <w:t> </w:t>
      </w:r>
      <w:r>
        <w:rPr/>
        <w:t>2003)(+)</w:t>
      </w:r>
    </w:p>
    <w:p>
      <w:pPr>
        <w:pStyle w:val="BodyText"/>
        <w:tabs>
          <w:tab w:pos="1513" w:val="left" w:leader="none"/>
        </w:tabs>
        <w:spacing w:line="276" w:lineRule="exact" w:before="23"/>
        <w:ind w:left="102" w:right="708"/>
      </w:pPr>
      <w:r>
        <w:rPr>
          <w:position w:val="2"/>
        </w:rPr>
        <w:t>X</w:t>
      </w:r>
      <w:r>
        <w:rPr>
          <w:sz w:val="16"/>
        </w:rPr>
        <w:t>41</w:t>
      </w:r>
      <w:r>
        <w:rPr>
          <w:position w:val="2"/>
        </w:rPr>
        <w:t>:</w:t>
        <w:tab/>
        <w:t>Crédito de la banca de desarrollo (millones de pesos a precios</w:t>
      </w:r>
      <w:r>
        <w:rPr>
          <w:spacing w:val="-11"/>
          <w:position w:val="2"/>
        </w:rPr>
        <w:t> </w:t>
      </w:r>
      <w:r>
        <w:rPr>
          <w:position w:val="2"/>
        </w:rPr>
        <w:t>de</w:t>
      </w:r>
      <w:r>
        <w:rPr>
          <w:spacing w:val="-2"/>
          <w:position w:val="2"/>
        </w:rPr>
        <w:t> </w:t>
      </w:r>
      <w:r>
        <w:rPr>
          <w:position w:val="2"/>
        </w:rPr>
        <w:t>2003) X</w:t>
      </w:r>
      <w:r>
        <w:rPr>
          <w:sz w:val="16"/>
        </w:rPr>
        <w:t>51</w:t>
      </w:r>
      <w:r>
        <w:rPr>
          <w:position w:val="2"/>
        </w:rPr>
        <w:t>:</w:t>
        <w:tab/>
        <w:t>Crédito de la banca comercial (millones de pesos a precios de</w:t>
      </w:r>
      <w:r>
        <w:rPr>
          <w:spacing w:val="-13"/>
          <w:position w:val="2"/>
        </w:rPr>
        <w:t> </w:t>
      </w:r>
      <w:r>
        <w:rPr>
          <w:position w:val="2"/>
        </w:rPr>
        <w:t>2003)</w:t>
      </w:r>
    </w:p>
    <w:p>
      <w:pPr>
        <w:pStyle w:val="BodyText"/>
        <w:tabs>
          <w:tab w:pos="1520" w:val="left" w:leader="none"/>
        </w:tabs>
        <w:spacing w:line="256" w:lineRule="exact" w:before="16"/>
        <w:ind w:left="1520" w:right="125" w:hanging="1419"/>
      </w:pPr>
      <w:r>
        <w:rPr>
          <w:position w:val="2"/>
        </w:rPr>
        <w:t>X</w:t>
      </w:r>
      <w:r>
        <w:rPr>
          <w:sz w:val="16"/>
        </w:rPr>
        <w:t>61</w:t>
      </w:r>
      <w:r>
        <w:rPr>
          <w:position w:val="2"/>
        </w:rPr>
        <w:t>:</w:t>
        <w:tab/>
        <w:t>Variable</w:t>
      </w:r>
      <w:r>
        <w:rPr>
          <w:spacing w:val="34"/>
          <w:position w:val="2"/>
        </w:rPr>
        <w:t> </w:t>
      </w:r>
      <w:r>
        <w:rPr>
          <w:position w:val="2"/>
        </w:rPr>
        <w:t>DUMMY</w:t>
      </w:r>
      <w:r>
        <w:rPr>
          <w:spacing w:val="32"/>
          <w:position w:val="2"/>
        </w:rPr>
        <w:t> </w:t>
      </w:r>
      <w:r>
        <w:rPr>
          <w:position w:val="2"/>
        </w:rPr>
        <w:t>para</w:t>
      </w:r>
      <w:r>
        <w:rPr>
          <w:spacing w:val="32"/>
          <w:position w:val="2"/>
        </w:rPr>
        <w:t> </w:t>
      </w:r>
      <w:r>
        <w:rPr>
          <w:position w:val="2"/>
        </w:rPr>
        <w:t>la</w:t>
      </w:r>
      <w:r>
        <w:rPr>
          <w:spacing w:val="31"/>
          <w:position w:val="2"/>
        </w:rPr>
        <w:t> </w:t>
      </w:r>
      <w:r>
        <w:rPr>
          <w:position w:val="2"/>
        </w:rPr>
        <w:t>presencia</w:t>
      </w:r>
      <w:r>
        <w:rPr>
          <w:spacing w:val="34"/>
          <w:position w:val="2"/>
        </w:rPr>
        <w:t> </w:t>
      </w:r>
      <w:r>
        <w:rPr>
          <w:position w:val="2"/>
        </w:rPr>
        <w:t>o</w:t>
      </w:r>
      <w:r>
        <w:rPr>
          <w:spacing w:val="32"/>
          <w:position w:val="2"/>
        </w:rPr>
        <w:t> </w:t>
      </w:r>
      <w:r>
        <w:rPr>
          <w:position w:val="2"/>
        </w:rPr>
        <w:t>ausencia</w:t>
      </w:r>
      <w:r>
        <w:rPr>
          <w:spacing w:val="34"/>
          <w:position w:val="2"/>
        </w:rPr>
        <w:t> </w:t>
      </w:r>
      <w:r>
        <w:rPr>
          <w:position w:val="2"/>
        </w:rPr>
        <w:t>de</w:t>
      </w:r>
      <w:r>
        <w:rPr>
          <w:spacing w:val="31"/>
          <w:position w:val="2"/>
        </w:rPr>
        <w:t> </w:t>
      </w:r>
      <w:r>
        <w:rPr>
          <w:position w:val="2"/>
        </w:rPr>
        <w:t>crisis</w:t>
      </w:r>
      <w:r>
        <w:rPr>
          <w:spacing w:val="33"/>
          <w:position w:val="2"/>
        </w:rPr>
        <w:t> </w:t>
      </w:r>
      <w:r>
        <w:rPr>
          <w:position w:val="2"/>
        </w:rPr>
        <w:t>económica</w:t>
      </w:r>
      <w:r>
        <w:rPr>
          <w:spacing w:val="33"/>
          <w:position w:val="2"/>
        </w:rPr>
        <w:t> </w:t>
      </w:r>
      <w:r>
        <w:rPr>
          <w:position w:val="2"/>
        </w:rPr>
        <w:t>en</w:t>
      </w:r>
      <w:r>
        <w:rPr>
          <w:spacing w:val="34"/>
          <w:position w:val="2"/>
        </w:rPr>
        <w:t> </w:t>
      </w:r>
      <w:r>
        <w:rPr>
          <w:position w:val="2"/>
        </w:rPr>
        <w:t>la </w:t>
      </w:r>
      <w:r>
        <w:rPr/>
        <w:t>economía</w:t>
      </w:r>
      <w:r>
        <w:rPr>
          <w:spacing w:val="-4"/>
        </w:rPr>
        <w:t> </w:t>
      </w:r>
      <w:r>
        <w:rPr/>
        <w:t>mexicana</w:t>
      </w:r>
    </w:p>
    <w:p>
      <w:pPr>
        <w:pStyle w:val="BodyText"/>
        <w:tabs>
          <w:tab w:pos="1513" w:val="left" w:leader="none"/>
        </w:tabs>
        <w:ind w:left="1513" w:right="118" w:hanging="1412"/>
      </w:pPr>
      <w:r>
        <w:rPr>
          <w:position w:val="2"/>
        </w:rPr>
        <w:t>X</w:t>
      </w:r>
      <w:r>
        <w:rPr>
          <w:sz w:val="16"/>
        </w:rPr>
        <w:t>71</w:t>
      </w:r>
      <w:r>
        <w:rPr>
          <w:position w:val="2"/>
        </w:rPr>
        <w:t>:</w:t>
        <w:tab/>
        <w:t>Variable</w:t>
      </w:r>
      <w:r>
        <w:rPr>
          <w:spacing w:val="-10"/>
          <w:position w:val="2"/>
        </w:rPr>
        <w:t> </w:t>
      </w:r>
      <w:r>
        <w:rPr>
          <w:position w:val="2"/>
        </w:rPr>
        <w:t>DUMMY</w:t>
      </w:r>
      <w:r>
        <w:rPr>
          <w:spacing w:val="-10"/>
          <w:position w:val="2"/>
        </w:rPr>
        <w:t> </w:t>
      </w:r>
      <w:r>
        <w:rPr>
          <w:position w:val="2"/>
        </w:rPr>
        <w:t>para</w:t>
      </w:r>
      <w:r>
        <w:rPr>
          <w:spacing w:val="-11"/>
          <w:position w:val="2"/>
        </w:rPr>
        <w:t> </w:t>
      </w:r>
      <w:r>
        <w:rPr>
          <w:position w:val="2"/>
        </w:rPr>
        <w:t>representar</w:t>
      </w:r>
      <w:r>
        <w:rPr>
          <w:spacing w:val="-10"/>
          <w:position w:val="2"/>
        </w:rPr>
        <w:t> </w:t>
      </w:r>
      <w:r>
        <w:rPr>
          <w:position w:val="2"/>
        </w:rPr>
        <w:t>la</w:t>
      </w:r>
      <w:r>
        <w:rPr>
          <w:spacing w:val="-10"/>
          <w:position w:val="2"/>
        </w:rPr>
        <w:t> </w:t>
      </w:r>
      <w:r>
        <w:rPr>
          <w:position w:val="2"/>
        </w:rPr>
        <w:t>presencia</w:t>
      </w:r>
      <w:r>
        <w:rPr>
          <w:spacing w:val="-10"/>
          <w:position w:val="2"/>
        </w:rPr>
        <w:t> </w:t>
      </w:r>
      <w:r>
        <w:rPr>
          <w:position w:val="2"/>
        </w:rPr>
        <w:t>o</w:t>
      </w:r>
      <w:r>
        <w:rPr>
          <w:spacing w:val="-7"/>
          <w:position w:val="2"/>
        </w:rPr>
        <w:t> </w:t>
      </w:r>
      <w:r>
        <w:rPr>
          <w:position w:val="2"/>
        </w:rPr>
        <w:t>ausencia</w:t>
      </w:r>
      <w:r>
        <w:rPr>
          <w:spacing w:val="-10"/>
          <w:position w:val="2"/>
        </w:rPr>
        <w:t> </w:t>
      </w:r>
      <w:r>
        <w:rPr>
          <w:position w:val="2"/>
        </w:rPr>
        <w:t>de</w:t>
      </w:r>
      <w:r>
        <w:rPr>
          <w:spacing w:val="-11"/>
          <w:position w:val="2"/>
        </w:rPr>
        <w:t> </w:t>
      </w:r>
      <w:r>
        <w:rPr>
          <w:position w:val="2"/>
        </w:rPr>
        <w:t>sobrevaluación</w:t>
      </w:r>
      <w:r>
        <w:rPr>
          <w:w w:val="99"/>
          <w:position w:val="2"/>
        </w:rPr>
        <w:t> </w:t>
      </w:r>
      <w:r>
        <w:rPr/>
        <w:t>de la tasa de cambio de la moneda</w:t>
      </w:r>
      <w:r>
        <w:rPr>
          <w:spacing w:val="-7"/>
        </w:rPr>
        <w:t> </w:t>
      </w:r>
      <w:r>
        <w:rPr/>
        <w:t>mexicana</w:t>
      </w:r>
    </w:p>
    <w:p>
      <w:pPr>
        <w:pStyle w:val="BodyText"/>
        <w:tabs>
          <w:tab w:pos="1513" w:val="left" w:leader="none"/>
        </w:tabs>
        <w:ind w:left="1513" w:right="122" w:hanging="1412"/>
        <w:jc w:val="both"/>
      </w:pPr>
      <w:r>
        <w:rPr>
          <w:position w:val="2"/>
        </w:rPr>
        <w:t>X</w:t>
      </w:r>
      <w:r>
        <w:rPr>
          <w:sz w:val="16"/>
        </w:rPr>
        <w:t>81</w:t>
      </w:r>
      <w:r>
        <w:rPr>
          <w:position w:val="2"/>
        </w:rPr>
        <w:t>:</w:t>
        <w:tab/>
        <w:t>Saldo  comercial,  en  este  caso  la  diferencia  entre las  importaciones</w:t>
      </w:r>
      <w:r>
        <w:rPr>
          <w:spacing w:val="17"/>
          <w:position w:val="2"/>
        </w:rPr>
        <w:t> </w:t>
      </w:r>
      <w:r>
        <w:rPr>
          <w:position w:val="2"/>
        </w:rPr>
        <w:t>y</w:t>
      </w:r>
      <w:r>
        <w:rPr>
          <w:spacing w:val="46"/>
          <w:position w:val="2"/>
        </w:rPr>
        <w:t> </w:t>
      </w:r>
      <w:r>
        <w:rPr>
          <w:position w:val="2"/>
        </w:rPr>
        <w:t>las</w:t>
      </w:r>
      <w:r>
        <w:rPr>
          <w:w w:val="99"/>
          <w:position w:val="2"/>
        </w:rPr>
        <w:t> </w:t>
      </w:r>
      <w:r>
        <w:rPr/>
        <w:t>exportaciones agropecuarias y agroalimentarias (millones de pesos a precios de</w:t>
      </w:r>
      <w:r>
        <w:rPr>
          <w:spacing w:val="-1"/>
        </w:rPr>
        <w:t> </w:t>
      </w:r>
      <w:r>
        <w:rPr/>
        <w:t>2003)</w:t>
      </w:r>
    </w:p>
    <w:p>
      <w:pPr>
        <w:pStyle w:val="BodyText"/>
        <w:tabs>
          <w:tab w:pos="1558" w:val="left" w:leader="none"/>
        </w:tabs>
        <w:ind w:left="1513" w:right="834" w:hanging="1412"/>
      </w:pPr>
      <w:r>
        <w:rPr>
          <w:position w:val="2"/>
        </w:rPr>
        <w:t>e</w:t>
      </w:r>
      <w:r>
        <w:rPr>
          <w:sz w:val="16"/>
        </w:rPr>
        <w:t>t:</w:t>
        <w:tab/>
        <w:tab/>
      </w:r>
      <w:r>
        <w:rPr>
          <w:position w:val="2"/>
        </w:rPr>
        <w:t>Elementos aleatorios del error estocástico que se comete al</w:t>
      </w:r>
      <w:r>
        <w:rPr>
          <w:spacing w:val="-8"/>
          <w:position w:val="2"/>
        </w:rPr>
        <w:t> </w:t>
      </w:r>
      <w:r>
        <w:rPr>
          <w:position w:val="2"/>
        </w:rPr>
        <w:t>obtener</w:t>
      </w:r>
      <w:r>
        <w:rPr>
          <w:spacing w:val="-1"/>
          <w:position w:val="2"/>
        </w:rPr>
        <w:t> </w:t>
      </w:r>
      <w:r>
        <w:rPr>
          <w:position w:val="2"/>
        </w:rPr>
        <w:t>la </w:t>
      </w:r>
      <w:r>
        <w:rPr/>
        <w:t>información y correr el</w:t>
      </w:r>
      <w:r>
        <w:rPr>
          <w:spacing w:val="-3"/>
        </w:rPr>
        <w:t> </w:t>
      </w:r>
      <w:r>
        <w:rPr/>
        <w:t>modelo</w:t>
      </w:r>
    </w:p>
    <w:p>
      <w:pPr>
        <w:pStyle w:val="BodyText"/>
      </w:pPr>
    </w:p>
    <w:p>
      <w:pPr>
        <w:pStyle w:val="BodyText"/>
        <w:ind w:left="102" w:right="119"/>
      </w:pPr>
      <w:r>
        <w:rPr/>
        <w:t>Nota importante. Todas las variables involucradas en el presente modelo a excepción de los años y las variables DUMMY han sido transformadas a través de obtener los logaritmos base 10 de las mismas.</w:t>
      </w:r>
    </w:p>
    <w:p>
      <w:pPr>
        <w:pStyle w:val="BodyText"/>
      </w:pPr>
    </w:p>
    <w:p>
      <w:pPr>
        <w:pStyle w:val="BodyText"/>
        <w:ind w:left="102" w:right="118" w:firstLine="707"/>
      </w:pPr>
      <w:r>
        <w:rPr/>
        <w:t>Los</w:t>
      </w:r>
      <w:r>
        <w:rPr>
          <w:spacing w:val="-8"/>
        </w:rPr>
        <w:t> </w:t>
      </w:r>
      <w:r>
        <w:rPr/>
        <w:t>supuestos</w:t>
      </w:r>
      <w:r>
        <w:rPr>
          <w:spacing w:val="-8"/>
        </w:rPr>
        <w:t> </w:t>
      </w:r>
      <w:r>
        <w:rPr/>
        <w:t>estocásticos</w:t>
      </w:r>
      <w:r>
        <w:rPr>
          <w:spacing w:val="-8"/>
        </w:rPr>
        <w:t> </w:t>
      </w:r>
      <w:r>
        <w:rPr/>
        <w:t>para</w:t>
      </w:r>
      <w:r>
        <w:rPr>
          <w:spacing w:val="-10"/>
        </w:rPr>
        <w:t> </w:t>
      </w:r>
      <w:r>
        <w:rPr/>
        <w:t>los</w:t>
      </w:r>
      <w:r>
        <w:rPr>
          <w:spacing w:val="-8"/>
        </w:rPr>
        <w:t> </w:t>
      </w:r>
      <w:r>
        <w:rPr/>
        <w:t>vectores</w:t>
      </w:r>
      <w:r>
        <w:rPr>
          <w:spacing w:val="-8"/>
        </w:rPr>
        <w:t> </w:t>
      </w:r>
      <w:r>
        <w:rPr/>
        <w:t>de</w:t>
      </w:r>
      <w:r>
        <w:rPr>
          <w:spacing w:val="-7"/>
        </w:rPr>
        <w:t> </w:t>
      </w:r>
      <w:r>
        <w:rPr/>
        <w:t>errores</w:t>
      </w:r>
      <w:r>
        <w:rPr>
          <w:spacing w:val="-8"/>
        </w:rPr>
        <w:t> </w:t>
      </w:r>
      <w:r>
        <w:rPr/>
        <w:t>aleatorios</w:t>
      </w:r>
      <w:r>
        <w:rPr>
          <w:spacing w:val="-4"/>
        </w:rPr>
        <w:t> </w:t>
      </w:r>
      <w:r>
        <w:rPr/>
        <w:t>y</w:t>
      </w:r>
      <w:r>
        <w:rPr>
          <w:spacing w:val="-13"/>
        </w:rPr>
        <w:t> </w:t>
      </w:r>
      <w:r>
        <w:rPr/>
        <w:t>sus</w:t>
      </w:r>
      <w:r>
        <w:rPr>
          <w:spacing w:val="-8"/>
        </w:rPr>
        <w:t> </w:t>
      </w:r>
      <w:r>
        <w:rPr/>
        <w:t>elementos</w:t>
      </w:r>
      <w:r>
        <w:rPr>
          <w:spacing w:val="-9"/>
        </w:rPr>
        <w:t> </w:t>
      </w:r>
      <w:r>
        <w:rPr/>
        <w:t>son los</w:t>
      </w:r>
      <w:r>
        <w:rPr>
          <w:spacing w:val="-5"/>
        </w:rPr>
        <w:t> </w:t>
      </w:r>
      <w:r>
        <w:rPr/>
        <w:t>siguientes:</w:t>
      </w:r>
    </w:p>
    <w:p>
      <w:pPr>
        <w:pStyle w:val="ListParagraph"/>
        <w:numPr>
          <w:ilvl w:val="0"/>
          <w:numId w:val="1"/>
        </w:numPr>
        <w:tabs>
          <w:tab w:pos="343" w:val="left" w:leader="none"/>
        </w:tabs>
        <w:spacing w:line="276" w:lineRule="exact" w:before="0" w:after="0"/>
        <w:ind w:left="102" w:right="0" w:firstLine="0"/>
        <w:jc w:val="left"/>
        <w:rPr>
          <w:sz w:val="24"/>
        </w:rPr>
      </w:pPr>
      <w:r>
        <w:rPr>
          <w:sz w:val="24"/>
        </w:rPr>
        <w:t>Todos los errores tienen media cero, esto</w:t>
      </w:r>
      <w:r>
        <w:rPr>
          <w:spacing w:val="-7"/>
          <w:sz w:val="24"/>
        </w:rPr>
        <w:t> </w:t>
      </w:r>
      <w:r>
        <w:rPr>
          <w:sz w:val="24"/>
        </w:rPr>
        <w:t>es:</w:t>
      </w:r>
    </w:p>
    <w:p>
      <w:pPr>
        <w:pStyle w:val="BodyText"/>
        <w:tabs>
          <w:tab w:pos="3642" w:val="left" w:leader="none"/>
        </w:tabs>
        <w:spacing w:line="278" w:lineRule="exact"/>
        <w:ind w:left="102" w:right="45"/>
      </w:pPr>
      <w:r>
        <w:rPr>
          <w:position w:val="2"/>
        </w:rPr>
        <w:t>E (e</w:t>
      </w:r>
      <w:r>
        <w:rPr>
          <w:sz w:val="16"/>
        </w:rPr>
        <w:t>t</w:t>
      </w:r>
      <w:r>
        <w:rPr>
          <w:position w:val="2"/>
        </w:rPr>
        <w:t>)</w:t>
      </w:r>
      <w:r>
        <w:rPr>
          <w:spacing w:val="-1"/>
          <w:position w:val="2"/>
        </w:rPr>
        <w:t> </w:t>
      </w:r>
      <w:r>
        <w:rPr>
          <w:position w:val="2"/>
        </w:rPr>
        <w:t>=</w:t>
      </w:r>
      <w:r>
        <w:rPr>
          <w:spacing w:val="-3"/>
          <w:position w:val="2"/>
        </w:rPr>
        <w:t> </w:t>
      </w:r>
      <w:r>
        <w:rPr>
          <w:position w:val="2"/>
        </w:rPr>
        <w:t>0</w:t>
        <w:tab/>
        <w:t>i = 1, 2, 3, 4, 5; t = 1, 2,...,</w:t>
      </w:r>
      <w:r>
        <w:rPr>
          <w:spacing w:val="-1"/>
          <w:position w:val="2"/>
        </w:rPr>
        <w:t> </w:t>
      </w:r>
      <w:r>
        <w:rPr>
          <w:position w:val="2"/>
        </w:rPr>
        <w:t>T.</w:t>
      </w:r>
    </w:p>
    <w:p>
      <w:pPr>
        <w:pStyle w:val="BodyText"/>
        <w:spacing w:before="9"/>
        <w:rPr>
          <w:sz w:val="23"/>
        </w:rPr>
      </w:pPr>
    </w:p>
    <w:p>
      <w:pPr>
        <w:pStyle w:val="BodyText"/>
        <w:ind w:left="102" w:right="20" w:firstLine="707"/>
      </w:pPr>
      <w:r>
        <w:rPr/>
        <w:t>Lo que significa que el efecto promedio de los factores no incluidos en cada ecuación sobre la variable a explicar es cero.</w:t>
      </w:r>
    </w:p>
    <w:p>
      <w:pPr>
        <w:pStyle w:val="BodyText"/>
      </w:pPr>
    </w:p>
    <w:p>
      <w:pPr>
        <w:pStyle w:val="ListParagraph"/>
        <w:numPr>
          <w:ilvl w:val="0"/>
          <w:numId w:val="1"/>
        </w:numPr>
        <w:tabs>
          <w:tab w:pos="340" w:val="left" w:leader="none"/>
        </w:tabs>
        <w:spacing w:line="240" w:lineRule="auto" w:before="0" w:after="0"/>
        <w:ind w:left="102" w:right="117" w:firstLine="0"/>
        <w:jc w:val="left"/>
        <w:rPr>
          <w:sz w:val="24"/>
        </w:rPr>
      </w:pPr>
      <w:r>
        <w:rPr>
          <w:sz w:val="24"/>
        </w:rPr>
        <w:t>Para</w:t>
      </w:r>
      <w:r>
        <w:rPr>
          <w:spacing w:val="-7"/>
          <w:sz w:val="24"/>
        </w:rPr>
        <w:t> </w:t>
      </w:r>
      <w:r>
        <w:rPr>
          <w:sz w:val="24"/>
        </w:rPr>
        <w:t>cada</w:t>
      </w:r>
      <w:r>
        <w:rPr>
          <w:spacing w:val="-6"/>
          <w:sz w:val="24"/>
        </w:rPr>
        <w:t> </w:t>
      </w:r>
      <w:r>
        <w:rPr>
          <w:sz w:val="24"/>
        </w:rPr>
        <w:t>ecuación</w:t>
      </w:r>
      <w:r>
        <w:rPr>
          <w:spacing w:val="-4"/>
          <w:sz w:val="24"/>
        </w:rPr>
        <w:t> </w:t>
      </w:r>
      <w:r>
        <w:rPr>
          <w:sz w:val="24"/>
        </w:rPr>
        <w:t>en</w:t>
      </w:r>
      <w:r>
        <w:rPr>
          <w:spacing w:val="-2"/>
          <w:sz w:val="24"/>
        </w:rPr>
        <w:t> </w:t>
      </w:r>
      <w:r>
        <w:rPr>
          <w:sz w:val="24"/>
        </w:rPr>
        <w:t>particular,</w:t>
      </w:r>
      <w:r>
        <w:rPr>
          <w:spacing w:val="-5"/>
          <w:sz w:val="24"/>
        </w:rPr>
        <w:t> </w:t>
      </w:r>
      <w:r>
        <w:rPr>
          <w:sz w:val="24"/>
        </w:rPr>
        <w:t>la</w:t>
      </w:r>
      <w:r>
        <w:rPr>
          <w:spacing w:val="-5"/>
          <w:sz w:val="24"/>
        </w:rPr>
        <w:t> </w:t>
      </w:r>
      <w:r>
        <w:rPr>
          <w:sz w:val="24"/>
        </w:rPr>
        <w:t>varianza</w:t>
      </w:r>
      <w:r>
        <w:rPr>
          <w:spacing w:val="-6"/>
          <w:sz w:val="24"/>
        </w:rPr>
        <w:t> </w:t>
      </w:r>
      <w:r>
        <w:rPr>
          <w:sz w:val="24"/>
        </w:rPr>
        <w:t>de</w:t>
      </w:r>
      <w:r>
        <w:rPr>
          <w:spacing w:val="-3"/>
          <w:sz w:val="24"/>
        </w:rPr>
        <w:t> </w:t>
      </w:r>
      <w:r>
        <w:rPr>
          <w:sz w:val="24"/>
        </w:rPr>
        <w:t>los</w:t>
      </w:r>
      <w:r>
        <w:rPr>
          <w:spacing w:val="-4"/>
          <w:sz w:val="24"/>
        </w:rPr>
        <w:t> </w:t>
      </w:r>
      <w:r>
        <w:rPr>
          <w:sz w:val="24"/>
        </w:rPr>
        <w:t>errores</w:t>
      </w:r>
      <w:r>
        <w:rPr>
          <w:spacing w:val="-5"/>
          <w:sz w:val="24"/>
        </w:rPr>
        <w:t> </w:t>
      </w:r>
      <w:r>
        <w:rPr>
          <w:sz w:val="24"/>
        </w:rPr>
        <w:t>es</w:t>
      </w:r>
      <w:r>
        <w:rPr>
          <w:spacing w:val="-2"/>
          <w:sz w:val="24"/>
        </w:rPr>
        <w:t> </w:t>
      </w:r>
      <w:r>
        <w:rPr>
          <w:sz w:val="24"/>
        </w:rPr>
        <w:t>constante</w:t>
      </w:r>
      <w:r>
        <w:rPr>
          <w:spacing w:val="-5"/>
          <w:sz w:val="24"/>
        </w:rPr>
        <w:t> </w:t>
      </w:r>
      <w:r>
        <w:rPr>
          <w:sz w:val="24"/>
        </w:rPr>
        <w:t>en</w:t>
      </w:r>
      <w:r>
        <w:rPr>
          <w:spacing w:val="-5"/>
          <w:sz w:val="24"/>
        </w:rPr>
        <w:t> </w:t>
      </w:r>
      <w:r>
        <w:rPr>
          <w:sz w:val="24"/>
        </w:rPr>
        <w:t>el</w:t>
      </w:r>
      <w:r>
        <w:rPr>
          <w:spacing w:val="-4"/>
          <w:sz w:val="24"/>
        </w:rPr>
        <w:t> </w:t>
      </w:r>
      <w:r>
        <w:rPr>
          <w:sz w:val="24"/>
        </w:rPr>
        <w:t>tiempo,</w:t>
      </w:r>
      <w:r>
        <w:rPr>
          <w:spacing w:val="-4"/>
          <w:sz w:val="24"/>
        </w:rPr>
        <w:t> </w:t>
      </w:r>
      <w:r>
        <w:rPr>
          <w:sz w:val="24"/>
        </w:rPr>
        <w:t>pero cada ecuación, tiene diferente</w:t>
      </w:r>
      <w:r>
        <w:rPr>
          <w:spacing w:val="-9"/>
          <w:sz w:val="24"/>
        </w:rPr>
        <w:t> </w:t>
      </w:r>
      <w:r>
        <w:rPr>
          <w:sz w:val="24"/>
        </w:rPr>
        <w:t>varianza:</w:t>
      </w:r>
    </w:p>
    <w:p>
      <w:pPr>
        <w:pStyle w:val="BodyText"/>
        <w:tabs>
          <w:tab w:pos="3642" w:val="left" w:leader="none"/>
        </w:tabs>
        <w:spacing w:before="1"/>
        <w:ind w:left="102" w:right="45"/>
      </w:pPr>
      <w:r>
        <w:rPr>
          <w:position w:val="2"/>
        </w:rPr>
        <w:t>Var (e</w:t>
      </w:r>
      <w:r>
        <w:rPr>
          <w:sz w:val="16"/>
        </w:rPr>
        <w:t>it</w:t>
      </w:r>
      <w:r>
        <w:rPr>
          <w:position w:val="2"/>
        </w:rPr>
        <w:t>) = </w:t>
      </w:r>
      <w:r>
        <w:rPr>
          <w:rFonts w:ascii="Symbol" w:hAnsi="Symbol"/>
          <w:position w:val="2"/>
        </w:rPr>
        <w:t></w:t>
      </w:r>
      <w:r>
        <w:rPr>
          <w:sz w:val="16"/>
        </w:rPr>
        <w:t>ii</w:t>
      </w:r>
      <w:r>
        <w:rPr>
          <w:spacing w:val="16"/>
          <w:sz w:val="16"/>
        </w:rPr>
        <w:t> </w:t>
      </w:r>
      <w:r>
        <w:rPr>
          <w:position w:val="2"/>
        </w:rPr>
        <w:t>=</w:t>
      </w:r>
      <w:r>
        <w:rPr>
          <w:spacing w:val="-2"/>
          <w:position w:val="2"/>
        </w:rPr>
        <w:t> </w:t>
      </w:r>
      <w:r>
        <w:rPr>
          <w:rFonts w:ascii="Symbol" w:hAnsi="Symbol"/>
          <w:position w:val="2"/>
        </w:rPr>
        <w:t></w:t>
      </w:r>
      <w:r>
        <w:rPr>
          <w:position w:val="11"/>
          <w:sz w:val="16"/>
        </w:rPr>
        <w:t>2</w:t>
      </w:r>
      <w:r>
        <w:rPr>
          <w:sz w:val="16"/>
        </w:rPr>
        <w:t>i</w:t>
        <w:tab/>
      </w:r>
      <w:r>
        <w:rPr>
          <w:position w:val="2"/>
        </w:rPr>
        <w:t>i = 1, 2, 3, 4, 5; t = 1, 2,..., T.</w:t>
      </w:r>
    </w:p>
    <w:p>
      <w:pPr>
        <w:pStyle w:val="BodyText"/>
        <w:spacing w:before="9"/>
        <w:rPr>
          <w:sz w:val="23"/>
        </w:rPr>
      </w:pPr>
    </w:p>
    <w:p>
      <w:pPr>
        <w:pStyle w:val="ListParagraph"/>
        <w:numPr>
          <w:ilvl w:val="0"/>
          <w:numId w:val="1"/>
        </w:numPr>
        <w:tabs>
          <w:tab w:pos="350" w:val="left" w:leader="none"/>
        </w:tabs>
        <w:spacing w:line="240" w:lineRule="auto" w:before="0" w:after="0"/>
        <w:ind w:left="102" w:right="121" w:firstLine="0"/>
        <w:jc w:val="left"/>
        <w:rPr>
          <w:sz w:val="24"/>
        </w:rPr>
      </w:pPr>
      <w:r>
        <w:rPr>
          <w:sz w:val="24"/>
        </w:rPr>
        <w:t>Dos errores de diferentes ecuaciones pero que correspondan al mismo periodo de tiempo pueden estar correlacionados, es decir, temporalmente</w:t>
      </w:r>
      <w:r>
        <w:rPr>
          <w:spacing w:val="-13"/>
          <w:sz w:val="24"/>
        </w:rPr>
        <w:t> </w:t>
      </w:r>
      <w:r>
        <w:rPr>
          <w:sz w:val="24"/>
        </w:rPr>
        <w:t>correlacionados:</w:t>
      </w:r>
    </w:p>
    <w:p>
      <w:pPr>
        <w:tabs>
          <w:tab w:pos="3642" w:val="left" w:leader="none"/>
        </w:tabs>
        <w:spacing w:before="1"/>
        <w:ind w:left="102" w:right="45" w:firstLine="0"/>
        <w:jc w:val="left"/>
        <w:rPr>
          <w:sz w:val="24"/>
        </w:rPr>
      </w:pPr>
      <w:r>
        <w:rPr>
          <w:position w:val="2"/>
          <w:sz w:val="24"/>
        </w:rPr>
        <w:t>E (e</w:t>
      </w:r>
      <w:r>
        <w:rPr>
          <w:sz w:val="16"/>
        </w:rPr>
        <w:t>it </w:t>
      </w:r>
      <w:r>
        <w:rPr>
          <w:position w:val="2"/>
          <w:sz w:val="24"/>
        </w:rPr>
        <w:t>e</w:t>
      </w:r>
      <w:r>
        <w:rPr>
          <w:sz w:val="16"/>
        </w:rPr>
        <w:t>jt</w:t>
      </w:r>
      <w:r>
        <w:rPr>
          <w:position w:val="2"/>
          <w:sz w:val="24"/>
        </w:rPr>
        <w:t>)</w:t>
      </w:r>
      <w:r>
        <w:rPr>
          <w:spacing w:val="-1"/>
          <w:position w:val="2"/>
          <w:sz w:val="24"/>
        </w:rPr>
        <w:t> </w:t>
      </w:r>
      <w:r>
        <w:rPr>
          <w:position w:val="2"/>
          <w:sz w:val="24"/>
        </w:rPr>
        <w:t>=</w:t>
      </w:r>
      <w:r>
        <w:rPr>
          <w:spacing w:val="-3"/>
          <w:position w:val="2"/>
          <w:sz w:val="24"/>
        </w:rPr>
        <w:t> </w:t>
      </w:r>
      <w:r>
        <w:rPr>
          <w:rFonts w:ascii="Symbol" w:hAnsi="Symbol"/>
          <w:position w:val="2"/>
          <w:sz w:val="24"/>
        </w:rPr>
        <w:t></w:t>
      </w:r>
      <w:r>
        <w:rPr>
          <w:sz w:val="16"/>
        </w:rPr>
        <w:t>ij</w:t>
        <w:tab/>
      </w:r>
      <w:r>
        <w:rPr>
          <w:position w:val="2"/>
          <w:sz w:val="24"/>
        </w:rPr>
        <w:t>i, j=1, 2, 3, 4,</w:t>
      </w:r>
      <w:r>
        <w:rPr>
          <w:spacing w:val="-1"/>
          <w:position w:val="2"/>
          <w:sz w:val="24"/>
        </w:rPr>
        <w:t> </w:t>
      </w:r>
      <w:r>
        <w:rPr>
          <w:position w:val="2"/>
          <w:sz w:val="24"/>
        </w:rPr>
        <w:t>5.</w:t>
      </w:r>
    </w:p>
    <w:p>
      <w:pPr>
        <w:spacing w:after="0"/>
        <w:jc w:val="left"/>
        <w:rPr>
          <w:sz w:val="24"/>
        </w:rPr>
        <w:sectPr>
          <w:pgSz w:w="12240" w:h="15840"/>
          <w:pgMar w:header="727" w:footer="0" w:top="920" w:bottom="280" w:left="1600" w:right="1580"/>
        </w:sectPr>
      </w:pPr>
    </w:p>
    <w:p>
      <w:pPr>
        <w:pStyle w:val="BodyText"/>
        <w:rPr>
          <w:sz w:val="20"/>
        </w:rPr>
      </w:pPr>
    </w:p>
    <w:p>
      <w:pPr>
        <w:pStyle w:val="BodyText"/>
        <w:spacing w:before="9"/>
        <w:rPr>
          <w:sz w:val="15"/>
        </w:rPr>
      </w:pPr>
    </w:p>
    <w:p>
      <w:pPr>
        <w:pStyle w:val="ListParagraph"/>
        <w:numPr>
          <w:ilvl w:val="0"/>
          <w:numId w:val="1"/>
        </w:numPr>
        <w:tabs>
          <w:tab w:pos="338" w:val="left" w:leader="none"/>
        </w:tabs>
        <w:spacing w:line="240" w:lineRule="auto" w:before="70" w:after="0"/>
        <w:ind w:left="102" w:right="118" w:firstLine="0"/>
        <w:jc w:val="left"/>
        <w:rPr>
          <w:sz w:val="24"/>
        </w:rPr>
      </w:pPr>
      <w:r>
        <w:rPr>
          <w:sz w:val="24"/>
        </w:rPr>
        <w:t>Errores</w:t>
      </w:r>
      <w:r>
        <w:rPr>
          <w:spacing w:val="-7"/>
          <w:sz w:val="24"/>
        </w:rPr>
        <w:t> </w:t>
      </w:r>
      <w:r>
        <w:rPr>
          <w:sz w:val="24"/>
        </w:rPr>
        <w:t>en</w:t>
      </w:r>
      <w:r>
        <w:rPr>
          <w:spacing w:val="-7"/>
          <w:sz w:val="24"/>
        </w:rPr>
        <w:t> </w:t>
      </w:r>
      <w:r>
        <w:rPr>
          <w:sz w:val="24"/>
        </w:rPr>
        <w:t>diferentes</w:t>
      </w:r>
      <w:r>
        <w:rPr>
          <w:spacing w:val="-7"/>
          <w:sz w:val="24"/>
        </w:rPr>
        <w:t> </w:t>
      </w:r>
      <w:r>
        <w:rPr>
          <w:sz w:val="24"/>
        </w:rPr>
        <w:t>periodos</w:t>
      </w:r>
      <w:r>
        <w:rPr>
          <w:spacing w:val="-7"/>
          <w:sz w:val="24"/>
        </w:rPr>
        <w:t> </w:t>
      </w:r>
      <w:r>
        <w:rPr>
          <w:sz w:val="24"/>
        </w:rPr>
        <w:t>de</w:t>
      </w:r>
      <w:r>
        <w:rPr>
          <w:spacing w:val="-8"/>
          <w:sz w:val="24"/>
        </w:rPr>
        <w:t> </w:t>
      </w:r>
      <w:r>
        <w:rPr>
          <w:sz w:val="24"/>
        </w:rPr>
        <w:t>tiempo</w:t>
      </w:r>
      <w:r>
        <w:rPr>
          <w:spacing w:val="-7"/>
          <w:sz w:val="24"/>
        </w:rPr>
        <w:t> </w:t>
      </w:r>
      <w:r>
        <w:rPr>
          <w:sz w:val="24"/>
        </w:rPr>
        <w:t>pertenecientes</w:t>
      </w:r>
      <w:r>
        <w:rPr>
          <w:spacing w:val="-7"/>
          <w:sz w:val="24"/>
        </w:rPr>
        <w:t> </w:t>
      </w:r>
      <w:r>
        <w:rPr>
          <w:sz w:val="24"/>
        </w:rPr>
        <w:t>o</w:t>
      </w:r>
      <w:r>
        <w:rPr>
          <w:spacing w:val="-5"/>
          <w:sz w:val="24"/>
        </w:rPr>
        <w:t> </w:t>
      </w:r>
      <w:r>
        <w:rPr>
          <w:sz w:val="24"/>
        </w:rPr>
        <w:t>no</w:t>
      </w:r>
      <w:r>
        <w:rPr>
          <w:spacing w:val="-7"/>
          <w:sz w:val="24"/>
        </w:rPr>
        <w:t> </w:t>
      </w:r>
      <w:r>
        <w:rPr>
          <w:sz w:val="24"/>
        </w:rPr>
        <w:t>a</w:t>
      </w:r>
      <w:r>
        <w:rPr>
          <w:spacing w:val="-8"/>
          <w:sz w:val="24"/>
        </w:rPr>
        <w:t> </w:t>
      </w:r>
      <w:r>
        <w:rPr>
          <w:sz w:val="24"/>
        </w:rPr>
        <w:t>la</w:t>
      </w:r>
      <w:r>
        <w:rPr>
          <w:spacing w:val="-8"/>
          <w:sz w:val="24"/>
        </w:rPr>
        <w:t> </w:t>
      </w:r>
      <w:r>
        <w:rPr>
          <w:sz w:val="24"/>
        </w:rPr>
        <w:t>misma</w:t>
      </w:r>
      <w:r>
        <w:rPr>
          <w:spacing w:val="-7"/>
          <w:sz w:val="24"/>
        </w:rPr>
        <w:t> </w:t>
      </w:r>
      <w:r>
        <w:rPr>
          <w:sz w:val="24"/>
        </w:rPr>
        <w:t>ecuación</w:t>
      </w:r>
      <w:r>
        <w:rPr>
          <w:spacing w:val="-7"/>
          <w:sz w:val="24"/>
        </w:rPr>
        <w:t> </w:t>
      </w:r>
      <w:r>
        <w:rPr>
          <w:sz w:val="24"/>
        </w:rPr>
        <w:t>no</w:t>
      </w:r>
      <w:r>
        <w:rPr>
          <w:spacing w:val="-7"/>
          <w:sz w:val="24"/>
        </w:rPr>
        <w:t> </w:t>
      </w:r>
      <w:r>
        <w:rPr>
          <w:sz w:val="24"/>
        </w:rPr>
        <w:t>están autocorrelacionados.</w:t>
      </w:r>
    </w:p>
    <w:p>
      <w:pPr>
        <w:pStyle w:val="BodyText"/>
        <w:tabs>
          <w:tab w:pos="3642" w:val="left" w:leader="none"/>
        </w:tabs>
        <w:spacing w:before="1"/>
        <w:ind w:left="102" w:right="45"/>
      </w:pPr>
      <w:r>
        <w:rPr>
          <w:position w:val="2"/>
        </w:rPr>
        <w:t>E (e</w:t>
      </w:r>
      <w:r>
        <w:rPr>
          <w:sz w:val="16"/>
        </w:rPr>
        <w:t>it </w:t>
      </w:r>
      <w:r>
        <w:rPr>
          <w:position w:val="2"/>
        </w:rPr>
        <w:t>e</w:t>
      </w:r>
      <w:r>
        <w:rPr>
          <w:sz w:val="16"/>
        </w:rPr>
        <w:t>js</w:t>
      </w:r>
      <w:r>
        <w:rPr>
          <w:position w:val="2"/>
        </w:rPr>
        <w:t>)</w:t>
      </w:r>
      <w:r>
        <w:rPr>
          <w:spacing w:val="18"/>
          <w:position w:val="2"/>
        </w:rPr>
        <w:t> </w:t>
      </w:r>
      <w:r>
        <w:rPr>
          <w:position w:val="2"/>
        </w:rPr>
        <w:t>=</w:t>
      </w:r>
      <w:r>
        <w:rPr>
          <w:spacing w:val="-3"/>
          <w:position w:val="2"/>
        </w:rPr>
        <w:t> </w:t>
      </w:r>
      <w:r>
        <w:rPr>
          <w:position w:val="2"/>
        </w:rPr>
        <w:t>0</w:t>
        <w:tab/>
        <w:t>i, j = 1, 2, 3, 4, 5; t </w:t>
      </w:r>
      <w:r>
        <w:rPr>
          <w:rFonts w:ascii="Symbol" w:hAnsi="Symbol"/>
          <w:position w:val="2"/>
        </w:rPr>
        <w:t></w:t>
      </w:r>
      <w:r>
        <w:rPr>
          <w:spacing w:val="-1"/>
          <w:position w:val="2"/>
        </w:rPr>
        <w:t> </w:t>
      </w:r>
      <w:r>
        <w:rPr>
          <w:position w:val="2"/>
        </w:rPr>
        <w:t>s</w:t>
      </w:r>
    </w:p>
    <w:p>
      <w:pPr>
        <w:pStyle w:val="BodyText"/>
        <w:spacing w:before="9"/>
        <w:rPr>
          <w:sz w:val="23"/>
        </w:rPr>
      </w:pPr>
    </w:p>
    <w:p>
      <w:pPr>
        <w:pStyle w:val="BodyText"/>
        <w:ind w:left="102" w:right="45"/>
      </w:pPr>
      <w:r>
        <w:rPr/>
        <w:t>Es decir que estos cuatro supuestos se resumen en que los errores son generados por un proceso multivariado donde:</w:t>
      </w:r>
    </w:p>
    <w:p>
      <w:pPr>
        <w:pStyle w:val="BodyText"/>
        <w:tabs>
          <w:tab w:pos="3642" w:val="left" w:leader="none"/>
        </w:tabs>
        <w:spacing w:before="1"/>
        <w:ind w:left="102" w:right="45"/>
      </w:pPr>
      <w:r>
        <w:rPr>
          <w:position w:val="2"/>
        </w:rPr>
        <w:t>e</w:t>
      </w:r>
      <w:r>
        <w:rPr>
          <w:sz w:val="16"/>
        </w:rPr>
        <w:t>i </w:t>
      </w:r>
      <w:r>
        <w:rPr>
          <w:position w:val="2"/>
        </w:rPr>
        <w:t>~ N</w:t>
      </w:r>
      <w:r>
        <w:rPr>
          <w:spacing w:val="17"/>
          <w:position w:val="2"/>
        </w:rPr>
        <w:t> </w:t>
      </w:r>
      <w:r>
        <w:rPr>
          <w:position w:val="2"/>
        </w:rPr>
        <w:t>(0,</w:t>
      </w:r>
      <w:r>
        <w:rPr>
          <w:spacing w:val="-2"/>
          <w:position w:val="2"/>
        </w:rPr>
        <w:t> </w:t>
      </w:r>
      <w:r>
        <w:rPr>
          <w:rFonts w:ascii="Symbol" w:hAnsi="Symbol"/>
          <w:position w:val="2"/>
        </w:rPr>
        <w:t></w:t>
      </w:r>
      <w:r>
        <w:rPr>
          <w:position w:val="11"/>
          <w:sz w:val="16"/>
        </w:rPr>
        <w:t>2</w:t>
      </w:r>
      <w:r>
        <w:rPr>
          <w:sz w:val="16"/>
        </w:rPr>
        <w:t>i</w:t>
      </w:r>
      <w:r>
        <w:rPr>
          <w:position w:val="2"/>
        </w:rPr>
        <w:t>I</w:t>
      </w:r>
      <w:r>
        <w:rPr>
          <w:sz w:val="16"/>
        </w:rPr>
        <w:t>T</w:t>
      </w:r>
      <w:r>
        <w:rPr>
          <w:position w:val="2"/>
        </w:rPr>
        <w:t>)</w:t>
        <w:tab/>
        <w:t>para i=1, 2, 3, 4,</w:t>
      </w:r>
      <w:r>
        <w:rPr>
          <w:spacing w:val="-6"/>
          <w:position w:val="2"/>
        </w:rPr>
        <w:t> </w:t>
      </w:r>
      <w:r>
        <w:rPr>
          <w:position w:val="2"/>
        </w:rPr>
        <w:t>5.</w:t>
      </w:r>
    </w:p>
    <w:p>
      <w:pPr>
        <w:pStyle w:val="BodyText"/>
        <w:spacing w:before="7"/>
        <w:rPr>
          <w:sz w:val="23"/>
        </w:rPr>
      </w:pPr>
    </w:p>
    <w:p>
      <w:pPr>
        <w:pStyle w:val="ListParagraph"/>
        <w:numPr>
          <w:ilvl w:val="0"/>
          <w:numId w:val="1"/>
        </w:numPr>
        <w:tabs>
          <w:tab w:pos="343" w:val="left" w:leader="none"/>
        </w:tabs>
        <w:spacing w:line="240" w:lineRule="auto" w:before="0" w:after="0"/>
        <w:ind w:left="102" w:right="118" w:firstLine="0"/>
        <w:jc w:val="left"/>
        <w:rPr>
          <w:sz w:val="24"/>
        </w:rPr>
      </w:pPr>
      <w:r>
        <w:rPr>
          <w:spacing w:val="-3"/>
          <w:sz w:val="24"/>
        </w:rPr>
        <w:t>La</w:t>
      </w:r>
      <w:r>
        <w:rPr>
          <w:spacing w:val="-5"/>
          <w:sz w:val="24"/>
        </w:rPr>
        <w:t> </w:t>
      </w:r>
      <w:r>
        <w:rPr>
          <w:sz w:val="24"/>
        </w:rPr>
        <w:t>relación</w:t>
      </w:r>
      <w:r>
        <w:rPr>
          <w:spacing w:val="-3"/>
          <w:sz w:val="24"/>
        </w:rPr>
        <w:t> </w:t>
      </w:r>
      <w:r>
        <w:rPr>
          <w:sz w:val="24"/>
        </w:rPr>
        <w:t>que</w:t>
      </w:r>
      <w:r>
        <w:rPr>
          <w:spacing w:val="-5"/>
          <w:sz w:val="24"/>
        </w:rPr>
        <w:t> </w:t>
      </w:r>
      <w:r>
        <w:rPr>
          <w:sz w:val="24"/>
        </w:rPr>
        <w:t>existe</w:t>
      </w:r>
      <w:r>
        <w:rPr>
          <w:spacing w:val="-5"/>
          <w:sz w:val="24"/>
        </w:rPr>
        <w:t> </w:t>
      </w:r>
      <w:r>
        <w:rPr>
          <w:sz w:val="24"/>
        </w:rPr>
        <w:t>entre</w:t>
      </w:r>
      <w:r>
        <w:rPr>
          <w:spacing w:val="-5"/>
          <w:sz w:val="24"/>
        </w:rPr>
        <w:t> </w:t>
      </w:r>
      <w:r>
        <w:rPr>
          <w:sz w:val="24"/>
        </w:rPr>
        <w:t>las</w:t>
      </w:r>
      <w:r>
        <w:rPr>
          <w:spacing w:val="-4"/>
          <w:sz w:val="24"/>
        </w:rPr>
        <w:t> </w:t>
      </w:r>
      <w:r>
        <w:rPr>
          <w:sz w:val="24"/>
        </w:rPr>
        <w:t>variables</w:t>
      </w:r>
      <w:r>
        <w:rPr>
          <w:spacing w:val="-4"/>
          <w:sz w:val="24"/>
        </w:rPr>
        <w:t> </w:t>
      </w:r>
      <w:r>
        <w:rPr>
          <w:sz w:val="24"/>
        </w:rPr>
        <w:t>endógenas</w:t>
      </w:r>
      <w:r>
        <w:rPr>
          <w:spacing w:val="-1"/>
          <w:sz w:val="24"/>
        </w:rPr>
        <w:t> </w:t>
      </w:r>
      <w:r>
        <w:rPr>
          <w:sz w:val="24"/>
        </w:rPr>
        <w:t>y</w:t>
      </w:r>
      <w:r>
        <w:rPr>
          <w:spacing w:val="-8"/>
          <w:sz w:val="24"/>
        </w:rPr>
        <w:t> </w:t>
      </w:r>
      <w:r>
        <w:rPr>
          <w:sz w:val="24"/>
        </w:rPr>
        <w:t>predeterminadas</w:t>
      </w:r>
      <w:r>
        <w:rPr>
          <w:spacing w:val="-4"/>
          <w:sz w:val="24"/>
        </w:rPr>
        <w:t> </w:t>
      </w:r>
      <w:r>
        <w:rPr>
          <w:sz w:val="24"/>
        </w:rPr>
        <w:t>de</w:t>
      </w:r>
      <w:r>
        <w:rPr>
          <w:spacing w:val="-5"/>
          <w:sz w:val="24"/>
        </w:rPr>
        <w:t> </w:t>
      </w:r>
      <w:r>
        <w:rPr>
          <w:sz w:val="24"/>
        </w:rPr>
        <w:t>cada</w:t>
      </w:r>
      <w:r>
        <w:rPr>
          <w:spacing w:val="-5"/>
          <w:sz w:val="24"/>
        </w:rPr>
        <w:t> </w:t>
      </w:r>
      <w:r>
        <w:rPr>
          <w:sz w:val="24"/>
        </w:rPr>
        <w:t>función</w:t>
      </w:r>
      <w:r>
        <w:rPr>
          <w:spacing w:val="-3"/>
          <w:sz w:val="24"/>
        </w:rPr>
        <w:t> </w:t>
      </w:r>
      <w:r>
        <w:rPr>
          <w:sz w:val="24"/>
        </w:rPr>
        <w:t>es lineal.</w:t>
      </w:r>
    </w:p>
    <w:p>
      <w:pPr>
        <w:pStyle w:val="BodyText"/>
        <w:spacing w:before="4"/>
      </w:pPr>
    </w:p>
    <w:p>
      <w:pPr>
        <w:pStyle w:val="Heading1"/>
        <w:ind w:right="45"/>
      </w:pPr>
      <w:r>
        <w:rPr/>
        <w:t>Resultados obtenidos del modelo planteado</w:t>
      </w:r>
    </w:p>
    <w:p>
      <w:pPr>
        <w:pStyle w:val="BodyText"/>
        <w:spacing w:before="7"/>
        <w:rPr>
          <w:b/>
          <w:sz w:val="23"/>
        </w:rPr>
      </w:pPr>
    </w:p>
    <w:p>
      <w:pPr>
        <w:pStyle w:val="BodyText"/>
        <w:ind w:left="102" w:right="45"/>
      </w:pPr>
      <w:r>
        <w:rPr/>
        <w:t>El cuadro 1 muestra los resultados obtenidos en el análisis de la varianza para el modelo propuesto:</w:t>
      </w:r>
    </w:p>
    <w:p>
      <w:pPr>
        <w:pStyle w:val="BodyText"/>
      </w:pPr>
    </w:p>
    <w:p>
      <w:pPr>
        <w:pStyle w:val="BodyText"/>
        <w:ind w:left="102" w:right="45"/>
      </w:pPr>
      <w:r>
        <w:rPr/>
        <w:t>Dependent Variable: Y1</w:t>
      </w:r>
    </w:p>
    <w:p>
      <w:pPr>
        <w:pStyle w:val="BodyText"/>
      </w:pPr>
    </w:p>
    <w:p>
      <w:pPr>
        <w:pStyle w:val="BodyText"/>
        <w:ind w:left="2442" w:right="45"/>
      </w:pPr>
      <w:r>
        <w:rPr/>
        <w:t>Analysis of Variance</w:t>
      </w:r>
    </w:p>
    <w:p>
      <w:pPr>
        <w:pStyle w:val="BodyText"/>
        <w:spacing w:before="11"/>
        <w:rPr>
          <w:sz w:val="17"/>
        </w:rPr>
      </w:pPr>
    </w:p>
    <w:tbl>
      <w:tblPr>
        <w:tblW w:w="0" w:type="auto"/>
        <w:jc w:val="left"/>
        <w:tblInd w:w="10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9"/>
        <w:gridCol w:w="355"/>
        <w:gridCol w:w="1209"/>
        <w:gridCol w:w="1174"/>
        <w:gridCol w:w="927"/>
        <w:gridCol w:w="1152"/>
      </w:tblGrid>
      <w:tr>
        <w:trPr>
          <w:trHeight w:val="772" w:hRule="exact"/>
        </w:trPr>
        <w:tc>
          <w:tcPr>
            <w:tcW w:w="1299" w:type="dxa"/>
          </w:tcPr>
          <w:p>
            <w:pPr>
              <w:pStyle w:val="TableParagraph"/>
              <w:spacing w:line="240" w:lineRule="auto"/>
              <w:rPr>
                <w:sz w:val="30"/>
              </w:rPr>
            </w:pPr>
          </w:p>
          <w:p>
            <w:pPr>
              <w:pStyle w:val="TableParagraph"/>
              <w:spacing w:line="240" w:lineRule="auto"/>
              <w:ind w:left="35"/>
              <w:rPr>
                <w:sz w:val="24"/>
              </w:rPr>
            </w:pPr>
            <w:r>
              <w:rPr>
                <w:sz w:val="24"/>
              </w:rPr>
              <w:t>Source</w:t>
            </w:r>
          </w:p>
        </w:tc>
        <w:tc>
          <w:tcPr>
            <w:tcW w:w="355" w:type="dxa"/>
          </w:tcPr>
          <w:p>
            <w:pPr>
              <w:pStyle w:val="TableParagraph"/>
              <w:spacing w:line="240" w:lineRule="auto"/>
              <w:rPr>
                <w:sz w:val="30"/>
              </w:rPr>
            </w:pPr>
          </w:p>
          <w:p>
            <w:pPr>
              <w:pStyle w:val="TableParagraph"/>
              <w:spacing w:line="240" w:lineRule="auto"/>
              <w:ind w:left="2"/>
              <w:rPr>
                <w:sz w:val="24"/>
              </w:rPr>
            </w:pPr>
            <w:r>
              <w:rPr>
                <w:sz w:val="24"/>
              </w:rPr>
              <w:t>DF</w:t>
            </w:r>
          </w:p>
        </w:tc>
        <w:tc>
          <w:tcPr>
            <w:tcW w:w="1209" w:type="dxa"/>
          </w:tcPr>
          <w:p>
            <w:pPr>
              <w:pStyle w:val="TableParagraph"/>
              <w:spacing w:line="240" w:lineRule="auto" w:before="69"/>
              <w:ind w:left="311" w:right="118" w:firstLine="49"/>
              <w:rPr>
                <w:sz w:val="24"/>
              </w:rPr>
            </w:pPr>
            <w:r>
              <w:rPr>
                <w:sz w:val="24"/>
              </w:rPr>
              <w:t>Sum of Squares</w:t>
            </w:r>
          </w:p>
        </w:tc>
        <w:tc>
          <w:tcPr>
            <w:tcW w:w="1174" w:type="dxa"/>
          </w:tcPr>
          <w:p>
            <w:pPr>
              <w:pStyle w:val="TableParagraph"/>
              <w:spacing w:line="240" w:lineRule="auto" w:before="69"/>
              <w:ind w:left="282" w:right="205" w:firstLine="109"/>
              <w:rPr>
                <w:sz w:val="24"/>
              </w:rPr>
            </w:pPr>
            <w:r>
              <w:rPr>
                <w:sz w:val="24"/>
              </w:rPr>
              <w:t>Mean Square</w:t>
            </w:r>
          </w:p>
        </w:tc>
        <w:tc>
          <w:tcPr>
            <w:tcW w:w="927" w:type="dxa"/>
          </w:tcPr>
          <w:p>
            <w:pPr>
              <w:pStyle w:val="TableParagraph"/>
              <w:spacing w:line="240" w:lineRule="auto"/>
              <w:rPr>
                <w:sz w:val="30"/>
              </w:rPr>
            </w:pPr>
          </w:p>
          <w:p>
            <w:pPr>
              <w:pStyle w:val="TableParagraph"/>
              <w:spacing w:line="240" w:lineRule="auto"/>
              <w:ind w:left="114" w:right="5"/>
              <w:jc w:val="center"/>
              <w:rPr>
                <w:sz w:val="24"/>
              </w:rPr>
            </w:pPr>
            <w:r>
              <w:rPr>
                <w:sz w:val="24"/>
              </w:rPr>
              <w:t>F Value</w:t>
            </w:r>
          </w:p>
        </w:tc>
        <w:tc>
          <w:tcPr>
            <w:tcW w:w="1152" w:type="dxa"/>
          </w:tcPr>
          <w:p>
            <w:pPr>
              <w:pStyle w:val="TableParagraph"/>
              <w:spacing w:line="240" w:lineRule="auto"/>
              <w:rPr>
                <w:sz w:val="30"/>
              </w:rPr>
            </w:pPr>
          </w:p>
          <w:p>
            <w:pPr>
              <w:pStyle w:val="TableParagraph"/>
              <w:spacing w:line="240" w:lineRule="auto"/>
              <w:ind w:left="393"/>
              <w:rPr>
                <w:sz w:val="24"/>
              </w:rPr>
            </w:pPr>
            <w:r>
              <w:rPr>
                <w:sz w:val="24"/>
              </w:rPr>
              <w:t>Prob&gt;F</w:t>
            </w:r>
          </w:p>
        </w:tc>
      </w:tr>
      <w:tr>
        <w:trPr>
          <w:trHeight w:val="414" w:hRule="exact"/>
        </w:trPr>
        <w:tc>
          <w:tcPr>
            <w:tcW w:w="1299" w:type="dxa"/>
          </w:tcPr>
          <w:p>
            <w:pPr>
              <w:pStyle w:val="TableParagraph"/>
              <w:spacing w:line="240" w:lineRule="auto" w:before="125"/>
              <w:ind w:left="35"/>
              <w:rPr>
                <w:sz w:val="24"/>
              </w:rPr>
            </w:pPr>
            <w:r>
              <w:rPr>
                <w:sz w:val="24"/>
              </w:rPr>
              <w:t>Model</w:t>
            </w:r>
          </w:p>
        </w:tc>
        <w:tc>
          <w:tcPr>
            <w:tcW w:w="355" w:type="dxa"/>
          </w:tcPr>
          <w:p>
            <w:pPr>
              <w:pStyle w:val="TableParagraph"/>
              <w:spacing w:line="240" w:lineRule="auto" w:before="125"/>
              <w:ind w:left="81"/>
              <w:rPr>
                <w:sz w:val="24"/>
              </w:rPr>
            </w:pPr>
            <w:r>
              <w:rPr>
                <w:sz w:val="24"/>
              </w:rPr>
              <w:t>7</w:t>
            </w:r>
          </w:p>
        </w:tc>
        <w:tc>
          <w:tcPr>
            <w:tcW w:w="1209" w:type="dxa"/>
          </w:tcPr>
          <w:p>
            <w:pPr>
              <w:pStyle w:val="TableParagraph"/>
              <w:spacing w:line="240" w:lineRule="auto" w:before="125"/>
              <w:ind w:left="168" w:right="182"/>
              <w:jc w:val="center"/>
              <w:rPr>
                <w:sz w:val="24"/>
              </w:rPr>
            </w:pPr>
            <w:r>
              <w:rPr>
                <w:sz w:val="24"/>
              </w:rPr>
              <w:t>0.15245</w:t>
            </w:r>
          </w:p>
        </w:tc>
        <w:tc>
          <w:tcPr>
            <w:tcW w:w="1174" w:type="dxa"/>
          </w:tcPr>
          <w:p>
            <w:pPr>
              <w:pStyle w:val="TableParagraph"/>
              <w:spacing w:line="240" w:lineRule="auto" w:before="125"/>
              <w:ind w:left="137" w:right="205"/>
              <w:rPr>
                <w:sz w:val="24"/>
              </w:rPr>
            </w:pPr>
            <w:r>
              <w:rPr>
                <w:sz w:val="24"/>
              </w:rPr>
              <w:t>0.02178</w:t>
            </w:r>
          </w:p>
        </w:tc>
        <w:tc>
          <w:tcPr>
            <w:tcW w:w="927" w:type="dxa"/>
          </w:tcPr>
          <w:p>
            <w:pPr>
              <w:pStyle w:val="TableParagraph"/>
              <w:spacing w:line="240" w:lineRule="auto" w:before="125"/>
              <w:ind w:left="63" w:right="5"/>
              <w:jc w:val="center"/>
              <w:rPr>
                <w:sz w:val="24"/>
              </w:rPr>
            </w:pPr>
            <w:r>
              <w:rPr>
                <w:sz w:val="24"/>
              </w:rPr>
              <w:t>8.231</w:t>
            </w:r>
          </w:p>
        </w:tc>
        <w:tc>
          <w:tcPr>
            <w:tcW w:w="1152" w:type="dxa"/>
          </w:tcPr>
          <w:p>
            <w:pPr>
              <w:pStyle w:val="TableParagraph"/>
              <w:spacing w:line="240" w:lineRule="auto" w:before="125"/>
              <w:ind w:left="255"/>
              <w:rPr>
                <w:sz w:val="24"/>
              </w:rPr>
            </w:pPr>
            <w:r>
              <w:rPr>
                <w:sz w:val="24"/>
              </w:rPr>
              <w:t>0.0001</w:t>
            </w:r>
          </w:p>
        </w:tc>
      </w:tr>
      <w:tr>
        <w:trPr>
          <w:trHeight w:val="276" w:hRule="exact"/>
        </w:trPr>
        <w:tc>
          <w:tcPr>
            <w:tcW w:w="1299" w:type="dxa"/>
          </w:tcPr>
          <w:p>
            <w:pPr>
              <w:pStyle w:val="TableParagraph"/>
              <w:ind w:left="35"/>
              <w:rPr>
                <w:sz w:val="24"/>
              </w:rPr>
            </w:pPr>
            <w:r>
              <w:rPr>
                <w:sz w:val="24"/>
              </w:rPr>
              <w:t>Error</w:t>
            </w:r>
          </w:p>
        </w:tc>
        <w:tc>
          <w:tcPr>
            <w:tcW w:w="355" w:type="dxa"/>
          </w:tcPr>
          <w:p>
            <w:pPr>
              <w:pStyle w:val="TableParagraph"/>
              <w:ind w:left="20"/>
              <w:rPr>
                <w:sz w:val="24"/>
              </w:rPr>
            </w:pPr>
            <w:r>
              <w:rPr>
                <w:sz w:val="24"/>
              </w:rPr>
              <w:t>20</w:t>
            </w:r>
          </w:p>
        </w:tc>
        <w:tc>
          <w:tcPr>
            <w:tcW w:w="1209" w:type="dxa"/>
          </w:tcPr>
          <w:p>
            <w:pPr>
              <w:pStyle w:val="TableParagraph"/>
              <w:ind w:left="168" w:right="181"/>
              <w:jc w:val="center"/>
              <w:rPr>
                <w:sz w:val="24"/>
              </w:rPr>
            </w:pPr>
            <w:r>
              <w:rPr>
                <w:sz w:val="24"/>
              </w:rPr>
              <w:t>0.05292</w:t>
            </w:r>
          </w:p>
        </w:tc>
        <w:tc>
          <w:tcPr>
            <w:tcW w:w="1174" w:type="dxa"/>
          </w:tcPr>
          <w:p>
            <w:pPr>
              <w:pStyle w:val="TableParagraph"/>
              <w:ind w:left="137" w:right="205"/>
              <w:rPr>
                <w:sz w:val="24"/>
              </w:rPr>
            </w:pPr>
            <w:r>
              <w:rPr>
                <w:sz w:val="24"/>
              </w:rPr>
              <w:t>0.00265</w:t>
            </w:r>
          </w:p>
        </w:tc>
        <w:tc>
          <w:tcPr>
            <w:tcW w:w="927" w:type="dxa"/>
          </w:tcPr>
          <w:p>
            <w:pPr/>
          </w:p>
        </w:tc>
        <w:tc>
          <w:tcPr>
            <w:tcW w:w="1152" w:type="dxa"/>
          </w:tcPr>
          <w:p>
            <w:pPr/>
          </w:p>
        </w:tc>
      </w:tr>
      <w:tr>
        <w:trPr>
          <w:trHeight w:val="414" w:hRule="exact"/>
        </w:trPr>
        <w:tc>
          <w:tcPr>
            <w:tcW w:w="1299" w:type="dxa"/>
          </w:tcPr>
          <w:p>
            <w:pPr>
              <w:pStyle w:val="TableParagraph"/>
              <w:ind w:left="35"/>
              <w:rPr>
                <w:sz w:val="24"/>
              </w:rPr>
            </w:pPr>
            <w:r>
              <w:rPr>
                <w:sz w:val="24"/>
              </w:rPr>
              <w:t>C Total</w:t>
            </w:r>
          </w:p>
        </w:tc>
        <w:tc>
          <w:tcPr>
            <w:tcW w:w="355" w:type="dxa"/>
          </w:tcPr>
          <w:p>
            <w:pPr>
              <w:pStyle w:val="TableParagraph"/>
              <w:ind w:left="3"/>
              <w:rPr>
                <w:sz w:val="24"/>
              </w:rPr>
            </w:pPr>
            <w:r>
              <w:rPr>
                <w:sz w:val="24"/>
              </w:rPr>
              <w:t>27</w:t>
            </w:r>
          </w:p>
        </w:tc>
        <w:tc>
          <w:tcPr>
            <w:tcW w:w="1209" w:type="dxa"/>
          </w:tcPr>
          <w:p>
            <w:pPr>
              <w:pStyle w:val="TableParagraph"/>
              <w:ind w:left="148" w:right="200"/>
              <w:jc w:val="center"/>
              <w:rPr>
                <w:sz w:val="24"/>
              </w:rPr>
            </w:pPr>
            <w:r>
              <w:rPr>
                <w:sz w:val="24"/>
              </w:rPr>
              <w:t>0.20537</w:t>
            </w:r>
          </w:p>
        </w:tc>
        <w:tc>
          <w:tcPr>
            <w:tcW w:w="1174" w:type="dxa"/>
          </w:tcPr>
          <w:p>
            <w:pPr/>
          </w:p>
        </w:tc>
        <w:tc>
          <w:tcPr>
            <w:tcW w:w="927" w:type="dxa"/>
          </w:tcPr>
          <w:p>
            <w:pPr/>
          </w:p>
        </w:tc>
        <w:tc>
          <w:tcPr>
            <w:tcW w:w="1152" w:type="dxa"/>
          </w:tcPr>
          <w:p>
            <w:pPr/>
          </w:p>
        </w:tc>
      </w:tr>
      <w:tr>
        <w:trPr>
          <w:trHeight w:val="414" w:hRule="exact"/>
        </w:trPr>
        <w:tc>
          <w:tcPr>
            <w:tcW w:w="1299" w:type="dxa"/>
          </w:tcPr>
          <w:p>
            <w:pPr>
              <w:pStyle w:val="TableParagraph"/>
              <w:spacing w:line="240" w:lineRule="auto" w:before="125"/>
              <w:jc w:val="right"/>
              <w:rPr>
                <w:sz w:val="24"/>
              </w:rPr>
            </w:pPr>
            <w:r>
              <w:rPr>
                <w:sz w:val="24"/>
              </w:rPr>
              <w:t>Root MSE</w:t>
            </w:r>
          </w:p>
        </w:tc>
        <w:tc>
          <w:tcPr>
            <w:tcW w:w="1564" w:type="dxa"/>
            <w:gridSpan w:val="2"/>
          </w:tcPr>
          <w:p>
            <w:pPr>
              <w:pStyle w:val="TableParagraph"/>
              <w:spacing w:line="240" w:lineRule="auto" w:before="125"/>
              <w:ind w:left="536"/>
              <w:rPr>
                <w:sz w:val="24"/>
              </w:rPr>
            </w:pPr>
            <w:r>
              <w:rPr>
                <w:sz w:val="24"/>
              </w:rPr>
              <w:t>0.05144</w:t>
            </w:r>
          </w:p>
        </w:tc>
        <w:tc>
          <w:tcPr>
            <w:tcW w:w="1174" w:type="dxa"/>
          </w:tcPr>
          <w:p>
            <w:pPr>
              <w:pStyle w:val="TableParagraph"/>
              <w:spacing w:line="240" w:lineRule="auto" w:before="125"/>
              <w:ind w:left="171"/>
              <w:rPr>
                <w:sz w:val="24"/>
              </w:rPr>
            </w:pPr>
            <w:r>
              <w:rPr>
                <w:sz w:val="24"/>
              </w:rPr>
              <w:t>R-square</w:t>
            </w:r>
          </w:p>
        </w:tc>
        <w:tc>
          <w:tcPr>
            <w:tcW w:w="2079" w:type="dxa"/>
            <w:gridSpan w:val="2"/>
          </w:tcPr>
          <w:p>
            <w:pPr>
              <w:pStyle w:val="TableParagraph"/>
              <w:spacing w:line="240" w:lineRule="auto" w:before="125"/>
              <w:ind w:left="223"/>
              <w:rPr>
                <w:sz w:val="24"/>
              </w:rPr>
            </w:pPr>
            <w:r>
              <w:rPr>
                <w:sz w:val="24"/>
              </w:rPr>
              <w:t>0.7423</w:t>
            </w:r>
          </w:p>
        </w:tc>
      </w:tr>
      <w:tr>
        <w:trPr>
          <w:trHeight w:val="276" w:hRule="exact"/>
        </w:trPr>
        <w:tc>
          <w:tcPr>
            <w:tcW w:w="1299" w:type="dxa"/>
          </w:tcPr>
          <w:p>
            <w:pPr>
              <w:pStyle w:val="TableParagraph"/>
              <w:ind w:right="19"/>
              <w:jc w:val="right"/>
              <w:rPr>
                <w:sz w:val="24"/>
              </w:rPr>
            </w:pPr>
            <w:r>
              <w:rPr>
                <w:sz w:val="24"/>
              </w:rPr>
              <w:t>Dep Mean</w:t>
            </w:r>
          </w:p>
        </w:tc>
        <w:tc>
          <w:tcPr>
            <w:tcW w:w="1564" w:type="dxa"/>
            <w:gridSpan w:val="2"/>
          </w:tcPr>
          <w:p>
            <w:pPr>
              <w:pStyle w:val="TableParagraph"/>
              <w:ind w:left="401"/>
              <w:rPr>
                <w:sz w:val="24"/>
              </w:rPr>
            </w:pPr>
            <w:r>
              <w:rPr>
                <w:sz w:val="24"/>
              </w:rPr>
              <w:t>12.92399</w:t>
            </w:r>
          </w:p>
        </w:tc>
        <w:tc>
          <w:tcPr>
            <w:tcW w:w="1174" w:type="dxa"/>
          </w:tcPr>
          <w:p>
            <w:pPr>
              <w:pStyle w:val="TableParagraph"/>
              <w:ind w:left="157"/>
              <w:rPr>
                <w:sz w:val="24"/>
              </w:rPr>
            </w:pPr>
            <w:r>
              <w:rPr>
                <w:sz w:val="24"/>
              </w:rPr>
              <w:t>Adj R-sq</w:t>
            </w:r>
          </w:p>
        </w:tc>
        <w:tc>
          <w:tcPr>
            <w:tcW w:w="2079" w:type="dxa"/>
            <w:gridSpan w:val="2"/>
          </w:tcPr>
          <w:p>
            <w:pPr>
              <w:pStyle w:val="TableParagraph"/>
              <w:ind w:left="216"/>
              <w:rPr>
                <w:sz w:val="24"/>
              </w:rPr>
            </w:pPr>
            <w:r>
              <w:rPr>
                <w:sz w:val="24"/>
              </w:rPr>
              <w:t>0.6521</w:t>
            </w:r>
          </w:p>
        </w:tc>
      </w:tr>
      <w:tr>
        <w:trPr>
          <w:trHeight w:val="258" w:hRule="exact"/>
        </w:trPr>
        <w:tc>
          <w:tcPr>
            <w:tcW w:w="1299" w:type="dxa"/>
          </w:tcPr>
          <w:p>
            <w:pPr>
              <w:pStyle w:val="TableParagraph"/>
              <w:ind w:left="635"/>
              <w:rPr>
                <w:sz w:val="24"/>
              </w:rPr>
            </w:pPr>
            <w:r>
              <w:rPr>
                <w:sz w:val="24"/>
              </w:rPr>
              <w:t>C.V.</w:t>
            </w:r>
          </w:p>
        </w:tc>
        <w:tc>
          <w:tcPr>
            <w:tcW w:w="1564" w:type="dxa"/>
            <w:gridSpan w:val="2"/>
          </w:tcPr>
          <w:p>
            <w:pPr>
              <w:pStyle w:val="TableParagraph"/>
              <w:ind w:left="509"/>
              <w:rPr>
                <w:sz w:val="24"/>
              </w:rPr>
            </w:pPr>
            <w:r>
              <w:rPr>
                <w:sz w:val="24"/>
              </w:rPr>
              <w:t>0.39801</w:t>
            </w:r>
          </w:p>
        </w:tc>
        <w:tc>
          <w:tcPr>
            <w:tcW w:w="1174" w:type="dxa"/>
          </w:tcPr>
          <w:p>
            <w:pPr/>
          </w:p>
        </w:tc>
        <w:tc>
          <w:tcPr>
            <w:tcW w:w="2079" w:type="dxa"/>
            <w:gridSpan w:val="2"/>
          </w:tcPr>
          <w:p>
            <w:pPr/>
          </w:p>
        </w:tc>
      </w:tr>
    </w:tbl>
    <w:p>
      <w:pPr>
        <w:pStyle w:val="BodyText"/>
        <w:spacing w:line="480" w:lineRule="auto" w:before="5"/>
        <w:ind w:left="810" w:right="1386" w:hanging="708"/>
      </w:pPr>
      <w:r>
        <w:rPr>
          <w:b/>
        </w:rPr>
        <w:t>Tabla 1 </w:t>
      </w:r>
      <w:r>
        <w:rPr/>
        <w:t>Resultados estadísticos del modelo propuesto y análisis de la varianza En el cuadro anterior se observa lo siguiente:</w:t>
      </w:r>
    </w:p>
    <w:p>
      <w:pPr>
        <w:pStyle w:val="ListParagraph"/>
        <w:numPr>
          <w:ilvl w:val="1"/>
          <w:numId w:val="1"/>
        </w:numPr>
        <w:tabs>
          <w:tab w:pos="822" w:val="left" w:leader="none"/>
        </w:tabs>
        <w:spacing w:line="240" w:lineRule="auto" w:before="10" w:after="0"/>
        <w:ind w:left="822" w:right="117" w:hanging="360"/>
        <w:jc w:val="both"/>
        <w:rPr>
          <w:sz w:val="24"/>
        </w:rPr>
      </w:pPr>
      <w:r>
        <w:rPr>
          <w:sz w:val="24"/>
        </w:rPr>
        <w:t>El comportamiento del PIB agropecuario es explicado en un 75% por el comportamiento de las variables gasto gubernamental en el sector agropecuario, las exportaciones e importaciones agropecuarias, el crédito de las bancas de desarrollo</w:t>
      </w:r>
      <w:r>
        <w:rPr>
          <w:spacing w:val="-39"/>
          <w:sz w:val="24"/>
        </w:rPr>
        <w:t> </w:t>
      </w:r>
      <w:r>
        <w:rPr>
          <w:sz w:val="24"/>
        </w:rPr>
        <w:t>y comercial,</w:t>
      </w:r>
      <w:r>
        <w:rPr>
          <w:spacing w:val="-14"/>
          <w:sz w:val="24"/>
        </w:rPr>
        <w:t> </w:t>
      </w:r>
      <w:r>
        <w:rPr>
          <w:sz w:val="24"/>
        </w:rPr>
        <w:t>la</w:t>
      </w:r>
      <w:r>
        <w:rPr>
          <w:spacing w:val="-16"/>
          <w:sz w:val="24"/>
        </w:rPr>
        <w:t> </w:t>
      </w:r>
      <w:r>
        <w:rPr>
          <w:sz w:val="24"/>
        </w:rPr>
        <w:t>balanza</w:t>
      </w:r>
      <w:r>
        <w:rPr>
          <w:spacing w:val="-17"/>
          <w:sz w:val="24"/>
        </w:rPr>
        <w:t> </w:t>
      </w:r>
      <w:r>
        <w:rPr>
          <w:sz w:val="24"/>
        </w:rPr>
        <w:t>comercial</w:t>
      </w:r>
      <w:r>
        <w:rPr>
          <w:spacing w:val="-16"/>
          <w:sz w:val="24"/>
        </w:rPr>
        <w:t> </w:t>
      </w:r>
      <w:r>
        <w:rPr>
          <w:sz w:val="24"/>
        </w:rPr>
        <w:t>del</w:t>
      </w:r>
      <w:r>
        <w:rPr>
          <w:spacing w:val="-13"/>
          <w:sz w:val="24"/>
        </w:rPr>
        <w:t> </w:t>
      </w:r>
      <w:r>
        <w:rPr>
          <w:sz w:val="24"/>
        </w:rPr>
        <w:t>sector</w:t>
      </w:r>
      <w:r>
        <w:rPr>
          <w:spacing w:val="-14"/>
          <w:sz w:val="24"/>
        </w:rPr>
        <w:t> </w:t>
      </w:r>
      <w:r>
        <w:rPr>
          <w:sz w:val="24"/>
        </w:rPr>
        <w:t>agropecuario</w:t>
      </w:r>
      <w:r>
        <w:rPr>
          <w:spacing w:val="-11"/>
          <w:sz w:val="24"/>
        </w:rPr>
        <w:t> </w:t>
      </w:r>
      <w:r>
        <w:rPr>
          <w:sz w:val="24"/>
        </w:rPr>
        <w:t>y</w:t>
      </w:r>
      <w:r>
        <w:rPr>
          <w:spacing w:val="-21"/>
          <w:sz w:val="24"/>
        </w:rPr>
        <w:t> </w:t>
      </w:r>
      <w:r>
        <w:rPr>
          <w:sz w:val="24"/>
        </w:rPr>
        <w:t>la</w:t>
      </w:r>
      <w:r>
        <w:rPr>
          <w:spacing w:val="-17"/>
          <w:sz w:val="24"/>
        </w:rPr>
        <w:t> </w:t>
      </w:r>
      <w:r>
        <w:rPr>
          <w:sz w:val="24"/>
        </w:rPr>
        <w:t>existencia</w:t>
      </w:r>
      <w:r>
        <w:rPr>
          <w:spacing w:val="-16"/>
          <w:sz w:val="24"/>
        </w:rPr>
        <w:t> </w:t>
      </w:r>
      <w:r>
        <w:rPr>
          <w:sz w:val="24"/>
        </w:rPr>
        <w:t>de</w:t>
      </w:r>
      <w:r>
        <w:rPr>
          <w:spacing w:val="-15"/>
          <w:sz w:val="24"/>
        </w:rPr>
        <w:t> </w:t>
      </w:r>
      <w:r>
        <w:rPr>
          <w:sz w:val="24"/>
        </w:rPr>
        <w:t>los</w:t>
      </w:r>
      <w:r>
        <w:rPr>
          <w:spacing w:val="-15"/>
          <w:sz w:val="24"/>
        </w:rPr>
        <w:t> </w:t>
      </w:r>
      <w:r>
        <w:rPr>
          <w:sz w:val="24"/>
        </w:rPr>
        <w:t>periodos de crisis y tasas de cambio sobrevaloradas del peso</w:t>
      </w:r>
      <w:r>
        <w:rPr>
          <w:spacing w:val="-8"/>
          <w:sz w:val="24"/>
        </w:rPr>
        <w:t> </w:t>
      </w:r>
      <w:r>
        <w:rPr>
          <w:sz w:val="24"/>
        </w:rPr>
        <w:t>mexicano.</w:t>
      </w:r>
    </w:p>
    <w:p>
      <w:pPr>
        <w:pStyle w:val="BodyText"/>
      </w:pPr>
    </w:p>
    <w:p>
      <w:pPr>
        <w:pStyle w:val="ListParagraph"/>
        <w:numPr>
          <w:ilvl w:val="1"/>
          <w:numId w:val="1"/>
        </w:numPr>
        <w:tabs>
          <w:tab w:pos="822" w:val="left" w:leader="none"/>
        </w:tabs>
        <w:spacing w:line="240" w:lineRule="auto" w:before="0" w:after="0"/>
        <w:ind w:left="822" w:right="120" w:hanging="360"/>
        <w:jc w:val="both"/>
        <w:rPr>
          <w:sz w:val="24"/>
        </w:rPr>
      </w:pPr>
      <w:r>
        <w:rPr>
          <w:sz w:val="24"/>
        </w:rPr>
        <w:t>De las variables involucradas en el modelo propuesto las que presentan una relación más moderada son las exportaciones y la balanza comercial por lo que hay que observar si los datos reportados para las mismas son del todo</w:t>
      </w:r>
      <w:r>
        <w:rPr>
          <w:spacing w:val="-10"/>
          <w:sz w:val="24"/>
        </w:rPr>
        <w:t> </w:t>
      </w:r>
      <w:r>
        <w:rPr>
          <w:sz w:val="24"/>
        </w:rPr>
        <w:t>confiables.</w:t>
      </w:r>
    </w:p>
    <w:p>
      <w:pPr>
        <w:pStyle w:val="BodyText"/>
      </w:pPr>
    </w:p>
    <w:p>
      <w:pPr>
        <w:pStyle w:val="ListParagraph"/>
        <w:numPr>
          <w:ilvl w:val="1"/>
          <w:numId w:val="1"/>
        </w:numPr>
        <w:tabs>
          <w:tab w:pos="822" w:val="left" w:leader="none"/>
        </w:tabs>
        <w:spacing w:line="240" w:lineRule="auto" w:before="0" w:after="0"/>
        <w:ind w:left="822" w:right="125" w:hanging="360"/>
        <w:jc w:val="both"/>
        <w:rPr>
          <w:sz w:val="24"/>
        </w:rPr>
      </w:pPr>
      <w:r>
        <w:rPr>
          <w:sz w:val="24"/>
        </w:rPr>
        <w:t>El análisis de la varianza arroja un nivel de confiabilidad del 99.9% por lo que la regresión parece del todo</w:t>
      </w:r>
      <w:r>
        <w:rPr>
          <w:spacing w:val="-8"/>
          <w:sz w:val="24"/>
        </w:rPr>
        <w:t> </w:t>
      </w:r>
      <w:r>
        <w:rPr>
          <w:sz w:val="24"/>
        </w:rPr>
        <w:t>confiable.</w:t>
      </w:r>
    </w:p>
    <w:p>
      <w:pPr>
        <w:spacing w:after="0" w:line="240" w:lineRule="auto"/>
        <w:jc w:val="both"/>
        <w:rPr>
          <w:sz w:val="24"/>
        </w:rPr>
        <w:sectPr>
          <w:pgSz w:w="12240" w:h="15840"/>
          <w:pgMar w:header="727" w:footer="0" w:top="920" w:bottom="280" w:left="1600" w:right="1580"/>
        </w:sectPr>
      </w:pPr>
    </w:p>
    <w:p>
      <w:pPr>
        <w:pStyle w:val="BodyText"/>
        <w:rPr>
          <w:sz w:val="20"/>
        </w:rPr>
      </w:pPr>
    </w:p>
    <w:p>
      <w:pPr>
        <w:pStyle w:val="BodyText"/>
        <w:spacing w:before="9"/>
        <w:rPr>
          <w:sz w:val="15"/>
        </w:rPr>
      </w:pPr>
    </w:p>
    <w:p>
      <w:pPr>
        <w:pStyle w:val="BodyText"/>
        <w:spacing w:before="70"/>
        <w:ind w:left="3449" w:right="3450"/>
        <w:jc w:val="center"/>
      </w:pPr>
      <w:r>
        <w:rPr/>
        <w:t>Parámetros Estimados</w:t>
      </w:r>
    </w:p>
    <w:p>
      <w:pPr>
        <w:pStyle w:val="BodyText"/>
        <w:spacing w:before="11"/>
        <w:rPr>
          <w:sz w:val="17"/>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69"/>
        <w:gridCol w:w="713"/>
        <w:gridCol w:w="377"/>
        <w:gridCol w:w="570"/>
        <w:gridCol w:w="674"/>
        <w:gridCol w:w="454"/>
        <w:gridCol w:w="1065"/>
        <w:gridCol w:w="1018"/>
        <w:gridCol w:w="967"/>
        <w:gridCol w:w="1083"/>
        <w:gridCol w:w="869"/>
      </w:tblGrid>
      <w:tr>
        <w:trPr>
          <w:trHeight w:val="1048" w:hRule="exact"/>
        </w:trPr>
        <w:tc>
          <w:tcPr>
            <w:tcW w:w="1069" w:type="dxa"/>
          </w:tcPr>
          <w:p>
            <w:pPr>
              <w:pStyle w:val="TableParagraph"/>
              <w:spacing w:line="240" w:lineRule="auto"/>
              <w:rPr>
                <w:sz w:val="30"/>
              </w:rPr>
            </w:pPr>
          </w:p>
          <w:p>
            <w:pPr>
              <w:pStyle w:val="TableParagraph"/>
              <w:spacing w:line="240" w:lineRule="auto"/>
              <w:ind w:left="35"/>
              <w:rPr>
                <w:sz w:val="24"/>
              </w:rPr>
            </w:pPr>
            <w:r>
              <w:rPr>
                <w:sz w:val="24"/>
              </w:rPr>
              <w:t>Variable</w:t>
            </w:r>
          </w:p>
        </w:tc>
        <w:tc>
          <w:tcPr>
            <w:tcW w:w="713" w:type="dxa"/>
          </w:tcPr>
          <w:p>
            <w:pPr>
              <w:pStyle w:val="TableParagraph"/>
              <w:spacing w:line="240" w:lineRule="auto"/>
              <w:rPr>
                <w:sz w:val="30"/>
              </w:rPr>
            </w:pPr>
          </w:p>
          <w:p>
            <w:pPr>
              <w:pStyle w:val="TableParagraph"/>
              <w:spacing w:line="240" w:lineRule="auto"/>
              <w:ind w:left="210"/>
              <w:rPr>
                <w:sz w:val="24"/>
              </w:rPr>
            </w:pPr>
            <w:r>
              <w:rPr>
                <w:sz w:val="24"/>
              </w:rPr>
              <w:t>DF</w:t>
            </w:r>
          </w:p>
        </w:tc>
        <w:tc>
          <w:tcPr>
            <w:tcW w:w="947" w:type="dxa"/>
            <w:gridSpan w:val="2"/>
          </w:tcPr>
          <w:p>
            <w:pPr>
              <w:pStyle w:val="TableParagraph"/>
              <w:spacing w:line="240" w:lineRule="auto"/>
              <w:rPr>
                <w:sz w:val="30"/>
              </w:rPr>
            </w:pPr>
          </w:p>
          <w:p>
            <w:pPr>
              <w:pStyle w:val="TableParagraph"/>
              <w:spacing w:line="240" w:lineRule="auto"/>
              <w:ind w:left="102" w:right="-16"/>
              <w:rPr>
                <w:sz w:val="24"/>
              </w:rPr>
            </w:pPr>
            <w:r>
              <w:rPr>
                <w:sz w:val="24"/>
              </w:rPr>
              <w:t>Estimate</w:t>
            </w:r>
          </w:p>
        </w:tc>
        <w:tc>
          <w:tcPr>
            <w:tcW w:w="1128" w:type="dxa"/>
            <w:gridSpan w:val="2"/>
          </w:tcPr>
          <w:p>
            <w:pPr>
              <w:pStyle w:val="TableParagraph"/>
              <w:spacing w:line="240" w:lineRule="auto" w:before="69"/>
              <w:ind w:left="3"/>
              <w:rPr>
                <w:sz w:val="24"/>
              </w:rPr>
            </w:pPr>
            <w:r>
              <w:rPr>
                <w:sz w:val="24"/>
              </w:rPr>
              <w:t>Parameter</w:t>
            </w:r>
          </w:p>
          <w:p>
            <w:pPr>
              <w:pStyle w:val="TableParagraph"/>
              <w:spacing w:line="240" w:lineRule="auto"/>
              <w:ind w:left="475"/>
              <w:rPr>
                <w:sz w:val="24"/>
              </w:rPr>
            </w:pPr>
            <w:r>
              <w:rPr>
                <w:sz w:val="24"/>
              </w:rPr>
              <w:t>Error</w:t>
            </w:r>
          </w:p>
        </w:tc>
        <w:tc>
          <w:tcPr>
            <w:tcW w:w="3049" w:type="dxa"/>
            <w:gridSpan w:val="3"/>
          </w:tcPr>
          <w:p>
            <w:pPr>
              <w:pStyle w:val="TableParagraph"/>
              <w:tabs>
                <w:tab w:pos="1360" w:val="left" w:leader="none"/>
                <w:tab w:pos="1799" w:val="left" w:leader="none"/>
              </w:tabs>
              <w:spacing w:line="240" w:lineRule="auto" w:before="69"/>
              <w:ind w:left="333" w:right="293" w:hanging="188"/>
              <w:rPr>
                <w:sz w:val="24"/>
              </w:rPr>
            </w:pPr>
            <w:r>
              <w:rPr>
                <w:sz w:val="24"/>
              </w:rPr>
              <w:t>Standard</w:t>
              <w:tab/>
              <w:t>T</w:t>
            </w:r>
            <w:r>
              <w:rPr>
                <w:spacing w:val="-2"/>
                <w:sz w:val="24"/>
              </w:rPr>
              <w:t> </w:t>
            </w:r>
            <w:r>
              <w:rPr>
                <w:sz w:val="24"/>
              </w:rPr>
              <w:t>for</w:t>
            </w:r>
            <w:r>
              <w:rPr>
                <w:spacing w:val="-2"/>
                <w:sz w:val="24"/>
              </w:rPr>
              <w:t> </w:t>
            </w:r>
            <w:r>
              <w:rPr>
                <w:sz w:val="24"/>
              </w:rPr>
              <w:t>H0: Parameter=0</w:t>
              <w:tab/>
              <w:t>Prob</w:t>
            </w:r>
            <w:r>
              <w:rPr>
                <w:spacing w:val="-1"/>
                <w:sz w:val="24"/>
              </w:rPr>
              <w:t> </w:t>
            </w:r>
            <w:r>
              <w:rPr>
                <w:sz w:val="24"/>
              </w:rPr>
              <w:t>&gt;</w:t>
            </w:r>
            <w:r>
              <w:rPr>
                <w:spacing w:val="-1"/>
                <w:sz w:val="24"/>
              </w:rPr>
              <w:t> </w:t>
            </w:r>
            <w:r>
              <w:rPr>
                <w:sz w:val="24"/>
              </w:rPr>
              <w:t>|T|</w:t>
            </w:r>
            <w:r>
              <w:rPr>
                <w:w w:val="99"/>
                <w:sz w:val="24"/>
              </w:rPr>
              <w:t> </w:t>
            </w:r>
            <w:r>
              <w:rPr>
                <w:sz w:val="24"/>
              </w:rPr>
              <w:t>SS</w:t>
            </w:r>
          </w:p>
        </w:tc>
        <w:tc>
          <w:tcPr>
            <w:tcW w:w="1083" w:type="dxa"/>
          </w:tcPr>
          <w:p>
            <w:pPr>
              <w:pStyle w:val="TableParagraph"/>
              <w:spacing w:line="240" w:lineRule="auto"/>
              <w:rPr>
                <w:sz w:val="30"/>
              </w:rPr>
            </w:pPr>
          </w:p>
          <w:p>
            <w:pPr>
              <w:pStyle w:val="TableParagraph"/>
              <w:spacing w:line="240" w:lineRule="auto"/>
              <w:ind w:left="2"/>
              <w:rPr>
                <w:sz w:val="24"/>
              </w:rPr>
            </w:pPr>
            <w:r>
              <w:rPr>
                <w:sz w:val="24"/>
              </w:rPr>
              <w:t>Type I SS</w:t>
            </w:r>
          </w:p>
        </w:tc>
        <w:tc>
          <w:tcPr>
            <w:tcW w:w="869" w:type="dxa"/>
          </w:tcPr>
          <w:p>
            <w:pPr>
              <w:pStyle w:val="TableParagraph"/>
              <w:spacing w:line="240" w:lineRule="auto"/>
              <w:rPr>
                <w:sz w:val="30"/>
              </w:rPr>
            </w:pPr>
          </w:p>
          <w:p>
            <w:pPr>
              <w:pStyle w:val="TableParagraph"/>
              <w:spacing w:line="240" w:lineRule="auto"/>
              <w:ind w:left="120"/>
              <w:rPr>
                <w:sz w:val="24"/>
              </w:rPr>
            </w:pPr>
            <w:r>
              <w:rPr>
                <w:sz w:val="24"/>
              </w:rPr>
              <w:t>Type II</w:t>
            </w:r>
          </w:p>
        </w:tc>
      </w:tr>
      <w:tr>
        <w:trPr>
          <w:trHeight w:val="414" w:hRule="exact"/>
        </w:trPr>
        <w:tc>
          <w:tcPr>
            <w:tcW w:w="1783" w:type="dxa"/>
            <w:gridSpan w:val="2"/>
          </w:tcPr>
          <w:p>
            <w:pPr>
              <w:pStyle w:val="TableParagraph"/>
              <w:spacing w:line="240" w:lineRule="auto" w:before="125"/>
              <w:ind w:left="555"/>
              <w:rPr>
                <w:sz w:val="24"/>
              </w:rPr>
            </w:pPr>
            <w:r>
              <w:rPr>
                <w:sz w:val="24"/>
              </w:rPr>
              <w:t>INTERCEP</w:t>
            </w:r>
          </w:p>
        </w:tc>
        <w:tc>
          <w:tcPr>
            <w:tcW w:w="377" w:type="dxa"/>
          </w:tcPr>
          <w:p>
            <w:pPr>
              <w:pStyle w:val="TableParagraph"/>
              <w:spacing w:line="240" w:lineRule="auto" w:before="125"/>
              <w:ind w:right="155"/>
              <w:jc w:val="right"/>
              <w:rPr>
                <w:sz w:val="24"/>
              </w:rPr>
            </w:pPr>
            <w:r>
              <w:rPr>
                <w:sz w:val="24"/>
              </w:rPr>
              <w:t>1</w:t>
            </w:r>
          </w:p>
        </w:tc>
        <w:tc>
          <w:tcPr>
            <w:tcW w:w="1244" w:type="dxa"/>
            <w:gridSpan w:val="2"/>
          </w:tcPr>
          <w:p>
            <w:pPr>
              <w:pStyle w:val="TableParagraph"/>
              <w:spacing w:line="240" w:lineRule="auto" w:before="125"/>
              <w:ind w:left="142"/>
              <w:rPr>
                <w:sz w:val="24"/>
              </w:rPr>
            </w:pPr>
            <w:r>
              <w:rPr>
                <w:sz w:val="24"/>
              </w:rPr>
              <w:t>12.429360</w:t>
            </w:r>
          </w:p>
        </w:tc>
        <w:tc>
          <w:tcPr>
            <w:tcW w:w="1519" w:type="dxa"/>
            <w:gridSpan w:val="2"/>
          </w:tcPr>
          <w:p>
            <w:pPr>
              <w:pStyle w:val="TableParagraph"/>
              <w:spacing w:line="240" w:lineRule="auto" w:before="125"/>
              <w:ind w:left="160"/>
              <w:rPr>
                <w:sz w:val="24"/>
              </w:rPr>
            </w:pPr>
            <w:r>
              <w:rPr>
                <w:sz w:val="24"/>
              </w:rPr>
              <w:t>1.04247072</w:t>
            </w:r>
          </w:p>
        </w:tc>
        <w:tc>
          <w:tcPr>
            <w:tcW w:w="1018" w:type="dxa"/>
          </w:tcPr>
          <w:p>
            <w:pPr>
              <w:pStyle w:val="TableParagraph"/>
              <w:spacing w:line="240" w:lineRule="auto" w:before="125"/>
              <w:ind w:right="214"/>
              <w:jc w:val="right"/>
              <w:rPr>
                <w:sz w:val="24"/>
              </w:rPr>
            </w:pPr>
            <w:r>
              <w:rPr>
                <w:sz w:val="24"/>
              </w:rPr>
              <w:t>11.923</w:t>
            </w:r>
          </w:p>
        </w:tc>
        <w:tc>
          <w:tcPr>
            <w:tcW w:w="967" w:type="dxa"/>
          </w:tcPr>
          <w:p>
            <w:pPr>
              <w:pStyle w:val="TableParagraph"/>
              <w:spacing w:line="240" w:lineRule="auto" w:before="125"/>
              <w:ind w:left="263" w:right="-17"/>
              <w:rPr>
                <w:sz w:val="24"/>
              </w:rPr>
            </w:pPr>
            <w:r>
              <w:rPr>
                <w:sz w:val="24"/>
              </w:rPr>
              <w:t>0.0001</w:t>
            </w:r>
          </w:p>
        </w:tc>
        <w:tc>
          <w:tcPr>
            <w:tcW w:w="1952" w:type="dxa"/>
            <w:gridSpan w:val="2"/>
          </w:tcPr>
          <w:p>
            <w:pPr>
              <w:pStyle w:val="TableParagraph"/>
              <w:spacing w:line="240" w:lineRule="auto" w:before="125"/>
              <w:ind w:left="136"/>
              <w:rPr>
                <w:sz w:val="24"/>
              </w:rPr>
            </w:pPr>
            <w:r>
              <w:rPr>
                <w:sz w:val="24"/>
              </w:rPr>
              <w:t>4676.825497</w:t>
            </w:r>
          </w:p>
        </w:tc>
      </w:tr>
      <w:tr>
        <w:trPr>
          <w:trHeight w:val="276" w:hRule="exact"/>
        </w:trPr>
        <w:tc>
          <w:tcPr>
            <w:tcW w:w="1783" w:type="dxa"/>
            <w:gridSpan w:val="2"/>
          </w:tcPr>
          <w:p>
            <w:pPr/>
          </w:p>
        </w:tc>
        <w:tc>
          <w:tcPr>
            <w:tcW w:w="377" w:type="dxa"/>
          </w:tcPr>
          <w:p>
            <w:pPr/>
          </w:p>
        </w:tc>
        <w:tc>
          <w:tcPr>
            <w:tcW w:w="1244" w:type="dxa"/>
            <w:gridSpan w:val="2"/>
          </w:tcPr>
          <w:p>
            <w:pPr/>
          </w:p>
        </w:tc>
        <w:tc>
          <w:tcPr>
            <w:tcW w:w="1519" w:type="dxa"/>
            <w:gridSpan w:val="2"/>
          </w:tcPr>
          <w:p>
            <w:pPr>
              <w:pStyle w:val="TableParagraph"/>
              <w:ind w:left="148"/>
              <w:rPr>
                <w:sz w:val="24"/>
              </w:rPr>
            </w:pPr>
            <w:r>
              <w:rPr>
                <w:sz w:val="24"/>
              </w:rPr>
              <w:t>0.376148</w:t>
            </w:r>
          </w:p>
        </w:tc>
        <w:tc>
          <w:tcPr>
            <w:tcW w:w="1018" w:type="dxa"/>
          </w:tcPr>
          <w:p>
            <w:pPr/>
          </w:p>
        </w:tc>
        <w:tc>
          <w:tcPr>
            <w:tcW w:w="967" w:type="dxa"/>
          </w:tcPr>
          <w:p>
            <w:pPr/>
          </w:p>
        </w:tc>
        <w:tc>
          <w:tcPr>
            <w:tcW w:w="1952" w:type="dxa"/>
            <w:gridSpan w:val="2"/>
          </w:tcPr>
          <w:p>
            <w:pPr/>
          </w:p>
        </w:tc>
      </w:tr>
      <w:tr>
        <w:trPr>
          <w:trHeight w:val="276" w:hRule="exact"/>
        </w:trPr>
        <w:tc>
          <w:tcPr>
            <w:tcW w:w="1783" w:type="dxa"/>
            <w:gridSpan w:val="2"/>
          </w:tcPr>
          <w:p>
            <w:pPr>
              <w:pStyle w:val="TableParagraph"/>
              <w:ind w:left="550"/>
              <w:rPr>
                <w:sz w:val="24"/>
              </w:rPr>
            </w:pPr>
            <w:r>
              <w:rPr>
                <w:sz w:val="24"/>
              </w:rPr>
              <w:t>X11</w:t>
            </w:r>
          </w:p>
        </w:tc>
        <w:tc>
          <w:tcPr>
            <w:tcW w:w="377" w:type="dxa"/>
          </w:tcPr>
          <w:p>
            <w:pPr>
              <w:pStyle w:val="TableParagraph"/>
              <w:ind w:right="173"/>
              <w:jc w:val="right"/>
              <w:rPr>
                <w:sz w:val="24"/>
              </w:rPr>
            </w:pPr>
            <w:r>
              <w:rPr>
                <w:sz w:val="24"/>
              </w:rPr>
              <w:t>1</w:t>
            </w:r>
          </w:p>
        </w:tc>
        <w:tc>
          <w:tcPr>
            <w:tcW w:w="1244" w:type="dxa"/>
            <w:gridSpan w:val="2"/>
          </w:tcPr>
          <w:p>
            <w:pPr>
              <w:pStyle w:val="TableParagraph"/>
              <w:ind w:left="184"/>
              <w:rPr>
                <w:sz w:val="24"/>
              </w:rPr>
            </w:pPr>
            <w:r>
              <w:rPr>
                <w:sz w:val="24"/>
              </w:rPr>
              <w:t>0.038573</w:t>
            </w:r>
          </w:p>
        </w:tc>
        <w:tc>
          <w:tcPr>
            <w:tcW w:w="1519" w:type="dxa"/>
            <w:gridSpan w:val="2"/>
          </w:tcPr>
          <w:p>
            <w:pPr>
              <w:pStyle w:val="TableParagraph"/>
              <w:ind w:left="141"/>
              <w:rPr>
                <w:sz w:val="24"/>
              </w:rPr>
            </w:pPr>
            <w:r>
              <w:rPr>
                <w:sz w:val="24"/>
              </w:rPr>
              <w:t>0.02988199</w:t>
            </w:r>
          </w:p>
        </w:tc>
        <w:tc>
          <w:tcPr>
            <w:tcW w:w="1018" w:type="dxa"/>
          </w:tcPr>
          <w:p>
            <w:pPr>
              <w:pStyle w:val="TableParagraph"/>
              <w:ind w:right="233"/>
              <w:jc w:val="right"/>
              <w:rPr>
                <w:sz w:val="24"/>
              </w:rPr>
            </w:pPr>
            <w:r>
              <w:rPr>
                <w:sz w:val="24"/>
              </w:rPr>
              <w:t>1.291</w:t>
            </w:r>
          </w:p>
        </w:tc>
        <w:tc>
          <w:tcPr>
            <w:tcW w:w="967" w:type="dxa"/>
          </w:tcPr>
          <w:p>
            <w:pPr>
              <w:pStyle w:val="TableParagraph"/>
              <w:ind w:left="244" w:right="-17"/>
              <w:rPr>
                <w:sz w:val="24"/>
              </w:rPr>
            </w:pPr>
            <w:r>
              <w:rPr>
                <w:sz w:val="24"/>
              </w:rPr>
              <w:t>0.2115</w:t>
            </w:r>
          </w:p>
        </w:tc>
        <w:tc>
          <w:tcPr>
            <w:tcW w:w="1952" w:type="dxa"/>
            <w:gridSpan w:val="2"/>
          </w:tcPr>
          <w:p>
            <w:pPr>
              <w:pStyle w:val="TableParagraph"/>
              <w:ind w:left="537"/>
              <w:rPr>
                <w:sz w:val="24"/>
              </w:rPr>
            </w:pPr>
            <w:r>
              <w:rPr>
                <w:sz w:val="24"/>
              </w:rPr>
              <w:t>0.032864</w:t>
            </w:r>
          </w:p>
        </w:tc>
      </w:tr>
      <w:tr>
        <w:trPr>
          <w:trHeight w:val="276" w:hRule="exact"/>
        </w:trPr>
        <w:tc>
          <w:tcPr>
            <w:tcW w:w="1783" w:type="dxa"/>
            <w:gridSpan w:val="2"/>
          </w:tcPr>
          <w:p>
            <w:pPr/>
          </w:p>
        </w:tc>
        <w:tc>
          <w:tcPr>
            <w:tcW w:w="377" w:type="dxa"/>
          </w:tcPr>
          <w:p>
            <w:pPr/>
          </w:p>
        </w:tc>
        <w:tc>
          <w:tcPr>
            <w:tcW w:w="1244" w:type="dxa"/>
            <w:gridSpan w:val="2"/>
          </w:tcPr>
          <w:p>
            <w:pPr/>
          </w:p>
        </w:tc>
        <w:tc>
          <w:tcPr>
            <w:tcW w:w="1519" w:type="dxa"/>
            <w:gridSpan w:val="2"/>
          </w:tcPr>
          <w:p>
            <w:pPr>
              <w:pStyle w:val="TableParagraph"/>
              <w:ind w:left="148"/>
              <w:rPr>
                <w:sz w:val="24"/>
              </w:rPr>
            </w:pPr>
            <w:r>
              <w:rPr>
                <w:sz w:val="24"/>
              </w:rPr>
              <w:t>0.004409</w:t>
            </w:r>
          </w:p>
        </w:tc>
        <w:tc>
          <w:tcPr>
            <w:tcW w:w="1018" w:type="dxa"/>
          </w:tcPr>
          <w:p>
            <w:pPr/>
          </w:p>
        </w:tc>
        <w:tc>
          <w:tcPr>
            <w:tcW w:w="967" w:type="dxa"/>
          </w:tcPr>
          <w:p>
            <w:pPr/>
          </w:p>
        </w:tc>
        <w:tc>
          <w:tcPr>
            <w:tcW w:w="1952" w:type="dxa"/>
            <w:gridSpan w:val="2"/>
          </w:tcPr>
          <w:p>
            <w:pPr/>
          </w:p>
        </w:tc>
      </w:tr>
      <w:tr>
        <w:trPr>
          <w:trHeight w:val="276" w:hRule="exact"/>
        </w:trPr>
        <w:tc>
          <w:tcPr>
            <w:tcW w:w="1783" w:type="dxa"/>
            <w:gridSpan w:val="2"/>
          </w:tcPr>
          <w:p>
            <w:pPr>
              <w:pStyle w:val="TableParagraph"/>
              <w:ind w:left="550"/>
              <w:rPr>
                <w:sz w:val="24"/>
              </w:rPr>
            </w:pPr>
            <w:r>
              <w:rPr>
                <w:sz w:val="24"/>
              </w:rPr>
              <w:t>X31</w:t>
            </w:r>
          </w:p>
        </w:tc>
        <w:tc>
          <w:tcPr>
            <w:tcW w:w="377" w:type="dxa"/>
          </w:tcPr>
          <w:p>
            <w:pPr>
              <w:pStyle w:val="TableParagraph"/>
              <w:ind w:right="173"/>
              <w:jc w:val="right"/>
              <w:rPr>
                <w:sz w:val="24"/>
              </w:rPr>
            </w:pPr>
            <w:r>
              <w:rPr>
                <w:sz w:val="24"/>
              </w:rPr>
              <w:t>1</w:t>
            </w:r>
          </w:p>
        </w:tc>
        <w:tc>
          <w:tcPr>
            <w:tcW w:w="1244" w:type="dxa"/>
            <w:gridSpan w:val="2"/>
          </w:tcPr>
          <w:p>
            <w:pPr>
              <w:pStyle w:val="TableParagraph"/>
              <w:ind w:left="124"/>
              <w:rPr>
                <w:sz w:val="24"/>
              </w:rPr>
            </w:pPr>
            <w:r>
              <w:rPr>
                <w:sz w:val="24"/>
              </w:rPr>
              <w:t>-0.008325</w:t>
            </w:r>
          </w:p>
        </w:tc>
        <w:tc>
          <w:tcPr>
            <w:tcW w:w="1519" w:type="dxa"/>
            <w:gridSpan w:val="2"/>
          </w:tcPr>
          <w:p>
            <w:pPr>
              <w:pStyle w:val="TableParagraph"/>
              <w:ind w:left="102"/>
              <w:rPr>
                <w:sz w:val="24"/>
              </w:rPr>
            </w:pPr>
            <w:r>
              <w:rPr>
                <w:sz w:val="24"/>
              </w:rPr>
              <w:t>0.07065127</w:t>
            </w:r>
          </w:p>
        </w:tc>
        <w:tc>
          <w:tcPr>
            <w:tcW w:w="1018" w:type="dxa"/>
          </w:tcPr>
          <w:p>
            <w:pPr>
              <w:pStyle w:val="TableParagraph"/>
              <w:ind w:right="252"/>
              <w:jc w:val="right"/>
              <w:rPr>
                <w:sz w:val="24"/>
              </w:rPr>
            </w:pPr>
            <w:r>
              <w:rPr>
                <w:sz w:val="24"/>
              </w:rPr>
              <w:t>-0.118</w:t>
            </w:r>
          </w:p>
        </w:tc>
        <w:tc>
          <w:tcPr>
            <w:tcW w:w="967" w:type="dxa"/>
          </w:tcPr>
          <w:p>
            <w:pPr>
              <w:pStyle w:val="TableParagraph"/>
              <w:ind w:left="225" w:right="-17"/>
              <w:rPr>
                <w:sz w:val="24"/>
              </w:rPr>
            </w:pPr>
            <w:r>
              <w:rPr>
                <w:sz w:val="24"/>
              </w:rPr>
              <w:t>0.9074</w:t>
            </w:r>
          </w:p>
        </w:tc>
        <w:tc>
          <w:tcPr>
            <w:tcW w:w="1952" w:type="dxa"/>
            <w:gridSpan w:val="2"/>
          </w:tcPr>
          <w:p>
            <w:pPr>
              <w:pStyle w:val="TableParagraph"/>
              <w:ind w:left="458"/>
              <w:rPr>
                <w:sz w:val="24"/>
              </w:rPr>
            </w:pPr>
            <w:r>
              <w:rPr>
                <w:sz w:val="24"/>
              </w:rPr>
              <w:t>0.038752</w:t>
            </w:r>
          </w:p>
        </w:tc>
      </w:tr>
      <w:tr>
        <w:trPr>
          <w:trHeight w:val="276" w:hRule="exact"/>
        </w:trPr>
        <w:tc>
          <w:tcPr>
            <w:tcW w:w="1783" w:type="dxa"/>
            <w:gridSpan w:val="2"/>
          </w:tcPr>
          <w:p>
            <w:pPr/>
          </w:p>
        </w:tc>
        <w:tc>
          <w:tcPr>
            <w:tcW w:w="377" w:type="dxa"/>
          </w:tcPr>
          <w:p>
            <w:pPr/>
          </w:p>
        </w:tc>
        <w:tc>
          <w:tcPr>
            <w:tcW w:w="1244" w:type="dxa"/>
            <w:gridSpan w:val="2"/>
          </w:tcPr>
          <w:p>
            <w:pPr/>
          </w:p>
        </w:tc>
        <w:tc>
          <w:tcPr>
            <w:tcW w:w="1519" w:type="dxa"/>
            <w:gridSpan w:val="2"/>
          </w:tcPr>
          <w:p>
            <w:pPr>
              <w:pStyle w:val="TableParagraph"/>
              <w:ind w:left="124"/>
              <w:rPr>
                <w:sz w:val="24"/>
              </w:rPr>
            </w:pPr>
            <w:r>
              <w:rPr>
                <w:sz w:val="24"/>
              </w:rPr>
              <w:t>0.000036734</w:t>
            </w:r>
          </w:p>
        </w:tc>
        <w:tc>
          <w:tcPr>
            <w:tcW w:w="1018" w:type="dxa"/>
          </w:tcPr>
          <w:p>
            <w:pPr/>
          </w:p>
        </w:tc>
        <w:tc>
          <w:tcPr>
            <w:tcW w:w="967" w:type="dxa"/>
          </w:tcPr>
          <w:p>
            <w:pPr/>
          </w:p>
        </w:tc>
        <w:tc>
          <w:tcPr>
            <w:tcW w:w="1952" w:type="dxa"/>
            <w:gridSpan w:val="2"/>
          </w:tcPr>
          <w:p>
            <w:pPr/>
          </w:p>
        </w:tc>
      </w:tr>
      <w:tr>
        <w:trPr>
          <w:trHeight w:val="276" w:hRule="exact"/>
        </w:trPr>
        <w:tc>
          <w:tcPr>
            <w:tcW w:w="1783" w:type="dxa"/>
            <w:gridSpan w:val="2"/>
          </w:tcPr>
          <w:p>
            <w:pPr>
              <w:pStyle w:val="TableParagraph"/>
              <w:ind w:left="572"/>
              <w:rPr>
                <w:sz w:val="24"/>
              </w:rPr>
            </w:pPr>
            <w:r>
              <w:rPr>
                <w:sz w:val="24"/>
              </w:rPr>
              <w:t>X41</w:t>
            </w:r>
          </w:p>
        </w:tc>
        <w:tc>
          <w:tcPr>
            <w:tcW w:w="377" w:type="dxa"/>
          </w:tcPr>
          <w:p>
            <w:pPr>
              <w:pStyle w:val="TableParagraph"/>
              <w:ind w:right="152"/>
              <w:jc w:val="right"/>
              <w:rPr>
                <w:sz w:val="24"/>
              </w:rPr>
            </w:pPr>
            <w:r>
              <w:rPr>
                <w:sz w:val="24"/>
              </w:rPr>
              <w:t>1</w:t>
            </w:r>
          </w:p>
        </w:tc>
        <w:tc>
          <w:tcPr>
            <w:tcW w:w="1244" w:type="dxa"/>
            <w:gridSpan w:val="2"/>
          </w:tcPr>
          <w:p>
            <w:pPr>
              <w:pStyle w:val="TableParagraph"/>
              <w:ind w:left="146"/>
              <w:rPr>
                <w:sz w:val="24"/>
              </w:rPr>
            </w:pPr>
            <w:r>
              <w:rPr>
                <w:sz w:val="24"/>
              </w:rPr>
              <w:t>-0.040239</w:t>
            </w:r>
          </w:p>
        </w:tc>
        <w:tc>
          <w:tcPr>
            <w:tcW w:w="1519" w:type="dxa"/>
            <w:gridSpan w:val="2"/>
          </w:tcPr>
          <w:p>
            <w:pPr>
              <w:pStyle w:val="TableParagraph"/>
              <w:ind w:left="124"/>
              <w:rPr>
                <w:sz w:val="24"/>
              </w:rPr>
            </w:pPr>
            <w:r>
              <w:rPr>
                <w:sz w:val="24"/>
              </w:rPr>
              <w:t>0.00998195</w:t>
            </w:r>
          </w:p>
        </w:tc>
        <w:tc>
          <w:tcPr>
            <w:tcW w:w="1018" w:type="dxa"/>
          </w:tcPr>
          <w:p>
            <w:pPr>
              <w:pStyle w:val="TableParagraph"/>
              <w:ind w:right="230"/>
              <w:jc w:val="right"/>
              <w:rPr>
                <w:sz w:val="24"/>
              </w:rPr>
            </w:pPr>
            <w:r>
              <w:rPr>
                <w:sz w:val="24"/>
              </w:rPr>
              <w:t>-4.031</w:t>
            </w:r>
          </w:p>
        </w:tc>
        <w:tc>
          <w:tcPr>
            <w:tcW w:w="967" w:type="dxa"/>
          </w:tcPr>
          <w:p>
            <w:pPr>
              <w:pStyle w:val="TableParagraph"/>
              <w:ind w:left="247" w:right="-17"/>
              <w:rPr>
                <w:sz w:val="24"/>
              </w:rPr>
            </w:pPr>
            <w:r>
              <w:rPr>
                <w:sz w:val="24"/>
              </w:rPr>
              <w:t>0.0007</w:t>
            </w:r>
          </w:p>
        </w:tc>
        <w:tc>
          <w:tcPr>
            <w:tcW w:w="1952" w:type="dxa"/>
            <w:gridSpan w:val="2"/>
          </w:tcPr>
          <w:p>
            <w:pPr>
              <w:pStyle w:val="TableParagraph"/>
              <w:ind w:left="480"/>
              <w:rPr>
                <w:sz w:val="24"/>
              </w:rPr>
            </w:pPr>
            <w:r>
              <w:rPr>
                <w:sz w:val="24"/>
              </w:rPr>
              <w:t>0.055074</w:t>
            </w:r>
          </w:p>
        </w:tc>
      </w:tr>
      <w:tr>
        <w:trPr>
          <w:trHeight w:val="276" w:hRule="exact"/>
        </w:trPr>
        <w:tc>
          <w:tcPr>
            <w:tcW w:w="1783" w:type="dxa"/>
            <w:gridSpan w:val="2"/>
          </w:tcPr>
          <w:p>
            <w:pPr/>
          </w:p>
        </w:tc>
        <w:tc>
          <w:tcPr>
            <w:tcW w:w="377" w:type="dxa"/>
          </w:tcPr>
          <w:p>
            <w:pPr/>
          </w:p>
        </w:tc>
        <w:tc>
          <w:tcPr>
            <w:tcW w:w="1244" w:type="dxa"/>
            <w:gridSpan w:val="2"/>
          </w:tcPr>
          <w:p>
            <w:pPr/>
          </w:p>
        </w:tc>
        <w:tc>
          <w:tcPr>
            <w:tcW w:w="1519" w:type="dxa"/>
            <w:gridSpan w:val="2"/>
          </w:tcPr>
          <w:p>
            <w:pPr>
              <w:pStyle w:val="TableParagraph"/>
              <w:ind w:left="88"/>
              <w:rPr>
                <w:sz w:val="24"/>
              </w:rPr>
            </w:pPr>
            <w:r>
              <w:rPr>
                <w:sz w:val="24"/>
              </w:rPr>
              <w:t>0.042999</w:t>
            </w:r>
          </w:p>
        </w:tc>
        <w:tc>
          <w:tcPr>
            <w:tcW w:w="1018" w:type="dxa"/>
          </w:tcPr>
          <w:p>
            <w:pPr/>
          </w:p>
        </w:tc>
        <w:tc>
          <w:tcPr>
            <w:tcW w:w="967" w:type="dxa"/>
          </w:tcPr>
          <w:p>
            <w:pPr/>
          </w:p>
        </w:tc>
        <w:tc>
          <w:tcPr>
            <w:tcW w:w="1952" w:type="dxa"/>
            <w:gridSpan w:val="2"/>
          </w:tcPr>
          <w:p>
            <w:pPr/>
          </w:p>
        </w:tc>
      </w:tr>
      <w:tr>
        <w:trPr>
          <w:trHeight w:val="276" w:hRule="exact"/>
        </w:trPr>
        <w:tc>
          <w:tcPr>
            <w:tcW w:w="1783" w:type="dxa"/>
            <w:gridSpan w:val="2"/>
          </w:tcPr>
          <w:p>
            <w:pPr>
              <w:pStyle w:val="TableParagraph"/>
              <w:ind w:left="591"/>
              <w:rPr>
                <w:sz w:val="24"/>
              </w:rPr>
            </w:pPr>
            <w:r>
              <w:rPr>
                <w:sz w:val="24"/>
              </w:rPr>
              <w:t>X51</w:t>
            </w:r>
          </w:p>
        </w:tc>
        <w:tc>
          <w:tcPr>
            <w:tcW w:w="377" w:type="dxa"/>
          </w:tcPr>
          <w:p>
            <w:pPr>
              <w:pStyle w:val="TableParagraph"/>
              <w:ind w:right="132"/>
              <w:jc w:val="right"/>
              <w:rPr>
                <w:sz w:val="24"/>
              </w:rPr>
            </w:pPr>
            <w:r>
              <w:rPr>
                <w:sz w:val="24"/>
              </w:rPr>
              <w:t>1</w:t>
            </w:r>
          </w:p>
        </w:tc>
        <w:tc>
          <w:tcPr>
            <w:tcW w:w="1244" w:type="dxa"/>
            <w:gridSpan w:val="2"/>
          </w:tcPr>
          <w:p>
            <w:pPr>
              <w:pStyle w:val="TableParagraph"/>
              <w:ind w:left="225"/>
              <w:rPr>
                <w:sz w:val="24"/>
              </w:rPr>
            </w:pPr>
            <w:r>
              <w:rPr>
                <w:sz w:val="24"/>
              </w:rPr>
              <w:t>0.035302</w:t>
            </w:r>
          </w:p>
        </w:tc>
        <w:tc>
          <w:tcPr>
            <w:tcW w:w="1519" w:type="dxa"/>
            <w:gridSpan w:val="2"/>
          </w:tcPr>
          <w:p>
            <w:pPr>
              <w:pStyle w:val="TableParagraph"/>
              <w:ind w:left="121"/>
              <w:rPr>
                <w:sz w:val="24"/>
              </w:rPr>
            </w:pPr>
            <w:r>
              <w:rPr>
                <w:sz w:val="24"/>
              </w:rPr>
              <w:t>0.01976826</w:t>
            </w:r>
          </w:p>
        </w:tc>
        <w:tc>
          <w:tcPr>
            <w:tcW w:w="1018" w:type="dxa"/>
          </w:tcPr>
          <w:p>
            <w:pPr>
              <w:pStyle w:val="TableParagraph"/>
              <w:ind w:right="252"/>
              <w:jc w:val="right"/>
              <w:rPr>
                <w:sz w:val="24"/>
              </w:rPr>
            </w:pPr>
            <w:r>
              <w:rPr>
                <w:sz w:val="24"/>
              </w:rPr>
              <w:t>1.786</w:t>
            </w:r>
          </w:p>
        </w:tc>
        <w:tc>
          <w:tcPr>
            <w:tcW w:w="967" w:type="dxa"/>
          </w:tcPr>
          <w:p>
            <w:pPr>
              <w:pStyle w:val="TableParagraph"/>
              <w:ind w:left="225" w:right="-17"/>
              <w:rPr>
                <w:sz w:val="24"/>
              </w:rPr>
            </w:pPr>
            <w:r>
              <w:rPr>
                <w:sz w:val="24"/>
              </w:rPr>
              <w:t>0.0893</w:t>
            </w:r>
          </w:p>
        </w:tc>
        <w:tc>
          <w:tcPr>
            <w:tcW w:w="1952" w:type="dxa"/>
            <w:gridSpan w:val="2"/>
          </w:tcPr>
          <w:p>
            <w:pPr>
              <w:pStyle w:val="TableParagraph"/>
              <w:ind w:left="458"/>
              <w:rPr>
                <w:sz w:val="24"/>
              </w:rPr>
            </w:pPr>
            <w:r>
              <w:rPr>
                <w:sz w:val="24"/>
              </w:rPr>
              <w:t>0.016140</w:t>
            </w:r>
          </w:p>
        </w:tc>
      </w:tr>
      <w:tr>
        <w:trPr>
          <w:trHeight w:val="276" w:hRule="exact"/>
        </w:trPr>
        <w:tc>
          <w:tcPr>
            <w:tcW w:w="1783" w:type="dxa"/>
            <w:gridSpan w:val="2"/>
          </w:tcPr>
          <w:p>
            <w:pPr/>
          </w:p>
        </w:tc>
        <w:tc>
          <w:tcPr>
            <w:tcW w:w="377" w:type="dxa"/>
          </w:tcPr>
          <w:p>
            <w:pPr/>
          </w:p>
        </w:tc>
        <w:tc>
          <w:tcPr>
            <w:tcW w:w="1244" w:type="dxa"/>
            <w:gridSpan w:val="2"/>
          </w:tcPr>
          <w:p>
            <w:pPr/>
          </w:p>
        </w:tc>
        <w:tc>
          <w:tcPr>
            <w:tcW w:w="1519" w:type="dxa"/>
            <w:gridSpan w:val="2"/>
          </w:tcPr>
          <w:p>
            <w:pPr>
              <w:pStyle w:val="TableParagraph"/>
              <w:ind w:left="88"/>
              <w:rPr>
                <w:sz w:val="24"/>
              </w:rPr>
            </w:pPr>
            <w:r>
              <w:rPr>
                <w:sz w:val="24"/>
              </w:rPr>
              <w:t>0.008438</w:t>
            </w:r>
          </w:p>
        </w:tc>
        <w:tc>
          <w:tcPr>
            <w:tcW w:w="1018" w:type="dxa"/>
          </w:tcPr>
          <w:p>
            <w:pPr/>
          </w:p>
        </w:tc>
        <w:tc>
          <w:tcPr>
            <w:tcW w:w="967" w:type="dxa"/>
          </w:tcPr>
          <w:p>
            <w:pPr/>
          </w:p>
        </w:tc>
        <w:tc>
          <w:tcPr>
            <w:tcW w:w="1952" w:type="dxa"/>
            <w:gridSpan w:val="2"/>
          </w:tcPr>
          <w:p>
            <w:pPr/>
          </w:p>
        </w:tc>
      </w:tr>
      <w:tr>
        <w:trPr>
          <w:trHeight w:val="276" w:hRule="exact"/>
        </w:trPr>
        <w:tc>
          <w:tcPr>
            <w:tcW w:w="1783" w:type="dxa"/>
            <w:gridSpan w:val="2"/>
          </w:tcPr>
          <w:p>
            <w:pPr>
              <w:pStyle w:val="TableParagraph"/>
              <w:ind w:left="582" w:right="746"/>
              <w:jc w:val="center"/>
              <w:rPr>
                <w:sz w:val="24"/>
              </w:rPr>
            </w:pPr>
            <w:r>
              <w:rPr>
                <w:sz w:val="24"/>
              </w:rPr>
              <w:t>X61</w:t>
            </w:r>
          </w:p>
        </w:tc>
        <w:tc>
          <w:tcPr>
            <w:tcW w:w="377" w:type="dxa"/>
          </w:tcPr>
          <w:p>
            <w:pPr>
              <w:pStyle w:val="TableParagraph"/>
              <w:ind w:right="122"/>
              <w:jc w:val="right"/>
              <w:rPr>
                <w:sz w:val="24"/>
              </w:rPr>
            </w:pPr>
            <w:r>
              <w:rPr>
                <w:sz w:val="24"/>
              </w:rPr>
              <w:t>1</w:t>
            </w:r>
          </w:p>
        </w:tc>
        <w:tc>
          <w:tcPr>
            <w:tcW w:w="1244" w:type="dxa"/>
            <w:gridSpan w:val="2"/>
          </w:tcPr>
          <w:p>
            <w:pPr>
              <w:pStyle w:val="TableParagraph"/>
              <w:ind w:left="175"/>
              <w:rPr>
                <w:sz w:val="24"/>
              </w:rPr>
            </w:pPr>
            <w:r>
              <w:rPr>
                <w:sz w:val="24"/>
              </w:rPr>
              <w:t>-0.031140</w:t>
            </w:r>
          </w:p>
        </w:tc>
        <w:tc>
          <w:tcPr>
            <w:tcW w:w="1519" w:type="dxa"/>
            <w:gridSpan w:val="2"/>
          </w:tcPr>
          <w:p>
            <w:pPr>
              <w:pStyle w:val="TableParagraph"/>
              <w:ind w:left="92"/>
              <w:rPr>
                <w:sz w:val="24"/>
              </w:rPr>
            </w:pPr>
            <w:r>
              <w:rPr>
                <w:sz w:val="24"/>
              </w:rPr>
              <w:t>0.02987365</w:t>
            </w:r>
          </w:p>
        </w:tc>
        <w:tc>
          <w:tcPr>
            <w:tcW w:w="1018" w:type="dxa"/>
          </w:tcPr>
          <w:p>
            <w:pPr>
              <w:pStyle w:val="TableParagraph"/>
              <w:ind w:right="261"/>
              <w:jc w:val="right"/>
              <w:rPr>
                <w:sz w:val="24"/>
              </w:rPr>
            </w:pPr>
            <w:r>
              <w:rPr>
                <w:sz w:val="24"/>
              </w:rPr>
              <w:t>-1.042</w:t>
            </w:r>
          </w:p>
        </w:tc>
        <w:tc>
          <w:tcPr>
            <w:tcW w:w="967" w:type="dxa"/>
          </w:tcPr>
          <w:p>
            <w:pPr>
              <w:pStyle w:val="TableParagraph"/>
              <w:ind w:left="216" w:right="-17"/>
              <w:rPr>
                <w:sz w:val="24"/>
              </w:rPr>
            </w:pPr>
            <w:r>
              <w:rPr>
                <w:sz w:val="24"/>
              </w:rPr>
              <w:t>0.3097</w:t>
            </w:r>
          </w:p>
        </w:tc>
        <w:tc>
          <w:tcPr>
            <w:tcW w:w="1952" w:type="dxa"/>
            <w:gridSpan w:val="2"/>
          </w:tcPr>
          <w:p>
            <w:pPr>
              <w:pStyle w:val="TableParagraph"/>
              <w:ind w:left="449"/>
              <w:rPr>
                <w:sz w:val="24"/>
              </w:rPr>
            </w:pPr>
            <w:r>
              <w:rPr>
                <w:sz w:val="24"/>
              </w:rPr>
              <w:t>0.001815</w:t>
            </w:r>
          </w:p>
        </w:tc>
      </w:tr>
      <w:tr>
        <w:trPr>
          <w:trHeight w:val="276" w:hRule="exact"/>
        </w:trPr>
        <w:tc>
          <w:tcPr>
            <w:tcW w:w="1783" w:type="dxa"/>
            <w:gridSpan w:val="2"/>
          </w:tcPr>
          <w:p>
            <w:pPr/>
          </w:p>
        </w:tc>
        <w:tc>
          <w:tcPr>
            <w:tcW w:w="377" w:type="dxa"/>
          </w:tcPr>
          <w:p>
            <w:pPr/>
          </w:p>
        </w:tc>
        <w:tc>
          <w:tcPr>
            <w:tcW w:w="1244" w:type="dxa"/>
            <w:gridSpan w:val="2"/>
          </w:tcPr>
          <w:p>
            <w:pPr/>
          </w:p>
        </w:tc>
        <w:tc>
          <w:tcPr>
            <w:tcW w:w="1519" w:type="dxa"/>
            <w:gridSpan w:val="2"/>
          </w:tcPr>
          <w:p>
            <w:pPr>
              <w:pStyle w:val="TableParagraph"/>
              <w:ind w:left="88"/>
              <w:rPr>
                <w:sz w:val="24"/>
              </w:rPr>
            </w:pPr>
            <w:r>
              <w:rPr>
                <w:sz w:val="24"/>
              </w:rPr>
              <w:t>0.002875</w:t>
            </w:r>
          </w:p>
        </w:tc>
        <w:tc>
          <w:tcPr>
            <w:tcW w:w="1018" w:type="dxa"/>
          </w:tcPr>
          <w:p>
            <w:pPr/>
          </w:p>
        </w:tc>
        <w:tc>
          <w:tcPr>
            <w:tcW w:w="967" w:type="dxa"/>
          </w:tcPr>
          <w:p>
            <w:pPr/>
          </w:p>
        </w:tc>
        <w:tc>
          <w:tcPr>
            <w:tcW w:w="1952" w:type="dxa"/>
            <w:gridSpan w:val="2"/>
          </w:tcPr>
          <w:p>
            <w:pPr/>
          </w:p>
        </w:tc>
      </w:tr>
      <w:tr>
        <w:trPr>
          <w:trHeight w:val="276" w:hRule="exact"/>
        </w:trPr>
        <w:tc>
          <w:tcPr>
            <w:tcW w:w="1783" w:type="dxa"/>
            <w:gridSpan w:val="2"/>
          </w:tcPr>
          <w:p>
            <w:pPr>
              <w:pStyle w:val="TableParagraph"/>
              <w:ind w:left="572"/>
              <w:rPr>
                <w:sz w:val="24"/>
              </w:rPr>
            </w:pPr>
            <w:r>
              <w:rPr>
                <w:sz w:val="24"/>
              </w:rPr>
              <w:t>X71</w:t>
            </w:r>
          </w:p>
        </w:tc>
        <w:tc>
          <w:tcPr>
            <w:tcW w:w="377" w:type="dxa"/>
          </w:tcPr>
          <w:p>
            <w:pPr>
              <w:pStyle w:val="TableParagraph"/>
              <w:ind w:right="151"/>
              <w:jc w:val="right"/>
              <w:rPr>
                <w:sz w:val="24"/>
              </w:rPr>
            </w:pPr>
            <w:r>
              <w:rPr>
                <w:sz w:val="24"/>
              </w:rPr>
              <w:t>1</w:t>
            </w:r>
          </w:p>
        </w:tc>
        <w:tc>
          <w:tcPr>
            <w:tcW w:w="1244" w:type="dxa"/>
            <w:gridSpan w:val="2"/>
          </w:tcPr>
          <w:p>
            <w:pPr>
              <w:pStyle w:val="TableParagraph"/>
              <w:ind w:left="146"/>
              <w:rPr>
                <w:sz w:val="24"/>
              </w:rPr>
            </w:pPr>
            <w:r>
              <w:rPr>
                <w:sz w:val="24"/>
              </w:rPr>
              <w:t>-0.036296</w:t>
            </w:r>
          </w:p>
        </w:tc>
        <w:tc>
          <w:tcPr>
            <w:tcW w:w="1519" w:type="dxa"/>
            <w:gridSpan w:val="2"/>
          </w:tcPr>
          <w:p>
            <w:pPr>
              <w:pStyle w:val="TableParagraph"/>
              <w:ind w:left="124"/>
              <w:rPr>
                <w:sz w:val="24"/>
              </w:rPr>
            </w:pPr>
            <w:r>
              <w:rPr>
                <w:sz w:val="24"/>
              </w:rPr>
              <w:t>0.03250584</w:t>
            </w:r>
          </w:p>
        </w:tc>
        <w:tc>
          <w:tcPr>
            <w:tcW w:w="1018" w:type="dxa"/>
          </w:tcPr>
          <w:p>
            <w:pPr>
              <w:pStyle w:val="TableParagraph"/>
              <w:ind w:right="230"/>
              <w:jc w:val="right"/>
              <w:rPr>
                <w:sz w:val="24"/>
              </w:rPr>
            </w:pPr>
            <w:r>
              <w:rPr>
                <w:sz w:val="24"/>
              </w:rPr>
              <w:t>-1.117</w:t>
            </w:r>
          </w:p>
        </w:tc>
        <w:tc>
          <w:tcPr>
            <w:tcW w:w="967" w:type="dxa"/>
          </w:tcPr>
          <w:p>
            <w:pPr>
              <w:pStyle w:val="TableParagraph"/>
              <w:ind w:left="247" w:right="-17"/>
              <w:rPr>
                <w:sz w:val="24"/>
              </w:rPr>
            </w:pPr>
            <w:r>
              <w:rPr>
                <w:sz w:val="24"/>
              </w:rPr>
              <w:t>0.2774</w:t>
            </w:r>
          </w:p>
        </w:tc>
        <w:tc>
          <w:tcPr>
            <w:tcW w:w="1952" w:type="dxa"/>
            <w:gridSpan w:val="2"/>
          </w:tcPr>
          <w:p>
            <w:pPr>
              <w:pStyle w:val="TableParagraph"/>
              <w:ind w:left="480"/>
              <w:rPr>
                <w:sz w:val="24"/>
              </w:rPr>
            </w:pPr>
            <w:r>
              <w:rPr>
                <w:sz w:val="24"/>
              </w:rPr>
              <w:t>0.005812</w:t>
            </w:r>
          </w:p>
        </w:tc>
      </w:tr>
      <w:tr>
        <w:trPr>
          <w:trHeight w:val="276" w:hRule="exact"/>
        </w:trPr>
        <w:tc>
          <w:tcPr>
            <w:tcW w:w="1783" w:type="dxa"/>
            <w:gridSpan w:val="2"/>
          </w:tcPr>
          <w:p>
            <w:pPr/>
          </w:p>
        </w:tc>
        <w:tc>
          <w:tcPr>
            <w:tcW w:w="377" w:type="dxa"/>
          </w:tcPr>
          <w:p>
            <w:pPr/>
          </w:p>
        </w:tc>
        <w:tc>
          <w:tcPr>
            <w:tcW w:w="1244" w:type="dxa"/>
            <w:gridSpan w:val="2"/>
          </w:tcPr>
          <w:p>
            <w:pPr/>
          </w:p>
        </w:tc>
        <w:tc>
          <w:tcPr>
            <w:tcW w:w="1519" w:type="dxa"/>
            <w:gridSpan w:val="2"/>
          </w:tcPr>
          <w:p>
            <w:pPr>
              <w:pStyle w:val="TableParagraph"/>
              <w:ind w:left="88"/>
              <w:rPr>
                <w:sz w:val="24"/>
              </w:rPr>
            </w:pPr>
            <w:r>
              <w:rPr>
                <w:sz w:val="24"/>
              </w:rPr>
              <w:t>0.003299</w:t>
            </w:r>
          </w:p>
        </w:tc>
        <w:tc>
          <w:tcPr>
            <w:tcW w:w="1018" w:type="dxa"/>
          </w:tcPr>
          <w:p>
            <w:pPr/>
          </w:p>
        </w:tc>
        <w:tc>
          <w:tcPr>
            <w:tcW w:w="967" w:type="dxa"/>
          </w:tcPr>
          <w:p>
            <w:pPr/>
          </w:p>
        </w:tc>
        <w:tc>
          <w:tcPr>
            <w:tcW w:w="1952" w:type="dxa"/>
            <w:gridSpan w:val="2"/>
          </w:tcPr>
          <w:p>
            <w:pPr/>
          </w:p>
        </w:tc>
      </w:tr>
      <w:tr>
        <w:trPr>
          <w:trHeight w:val="276" w:hRule="exact"/>
        </w:trPr>
        <w:tc>
          <w:tcPr>
            <w:tcW w:w="1783" w:type="dxa"/>
            <w:gridSpan w:val="2"/>
          </w:tcPr>
          <w:p>
            <w:pPr>
              <w:pStyle w:val="TableParagraph"/>
              <w:ind w:left="550"/>
              <w:rPr>
                <w:sz w:val="24"/>
              </w:rPr>
            </w:pPr>
            <w:r>
              <w:rPr>
                <w:sz w:val="24"/>
              </w:rPr>
              <w:t>X81</w:t>
            </w:r>
          </w:p>
        </w:tc>
        <w:tc>
          <w:tcPr>
            <w:tcW w:w="377" w:type="dxa"/>
          </w:tcPr>
          <w:p>
            <w:pPr>
              <w:pStyle w:val="TableParagraph"/>
              <w:ind w:right="173"/>
              <w:jc w:val="right"/>
              <w:rPr>
                <w:sz w:val="24"/>
              </w:rPr>
            </w:pPr>
            <w:r>
              <w:rPr>
                <w:sz w:val="24"/>
              </w:rPr>
              <w:t>1</w:t>
            </w:r>
          </w:p>
        </w:tc>
        <w:tc>
          <w:tcPr>
            <w:tcW w:w="1244" w:type="dxa"/>
            <w:gridSpan w:val="2"/>
          </w:tcPr>
          <w:p>
            <w:pPr>
              <w:pStyle w:val="TableParagraph"/>
              <w:ind w:left="184"/>
              <w:rPr>
                <w:sz w:val="24"/>
              </w:rPr>
            </w:pPr>
            <w:r>
              <w:rPr>
                <w:sz w:val="24"/>
              </w:rPr>
              <w:t>0.017503</w:t>
            </w:r>
          </w:p>
        </w:tc>
        <w:tc>
          <w:tcPr>
            <w:tcW w:w="1519" w:type="dxa"/>
            <w:gridSpan w:val="2"/>
          </w:tcPr>
          <w:p>
            <w:pPr>
              <w:pStyle w:val="TableParagraph"/>
              <w:ind w:left="81"/>
              <w:rPr>
                <w:sz w:val="24"/>
              </w:rPr>
            </w:pPr>
            <w:r>
              <w:rPr>
                <w:sz w:val="24"/>
              </w:rPr>
              <w:t>0.02016668</w:t>
            </w:r>
          </w:p>
        </w:tc>
        <w:tc>
          <w:tcPr>
            <w:tcW w:w="1018" w:type="dxa"/>
          </w:tcPr>
          <w:p>
            <w:pPr>
              <w:pStyle w:val="TableParagraph"/>
              <w:ind w:right="293"/>
              <w:jc w:val="right"/>
              <w:rPr>
                <w:sz w:val="24"/>
              </w:rPr>
            </w:pPr>
            <w:r>
              <w:rPr>
                <w:sz w:val="24"/>
              </w:rPr>
              <w:t>0.868</w:t>
            </w:r>
          </w:p>
        </w:tc>
        <w:tc>
          <w:tcPr>
            <w:tcW w:w="967" w:type="dxa"/>
          </w:tcPr>
          <w:p>
            <w:pPr>
              <w:pStyle w:val="TableParagraph"/>
              <w:ind w:left="304" w:right="-17"/>
              <w:rPr>
                <w:sz w:val="24"/>
              </w:rPr>
            </w:pPr>
            <w:r>
              <w:rPr>
                <w:sz w:val="24"/>
              </w:rPr>
              <w:t>0.3957</w:t>
            </w:r>
          </w:p>
        </w:tc>
        <w:tc>
          <w:tcPr>
            <w:tcW w:w="1952" w:type="dxa"/>
            <w:gridSpan w:val="2"/>
          </w:tcPr>
          <w:p>
            <w:pPr>
              <w:pStyle w:val="TableParagraph"/>
              <w:ind w:left="477"/>
              <w:rPr>
                <w:sz w:val="24"/>
              </w:rPr>
            </w:pPr>
            <w:r>
              <w:rPr>
                <w:sz w:val="24"/>
              </w:rPr>
              <w:t>0.001993</w:t>
            </w:r>
          </w:p>
        </w:tc>
      </w:tr>
      <w:tr>
        <w:trPr>
          <w:trHeight w:val="258" w:hRule="exact"/>
        </w:trPr>
        <w:tc>
          <w:tcPr>
            <w:tcW w:w="1783" w:type="dxa"/>
            <w:gridSpan w:val="2"/>
          </w:tcPr>
          <w:p>
            <w:pPr/>
          </w:p>
        </w:tc>
        <w:tc>
          <w:tcPr>
            <w:tcW w:w="377" w:type="dxa"/>
          </w:tcPr>
          <w:p>
            <w:pPr/>
          </w:p>
        </w:tc>
        <w:tc>
          <w:tcPr>
            <w:tcW w:w="1244" w:type="dxa"/>
            <w:gridSpan w:val="2"/>
          </w:tcPr>
          <w:p>
            <w:pPr/>
          </w:p>
        </w:tc>
        <w:tc>
          <w:tcPr>
            <w:tcW w:w="1519" w:type="dxa"/>
            <w:gridSpan w:val="2"/>
          </w:tcPr>
          <w:p>
            <w:pPr>
              <w:pStyle w:val="TableParagraph"/>
              <w:ind w:left="88"/>
              <w:rPr>
                <w:sz w:val="24"/>
              </w:rPr>
            </w:pPr>
            <w:r>
              <w:rPr>
                <w:sz w:val="24"/>
              </w:rPr>
              <w:t>0.001993</w:t>
            </w:r>
          </w:p>
        </w:tc>
        <w:tc>
          <w:tcPr>
            <w:tcW w:w="1018" w:type="dxa"/>
          </w:tcPr>
          <w:p>
            <w:pPr/>
          </w:p>
        </w:tc>
        <w:tc>
          <w:tcPr>
            <w:tcW w:w="967" w:type="dxa"/>
          </w:tcPr>
          <w:p>
            <w:pPr/>
          </w:p>
        </w:tc>
        <w:tc>
          <w:tcPr>
            <w:tcW w:w="1952" w:type="dxa"/>
            <w:gridSpan w:val="2"/>
          </w:tcPr>
          <w:p>
            <w:pPr/>
          </w:p>
        </w:tc>
      </w:tr>
    </w:tbl>
    <w:p>
      <w:pPr>
        <w:pStyle w:val="BodyText"/>
        <w:spacing w:before="5"/>
        <w:ind w:left="122"/>
      </w:pPr>
      <w:r>
        <w:rPr>
          <w:b/>
        </w:rPr>
        <w:t>Tabla 2 </w:t>
      </w:r>
      <w:r>
        <w:rPr/>
        <w:t>Valores estimados para los parámetros del modelo propuesto</w:t>
      </w:r>
    </w:p>
    <w:p>
      <w:pPr>
        <w:pStyle w:val="BodyText"/>
      </w:pPr>
    </w:p>
    <w:p>
      <w:pPr>
        <w:pStyle w:val="BodyText"/>
        <w:ind w:left="122"/>
      </w:pPr>
      <w:r>
        <w:rPr/>
        <w:t>A</w:t>
      </w:r>
      <w:r>
        <w:rPr>
          <w:spacing w:val="-13"/>
        </w:rPr>
        <w:t> </w:t>
      </w:r>
      <w:r>
        <w:rPr/>
        <w:t>partir</w:t>
      </w:r>
      <w:r>
        <w:rPr>
          <w:spacing w:val="-12"/>
        </w:rPr>
        <w:t> </w:t>
      </w:r>
      <w:r>
        <w:rPr/>
        <w:t>de</w:t>
      </w:r>
      <w:r>
        <w:rPr>
          <w:spacing w:val="-13"/>
        </w:rPr>
        <w:t> </w:t>
      </w:r>
      <w:r>
        <w:rPr/>
        <w:t>los</w:t>
      </w:r>
      <w:r>
        <w:rPr>
          <w:spacing w:val="-11"/>
        </w:rPr>
        <w:t> </w:t>
      </w:r>
      <w:r>
        <w:rPr/>
        <w:t>valores</w:t>
      </w:r>
      <w:r>
        <w:rPr>
          <w:spacing w:val="-12"/>
        </w:rPr>
        <w:t> </w:t>
      </w:r>
      <w:r>
        <w:rPr/>
        <w:t>observados</w:t>
      </w:r>
      <w:r>
        <w:rPr>
          <w:spacing w:val="-12"/>
        </w:rPr>
        <w:t> </w:t>
      </w:r>
      <w:r>
        <w:rPr/>
        <w:t>del</w:t>
      </w:r>
      <w:r>
        <w:rPr>
          <w:spacing w:val="-12"/>
        </w:rPr>
        <w:t> </w:t>
      </w:r>
      <w:r>
        <w:rPr/>
        <w:t>cuadro</w:t>
      </w:r>
      <w:r>
        <w:rPr>
          <w:spacing w:val="-13"/>
        </w:rPr>
        <w:t> </w:t>
      </w:r>
      <w:r>
        <w:rPr/>
        <w:t>2,</w:t>
      </w:r>
      <w:r>
        <w:rPr>
          <w:spacing w:val="-12"/>
        </w:rPr>
        <w:t> </w:t>
      </w:r>
      <w:r>
        <w:rPr/>
        <w:t>el</w:t>
      </w:r>
      <w:r>
        <w:rPr>
          <w:spacing w:val="-12"/>
        </w:rPr>
        <w:t> </w:t>
      </w:r>
      <w:r>
        <w:rPr/>
        <w:t>modelo</w:t>
      </w:r>
      <w:r>
        <w:rPr>
          <w:spacing w:val="-12"/>
        </w:rPr>
        <w:t> </w:t>
      </w:r>
      <w:r>
        <w:rPr/>
        <w:t>resultante</w:t>
      </w:r>
      <w:r>
        <w:rPr>
          <w:spacing w:val="-12"/>
        </w:rPr>
        <w:t> </w:t>
      </w:r>
      <w:r>
        <w:rPr/>
        <w:t>estimado</w:t>
      </w:r>
      <w:r>
        <w:rPr>
          <w:spacing w:val="-13"/>
        </w:rPr>
        <w:t> </w:t>
      </w:r>
      <w:r>
        <w:rPr/>
        <w:t>es</w:t>
      </w:r>
      <w:r>
        <w:rPr>
          <w:spacing w:val="-12"/>
        </w:rPr>
        <w:t> </w:t>
      </w:r>
      <w:r>
        <w:rPr/>
        <w:t>el</w:t>
      </w:r>
      <w:r>
        <w:rPr>
          <w:spacing w:val="-12"/>
        </w:rPr>
        <w:t> </w:t>
      </w:r>
      <w:r>
        <w:rPr/>
        <w:t>siguiente:</w:t>
      </w:r>
    </w:p>
    <w:p>
      <w:pPr>
        <w:pStyle w:val="BodyText"/>
        <w:spacing w:before="11"/>
        <w:rPr>
          <w:sz w:val="25"/>
        </w:rPr>
      </w:pPr>
    </w:p>
    <w:p>
      <w:pPr>
        <w:pStyle w:val="BodyText"/>
        <w:spacing w:line="276" w:lineRule="exact"/>
        <w:ind w:left="122" w:right="1112"/>
        <w:rPr>
          <w:sz w:val="16"/>
        </w:rPr>
      </w:pPr>
      <w:r>
        <w:rPr>
          <w:position w:val="2"/>
        </w:rPr>
        <w:t>Y</w:t>
      </w:r>
      <w:r>
        <w:rPr>
          <w:sz w:val="16"/>
        </w:rPr>
        <w:t>11</w:t>
      </w:r>
      <w:r>
        <w:rPr>
          <w:position w:val="2"/>
        </w:rPr>
        <w:t>= 12.4293+0.03857X</w:t>
      </w:r>
      <w:r>
        <w:rPr>
          <w:sz w:val="16"/>
        </w:rPr>
        <w:t>11</w:t>
      </w:r>
      <w:r>
        <w:rPr>
          <w:position w:val="2"/>
        </w:rPr>
        <w:t>-0.008325X</w:t>
      </w:r>
      <w:r>
        <w:rPr>
          <w:sz w:val="16"/>
        </w:rPr>
        <w:t>31</w:t>
      </w:r>
      <w:r>
        <w:rPr>
          <w:position w:val="2"/>
        </w:rPr>
        <w:t>-0.040239X</w:t>
      </w:r>
      <w:r>
        <w:rPr>
          <w:sz w:val="16"/>
        </w:rPr>
        <w:t>41</w:t>
      </w:r>
      <w:r>
        <w:rPr>
          <w:position w:val="2"/>
        </w:rPr>
        <w:t>+0.035302X</w:t>
      </w:r>
      <w:r>
        <w:rPr>
          <w:sz w:val="16"/>
        </w:rPr>
        <w:t>51</w:t>
      </w:r>
      <w:r>
        <w:rPr>
          <w:position w:val="2"/>
        </w:rPr>
        <w:t>-0.03114X</w:t>
      </w:r>
      <w:r>
        <w:rPr>
          <w:sz w:val="16"/>
        </w:rPr>
        <w:t>61</w:t>
      </w:r>
      <w:r>
        <w:rPr>
          <w:position w:val="2"/>
        </w:rPr>
        <w:t>- 0.036296X</w:t>
      </w:r>
      <w:r>
        <w:rPr>
          <w:sz w:val="16"/>
        </w:rPr>
        <w:t>71</w:t>
      </w:r>
      <w:r>
        <w:rPr>
          <w:position w:val="2"/>
        </w:rPr>
        <w:t>+0.0175X</w:t>
      </w:r>
      <w:r>
        <w:rPr>
          <w:sz w:val="16"/>
        </w:rPr>
        <w:t>81</w:t>
      </w:r>
      <w:r>
        <w:rPr>
          <w:position w:val="2"/>
        </w:rPr>
        <w:t>+ e</w:t>
      </w:r>
      <w:r>
        <w:rPr>
          <w:sz w:val="16"/>
        </w:rPr>
        <w:t>t</w:t>
      </w:r>
    </w:p>
    <w:p>
      <w:pPr>
        <w:pStyle w:val="BodyText"/>
        <w:rPr>
          <w:sz w:val="22"/>
        </w:rPr>
      </w:pPr>
    </w:p>
    <w:p>
      <w:pPr>
        <w:pStyle w:val="BodyText"/>
        <w:ind w:left="122" w:right="114" w:firstLine="707"/>
        <w:jc w:val="both"/>
      </w:pPr>
      <w:r>
        <w:rPr/>
        <w:t>Donde se observa que las variables gasto de gobierno, crédito de la banca comercial y la balanza comercial agropecuaria tienen efectos positivos de la magnitud expuesta en la ecuación</w:t>
      </w:r>
      <w:r>
        <w:rPr>
          <w:spacing w:val="-6"/>
        </w:rPr>
        <w:t> </w:t>
      </w:r>
      <w:r>
        <w:rPr/>
        <w:t>anterior</w:t>
      </w:r>
      <w:r>
        <w:rPr>
          <w:spacing w:val="-7"/>
        </w:rPr>
        <w:t> </w:t>
      </w:r>
      <w:r>
        <w:rPr/>
        <w:t>sobre</w:t>
      </w:r>
      <w:r>
        <w:rPr>
          <w:spacing w:val="-8"/>
        </w:rPr>
        <w:t> </w:t>
      </w:r>
      <w:r>
        <w:rPr/>
        <w:t>el</w:t>
      </w:r>
      <w:r>
        <w:rPr>
          <w:spacing w:val="-6"/>
        </w:rPr>
        <w:t> </w:t>
      </w:r>
      <w:r>
        <w:rPr/>
        <w:t>comportamiento</w:t>
      </w:r>
      <w:r>
        <w:rPr>
          <w:spacing w:val="-6"/>
        </w:rPr>
        <w:t> </w:t>
      </w:r>
      <w:r>
        <w:rPr/>
        <w:t>del</w:t>
      </w:r>
      <w:r>
        <w:rPr>
          <w:spacing w:val="-6"/>
        </w:rPr>
        <w:t> </w:t>
      </w:r>
      <w:r>
        <w:rPr/>
        <w:t>producto</w:t>
      </w:r>
      <w:r>
        <w:rPr>
          <w:spacing w:val="-6"/>
        </w:rPr>
        <w:t> </w:t>
      </w:r>
      <w:r>
        <w:rPr/>
        <w:t>interno</w:t>
      </w:r>
      <w:r>
        <w:rPr>
          <w:spacing w:val="-7"/>
        </w:rPr>
        <w:t> </w:t>
      </w:r>
      <w:r>
        <w:rPr/>
        <w:t>bruto</w:t>
      </w:r>
      <w:r>
        <w:rPr>
          <w:spacing w:val="-6"/>
        </w:rPr>
        <w:t> </w:t>
      </w:r>
      <w:r>
        <w:rPr/>
        <w:t>agropecuario.</w:t>
      </w:r>
      <w:r>
        <w:rPr>
          <w:spacing w:val="-6"/>
        </w:rPr>
        <w:t> </w:t>
      </w:r>
      <w:r>
        <w:rPr/>
        <w:t>Por</w:t>
      </w:r>
      <w:r>
        <w:rPr>
          <w:spacing w:val="-7"/>
        </w:rPr>
        <w:t> </w:t>
      </w:r>
      <w:r>
        <w:rPr/>
        <w:t>otro lado, las variables exportaciones agropecuarias, el crédito de la banca de desarrollo y la presencia de crisis recurrentes en la economía mexicana no permiten que el sector agropecuario tenga un crecimiento</w:t>
      </w:r>
      <w:r>
        <w:rPr>
          <w:spacing w:val="-8"/>
        </w:rPr>
        <w:t> </w:t>
      </w:r>
      <w:r>
        <w:rPr/>
        <w:t>sostenido.</w:t>
      </w:r>
    </w:p>
    <w:p>
      <w:pPr>
        <w:spacing w:after="0"/>
        <w:jc w:val="both"/>
        <w:sectPr>
          <w:pgSz w:w="12240" w:h="15840"/>
          <w:pgMar w:header="727" w:footer="0" w:top="920" w:bottom="280" w:left="1580" w:right="1580"/>
        </w:sectPr>
      </w:pPr>
    </w:p>
    <w:p>
      <w:pPr>
        <w:pStyle w:val="BodyText"/>
        <w:rPr>
          <w:sz w:val="20"/>
        </w:rPr>
      </w:pPr>
    </w:p>
    <w:p>
      <w:pPr>
        <w:pStyle w:val="BodyText"/>
        <w:spacing w:before="6"/>
        <w:rPr>
          <w:sz w:val="22"/>
        </w:rPr>
      </w:pPr>
    </w:p>
    <w:tbl>
      <w:tblPr>
        <w:tblW w:w="0" w:type="auto"/>
        <w:jc w:val="left"/>
        <w:tblInd w:w="2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2"/>
        <w:gridCol w:w="1284"/>
        <w:gridCol w:w="1243"/>
      </w:tblGrid>
      <w:tr>
        <w:trPr>
          <w:trHeight w:val="516" w:hRule="exact"/>
        </w:trPr>
        <w:tc>
          <w:tcPr>
            <w:tcW w:w="1982" w:type="dxa"/>
          </w:tcPr>
          <w:p>
            <w:pPr>
              <w:pStyle w:val="TableParagraph"/>
              <w:spacing w:line="252" w:lineRule="exact"/>
              <w:ind w:left="100" w:right="814"/>
              <w:rPr>
                <w:sz w:val="22"/>
              </w:rPr>
            </w:pPr>
            <w:r>
              <w:rPr>
                <w:sz w:val="22"/>
              </w:rPr>
              <w:t>Variable involucrada</w:t>
            </w:r>
          </w:p>
        </w:tc>
        <w:tc>
          <w:tcPr>
            <w:tcW w:w="1284" w:type="dxa"/>
          </w:tcPr>
          <w:p>
            <w:pPr>
              <w:pStyle w:val="TableParagraph"/>
              <w:spacing w:line="250" w:lineRule="exact"/>
              <w:ind w:left="103"/>
              <w:rPr>
                <w:sz w:val="22"/>
              </w:rPr>
            </w:pPr>
            <w:r>
              <w:rPr>
                <w:sz w:val="22"/>
              </w:rPr>
              <w:t>Elasticidad</w:t>
            </w:r>
          </w:p>
        </w:tc>
        <w:tc>
          <w:tcPr>
            <w:tcW w:w="1243" w:type="dxa"/>
          </w:tcPr>
          <w:p>
            <w:pPr>
              <w:pStyle w:val="TableParagraph"/>
              <w:spacing w:line="252" w:lineRule="exact"/>
              <w:ind w:left="103" w:right="133"/>
              <w:rPr>
                <w:sz w:val="22"/>
              </w:rPr>
            </w:pPr>
            <w:r>
              <w:rPr>
                <w:sz w:val="22"/>
              </w:rPr>
              <w:t>Valor de la elasticidad</w:t>
            </w:r>
          </w:p>
        </w:tc>
      </w:tr>
      <w:tr>
        <w:trPr>
          <w:trHeight w:val="770" w:hRule="exact"/>
        </w:trPr>
        <w:tc>
          <w:tcPr>
            <w:tcW w:w="1982" w:type="dxa"/>
          </w:tcPr>
          <w:p>
            <w:pPr>
              <w:pStyle w:val="TableParagraph"/>
              <w:spacing w:line="237" w:lineRule="auto"/>
              <w:ind w:left="100" w:right="545"/>
              <w:rPr>
                <w:sz w:val="22"/>
              </w:rPr>
            </w:pPr>
            <w:r>
              <w:rPr>
                <w:sz w:val="22"/>
              </w:rPr>
              <w:t>Gasto gubernamental </w:t>
            </w:r>
            <w:r>
              <w:rPr>
                <w:position w:val="2"/>
                <w:sz w:val="22"/>
              </w:rPr>
              <w:t>(X</w:t>
            </w:r>
            <w:r>
              <w:rPr>
                <w:sz w:val="14"/>
              </w:rPr>
              <w:t>11</w:t>
            </w:r>
            <w:r>
              <w:rPr>
                <w:position w:val="2"/>
                <w:sz w:val="22"/>
              </w:rPr>
              <w:t>)</w:t>
            </w:r>
          </w:p>
        </w:tc>
        <w:tc>
          <w:tcPr>
            <w:tcW w:w="1284" w:type="dxa"/>
          </w:tcPr>
          <w:p>
            <w:pPr>
              <w:pStyle w:val="TableParagraph"/>
              <w:spacing w:line="189" w:lineRule="exact"/>
              <w:ind w:left="289" w:right="313"/>
              <w:jc w:val="center"/>
              <w:rPr>
                <w:rFonts w:ascii="Cambria Math" w:hAnsi="Cambria Math" w:eastAsia="Cambria Math"/>
                <w:sz w:val="16"/>
              </w:rPr>
            </w:pPr>
            <w:r>
              <w:rPr>
                <w:rFonts w:ascii="Cambria Math" w:hAnsi="Cambria Math" w:eastAsia="Cambria Math"/>
                <w:position w:val="-7"/>
                <w:sz w:val="22"/>
              </w:rPr>
              <w:t>∈</w:t>
            </w:r>
            <w:r>
              <w:rPr>
                <w:rFonts w:ascii="Cambria Math" w:hAnsi="Cambria Math" w:eastAsia="Cambria Math"/>
                <w:sz w:val="16"/>
              </w:rPr>
              <w:t>𝑃𝐼𝐵</w:t>
            </w:r>
          </w:p>
          <w:p>
            <w:pPr>
              <w:pStyle w:val="TableParagraph"/>
              <w:spacing w:line="113" w:lineRule="exact"/>
              <w:ind w:left="296" w:right="174"/>
              <w:jc w:val="center"/>
              <w:rPr>
                <w:rFonts w:ascii="Cambria Math" w:eastAsia="Cambria Math"/>
                <w:sz w:val="16"/>
              </w:rPr>
            </w:pPr>
            <w:r>
              <w:rPr>
                <w:rFonts w:ascii="Cambria Math" w:eastAsia="Cambria Math"/>
                <w:w w:val="105"/>
                <w:sz w:val="16"/>
              </w:rPr>
              <w:t>𝑋11</w:t>
            </w:r>
          </w:p>
        </w:tc>
        <w:tc>
          <w:tcPr>
            <w:tcW w:w="1243" w:type="dxa"/>
          </w:tcPr>
          <w:p>
            <w:pPr>
              <w:pStyle w:val="TableParagraph"/>
              <w:spacing w:line="249" w:lineRule="exact"/>
              <w:ind w:right="101"/>
              <w:jc w:val="right"/>
              <w:rPr>
                <w:sz w:val="22"/>
              </w:rPr>
            </w:pPr>
            <w:r>
              <w:rPr>
                <w:sz w:val="22"/>
              </w:rPr>
              <w:t>0.038573</w:t>
            </w:r>
          </w:p>
        </w:tc>
      </w:tr>
      <w:tr>
        <w:trPr>
          <w:trHeight w:val="516" w:hRule="exact"/>
        </w:trPr>
        <w:tc>
          <w:tcPr>
            <w:tcW w:w="1982" w:type="dxa"/>
          </w:tcPr>
          <w:p>
            <w:pPr>
              <w:pStyle w:val="TableParagraph"/>
              <w:spacing w:line="249" w:lineRule="exact"/>
              <w:ind w:left="100"/>
              <w:rPr>
                <w:sz w:val="22"/>
              </w:rPr>
            </w:pPr>
            <w:r>
              <w:rPr>
                <w:position w:val="2"/>
                <w:sz w:val="22"/>
              </w:rPr>
              <w:t>Exportaciones (X</w:t>
            </w:r>
            <w:r>
              <w:rPr>
                <w:sz w:val="14"/>
              </w:rPr>
              <w:t>31</w:t>
            </w:r>
            <w:r>
              <w:rPr>
                <w:position w:val="2"/>
                <w:sz w:val="22"/>
              </w:rPr>
              <w:t>)</w:t>
            </w:r>
          </w:p>
        </w:tc>
        <w:tc>
          <w:tcPr>
            <w:tcW w:w="1284" w:type="dxa"/>
          </w:tcPr>
          <w:p>
            <w:pPr>
              <w:pStyle w:val="TableParagraph"/>
              <w:spacing w:line="186" w:lineRule="exact"/>
              <w:ind w:left="289" w:right="313"/>
              <w:jc w:val="center"/>
              <w:rPr>
                <w:rFonts w:ascii="Cambria Math" w:hAnsi="Cambria Math" w:eastAsia="Cambria Math"/>
                <w:sz w:val="16"/>
              </w:rPr>
            </w:pPr>
            <w:r>
              <w:rPr>
                <w:rFonts w:ascii="Cambria Math" w:hAnsi="Cambria Math" w:eastAsia="Cambria Math"/>
                <w:position w:val="-7"/>
                <w:sz w:val="22"/>
              </w:rPr>
              <w:t>∈</w:t>
            </w:r>
            <w:r>
              <w:rPr>
                <w:rFonts w:ascii="Cambria Math" w:hAnsi="Cambria Math" w:eastAsia="Cambria Math"/>
                <w:sz w:val="16"/>
              </w:rPr>
              <w:t>𝑃𝐼𝐵</w:t>
            </w:r>
          </w:p>
          <w:p>
            <w:pPr>
              <w:pStyle w:val="TableParagraph"/>
              <w:spacing w:line="113" w:lineRule="exact"/>
              <w:ind w:left="296" w:right="174"/>
              <w:jc w:val="center"/>
              <w:rPr>
                <w:rFonts w:ascii="Cambria Math" w:eastAsia="Cambria Math"/>
                <w:sz w:val="16"/>
              </w:rPr>
            </w:pPr>
            <w:r>
              <w:rPr>
                <w:rFonts w:ascii="Cambria Math" w:eastAsia="Cambria Math"/>
                <w:w w:val="105"/>
                <w:sz w:val="16"/>
              </w:rPr>
              <w:t>𝑋31</w:t>
            </w:r>
          </w:p>
        </w:tc>
        <w:tc>
          <w:tcPr>
            <w:tcW w:w="1243" w:type="dxa"/>
          </w:tcPr>
          <w:p>
            <w:pPr>
              <w:pStyle w:val="TableParagraph"/>
              <w:spacing w:line="247" w:lineRule="exact"/>
              <w:ind w:right="101"/>
              <w:jc w:val="right"/>
              <w:rPr>
                <w:sz w:val="22"/>
              </w:rPr>
            </w:pPr>
            <w:r>
              <w:rPr>
                <w:sz w:val="22"/>
              </w:rPr>
              <w:t>-0.008325</w:t>
            </w:r>
          </w:p>
        </w:tc>
      </w:tr>
      <w:tr>
        <w:trPr>
          <w:trHeight w:val="516" w:hRule="exact"/>
        </w:trPr>
        <w:tc>
          <w:tcPr>
            <w:tcW w:w="1982" w:type="dxa"/>
          </w:tcPr>
          <w:p>
            <w:pPr>
              <w:pStyle w:val="TableParagraph"/>
              <w:spacing w:line="249" w:lineRule="exact"/>
              <w:ind w:left="100"/>
              <w:rPr>
                <w:sz w:val="22"/>
              </w:rPr>
            </w:pPr>
            <w:r>
              <w:rPr>
                <w:position w:val="2"/>
                <w:sz w:val="22"/>
              </w:rPr>
              <w:t>Crédito BD (X</w:t>
            </w:r>
            <w:r>
              <w:rPr>
                <w:sz w:val="14"/>
              </w:rPr>
              <w:t>41</w:t>
            </w:r>
            <w:r>
              <w:rPr>
                <w:position w:val="2"/>
                <w:sz w:val="22"/>
              </w:rPr>
              <w:t>)</w:t>
            </w:r>
          </w:p>
        </w:tc>
        <w:tc>
          <w:tcPr>
            <w:tcW w:w="1284" w:type="dxa"/>
          </w:tcPr>
          <w:p>
            <w:pPr>
              <w:pStyle w:val="TableParagraph"/>
              <w:spacing w:line="186" w:lineRule="exact"/>
              <w:ind w:left="289" w:right="313"/>
              <w:jc w:val="center"/>
              <w:rPr>
                <w:rFonts w:ascii="Cambria Math" w:hAnsi="Cambria Math" w:eastAsia="Cambria Math"/>
                <w:sz w:val="16"/>
              </w:rPr>
            </w:pPr>
            <w:r>
              <w:rPr>
                <w:rFonts w:ascii="Cambria Math" w:hAnsi="Cambria Math" w:eastAsia="Cambria Math"/>
                <w:position w:val="-7"/>
                <w:sz w:val="22"/>
              </w:rPr>
              <w:t>∈</w:t>
            </w:r>
            <w:r>
              <w:rPr>
                <w:rFonts w:ascii="Cambria Math" w:hAnsi="Cambria Math" w:eastAsia="Cambria Math"/>
                <w:sz w:val="16"/>
              </w:rPr>
              <w:t>𝑃𝐼𝐵</w:t>
            </w:r>
          </w:p>
          <w:p>
            <w:pPr>
              <w:pStyle w:val="TableParagraph"/>
              <w:spacing w:line="113" w:lineRule="exact"/>
              <w:ind w:left="296" w:right="174"/>
              <w:jc w:val="center"/>
              <w:rPr>
                <w:rFonts w:ascii="Cambria Math" w:eastAsia="Cambria Math"/>
                <w:sz w:val="16"/>
              </w:rPr>
            </w:pPr>
            <w:r>
              <w:rPr>
                <w:rFonts w:ascii="Cambria Math" w:eastAsia="Cambria Math"/>
                <w:w w:val="105"/>
                <w:sz w:val="16"/>
              </w:rPr>
              <w:t>𝑋41</w:t>
            </w:r>
          </w:p>
        </w:tc>
        <w:tc>
          <w:tcPr>
            <w:tcW w:w="1243" w:type="dxa"/>
          </w:tcPr>
          <w:p>
            <w:pPr>
              <w:pStyle w:val="TableParagraph"/>
              <w:spacing w:line="247" w:lineRule="exact"/>
              <w:ind w:right="101"/>
              <w:jc w:val="right"/>
              <w:rPr>
                <w:sz w:val="22"/>
              </w:rPr>
            </w:pPr>
            <w:r>
              <w:rPr>
                <w:sz w:val="22"/>
              </w:rPr>
              <w:t>-0.040239</w:t>
            </w:r>
          </w:p>
        </w:tc>
      </w:tr>
      <w:tr>
        <w:trPr>
          <w:trHeight w:val="516" w:hRule="exact"/>
        </w:trPr>
        <w:tc>
          <w:tcPr>
            <w:tcW w:w="1982" w:type="dxa"/>
          </w:tcPr>
          <w:p>
            <w:pPr>
              <w:pStyle w:val="TableParagraph"/>
              <w:spacing w:line="249" w:lineRule="exact"/>
              <w:ind w:left="100"/>
              <w:rPr>
                <w:sz w:val="22"/>
              </w:rPr>
            </w:pPr>
            <w:r>
              <w:rPr>
                <w:position w:val="2"/>
                <w:sz w:val="22"/>
              </w:rPr>
              <w:t>Crédito BC (X</w:t>
            </w:r>
            <w:r>
              <w:rPr>
                <w:sz w:val="14"/>
              </w:rPr>
              <w:t>51</w:t>
            </w:r>
            <w:r>
              <w:rPr>
                <w:position w:val="2"/>
                <w:sz w:val="22"/>
              </w:rPr>
              <w:t>)</w:t>
            </w:r>
          </w:p>
        </w:tc>
        <w:tc>
          <w:tcPr>
            <w:tcW w:w="1284" w:type="dxa"/>
          </w:tcPr>
          <w:p>
            <w:pPr>
              <w:pStyle w:val="TableParagraph"/>
              <w:spacing w:line="194" w:lineRule="exact"/>
              <w:ind w:left="289" w:right="313"/>
              <w:jc w:val="center"/>
              <w:rPr>
                <w:rFonts w:ascii="Cambria Math" w:hAnsi="Cambria Math" w:eastAsia="Cambria Math"/>
                <w:sz w:val="16"/>
              </w:rPr>
            </w:pPr>
            <w:r>
              <w:rPr>
                <w:rFonts w:ascii="Cambria Math" w:hAnsi="Cambria Math" w:eastAsia="Cambria Math"/>
                <w:position w:val="-8"/>
                <w:sz w:val="22"/>
              </w:rPr>
              <w:t>∈</w:t>
            </w:r>
            <w:r>
              <w:rPr>
                <w:rFonts w:ascii="Cambria Math" w:hAnsi="Cambria Math" w:eastAsia="Cambria Math"/>
                <w:sz w:val="16"/>
              </w:rPr>
              <w:t>𝑃𝐼𝐵</w:t>
            </w:r>
          </w:p>
          <w:p>
            <w:pPr>
              <w:pStyle w:val="TableParagraph"/>
              <w:spacing w:line="111" w:lineRule="exact"/>
              <w:ind w:left="296" w:right="174"/>
              <w:jc w:val="center"/>
              <w:rPr>
                <w:rFonts w:ascii="Cambria Math" w:eastAsia="Cambria Math"/>
                <w:sz w:val="16"/>
              </w:rPr>
            </w:pPr>
            <w:r>
              <w:rPr>
                <w:rFonts w:ascii="Cambria Math" w:eastAsia="Cambria Math"/>
                <w:w w:val="105"/>
                <w:sz w:val="16"/>
              </w:rPr>
              <w:t>𝑋51</w:t>
            </w:r>
          </w:p>
        </w:tc>
        <w:tc>
          <w:tcPr>
            <w:tcW w:w="1243" w:type="dxa"/>
          </w:tcPr>
          <w:p>
            <w:pPr>
              <w:pStyle w:val="TableParagraph"/>
              <w:spacing w:line="247" w:lineRule="exact"/>
              <w:ind w:right="101"/>
              <w:jc w:val="right"/>
              <w:rPr>
                <w:sz w:val="22"/>
              </w:rPr>
            </w:pPr>
            <w:r>
              <w:rPr>
                <w:sz w:val="22"/>
              </w:rPr>
              <w:t>0.035302</w:t>
            </w:r>
          </w:p>
        </w:tc>
      </w:tr>
      <w:tr>
        <w:trPr>
          <w:trHeight w:val="768" w:hRule="exact"/>
        </w:trPr>
        <w:tc>
          <w:tcPr>
            <w:tcW w:w="1982" w:type="dxa"/>
          </w:tcPr>
          <w:p>
            <w:pPr>
              <w:pStyle w:val="TableParagraph"/>
              <w:spacing w:line="232" w:lineRule="exact" w:before="33"/>
              <w:ind w:left="100"/>
              <w:rPr>
                <w:sz w:val="22"/>
              </w:rPr>
            </w:pPr>
            <w:r>
              <w:rPr>
                <w:position w:val="2"/>
                <w:sz w:val="22"/>
              </w:rPr>
              <w:t>X</w:t>
            </w:r>
            <w:r>
              <w:rPr>
                <w:sz w:val="14"/>
              </w:rPr>
              <w:t>61 </w:t>
            </w:r>
            <w:r>
              <w:rPr>
                <w:position w:val="2"/>
                <w:sz w:val="22"/>
              </w:rPr>
              <w:t>Presencia de </w:t>
            </w:r>
            <w:r>
              <w:rPr>
                <w:sz w:val="22"/>
              </w:rPr>
              <w:t>crisis</w:t>
            </w:r>
          </w:p>
        </w:tc>
        <w:tc>
          <w:tcPr>
            <w:tcW w:w="1284" w:type="dxa"/>
          </w:tcPr>
          <w:p>
            <w:pPr>
              <w:pStyle w:val="TableParagraph"/>
              <w:spacing w:line="184" w:lineRule="exact"/>
              <w:ind w:left="296" w:right="306"/>
              <w:jc w:val="center"/>
              <w:rPr>
                <w:rFonts w:ascii="Cambria Math" w:hAnsi="Cambria Math" w:eastAsia="Cambria Math"/>
                <w:sz w:val="16"/>
              </w:rPr>
            </w:pPr>
            <w:r>
              <w:rPr>
                <w:rFonts w:ascii="Cambria Math" w:hAnsi="Cambria Math" w:eastAsia="Cambria Math"/>
                <w:position w:val="-7"/>
                <w:sz w:val="22"/>
              </w:rPr>
              <w:t>∈</w:t>
            </w:r>
            <w:r>
              <w:rPr>
                <w:rFonts w:ascii="Cambria Math" w:hAnsi="Cambria Math" w:eastAsia="Cambria Math"/>
                <w:sz w:val="16"/>
              </w:rPr>
              <w:t>𝑃𝐼𝐵</w:t>
            </w:r>
          </w:p>
          <w:p>
            <w:pPr>
              <w:pStyle w:val="TableParagraph"/>
              <w:spacing w:line="113" w:lineRule="exact"/>
              <w:ind w:left="296" w:right="253"/>
              <w:jc w:val="center"/>
              <w:rPr>
                <w:rFonts w:ascii="Cambria Math" w:eastAsia="Cambria Math"/>
                <w:sz w:val="16"/>
              </w:rPr>
            </w:pPr>
            <w:r>
              <w:rPr>
                <w:rFonts w:ascii="Cambria Math" w:eastAsia="Cambria Math"/>
                <w:w w:val="105"/>
                <w:sz w:val="16"/>
              </w:rPr>
              <w:t>𝑋6</w:t>
            </w:r>
          </w:p>
        </w:tc>
        <w:tc>
          <w:tcPr>
            <w:tcW w:w="1243" w:type="dxa"/>
          </w:tcPr>
          <w:p>
            <w:pPr>
              <w:pStyle w:val="TableParagraph"/>
              <w:spacing w:line="247" w:lineRule="exact"/>
              <w:ind w:right="101"/>
              <w:jc w:val="right"/>
              <w:rPr>
                <w:sz w:val="22"/>
              </w:rPr>
            </w:pPr>
            <w:r>
              <w:rPr>
                <w:sz w:val="22"/>
              </w:rPr>
              <w:t>-0.031140</w:t>
            </w:r>
          </w:p>
        </w:tc>
      </w:tr>
      <w:tr>
        <w:trPr>
          <w:trHeight w:val="517" w:hRule="exact"/>
        </w:trPr>
        <w:tc>
          <w:tcPr>
            <w:tcW w:w="1982" w:type="dxa"/>
          </w:tcPr>
          <w:p>
            <w:pPr>
              <w:pStyle w:val="TableParagraph"/>
              <w:spacing w:line="236" w:lineRule="exact" w:before="30"/>
              <w:ind w:left="100"/>
              <w:rPr>
                <w:sz w:val="22"/>
              </w:rPr>
            </w:pPr>
            <w:r>
              <w:rPr>
                <w:position w:val="2"/>
                <w:sz w:val="22"/>
              </w:rPr>
              <w:t>X</w:t>
            </w:r>
            <w:r>
              <w:rPr>
                <w:sz w:val="14"/>
              </w:rPr>
              <w:t>71 </w:t>
            </w:r>
            <w:r>
              <w:rPr>
                <w:position w:val="2"/>
                <w:sz w:val="22"/>
              </w:rPr>
              <w:t>Sobrevaluación </w:t>
            </w:r>
            <w:r>
              <w:rPr>
                <w:sz w:val="22"/>
              </w:rPr>
              <w:t>del peso</w:t>
            </w:r>
          </w:p>
        </w:tc>
        <w:tc>
          <w:tcPr>
            <w:tcW w:w="1284" w:type="dxa"/>
          </w:tcPr>
          <w:p>
            <w:pPr>
              <w:pStyle w:val="TableParagraph"/>
              <w:spacing w:line="187" w:lineRule="exact"/>
              <w:ind w:left="296" w:right="306"/>
              <w:jc w:val="center"/>
              <w:rPr>
                <w:rFonts w:ascii="Cambria Math" w:hAnsi="Cambria Math" w:eastAsia="Cambria Math"/>
                <w:sz w:val="16"/>
              </w:rPr>
            </w:pPr>
            <w:r>
              <w:rPr>
                <w:rFonts w:ascii="Cambria Math" w:hAnsi="Cambria Math" w:eastAsia="Cambria Math"/>
                <w:position w:val="-7"/>
                <w:sz w:val="22"/>
              </w:rPr>
              <w:t>∈</w:t>
            </w:r>
            <w:r>
              <w:rPr>
                <w:rFonts w:ascii="Cambria Math" w:hAnsi="Cambria Math" w:eastAsia="Cambria Math"/>
                <w:sz w:val="16"/>
              </w:rPr>
              <w:t>𝑃𝐼𝐵</w:t>
            </w:r>
          </w:p>
          <w:p>
            <w:pPr>
              <w:pStyle w:val="TableParagraph"/>
              <w:spacing w:line="113" w:lineRule="exact"/>
              <w:ind w:left="296" w:right="253"/>
              <w:jc w:val="center"/>
              <w:rPr>
                <w:rFonts w:ascii="Cambria Math" w:eastAsia="Cambria Math"/>
                <w:sz w:val="16"/>
              </w:rPr>
            </w:pPr>
            <w:r>
              <w:rPr>
                <w:rFonts w:ascii="Cambria Math" w:eastAsia="Cambria Math"/>
                <w:w w:val="105"/>
                <w:sz w:val="16"/>
              </w:rPr>
              <w:t>𝑋7</w:t>
            </w:r>
          </w:p>
        </w:tc>
        <w:tc>
          <w:tcPr>
            <w:tcW w:w="1243" w:type="dxa"/>
          </w:tcPr>
          <w:p>
            <w:pPr>
              <w:pStyle w:val="TableParagraph"/>
              <w:spacing w:line="247" w:lineRule="exact"/>
              <w:ind w:right="101"/>
              <w:jc w:val="right"/>
              <w:rPr>
                <w:sz w:val="22"/>
              </w:rPr>
            </w:pPr>
            <w:r>
              <w:rPr>
                <w:sz w:val="22"/>
              </w:rPr>
              <w:t>-0.036296</w:t>
            </w:r>
          </w:p>
        </w:tc>
      </w:tr>
      <w:tr>
        <w:trPr>
          <w:trHeight w:val="770" w:hRule="exact"/>
        </w:trPr>
        <w:tc>
          <w:tcPr>
            <w:tcW w:w="1982" w:type="dxa"/>
          </w:tcPr>
          <w:p>
            <w:pPr>
              <w:pStyle w:val="TableParagraph"/>
              <w:spacing w:line="240" w:lineRule="auto"/>
              <w:ind w:left="100" w:right="429"/>
              <w:rPr>
                <w:sz w:val="22"/>
              </w:rPr>
            </w:pPr>
            <w:r>
              <w:rPr>
                <w:sz w:val="22"/>
              </w:rPr>
              <w:t>Saldo comercial </w:t>
            </w:r>
            <w:r>
              <w:rPr>
                <w:position w:val="2"/>
                <w:sz w:val="22"/>
              </w:rPr>
              <w:t>(X</w:t>
            </w:r>
            <w:r>
              <w:rPr>
                <w:sz w:val="14"/>
              </w:rPr>
              <w:t>81</w:t>
            </w:r>
            <w:r>
              <w:rPr>
                <w:position w:val="2"/>
                <w:sz w:val="22"/>
              </w:rPr>
              <w:t>)</w:t>
            </w:r>
          </w:p>
        </w:tc>
        <w:tc>
          <w:tcPr>
            <w:tcW w:w="1284" w:type="dxa"/>
          </w:tcPr>
          <w:p>
            <w:pPr>
              <w:pStyle w:val="TableParagraph"/>
              <w:spacing w:line="186" w:lineRule="exact"/>
              <w:ind w:left="289" w:right="313"/>
              <w:jc w:val="center"/>
              <w:rPr>
                <w:rFonts w:ascii="Cambria Math" w:hAnsi="Cambria Math" w:eastAsia="Cambria Math"/>
                <w:sz w:val="16"/>
              </w:rPr>
            </w:pPr>
            <w:r>
              <w:rPr>
                <w:rFonts w:ascii="Cambria Math" w:hAnsi="Cambria Math" w:eastAsia="Cambria Math"/>
                <w:position w:val="-7"/>
                <w:sz w:val="22"/>
              </w:rPr>
              <w:t>∈</w:t>
            </w:r>
            <w:r>
              <w:rPr>
                <w:rFonts w:ascii="Cambria Math" w:hAnsi="Cambria Math" w:eastAsia="Cambria Math"/>
                <w:sz w:val="16"/>
              </w:rPr>
              <w:t>𝑃𝐼𝐵</w:t>
            </w:r>
          </w:p>
          <w:p>
            <w:pPr>
              <w:pStyle w:val="TableParagraph"/>
              <w:spacing w:line="113" w:lineRule="exact"/>
              <w:ind w:left="296" w:right="174"/>
              <w:jc w:val="center"/>
              <w:rPr>
                <w:rFonts w:ascii="Cambria Math" w:eastAsia="Cambria Math"/>
                <w:sz w:val="16"/>
              </w:rPr>
            </w:pPr>
            <w:r>
              <w:rPr>
                <w:rFonts w:ascii="Cambria Math" w:eastAsia="Cambria Math"/>
                <w:w w:val="105"/>
                <w:sz w:val="16"/>
              </w:rPr>
              <w:t>𝑋81</w:t>
            </w:r>
          </w:p>
        </w:tc>
        <w:tc>
          <w:tcPr>
            <w:tcW w:w="1243" w:type="dxa"/>
          </w:tcPr>
          <w:p>
            <w:pPr>
              <w:pStyle w:val="TableParagraph"/>
              <w:spacing w:line="247" w:lineRule="exact"/>
              <w:ind w:right="101"/>
              <w:jc w:val="right"/>
              <w:rPr>
                <w:sz w:val="22"/>
              </w:rPr>
            </w:pPr>
            <w:r>
              <w:rPr>
                <w:sz w:val="22"/>
              </w:rPr>
              <w:t>0.017503</w:t>
            </w:r>
          </w:p>
        </w:tc>
      </w:tr>
    </w:tbl>
    <w:p>
      <w:pPr>
        <w:pStyle w:val="BodyText"/>
        <w:ind w:left="102" w:right="193"/>
        <w:rPr>
          <w:sz w:val="16"/>
        </w:rPr>
      </w:pPr>
      <w:r>
        <w:rPr>
          <w:b/>
        </w:rPr>
        <w:t>Tabla 3 </w:t>
      </w:r>
      <w:r>
        <w:rPr/>
        <w:t>Elasticidades obtenidas para el modelo de crecimiento del PIB agropecuario como </w:t>
      </w:r>
      <w:r>
        <w:rPr>
          <w:position w:val="2"/>
        </w:rPr>
        <w:t>variable dependiente Y</w:t>
      </w:r>
      <w:r>
        <w:rPr>
          <w:sz w:val="16"/>
        </w:rPr>
        <w:t>1</w:t>
      </w:r>
    </w:p>
    <w:p>
      <w:pPr>
        <w:pStyle w:val="BodyText"/>
        <w:spacing w:before="9"/>
        <w:rPr>
          <w:sz w:val="23"/>
        </w:rPr>
      </w:pPr>
    </w:p>
    <w:p>
      <w:pPr>
        <w:pStyle w:val="BodyText"/>
        <w:ind w:left="102" w:right="118" w:firstLine="707"/>
        <w:jc w:val="both"/>
      </w:pPr>
      <w:r>
        <w:rPr/>
        <w:t>A</w:t>
      </w:r>
      <w:r>
        <w:rPr>
          <w:spacing w:val="-12"/>
        </w:rPr>
        <w:t> </w:t>
      </w:r>
      <w:r>
        <w:rPr/>
        <w:t>partir</w:t>
      </w:r>
      <w:r>
        <w:rPr>
          <w:spacing w:val="-11"/>
        </w:rPr>
        <w:t> </w:t>
      </w:r>
      <w:r>
        <w:rPr/>
        <w:t>del</w:t>
      </w:r>
      <w:r>
        <w:rPr>
          <w:spacing w:val="-11"/>
        </w:rPr>
        <w:t> </w:t>
      </w:r>
      <w:r>
        <w:rPr/>
        <w:t>cuadro</w:t>
      </w:r>
      <w:r>
        <w:rPr>
          <w:spacing w:val="-12"/>
        </w:rPr>
        <w:t> </w:t>
      </w:r>
      <w:r>
        <w:rPr/>
        <w:t>3</w:t>
      </w:r>
      <w:r>
        <w:rPr>
          <w:spacing w:val="-7"/>
        </w:rPr>
        <w:t> </w:t>
      </w:r>
      <w:r>
        <w:rPr/>
        <w:t>y</w:t>
      </w:r>
      <w:r>
        <w:rPr>
          <w:spacing w:val="-18"/>
        </w:rPr>
        <w:t> </w:t>
      </w:r>
      <w:r>
        <w:rPr/>
        <w:t>de</w:t>
      </w:r>
      <w:r>
        <w:rPr>
          <w:spacing w:val="-12"/>
        </w:rPr>
        <w:t> </w:t>
      </w:r>
      <w:r>
        <w:rPr/>
        <w:t>las</w:t>
      </w:r>
      <w:r>
        <w:rPr>
          <w:spacing w:val="-11"/>
        </w:rPr>
        <w:t> </w:t>
      </w:r>
      <w:r>
        <w:rPr/>
        <w:t>elasticidades</w:t>
      </w:r>
      <w:r>
        <w:rPr>
          <w:spacing w:val="-11"/>
        </w:rPr>
        <w:t> </w:t>
      </w:r>
      <w:r>
        <w:rPr/>
        <w:t>obtenidas,</w:t>
      </w:r>
      <w:r>
        <w:rPr>
          <w:spacing w:val="-11"/>
        </w:rPr>
        <w:t> </w:t>
      </w:r>
      <w:r>
        <w:rPr/>
        <w:t>los</w:t>
      </w:r>
      <w:r>
        <w:rPr>
          <w:spacing w:val="-10"/>
        </w:rPr>
        <w:t> </w:t>
      </w:r>
      <w:r>
        <w:rPr/>
        <w:t>resultados</w:t>
      </w:r>
      <w:r>
        <w:rPr>
          <w:spacing w:val="-11"/>
        </w:rPr>
        <w:t> </w:t>
      </w:r>
      <w:r>
        <w:rPr/>
        <w:t>obtenidos</w:t>
      </w:r>
      <w:r>
        <w:rPr>
          <w:spacing w:val="-11"/>
        </w:rPr>
        <w:t> </w:t>
      </w:r>
      <w:r>
        <w:rPr/>
        <w:t>quieren decir que ante un crecimiento del 10% en el gasto gubernamental en el sector primario, el PIB</w:t>
      </w:r>
      <w:r>
        <w:rPr>
          <w:spacing w:val="-7"/>
        </w:rPr>
        <w:t> </w:t>
      </w:r>
      <w:r>
        <w:rPr/>
        <w:t>agropecuario</w:t>
      </w:r>
      <w:r>
        <w:rPr>
          <w:spacing w:val="-5"/>
        </w:rPr>
        <w:t> </w:t>
      </w:r>
      <w:r>
        <w:rPr/>
        <w:t>se</w:t>
      </w:r>
      <w:r>
        <w:rPr>
          <w:spacing w:val="-6"/>
        </w:rPr>
        <w:t> </w:t>
      </w:r>
      <w:r>
        <w:rPr/>
        <w:t>ha</w:t>
      </w:r>
      <w:r>
        <w:rPr>
          <w:spacing w:val="-6"/>
        </w:rPr>
        <w:t> </w:t>
      </w:r>
      <w:r>
        <w:rPr/>
        <w:t>venido</w:t>
      </w:r>
      <w:r>
        <w:rPr>
          <w:spacing w:val="-5"/>
        </w:rPr>
        <w:t> </w:t>
      </w:r>
      <w:r>
        <w:rPr/>
        <w:t>incrementando,</w:t>
      </w:r>
      <w:r>
        <w:rPr>
          <w:spacing w:val="-3"/>
        </w:rPr>
        <w:t> </w:t>
      </w:r>
      <w:r>
        <w:rPr/>
        <w:t>en</w:t>
      </w:r>
      <w:r>
        <w:rPr>
          <w:spacing w:val="-3"/>
        </w:rPr>
        <w:t> </w:t>
      </w:r>
      <w:r>
        <w:rPr/>
        <w:t>promedio,</w:t>
      </w:r>
      <w:r>
        <w:rPr>
          <w:spacing w:val="-5"/>
        </w:rPr>
        <w:t> </w:t>
      </w:r>
      <w:r>
        <w:rPr/>
        <w:t>un</w:t>
      </w:r>
      <w:r>
        <w:rPr>
          <w:spacing w:val="-5"/>
        </w:rPr>
        <w:t> </w:t>
      </w:r>
      <w:r>
        <w:rPr/>
        <w:t>4%</w:t>
      </w:r>
      <w:r>
        <w:rPr>
          <w:spacing w:val="-4"/>
        </w:rPr>
        <w:t> </w:t>
      </w:r>
      <w:r>
        <w:rPr/>
        <w:t>lo</w:t>
      </w:r>
      <w:r>
        <w:rPr>
          <w:spacing w:val="-5"/>
        </w:rPr>
        <w:t> </w:t>
      </w:r>
      <w:r>
        <w:rPr/>
        <w:t>que</w:t>
      </w:r>
      <w:r>
        <w:rPr>
          <w:spacing w:val="-6"/>
        </w:rPr>
        <w:t> </w:t>
      </w:r>
      <w:r>
        <w:rPr/>
        <w:t>se</w:t>
      </w:r>
      <w:r>
        <w:rPr>
          <w:spacing w:val="-6"/>
        </w:rPr>
        <w:t> </w:t>
      </w:r>
      <w:r>
        <w:rPr/>
        <w:t>explica</w:t>
      </w:r>
      <w:r>
        <w:rPr>
          <w:spacing w:val="-6"/>
        </w:rPr>
        <w:t> </w:t>
      </w:r>
      <w:r>
        <w:rPr/>
        <w:t>porque los encadenamientos en la producción del sector son muy bajos y también porque el efecto multiplicador del gasto del gobierno es también de los más</w:t>
      </w:r>
      <w:r>
        <w:rPr>
          <w:spacing w:val="-10"/>
        </w:rPr>
        <w:t> </w:t>
      </w:r>
      <w:r>
        <w:rPr/>
        <w:t>bajos.</w:t>
      </w:r>
    </w:p>
    <w:p>
      <w:pPr>
        <w:pStyle w:val="BodyText"/>
      </w:pPr>
    </w:p>
    <w:p>
      <w:pPr>
        <w:pStyle w:val="BodyText"/>
        <w:ind w:left="102" w:right="124" w:firstLine="707"/>
        <w:jc w:val="both"/>
      </w:pPr>
      <w:r>
        <w:rPr/>
        <w:t>Un</w:t>
      </w:r>
      <w:r>
        <w:rPr>
          <w:spacing w:val="-9"/>
        </w:rPr>
        <w:t> </w:t>
      </w:r>
      <w:r>
        <w:rPr/>
        <w:t>aumento</w:t>
      </w:r>
      <w:r>
        <w:rPr>
          <w:spacing w:val="-9"/>
        </w:rPr>
        <w:t> </w:t>
      </w:r>
      <w:r>
        <w:rPr/>
        <w:t>del</w:t>
      </w:r>
      <w:r>
        <w:rPr>
          <w:spacing w:val="-8"/>
        </w:rPr>
        <w:t> </w:t>
      </w:r>
      <w:r>
        <w:rPr/>
        <w:t>10%</w:t>
      </w:r>
      <w:r>
        <w:rPr>
          <w:spacing w:val="-9"/>
        </w:rPr>
        <w:t> </w:t>
      </w:r>
      <w:r>
        <w:rPr/>
        <w:t>en</w:t>
      </w:r>
      <w:r>
        <w:rPr>
          <w:spacing w:val="-9"/>
        </w:rPr>
        <w:t> </w:t>
      </w:r>
      <w:r>
        <w:rPr/>
        <w:t>la</w:t>
      </w:r>
      <w:r>
        <w:rPr>
          <w:spacing w:val="-10"/>
        </w:rPr>
        <w:t> </w:t>
      </w:r>
      <w:r>
        <w:rPr/>
        <w:t>disponibilidad</w:t>
      </w:r>
      <w:r>
        <w:rPr>
          <w:spacing w:val="-9"/>
        </w:rPr>
        <w:t> </w:t>
      </w:r>
      <w:r>
        <w:rPr/>
        <w:t>del</w:t>
      </w:r>
      <w:r>
        <w:rPr>
          <w:spacing w:val="-8"/>
        </w:rPr>
        <w:t> </w:t>
      </w:r>
      <w:r>
        <w:rPr/>
        <w:t>crédito</w:t>
      </w:r>
      <w:r>
        <w:rPr>
          <w:spacing w:val="-9"/>
        </w:rPr>
        <w:t> </w:t>
      </w:r>
      <w:r>
        <w:rPr/>
        <w:t>otorgado</w:t>
      </w:r>
      <w:r>
        <w:rPr>
          <w:spacing w:val="-7"/>
        </w:rPr>
        <w:t> </w:t>
      </w:r>
      <w:r>
        <w:rPr/>
        <w:t>por</w:t>
      </w:r>
      <w:r>
        <w:rPr>
          <w:spacing w:val="-9"/>
        </w:rPr>
        <w:t> </w:t>
      </w:r>
      <w:r>
        <w:rPr/>
        <w:t>la</w:t>
      </w:r>
      <w:r>
        <w:rPr>
          <w:spacing w:val="-7"/>
        </w:rPr>
        <w:t> </w:t>
      </w:r>
      <w:r>
        <w:rPr/>
        <w:t>banca</w:t>
      </w:r>
      <w:r>
        <w:rPr>
          <w:spacing w:val="-7"/>
        </w:rPr>
        <w:t> </w:t>
      </w:r>
      <w:r>
        <w:rPr/>
        <w:t>comercial incrementa en un 3% el PIB agropecuario en tanto que la disponibilidad del crédito de la banca de desarrollo lo disminuye en un</w:t>
      </w:r>
      <w:r>
        <w:rPr>
          <w:spacing w:val="-8"/>
        </w:rPr>
        <w:t> </w:t>
      </w:r>
      <w:r>
        <w:rPr/>
        <w:t>4%.</w:t>
      </w:r>
    </w:p>
    <w:p>
      <w:pPr>
        <w:pStyle w:val="BodyText"/>
      </w:pPr>
    </w:p>
    <w:p>
      <w:pPr>
        <w:pStyle w:val="BodyText"/>
        <w:ind w:left="102" w:right="123" w:firstLine="707"/>
        <w:jc w:val="both"/>
      </w:pPr>
      <w:r>
        <w:rPr/>
        <w:t>La presencia de crisis en la economía mexicana así como la existencia de sobrevaluaciones de la moneda mexicana frenan sistemáticamente el desarrollo del sector primario en un 3% cada una de las variables.</w:t>
      </w:r>
    </w:p>
    <w:p>
      <w:pPr>
        <w:pStyle w:val="BodyText"/>
        <w:spacing w:before="2"/>
      </w:pPr>
    </w:p>
    <w:p>
      <w:pPr>
        <w:pStyle w:val="Heading1"/>
        <w:spacing w:before="0"/>
        <w:ind w:right="45"/>
      </w:pPr>
      <w:r>
        <w:rPr/>
        <w:t>Conclusiones</w:t>
      </w:r>
    </w:p>
    <w:p>
      <w:pPr>
        <w:pStyle w:val="BodyText"/>
        <w:spacing w:before="6"/>
        <w:rPr>
          <w:b/>
          <w:sz w:val="23"/>
        </w:rPr>
      </w:pPr>
    </w:p>
    <w:p>
      <w:pPr>
        <w:pStyle w:val="BodyText"/>
        <w:ind w:left="102" w:right="45"/>
      </w:pPr>
      <w:r>
        <w:rPr/>
        <w:t>A partir de los resultados obtenidos del modelo funcional presentado se puede concluir lo siguiente:</w:t>
      </w:r>
    </w:p>
    <w:p>
      <w:pPr>
        <w:pStyle w:val="BodyText"/>
      </w:pPr>
    </w:p>
    <w:p>
      <w:pPr>
        <w:pStyle w:val="ListParagraph"/>
        <w:numPr>
          <w:ilvl w:val="2"/>
          <w:numId w:val="1"/>
        </w:numPr>
        <w:tabs>
          <w:tab w:pos="822" w:val="left" w:leader="none"/>
        </w:tabs>
        <w:spacing w:line="240" w:lineRule="auto" w:before="0" w:after="0"/>
        <w:ind w:left="822" w:right="123" w:hanging="360"/>
        <w:jc w:val="both"/>
        <w:rPr>
          <w:sz w:val="24"/>
        </w:rPr>
      </w:pPr>
      <w:r>
        <w:rPr>
          <w:sz w:val="24"/>
        </w:rPr>
        <w:t>Tanto el gasto gubernamental como el crédito otorgado por la banca comercial y el saldo de la balanza comercial del sector agropecuario, afectan positivamente el comportamiento del Producto Interno Bruto agropecuario de manera</w:t>
      </w:r>
      <w:r>
        <w:rPr>
          <w:spacing w:val="-12"/>
          <w:sz w:val="24"/>
        </w:rPr>
        <w:t> </w:t>
      </w:r>
      <w:r>
        <w:rPr>
          <w:sz w:val="24"/>
        </w:rPr>
        <w:t>sustancial.</w:t>
      </w:r>
    </w:p>
    <w:p>
      <w:pPr>
        <w:pStyle w:val="ListParagraph"/>
        <w:numPr>
          <w:ilvl w:val="2"/>
          <w:numId w:val="1"/>
        </w:numPr>
        <w:tabs>
          <w:tab w:pos="822" w:val="left" w:leader="none"/>
        </w:tabs>
        <w:spacing w:line="240" w:lineRule="auto" w:before="0" w:after="0"/>
        <w:ind w:left="822" w:right="117" w:hanging="360"/>
        <w:jc w:val="both"/>
        <w:rPr>
          <w:sz w:val="24"/>
        </w:rPr>
      </w:pPr>
      <w:r>
        <w:rPr>
          <w:sz w:val="24"/>
        </w:rPr>
        <w:t>El crédito otorgado por la banca comercial no logra impactar positivamente el PIB agropecuario</w:t>
      </w:r>
      <w:r>
        <w:rPr>
          <w:spacing w:val="-16"/>
          <w:sz w:val="24"/>
        </w:rPr>
        <w:t> </w:t>
      </w:r>
      <w:r>
        <w:rPr>
          <w:sz w:val="24"/>
        </w:rPr>
        <w:t>quizá</w:t>
      </w:r>
      <w:r>
        <w:rPr>
          <w:spacing w:val="-17"/>
          <w:sz w:val="24"/>
        </w:rPr>
        <w:t> </w:t>
      </w:r>
      <w:r>
        <w:rPr>
          <w:sz w:val="24"/>
        </w:rPr>
        <w:t>debido</w:t>
      </w:r>
      <w:r>
        <w:rPr>
          <w:spacing w:val="-16"/>
          <w:sz w:val="24"/>
        </w:rPr>
        <w:t> </w:t>
      </w:r>
      <w:r>
        <w:rPr>
          <w:sz w:val="24"/>
        </w:rPr>
        <w:t>a</w:t>
      </w:r>
      <w:r>
        <w:rPr>
          <w:spacing w:val="-17"/>
          <w:sz w:val="24"/>
        </w:rPr>
        <w:t> </w:t>
      </w:r>
      <w:r>
        <w:rPr>
          <w:sz w:val="24"/>
        </w:rPr>
        <w:t>la</w:t>
      </w:r>
      <w:r>
        <w:rPr>
          <w:spacing w:val="-16"/>
          <w:sz w:val="24"/>
        </w:rPr>
        <w:t> </w:t>
      </w:r>
      <w:r>
        <w:rPr>
          <w:sz w:val="24"/>
        </w:rPr>
        <w:t>diferencial</w:t>
      </w:r>
      <w:r>
        <w:rPr>
          <w:spacing w:val="-13"/>
          <w:sz w:val="24"/>
        </w:rPr>
        <w:t> </w:t>
      </w:r>
      <w:r>
        <w:rPr>
          <w:sz w:val="24"/>
        </w:rPr>
        <w:t>en</w:t>
      </w:r>
      <w:r>
        <w:rPr>
          <w:spacing w:val="-16"/>
          <w:sz w:val="24"/>
        </w:rPr>
        <w:t> </w:t>
      </w:r>
      <w:r>
        <w:rPr>
          <w:sz w:val="24"/>
        </w:rPr>
        <w:t>las</w:t>
      </w:r>
      <w:r>
        <w:rPr>
          <w:spacing w:val="-16"/>
          <w:sz w:val="24"/>
        </w:rPr>
        <w:t> </w:t>
      </w:r>
      <w:r>
        <w:rPr>
          <w:sz w:val="24"/>
        </w:rPr>
        <w:t>tasas</w:t>
      </w:r>
      <w:r>
        <w:rPr>
          <w:spacing w:val="-16"/>
          <w:sz w:val="24"/>
        </w:rPr>
        <w:t> </w:t>
      </w:r>
      <w:r>
        <w:rPr>
          <w:sz w:val="24"/>
        </w:rPr>
        <w:t>de</w:t>
      </w:r>
      <w:r>
        <w:rPr>
          <w:spacing w:val="-17"/>
          <w:sz w:val="24"/>
        </w:rPr>
        <w:t> </w:t>
      </w:r>
      <w:r>
        <w:rPr>
          <w:sz w:val="24"/>
        </w:rPr>
        <w:t>interés</w:t>
      </w:r>
      <w:r>
        <w:rPr>
          <w:spacing w:val="-16"/>
          <w:sz w:val="24"/>
        </w:rPr>
        <w:t> </w:t>
      </w:r>
      <w:r>
        <w:rPr>
          <w:sz w:val="24"/>
        </w:rPr>
        <w:t>entre</w:t>
      </w:r>
      <w:r>
        <w:rPr>
          <w:spacing w:val="-18"/>
          <w:sz w:val="24"/>
        </w:rPr>
        <w:t> </w:t>
      </w:r>
      <w:r>
        <w:rPr>
          <w:sz w:val="24"/>
        </w:rPr>
        <w:t>las</w:t>
      </w:r>
      <w:r>
        <w:rPr>
          <w:spacing w:val="-14"/>
          <w:sz w:val="24"/>
        </w:rPr>
        <w:t> </w:t>
      </w:r>
      <w:r>
        <w:rPr>
          <w:sz w:val="24"/>
        </w:rPr>
        <w:t>instituciones por lo que debería pensarse en el fortalecimiento de una banca de fomento a la producción agropecuaria que elimine dichos</w:t>
      </w:r>
      <w:r>
        <w:rPr>
          <w:spacing w:val="-8"/>
          <w:sz w:val="24"/>
        </w:rPr>
        <w:t> </w:t>
      </w:r>
      <w:r>
        <w:rPr>
          <w:sz w:val="24"/>
        </w:rPr>
        <w:t>efectos.</w:t>
      </w:r>
    </w:p>
    <w:p>
      <w:pPr>
        <w:spacing w:after="0" w:line="240" w:lineRule="auto"/>
        <w:jc w:val="both"/>
        <w:rPr>
          <w:sz w:val="24"/>
        </w:rPr>
        <w:sectPr>
          <w:pgSz w:w="12240" w:h="15840"/>
          <w:pgMar w:header="727" w:footer="0" w:top="920" w:bottom="280" w:left="1600" w:right="1580"/>
        </w:sectPr>
      </w:pPr>
    </w:p>
    <w:p>
      <w:pPr>
        <w:pStyle w:val="BodyText"/>
        <w:rPr>
          <w:sz w:val="20"/>
        </w:rPr>
      </w:pPr>
    </w:p>
    <w:p>
      <w:pPr>
        <w:pStyle w:val="BodyText"/>
        <w:spacing w:before="9"/>
        <w:rPr>
          <w:sz w:val="15"/>
        </w:rPr>
      </w:pPr>
    </w:p>
    <w:p>
      <w:pPr>
        <w:pStyle w:val="ListParagraph"/>
        <w:numPr>
          <w:ilvl w:val="2"/>
          <w:numId w:val="1"/>
        </w:numPr>
        <w:tabs>
          <w:tab w:pos="822" w:val="left" w:leader="none"/>
        </w:tabs>
        <w:spacing w:line="240" w:lineRule="auto" w:before="70" w:after="0"/>
        <w:ind w:left="822" w:right="125" w:hanging="360"/>
        <w:jc w:val="both"/>
        <w:rPr>
          <w:sz w:val="24"/>
        </w:rPr>
      </w:pPr>
      <w:r>
        <w:rPr>
          <w:sz w:val="24"/>
        </w:rPr>
        <w:t>Del mismo modo la existencia de crisis en la economía mexicana así como la sobrevaluación del peso mexicano detienen el crecimiento del producto del sector primario por lo que una política de libre flotación del peso es</w:t>
      </w:r>
      <w:r>
        <w:rPr>
          <w:spacing w:val="-13"/>
          <w:sz w:val="24"/>
        </w:rPr>
        <w:t> </w:t>
      </w:r>
      <w:r>
        <w:rPr>
          <w:sz w:val="24"/>
        </w:rPr>
        <w:t>recomendable.</w:t>
      </w:r>
    </w:p>
    <w:p>
      <w:pPr>
        <w:pStyle w:val="BodyText"/>
        <w:spacing w:before="4"/>
      </w:pPr>
    </w:p>
    <w:p>
      <w:pPr>
        <w:pStyle w:val="Heading1"/>
        <w:jc w:val="both"/>
      </w:pPr>
      <w:r>
        <w:rPr>
          <w:color w:val="211E1F"/>
        </w:rPr>
        <w:t>Referencias</w:t>
      </w:r>
    </w:p>
    <w:p>
      <w:pPr>
        <w:pStyle w:val="BodyText"/>
        <w:spacing w:before="6"/>
        <w:rPr>
          <w:b/>
          <w:sz w:val="23"/>
        </w:rPr>
      </w:pPr>
    </w:p>
    <w:p>
      <w:pPr>
        <w:pStyle w:val="BodyText"/>
        <w:ind w:left="102" w:right="45"/>
      </w:pPr>
      <w:r>
        <w:rPr>
          <w:color w:val="211E1F"/>
        </w:rPr>
        <w:t>Arredondo, L. L. 2006. Investigaciones y artículos, México, unam, Centro de Análisis Multidisciplinario.</w:t>
      </w:r>
    </w:p>
    <w:p>
      <w:pPr>
        <w:pStyle w:val="BodyText"/>
      </w:pPr>
    </w:p>
    <w:p>
      <w:pPr>
        <w:pStyle w:val="BodyText"/>
        <w:spacing w:line="480" w:lineRule="auto"/>
        <w:ind w:left="102" w:right="45"/>
      </w:pPr>
      <w:r>
        <w:rPr>
          <w:color w:val="211E1F"/>
        </w:rPr>
        <w:t>Banco de Información Económica. 2008. Banco de Información Económica, México, BIE. Banco de México. 2005. Indicadores Económicos de México, México.</w:t>
      </w:r>
    </w:p>
    <w:p>
      <w:pPr>
        <w:pStyle w:val="BodyText"/>
        <w:spacing w:before="11"/>
        <w:ind w:left="102" w:right="45"/>
      </w:pPr>
      <w:r>
        <w:rPr/>
        <w:t>CEFP. 2009. La Crisis Financiera de los Estados Unidos y su impacto en México. Palacio Legislativo De San Lázaro, enero. México, D.F.</w:t>
      </w:r>
    </w:p>
    <w:p>
      <w:pPr>
        <w:pStyle w:val="BodyText"/>
      </w:pPr>
    </w:p>
    <w:p>
      <w:pPr>
        <w:pStyle w:val="BodyText"/>
        <w:ind w:left="102" w:right="121"/>
        <w:jc w:val="both"/>
      </w:pPr>
      <w:r>
        <w:rPr/>
        <w:t>Escalante Semerena Roberto I., y Catalán Horacio. 2008. Situación actual del sector agropecuario en México: perspectivas y retos. ECONOMÍA vol. 3 núm. 7. UNAM. Disponible e</w:t>
      </w:r>
      <w:hyperlink r:id="rId9">
        <w:r>
          <w:rPr/>
          <w:t>n: http://www.economia.unam.mx/publicaciones/econinforma/</w:t>
        </w:r>
      </w:hyperlink>
    </w:p>
    <w:p>
      <w:pPr>
        <w:pStyle w:val="BodyText"/>
      </w:pPr>
    </w:p>
    <w:p>
      <w:pPr>
        <w:pStyle w:val="BodyText"/>
        <w:ind w:left="102"/>
        <w:jc w:val="both"/>
      </w:pPr>
      <w:r>
        <w:rPr>
          <w:color w:val="211E1F"/>
        </w:rPr>
        <w:t>Gujarati, D. N. 2006. Econometría básica. McGraw Hill. México, D. F.</w:t>
      </w:r>
    </w:p>
    <w:p>
      <w:pPr>
        <w:pStyle w:val="BodyText"/>
      </w:pPr>
    </w:p>
    <w:p>
      <w:pPr>
        <w:pStyle w:val="BodyText"/>
        <w:tabs>
          <w:tab w:pos="1133" w:val="left" w:leader="none"/>
          <w:tab w:pos="1622" w:val="left" w:leader="none"/>
          <w:tab w:pos="2447" w:val="left" w:leader="none"/>
          <w:tab w:pos="3572" w:val="left" w:leader="none"/>
          <w:tab w:pos="3967" w:val="left" w:leader="none"/>
          <w:tab w:pos="4464" w:val="left" w:leader="none"/>
          <w:tab w:pos="6018" w:val="left" w:leader="none"/>
          <w:tab w:pos="7093" w:val="left" w:leader="none"/>
          <w:tab w:pos="7886" w:val="left" w:leader="none"/>
          <w:tab w:pos="8469" w:val="left" w:leader="none"/>
        </w:tabs>
        <w:ind w:left="102" w:right="115"/>
      </w:pPr>
      <w:r>
        <w:rPr>
          <w:color w:val="211E1F"/>
        </w:rPr>
        <w:t>Krauze,</w:t>
        <w:tab/>
        <w:t>E.</w:t>
        <w:tab/>
        <w:t>1999.</w:t>
        <w:tab/>
        <w:t>“México</w:t>
        <w:tab/>
        <w:t>y</w:t>
        <w:tab/>
        <w:t>su</w:t>
        <w:tab/>
        <w:t>democracia”,</w:t>
        <w:tab/>
        <w:t>México,</w:t>
        <w:tab/>
        <w:t>Siglo</w:t>
        <w:tab/>
      </w:r>
      <w:r>
        <w:rPr/>
        <w:t>xx</w:t>
      </w:r>
      <w:r>
        <w:rPr>
          <w:color w:val="211E1F"/>
        </w:rPr>
        <w:t>,</w:t>
        <w:tab/>
        <w:t>Clío, </w:t>
      </w:r>
      <w:hyperlink r:id="rId10">
        <w:r>
          <w:rPr>
            <w:color w:val="211E1F"/>
          </w:rPr>
          <w:t>http://catarina.udlap.mx/u_dl_a/tales/documentos/lri/martinez_v_ak/capitulo2.pdf</w:t>
        </w:r>
      </w:hyperlink>
    </w:p>
    <w:p>
      <w:pPr>
        <w:pStyle w:val="BodyText"/>
      </w:pPr>
    </w:p>
    <w:p>
      <w:pPr>
        <w:pStyle w:val="BodyText"/>
        <w:ind w:left="102" w:right="45"/>
      </w:pPr>
      <w:r>
        <w:rPr/>
        <w:t>Serrano Díaz José de Jesús. 2011. Tendencias del desempleo en </w:t>
      </w:r>
      <w:r>
        <w:rPr>
          <w:color w:val="211E1F"/>
        </w:rPr>
        <w:t>México. </w:t>
      </w:r>
      <w:r>
        <w:rPr/>
        <w:t>La Jornada de Zacatecas miércoles 02 de mayo. </w:t>
      </w:r>
      <w:hyperlink r:id="rId11">
        <w:r>
          <w:rPr/>
          <w:t>http://www.elindependientezac.com</w:t>
        </w:r>
      </w:hyperlink>
    </w:p>
    <w:p>
      <w:pPr>
        <w:pStyle w:val="BodyText"/>
      </w:pPr>
    </w:p>
    <w:p>
      <w:pPr>
        <w:pStyle w:val="BodyText"/>
        <w:ind w:left="102" w:right="120"/>
        <w:jc w:val="both"/>
      </w:pPr>
      <w:r>
        <w:rPr>
          <w:color w:val="211E1F"/>
        </w:rPr>
        <w:t>Turner, B. E. y Martínez, P. H. 2003. Inversión extranjera y empleo en México. Análisis Económico, XVIII (primer semestre), consultado el 26 de agosto de 2009, </w:t>
      </w:r>
      <w:hyperlink r:id="rId12">
        <w:r>
          <w:rPr>
            <w:color w:val="211E1F"/>
          </w:rPr>
          <w:t>http://redalyc.uaemex.mx/redalyc/src/inicio/ArtPdfRed.</w:t>
        </w:r>
      </w:hyperlink>
    </w:p>
    <w:p>
      <w:pPr>
        <w:pStyle w:val="BodyText"/>
      </w:pPr>
    </w:p>
    <w:p>
      <w:pPr>
        <w:pStyle w:val="BodyText"/>
        <w:ind w:left="102" w:right="1072"/>
      </w:pPr>
      <w:hyperlink r:id="rId13">
        <w:r>
          <w:rPr/>
          <w:t>www.banxico.org.mx/tipo/estadisticas/index.html,</w:t>
        </w:r>
      </w:hyperlink>
      <w:r>
        <w:rPr/>
        <w:t> consultado el 15 julio de 2005. </w:t>
      </w:r>
      <w:hyperlink r:id="rId14">
        <w:r>
          <w:rPr/>
          <w:t>www.inegi.gob.mx/inegi/default.aspx?s=est,</w:t>
        </w:r>
      </w:hyperlink>
      <w:r>
        <w:rPr/>
        <w:t> consultado el 15 de julio de 2005. </w:t>
      </w:r>
      <w:hyperlink r:id="rId15">
        <w:r>
          <w:rPr/>
          <w:t>www.mexicomaxico.org/Voto/super.htm,</w:t>
        </w:r>
      </w:hyperlink>
      <w:r>
        <w:rPr/>
        <w:t> consultado el 15 de julio de 2005.</w:t>
      </w:r>
    </w:p>
    <w:p>
      <w:pPr>
        <w:spacing w:after="0"/>
        <w:sectPr>
          <w:pgSz w:w="12240" w:h="15840"/>
          <w:pgMar w:header="727" w:footer="0" w:top="920" w:bottom="280" w:left="1600" w:right="1580"/>
        </w:sectPr>
      </w:pPr>
    </w:p>
    <w:p>
      <w:pPr>
        <w:pStyle w:val="BodyText"/>
        <w:spacing w:before="4"/>
        <w:rPr>
          <w:sz w:val="17"/>
        </w:rPr>
      </w:pPr>
      <w:r>
        <w:rPr/>
        <w:pict>
          <v:shape style="position:absolute;margin-left:0pt;margin-top:0pt;width:612pt;height:792pt;mso-position-horizontal-relative:page;mso-position-vertical-relative:page;z-index:-27904" type="#_x0000_t202" filled="false" stroked="false">
            <v:textbox inset="0,0,0,0">
              <w:txbxContent>
                <w:p>
                  <w:pPr>
                    <w:pStyle w:val="BodyText"/>
                    <w:rPr>
                      <w:sz w:val="20"/>
                    </w:rPr>
                  </w:pPr>
                </w:p>
                <w:p>
                  <w:pPr>
                    <w:pStyle w:val="BodyText"/>
                    <w:rPr>
                      <w:sz w:val="20"/>
                    </w:rPr>
                  </w:pPr>
                </w:p>
                <w:p>
                  <w:pPr>
                    <w:pStyle w:val="BodyText"/>
                    <w:spacing w:before="11"/>
                    <w:rPr>
                      <w:sz w:val="20"/>
                    </w:rPr>
                  </w:pPr>
                </w:p>
                <w:p>
                  <w:pPr>
                    <w:spacing w:before="0"/>
                    <w:ind w:left="0" w:right="1695" w:firstLine="0"/>
                    <w:jc w:val="right"/>
                    <w:rPr>
                      <w:sz w:val="20"/>
                    </w:rPr>
                  </w:pPr>
                  <w:r>
                    <w:rPr>
                      <w:sz w:val="20"/>
                    </w:rPr>
                    <w:t>134</w:t>
                  </w:r>
                </w:p>
              </w:txbxContent>
            </v:textbox>
            <w10:wrap type="none"/>
          </v:shape>
        </w:pict>
      </w:r>
      <w:r>
        <w:rPr/>
        <w:pict>
          <v:group style="position:absolute;margin-left:.0pt;margin-top:0pt;width:612pt;height:792pt;mso-position-horizontal-relative:page;mso-position-vertical-relative:page;z-index:-27880" coordorigin="0,0" coordsize="12240,15840">
            <v:shape style="position:absolute;left:9319;top:11398;width:1841;height:1982" type="#_x0000_t75" stroked="false">
              <v:imagedata r:id="rId17" o:title=""/>
            </v:shape>
            <v:shape style="position:absolute;left:0;top:0;width:12240;height:15840" type="#_x0000_t75" stroked="false">
              <v:imagedata r:id="rId18" o:title=""/>
            </v:shape>
            <v:rect style="position:absolute;left:1990;top:3396;width:10250;height:8582" filled="true" fillcolor="#ffd966" stroked="false">
              <v:fill type="solid"/>
            </v:rect>
            <v:rect style="position:absolute;left:0;top:4596;width:1990;height:6566" filled="true" fillcolor="#6fac46" stroked="false">
              <v:fill type="solid"/>
            </v:rect>
            <v:rect style="position:absolute;left:1990;top:0;width:10205;height:2940" filled="true" fillcolor="#ffd966" stroked="false">
              <v:fill type="solid"/>
            </v:rect>
            <v:rect style="position:absolute;left:0;top:13536;width:1956;height:2304" filled="true" fillcolor="#6fac46" stroked="false">
              <v:fill type="solid"/>
            </v:rect>
            <v:rect style="position:absolute;left:1961;top:12516;width:10279;height:3324" filled="true" fillcolor="#ffd966" stroked="false">
              <v:fill type="solid"/>
            </v:rect>
            <v:rect style="position:absolute;left:0;top:0;width:1970;height:2278" filled="true" fillcolor="#6fac46" stroked="false">
              <v:fill type="solid"/>
            </v:rect>
            <v:shape style="position:absolute;left:9156;top:13044;width:1843;height:1985" type="#_x0000_t75" stroked="false">
              <v:imagedata r:id="rId17" o:title=""/>
            </v:shape>
            <v:shape style="position:absolute;left:5542;top:13020;width:3245;height:2011" type="#_x0000_t75" stroked="false">
              <v:imagedata r:id="rId19" o:title=""/>
            </v:shape>
            <w10:wrap type="none"/>
          </v:group>
        </w:pict>
      </w:r>
    </w:p>
    <w:sectPr>
      <w:headerReference w:type="default" r:id="rId16"/>
      <w:pgSz w:w="12240" w:h="15840"/>
      <w:pgMar w:header="0" w:footer="0"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5.059998pt;margin-top:35.385448pt;width:14.1pt;height:12pt;mso-position-horizontal-relative:page;mso-position-vertical-relative:page;z-index:-2809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25</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02" w:hanging="240"/>
        <w:jc w:val="left"/>
      </w:pPr>
      <w:rPr>
        <w:rFonts w:hint="default" w:ascii="Times New Roman" w:hAnsi="Times New Roman" w:eastAsia="Times New Roman" w:cs="Times New Roman"/>
        <w:spacing w:val="-2"/>
        <w:w w:val="99"/>
        <w:sz w:val="24"/>
        <w:szCs w:val="24"/>
      </w:rPr>
    </w:lvl>
    <w:lvl w:ilvl="1">
      <w:start w:val="1"/>
      <w:numFmt w:val="decimal"/>
      <w:lvlText w:val="%2)"/>
      <w:lvlJc w:val="left"/>
      <w:pPr>
        <w:ind w:left="822" w:hanging="360"/>
        <w:jc w:val="left"/>
      </w:pPr>
      <w:rPr>
        <w:rFonts w:hint="default" w:ascii="Times New Roman" w:hAnsi="Times New Roman" w:eastAsia="Times New Roman" w:cs="Times New Roman"/>
        <w:spacing w:val="-20"/>
        <w:w w:val="99"/>
        <w:sz w:val="24"/>
        <w:szCs w:val="24"/>
      </w:rPr>
    </w:lvl>
    <w:lvl w:ilvl="2">
      <w:start w:val="1"/>
      <w:numFmt w:val="lowerLetter"/>
      <w:lvlText w:val="%3)"/>
      <w:lvlJc w:val="left"/>
      <w:pPr>
        <w:ind w:left="822" w:hanging="360"/>
        <w:jc w:val="left"/>
      </w:pPr>
      <w:rPr>
        <w:rFonts w:hint="default" w:ascii="Times New Roman" w:hAnsi="Times New Roman" w:eastAsia="Times New Roman" w:cs="Times New Roman"/>
        <w:spacing w:val="-6"/>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
      <w:ind w:left="10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right="117" w:hanging="360"/>
      <w:jc w:val="both"/>
    </w:pPr>
    <w:rPr>
      <w:rFonts w:ascii="Times New Roman" w:hAnsi="Times New Roman" w:eastAsia="Times New Roman" w:cs="Times New Roman"/>
    </w:rPr>
  </w:style>
  <w:style w:styleId="TableParagraph" w:type="paragraph">
    <w:name w:val="Table Paragraph"/>
    <w:basedOn w:val="Normal"/>
    <w:uiPriority w:val="1"/>
    <w:qFormat/>
    <w:pPr>
      <w:spacing w:line="263" w:lineRule="exac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http://www.ecorfan.org/" TargetMode="External"/><Relationship Id="rId7" Type="http://schemas.openxmlformats.org/officeDocument/2006/relationships/header" Target="header1.xml"/><Relationship Id="rId8" Type="http://schemas.openxmlformats.org/officeDocument/2006/relationships/hyperlink" Target="mailto:perezsotof@hotmail.com" TargetMode="External"/><Relationship Id="rId9" Type="http://schemas.openxmlformats.org/officeDocument/2006/relationships/hyperlink" Target="http://www.economia.unam.mx/publicaciones/econinforma/" TargetMode="External"/><Relationship Id="rId10" Type="http://schemas.openxmlformats.org/officeDocument/2006/relationships/hyperlink" Target="http://catarina.udlap.mx/u_dl_a/tales/documentos/lri/martinez_v_ak/capitulo2.pdf" TargetMode="External"/><Relationship Id="rId11" Type="http://schemas.openxmlformats.org/officeDocument/2006/relationships/hyperlink" Target="http://www.elindependientezac.com/" TargetMode="External"/><Relationship Id="rId12" Type="http://schemas.openxmlformats.org/officeDocument/2006/relationships/hyperlink" Target="http://redalyc.uaemex.mx/redalyc/src/inicio/ArtPdfRed" TargetMode="External"/><Relationship Id="rId13" Type="http://schemas.openxmlformats.org/officeDocument/2006/relationships/hyperlink" Target="http://www.banxico.org.mx/tipo/estadisticas/index.html" TargetMode="External"/><Relationship Id="rId14" Type="http://schemas.openxmlformats.org/officeDocument/2006/relationships/hyperlink" Target="http://www.inegi.gob.mx/inegi/default.aspx?s=est" TargetMode="External"/><Relationship Id="rId15" Type="http://schemas.openxmlformats.org/officeDocument/2006/relationships/hyperlink" Target="http://www.mexicomaxico.org/Voto/super.htm" TargetMode="External"/><Relationship Id="rId16" Type="http://schemas.openxmlformats.org/officeDocument/2006/relationships/header" Target="header2.xml"/><Relationship Id="rId17" Type="http://schemas.openxmlformats.org/officeDocument/2006/relationships/image" Target="media/image2.jpeg"/><Relationship Id="rId18" Type="http://schemas.openxmlformats.org/officeDocument/2006/relationships/image" Target="media/image3.png"/><Relationship Id="rId19" Type="http://schemas.openxmlformats.org/officeDocument/2006/relationships/image" Target="media/image4.png"/><Relationship Id="rId2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ECORFAN-MEXICO, S.C</dc:creator>
  <dcterms:created xsi:type="dcterms:W3CDTF">2017-05-31T20:30:57Z</dcterms:created>
  <dcterms:modified xsi:type="dcterms:W3CDTF">2017-05-31T20:30:57Z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2016-10-17T00:00:00Z</vt:filetime>
  </property>
  <property fmtid="{D5CDD505-2E9C-101B-9397-08002B2CF9AE}" pid="3" name="Creator">
    <vt:lpwstr>Microsoft® Word 2013</vt:lpwstr>
  </property>
  <property fmtid="{D5CDD505-2E9C-101B-9397-08002B2CF9AE}" pid="4" name="LastSaved">
    <vt:filetime>2017-05-31T00:00:00Z</vt:filetime>
  </property>
</Properties>
</file>