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11C" w:rsidRDefault="00800F5F" w:rsidP="006B511C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  <w:lang w:eastAsia="es-MX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54.75pt;margin-top:-9.95pt;width:409.9pt;height:92pt;z-index:251661312" stroked="f">
            <v:textbox>
              <w:txbxContent>
                <w:p w:rsidR="006B511C" w:rsidRPr="006B511C" w:rsidRDefault="006B511C" w:rsidP="006B511C">
                  <w:pPr>
                    <w:jc w:val="center"/>
                    <w:rPr>
                      <w:rFonts w:ascii="Arial" w:hAnsi="Arial" w:cs="Arial"/>
                      <w:sz w:val="40"/>
                      <w:szCs w:val="40"/>
                    </w:rPr>
                  </w:pPr>
                  <w:r w:rsidRPr="006B511C">
                    <w:rPr>
                      <w:rFonts w:ascii="Arial" w:hAnsi="Arial" w:cs="Arial"/>
                      <w:sz w:val="40"/>
                      <w:szCs w:val="40"/>
                    </w:rPr>
                    <w:t>UNIVERSIDAD AUTÓNOMA DEL ESTADO  DE MÉXICO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noProof/>
          <w:sz w:val="36"/>
          <w:szCs w:val="36"/>
          <w:lang w:val="es-ES"/>
        </w:rPr>
        <w:pict>
          <v:shape id="_x0000_s1026" type="#_x0000_t202" style="position:absolute;left:0;text-align:left;margin-left:-68.05pt;margin-top:-29.75pt;width:122.8pt;height:117.4pt;z-index:251660288;mso-height-percent:200;mso-height-percent:200;mso-width-relative:margin;mso-height-relative:margin" stroked="f">
            <v:textbox style="mso-next-textbox:#_x0000_s1026;mso-fit-shape-to-text:t">
              <w:txbxContent>
                <w:p w:rsidR="006B511C" w:rsidRDefault="006B511C">
                  <w:pPr>
                    <w:rPr>
                      <w:lang w:val="es-ES"/>
                    </w:rPr>
                  </w:pPr>
                  <w:r w:rsidRPr="006B511C">
                    <w:rPr>
                      <w:noProof/>
                      <w:lang w:eastAsia="es-MX"/>
                    </w:rPr>
                    <w:drawing>
                      <wp:inline distT="0" distB="0" distL="0" distR="0">
                        <wp:extent cx="1287236" cy="1175657"/>
                        <wp:effectExtent l="19050" t="0" r="8164" b="0"/>
                        <wp:docPr id="1" name="Imagen 1" descr="escudo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315" name="Picture 5" descr="escudo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90011" cy="117819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6B511C" w:rsidRDefault="006B511C" w:rsidP="006B511C">
      <w:pPr>
        <w:tabs>
          <w:tab w:val="left" w:pos="7593"/>
        </w:tabs>
        <w:jc w:val="left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ab/>
      </w:r>
    </w:p>
    <w:p w:rsidR="006B511C" w:rsidRDefault="006B511C">
      <w:pPr>
        <w:rPr>
          <w:rFonts w:ascii="Arial" w:hAnsi="Arial" w:cs="Arial"/>
          <w:sz w:val="36"/>
          <w:szCs w:val="36"/>
        </w:rPr>
      </w:pPr>
    </w:p>
    <w:p w:rsidR="002F1C0B" w:rsidRPr="006B511C" w:rsidRDefault="003E11AE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sz w:val="36"/>
          <w:szCs w:val="36"/>
        </w:rPr>
        <w:t>I</w:t>
      </w:r>
      <w:r w:rsidR="00CE1228" w:rsidRPr="006B511C">
        <w:rPr>
          <w:rFonts w:ascii="Arial" w:hAnsi="Arial" w:cs="Arial"/>
          <w:sz w:val="36"/>
          <w:szCs w:val="36"/>
        </w:rPr>
        <w:t>dentificación del material didáctico</w:t>
      </w:r>
    </w:p>
    <w:p w:rsidR="00CE1228" w:rsidRPr="006B511C" w:rsidRDefault="00CE1228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b/>
          <w:sz w:val="36"/>
          <w:szCs w:val="36"/>
        </w:rPr>
        <w:t>Espacio académico</w:t>
      </w:r>
      <w:r w:rsidRPr="006B511C">
        <w:rPr>
          <w:rFonts w:ascii="Arial" w:hAnsi="Arial" w:cs="Arial"/>
          <w:sz w:val="36"/>
          <w:szCs w:val="36"/>
        </w:rPr>
        <w:t>: CU Amecameca UAEM</w:t>
      </w:r>
    </w:p>
    <w:p w:rsidR="00CE1228" w:rsidRPr="006B511C" w:rsidRDefault="00CE1228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b/>
          <w:sz w:val="36"/>
          <w:szCs w:val="36"/>
        </w:rPr>
        <w:t>Tipo de Material</w:t>
      </w:r>
      <w:r w:rsidRPr="006B511C">
        <w:rPr>
          <w:rFonts w:ascii="Arial" w:hAnsi="Arial" w:cs="Arial"/>
          <w:sz w:val="36"/>
          <w:szCs w:val="36"/>
        </w:rPr>
        <w:t>: Visual</w:t>
      </w:r>
    </w:p>
    <w:p w:rsidR="00A35F3B" w:rsidRDefault="00CE1228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b/>
          <w:sz w:val="36"/>
          <w:szCs w:val="36"/>
        </w:rPr>
        <w:t>Título del Material</w:t>
      </w:r>
      <w:r w:rsidRPr="006B511C">
        <w:rPr>
          <w:rFonts w:ascii="Arial" w:hAnsi="Arial" w:cs="Arial"/>
          <w:sz w:val="36"/>
          <w:szCs w:val="36"/>
        </w:rPr>
        <w:t xml:space="preserve">: </w:t>
      </w:r>
      <w:r w:rsidR="001D6063">
        <w:rPr>
          <w:rFonts w:ascii="Arial" w:hAnsi="Arial" w:cs="Arial"/>
          <w:sz w:val="36"/>
          <w:szCs w:val="36"/>
        </w:rPr>
        <w:t>Rabia</w:t>
      </w:r>
    </w:p>
    <w:p w:rsidR="00CE1228" w:rsidRPr="006B511C" w:rsidRDefault="00CE1228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b/>
          <w:sz w:val="36"/>
          <w:szCs w:val="36"/>
        </w:rPr>
        <w:t>Plan de estudios</w:t>
      </w:r>
      <w:r w:rsidRPr="006B511C">
        <w:rPr>
          <w:rFonts w:ascii="Arial" w:hAnsi="Arial" w:cs="Arial"/>
          <w:sz w:val="36"/>
          <w:szCs w:val="36"/>
        </w:rPr>
        <w:t>: Medicina Veterinaria y  Zootecnia</w:t>
      </w:r>
    </w:p>
    <w:p w:rsidR="000828CB" w:rsidRDefault="00CE1228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b/>
          <w:sz w:val="36"/>
          <w:szCs w:val="36"/>
        </w:rPr>
        <w:t>Unidad de aprendizaje con la que se vincula el material</w:t>
      </w:r>
      <w:r w:rsidRPr="006B511C">
        <w:rPr>
          <w:rFonts w:ascii="Arial" w:hAnsi="Arial" w:cs="Arial"/>
          <w:sz w:val="36"/>
          <w:szCs w:val="36"/>
        </w:rPr>
        <w:t>:</w:t>
      </w:r>
    </w:p>
    <w:p w:rsidR="00CD571B" w:rsidRDefault="00CE1228" w:rsidP="006B511C">
      <w:pPr>
        <w:spacing w:line="360" w:lineRule="auto"/>
        <w:rPr>
          <w:rFonts w:ascii="Arial" w:hAnsi="Arial" w:cs="Arial"/>
          <w:sz w:val="36"/>
          <w:szCs w:val="36"/>
        </w:rPr>
      </w:pPr>
      <w:r w:rsidRPr="006B511C">
        <w:rPr>
          <w:rFonts w:ascii="Arial" w:hAnsi="Arial" w:cs="Arial"/>
          <w:sz w:val="36"/>
          <w:szCs w:val="36"/>
        </w:rPr>
        <w:t xml:space="preserve"> </w:t>
      </w:r>
      <w:r w:rsidR="001D6063">
        <w:rPr>
          <w:rFonts w:ascii="Arial" w:hAnsi="Arial" w:cs="Arial"/>
          <w:sz w:val="36"/>
          <w:szCs w:val="36"/>
        </w:rPr>
        <w:t>Virología</w:t>
      </w:r>
    </w:p>
    <w:p w:rsidR="000828CB" w:rsidRDefault="000828CB" w:rsidP="006B511C">
      <w:pPr>
        <w:spacing w:line="360" w:lineRule="auto"/>
        <w:rPr>
          <w:rFonts w:ascii="Arial" w:hAnsi="Arial" w:cs="Arial"/>
          <w:sz w:val="36"/>
          <w:szCs w:val="36"/>
        </w:rPr>
      </w:pPr>
    </w:p>
    <w:p w:rsidR="00CE1228" w:rsidRPr="006B511C" w:rsidRDefault="00CE1228" w:rsidP="006B511C">
      <w:pPr>
        <w:spacing w:line="360" w:lineRule="auto"/>
        <w:rPr>
          <w:rFonts w:ascii="Arial" w:hAnsi="Arial" w:cs="Arial"/>
          <w:b/>
          <w:sz w:val="36"/>
          <w:szCs w:val="36"/>
        </w:rPr>
      </w:pPr>
      <w:r w:rsidRPr="006B511C">
        <w:rPr>
          <w:rFonts w:ascii="Arial" w:hAnsi="Arial" w:cs="Arial"/>
          <w:b/>
          <w:sz w:val="36"/>
          <w:szCs w:val="36"/>
        </w:rPr>
        <w:t>Elaboró: M. en C. María del Rosario Santiago Rodríguez</w:t>
      </w:r>
      <w:r w:rsidR="006B511C" w:rsidRPr="006B511C">
        <w:rPr>
          <w:rFonts w:ascii="Arial" w:hAnsi="Arial" w:cs="Arial"/>
          <w:b/>
          <w:sz w:val="36"/>
          <w:szCs w:val="36"/>
        </w:rPr>
        <w:t>.</w:t>
      </w:r>
    </w:p>
    <w:p w:rsidR="00CE1228" w:rsidRDefault="00800F5F" w:rsidP="00800F5F">
      <w:pPr>
        <w:jc w:val="center"/>
        <w:rPr>
          <w:rFonts w:ascii="Arial" w:hAnsi="Arial" w:cs="Arial"/>
          <w:sz w:val="36"/>
          <w:szCs w:val="36"/>
        </w:rPr>
      </w:pPr>
      <w:bookmarkStart w:id="0" w:name="_GoBack"/>
      <w:r>
        <w:rPr>
          <w:rFonts w:ascii="Arial" w:hAnsi="Arial" w:cs="Arial"/>
          <w:sz w:val="36"/>
          <w:szCs w:val="36"/>
        </w:rPr>
        <w:t>Octubre 2016</w:t>
      </w:r>
    </w:p>
    <w:bookmarkEnd w:id="0"/>
    <w:p w:rsidR="000828CB" w:rsidRDefault="000828CB">
      <w:pPr>
        <w:rPr>
          <w:rFonts w:ascii="Arial" w:hAnsi="Arial" w:cs="Arial"/>
          <w:sz w:val="36"/>
          <w:szCs w:val="36"/>
        </w:rPr>
      </w:pPr>
    </w:p>
    <w:p w:rsidR="000828CB" w:rsidRDefault="000828CB">
      <w:pPr>
        <w:rPr>
          <w:rFonts w:ascii="Arial" w:hAnsi="Arial" w:cs="Arial"/>
          <w:sz w:val="36"/>
          <w:szCs w:val="36"/>
        </w:rPr>
      </w:pPr>
    </w:p>
    <w:p w:rsidR="004748A9" w:rsidRDefault="004748A9">
      <w:pPr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z w:val="36"/>
          <w:szCs w:val="36"/>
        </w:rPr>
        <w:lastRenderedPageBreak/>
        <w:t xml:space="preserve">GUION EXPLICATIVO DE DIAPOSITIVAS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366"/>
        <w:gridCol w:w="7688"/>
      </w:tblGrid>
      <w:tr w:rsidR="004748A9" w:rsidTr="00236F52">
        <w:tc>
          <w:tcPr>
            <w:tcW w:w="1366" w:type="dxa"/>
          </w:tcPr>
          <w:p w:rsidR="004748A9" w:rsidRPr="004748A9" w:rsidRDefault="004748A9">
            <w:pPr>
              <w:rPr>
                <w:rFonts w:ascii="Arial" w:hAnsi="Arial" w:cs="Arial"/>
                <w:b/>
              </w:rPr>
            </w:pPr>
            <w:r w:rsidRPr="004748A9">
              <w:rPr>
                <w:rFonts w:ascii="Arial" w:hAnsi="Arial" w:cs="Arial"/>
                <w:b/>
              </w:rPr>
              <w:t>No. de  diapositiva</w:t>
            </w:r>
          </w:p>
        </w:tc>
        <w:tc>
          <w:tcPr>
            <w:tcW w:w="7688" w:type="dxa"/>
          </w:tcPr>
          <w:p w:rsidR="004748A9" w:rsidRDefault="004748A9">
            <w:pPr>
              <w:rPr>
                <w:rFonts w:ascii="Arial" w:hAnsi="Arial" w:cs="Arial"/>
                <w:sz w:val="36"/>
                <w:szCs w:val="36"/>
              </w:rPr>
            </w:pPr>
            <w:r>
              <w:rPr>
                <w:rFonts w:ascii="Arial" w:hAnsi="Arial" w:cs="Arial"/>
                <w:sz w:val="36"/>
                <w:szCs w:val="36"/>
              </w:rPr>
              <w:t xml:space="preserve">                         Contenido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7688" w:type="dxa"/>
          </w:tcPr>
          <w:p w:rsidR="004748A9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Presentación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7688" w:type="dxa"/>
          </w:tcPr>
          <w:p w:rsidR="004748A9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Contenido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7688" w:type="dxa"/>
          </w:tcPr>
          <w:p w:rsidR="004748A9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Objetivo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7688" w:type="dxa"/>
          </w:tcPr>
          <w:p w:rsidR="00236F52" w:rsidRPr="00434AF0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Aportaciones de Luis Pasteur al estudio de la rabia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7688" w:type="dxa"/>
          </w:tcPr>
          <w:p w:rsidR="00236F52" w:rsidRPr="00434AF0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Clasificación del virus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7688" w:type="dxa"/>
          </w:tcPr>
          <w:p w:rsidR="00236F52" w:rsidRPr="00434AF0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Tipo de genoma y clasificación de Baltimore</w:t>
            </w:r>
          </w:p>
        </w:tc>
      </w:tr>
      <w:tr w:rsidR="004748A9" w:rsidTr="00236F52">
        <w:tc>
          <w:tcPr>
            <w:tcW w:w="1366" w:type="dxa"/>
          </w:tcPr>
          <w:p w:rsidR="004748A9" w:rsidRPr="00434AF0" w:rsidRDefault="004748A9">
            <w:pPr>
              <w:rPr>
                <w:rFonts w:ascii="Arial" w:hAnsi="Arial" w:cs="Arial"/>
                <w:sz w:val="24"/>
                <w:szCs w:val="24"/>
              </w:rPr>
            </w:pPr>
            <w:r w:rsidRPr="00434AF0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7688" w:type="dxa"/>
          </w:tcPr>
          <w:p w:rsidR="00236F52" w:rsidRPr="00434AF0" w:rsidRDefault="00D44471" w:rsidP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Esquema de</w:t>
            </w:r>
            <w:r w:rsidR="001D6063">
              <w:rPr>
                <w:rFonts w:ascii="Arial" w:hAnsi="Arial" w:cs="Arial"/>
                <w:sz w:val="24"/>
                <w:szCs w:val="24"/>
              </w:rPr>
              <w:t xml:space="preserve"> la estructura del virus de la rabia</w:t>
            </w:r>
          </w:p>
        </w:tc>
      </w:tr>
      <w:tr w:rsidR="00434AF0" w:rsidTr="00236F52">
        <w:tc>
          <w:tcPr>
            <w:tcW w:w="1366" w:type="dxa"/>
          </w:tcPr>
          <w:p w:rsidR="00434AF0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7688" w:type="dxa"/>
          </w:tcPr>
          <w:p w:rsidR="00236F52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Proteínas de secreción</w:t>
            </w:r>
          </w:p>
        </w:tc>
      </w:tr>
      <w:tr w:rsidR="00434AF0" w:rsidTr="00236F52">
        <w:tc>
          <w:tcPr>
            <w:tcW w:w="1366" w:type="dxa"/>
          </w:tcPr>
          <w:p w:rsidR="00434AF0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7688" w:type="dxa"/>
          </w:tcPr>
          <w:p w:rsidR="00236F52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Genoma Viral. Estructura reportada por el Gene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bank</w:t>
            </w:r>
            <w:proofErr w:type="spellEnd"/>
          </w:p>
        </w:tc>
      </w:tr>
      <w:tr w:rsidR="00434AF0" w:rsidTr="00236F52">
        <w:tc>
          <w:tcPr>
            <w:tcW w:w="1366" w:type="dxa"/>
          </w:tcPr>
          <w:p w:rsidR="00434AF0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7688" w:type="dxa"/>
          </w:tcPr>
          <w:p w:rsidR="00236F52" w:rsidRDefault="001D6063" w:rsidP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Algunas especies susceptibles a padecer rabia</w:t>
            </w:r>
          </w:p>
        </w:tc>
      </w:tr>
      <w:tr w:rsidR="00434AF0" w:rsidTr="001D6063">
        <w:trPr>
          <w:trHeight w:val="609"/>
        </w:trPr>
        <w:tc>
          <w:tcPr>
            <w:tcW w:w="1366" w:type="dxa"/>
          </w:tcPr>
          <w:p w:rsidR="00434AF0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7688" w:type="dxa"/>
          </w:tcPr>
          <w:p w:rsidR="00236F52" w:rsidRDefault="001D6063" w:rsidP="001D6063">
            <w:pPr>
              <w:rPr>
                <w:rFonts w:ascii="Arial" w:hAnsi="Arial" w:cs="Arial"/>
                <w:sz w:val="24"/>
                <w:szCs w:val="24"/>
              </w:rPr>
            </w:pPr>
            <w:r w:rsidRPr="001D6063">
              <w:rPr>
                <w:rFonts w:ascii="Arial" w:hAnsi="Arial" w:cs="Arial"/>
                <w:bCs/>
                <w:sz w:val="24"/>
                <w:szCs w:val="24"/>
              </w:rPr>
              <w:t>Comparativo de presentación de la enfermedad en animales salvajes y animales domésticos</w:t>
            </w:r>
          </w:p>
        </w:tc>
      </w:tr>
      <w:tr w:rsidR="00434AF0" w:rsidTr="00236F52">
        <w:tc>
          <w:tcPr>
            <w:tcW w:w="1366" w:type="dxa"/>
          </w:tcPr>
          <w:p w:rsidR="00434AF0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7688" w:type="dxa"/>
          </w:tcPr>
          <w:p w:rsidR="00236F52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observa la clasificación de las variantes del virus en los diferentes hospedadores</w:t>
            </w:r>
          </w:p>
        </w:tc>
      </w:tr>
      <w:tr w:rsidR="00434AF0" w:rsidTr="00236F52">
        <w:tc>
          <w:tcPr>
            <w:tcW w:w="1366" w:type="dxa"/>
          </w:tcPr>
          <w:p w:rsidR="00434AF0" w:rsidRP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</w:t>
            </w:r>
          </w:p>
        </w:tc>
        <w:tc>
          <w:tcPr>
            <w:tcW w:w="7688" w:type="dxa"/>
          </w:tcPr>
          <w:p w:rsidR="00236F52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Esquema de los ciclos de transmisión de la enfermedad</w:t>
            </w:r>
          </w:p>
        </w:tc>
      </w:tr>
      <w:tr w:rsidR="00434AF0" w:rsidTr="00236F52">
        <w:tc>
          <w:tcPr>
            <w:tcW w:w="1366" w:type="dxa"/>
          </w:tcPr>
          <w:p w:rsidR="00434AF0" w:rsidRDefault="00434AF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7688" w:type="dxa"/>
          </w:tcPr>
          <w:p w:rsidR="00236F52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En la diapositiva se explica la patogenia de la rabia, el caso del perro</w:t>
            </w:r>
          </w:p>
        </w:tc>
      </w:tr>
      <w:tr w:rsidR="00434AF0" w:rsidTr="00236F52">
        <w:tc>
          <w:tcPr>
            <w:tcW w:w="1366" w:type="dxa"/>
          </w:tcPr>
          <w:p w:rsidR="00434AF0" w:rsidRDefault="00AA232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7688" w:type="dxa"/>
          </w:tcPr>
          <w:p w:rsidR="00236F52" w:rsidRDefault="001D606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 manera esquemática se explica la migración del virus en el hospedador</w:t>
            </w:r>
          </w:p>
        </w:tc>
      </w:tr>
      <w:tr w:rsidR="00434AF0" w:rsidTr="00236F52">
        <w:tc>
          <w:tcPr>
            <w:tcW w:w="1366" w:type="dxa"/>
          </w:tcPr>
          <w:p w:rsidR="00434AF0" w:rsidRDefault="00AA232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16</w:t>
            </w:r>
          </w:p>
        </w:tc>
        <w:tc>
          <w:tcPr>
            <w:tcW w:w="7688" w:type="dxa"/>
          </w:tcPr>
          <w:p w:rsidR="00AA232B" w:rsidRDefault="001D6063" w:rsidP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Mecanismo de infección</w:t>
            </w:r>
            <w:r w:rsidR="00D44471">
              <w:rPr>
                <w:rFonts w:ascii="Arial" w:hAnsi="Arial" w:cs="Arial"/>
                <w:sz w:val="24"/>
                <w:szCs w:val="24"/>
              </w:rPr>
              <w:t xml:space="preserve"> Rumiantes. Primeros signos</w:t>
            </w:r>
          </w:p>
        </w:tc>
      </w:tr>
      <w:tr w:rsidR="00434AF0" w:rsidTr="00236F52">
        <w:tc>
          <w:tcPr>
            <w:tcW w:w="1366" w:type="dxa"/>
          </w:tcPr>
          <w:p w:rsidR="00434AF0" w:rsidRDefault="00AA232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17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Continuación del mecanismo de infección en rumiantes.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Signos .</w:t>
            </w:r>
            <w:proofErr w:type="gramEnd"/>
          </w:p>
        </w:tc>
      </w:tr>
      <w:tr w:rsidR="00434AF0" w:rsidTr="00236F52">
        <w:tc>
          <w:tcPr>
            <w:tcW w:w="1366" w:type="dxa"/>
          </w:tcPr>
          <w:p w:rsidR="00434AF0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7688" w:type="dxa"/>
          </w:tcPr>
          <w:p w:rsidR="00434AF0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Algunos tipos de vacunas </w:t>
            </w:r>
          </w:p>
        </w:tc>
      </w:tr>
      <w:tr w:rsidR="00434AF0" w:rsidTr="00236F52">
        <w:tc>
          <w:tcPr>
            <w:tcW w:w="1366" w:type="dxa"/>
          </w:tcPr>
          <w:p w:rsidR="00434AF0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</w:t>
            </w:r>
          </w:p>
        </w:tc>
        <w:tc>
          <w:tcPr>
            <w:tcW w:w="7688" w:type="dxa"/>
          </w:tcPr>
          <w:p w:rsidR="00236F52" w:rsidRPr="00FF6D58" w:rsidRDefault="00D44471" w:rsidP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Se explica el plan de vacunación para bovinos</w:t>
            </w:r>
          </w:p>
        </w:tc>
      </w:tr>
      <w:tr w:rsidR="00434AF0" w:rsidTr="00236F52">
        <w:tc>
          <w:tcPr>
            <w:tcW w:w="1366" w:type="dxa"/>
          </w:tcPr>
          <w:p w:rsidR="00434AF0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Cuadro clínico en perros</w:t>
            </w:r>
          </w:p>
        </w:tc>
      </w:tr>
      <w:tr w:rsidR="00434AF0" w:rsidTr="00236F52">
        <w:tc>
          <w:tcPr>
            <w:tcW w:w="1366" w:type="dxa"/>
          </w:tcPr>
          <w:p w:rsidR="00434AF0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21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Mecanismo de infección en caninos</w:t>
            </w:r>
          </w:p>
        </w:tc>
      </w:tr>
      <w:tr w:rsidR="00434AF0" w:rsidTr="00236F52">
        <w:tc>
          <w:tcPr>
            <w:tcW w:w="1366" w:type="dxa"/>
          </w:tcPr>
          <w:p w:rsidR="00434AF0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22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Signos y síntomas observados en perros</w:t>
            </w:r>
          </w:p>
        </w:tc>
      </w:tr>
      <w:tr w:rsidR="00FF6D58" w:rsidTr="00236F52">
        <w:tc>
          <w:tcPr>
            <w:tcW w:w="1366" w:type="dxa"/>
          </w:tcPr>
          <w:p w:rsidR="00FF6D58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23</w:t>
            </w:r>
          </w:p>
        </w:tc>
        <w:tc>
          <w:tcPr>
            <w:tcW w:w="7688" w:type="dxa"/>
          </w:tcPr>
          <w:p w:rsidR="00956C2D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Esquema de la velocidad de propagación del virus en el hospedador</w:t>
            </w:r>
          </w:p>
        </w:tc>
      </w:tr>
      <w:tr w:rsidR="00FF6D58" w:rsidTr="00236F52">
        <w:tc>
          <w:tcPr>
            <w:tcW w:w="1366" w:type="dxa"/>
          </w:tcPr>
          <w:p w:rsidR="00FF6D58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24</w:t>
            </w:r>
          </w:p>
        </w:tc>
        <w:tc>
          <w:tcPr>
            <w:tcW w:w="7688" w:type="dxa"/>
          </w:tcPr>
          <w:p w:rsidR="00956C2D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Hallazgos a la necropsia</w:t>
            </w:r>
          </w:p>
        </w:tc>
      </w:tr>
      <w:tr w:rsidR="00FF6D58" w:rsidTr="00236F52">
        <w:tc>
          <w:tcPr>
            <w:tcW w:w="1366" w:type="dxa"/>
          </w:tcPr>
          <w:p w:rsidR="00FF6D58" w:rsidRDefault="00FF6D5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7688" w:type="dxa"/>
          </w:tcPr>
          <w:p w:rsidR="00236F52" w:rsidRDefault="00D44471" w:rsidP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Diagnóstico: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Bioposia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e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inmunofluorescencia</w:t>
            </w:r>
            <w:proofErr w:type="spellEnd"/>
          </w:p>
        </w:tc>
      </w:tr>
      <w:tr w:rsidR="00956C2D" w:rsidTr="00236F52">
        <w:tc>
          <w:tcPr>
            <w:tcW w:w="1366" w:type="dxa"/>
          </w:tcPr>
          <w:p w:rsidR="00956C2D" w:rsidRDefault="00956C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7688" w:type="dxa"/>
          </w:tcPr>
          <w:p w:rsidR="004A6777" w:rsidRDefault="00D44471" w:rsidP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Utilidad de la PCR. Fundamento</w:t>
            </w:r>
          </w:p>
        </w:tc>
      </w:tr>
      <w:tr w:rsidR="00956C2D" w:rsidTr="00236F52">
        <w:tc>
          <w:tcPr>
            <w:tcW w:w="1366" w:type="dxa"/>
          </w:tcPr>
          <w:p w:rsidR="00956C2D" w:rsidRDefault="00956C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Aspectos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zoonóticos</w:t>
            </w:r>
            <w:proofErr w:type="spellEnd"/>
          </w:p>
        </w:tc>
      </w:tr>
      <w:tr w:rsidR="00956C2D" w:rsidTr="00236F52">
        <w:tc>
          <w:tcPr>
            <w:tcW w:w="1366" w:type="dxa"/>
          </w:tcPr>
          <w:p w:rsidR="00956C2D" w:rsidRDefault="003C15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Esquema en resumen de cuadro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clínico.periodo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prodrómico y fases en humano</w:t>
            </w:r>
          </w:p>
        </w:tc>
      </w:tr>
      <w:tr w:rsidR="00956C2D" w:rsidTr="00236F52">
        <w:tc>
          <w:tcPr>
            <w:tcW w:w="1366" w:type="dxa"/>
          </w:tcPr>
          <w:p w:rsidR="00956C2D" w:rsidRDefault="003C15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</w:t>
            </w:r>
          </w:p>
        </w:tc>
        <w:tc>
          <w:tcPr>
            <w:tcW w:w="7688" w:type="dxa"/>
          </w:tcPr>
          <w:p w:rsidR="00236F52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Características de la primera fase</w:t>
            </w:r>
          </w:p>
        </w:tc>
      </w:tr>
      <w:tr w:rsidR="003C1526" w:rsidTr="00236F52">
        <w:tc>
          <w:tcPr>
            <w:tcW w:w="1366" w:type="dxa"/>
          </w:tcPr>
          <w:p w:rsidR="003C1526" w:rsidRDefault="003C15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7688" w:type="dxa"/>
          </w:tcPr>
          <w:p w:rsidR="00236F52" w:rsidRDefault="00D44471" w:rsidP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Características de la </w:t>
            </w:r>
            <w:r>
              <w:rPr>
                <w:rFonts w:ascii="Arial" w:hAnsi="Arial" w:cs="Arial"/>
                <w:sz w:val="24"/>
                <w:szCs w:val="24"/>
              </w:rPr>
              <w:t>segund</w:t>
            </w:r>
            <w:r>
              <w:rPr>
                <w:rFonts w:ascii="Arial" w:hAnsi="Arial" w:cs="Arial"/>
                <w:sz w:val="24"/>
                <w:szCs w:val="24"/>
              </w:rPr>
              <w:t>a fase</w:t>
            </w:r>
          </w:p>
        </w:tc>
      </w:tr>
      <w:tr w:rsidR="003C1526" w:rsidTr="00236F52">
        <w:tc>
          <w:tcPr>
            <w:tcW w:w="1366" w:type="dxa"/>
          </w:tcPr>
          <w:p w:rsidR="003C1526" w:rsidRDefault="003C15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</w:t>
            </w:r>
          </w:p>
        </w:tc>
        <w:tc>
          <w:tcPr>
            <w:tcW w:w="7688" w:type="dxa"/>
          </w:tcPr>
          <w:p w:rsidR="00236F52" w:rsidRDefault="00D44471" w:rsidP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Características de la </w:t>
            </w:r>
            <w:r>
              <w:rPr>
                <w:rFonts w:ascii="Arial" w:hAnsi="Arial" w:cs="Arial"/>
                <w:sz w:val="24"/>
                <w:szCs w:val="24"/>
              </w:rPr>
              <w:t xml:space="preserve">tercera </w:t>
            </w:r>
            <w:r>
              <w:rPr>
                <w:rFonts w:ascii="Arial" w:hAnsi="Arial" w:cs="Arial"/>
                <w:sz w:val="24"/>
                <w:szCs w:val="24"/>
              </w:rPr>
              <w:t>fase</w:t>
            </w:r>
          </w:p>
        </w:tc>
      </w:tr>
      <w:tr w:rsidR="003C1526" w:rsidTr="00236F52">
        <w:tc>
          <w:tcPr>
            <w:tcW w:w="1366" w:type="dxa"/>
          </w:tcPr>
          <w:p w:rsidR="003C1526" w:rsidRDefault="003C152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</w:t>
            </w:r>
          </w:p>
        </w:tc>
        <w:tc>
          <w:tcPr>
            <w:tcW w:w="7688" w:type="dxa"/>
          </w:tcPr>
          <w:p w:rsidR="00236F52" w:rsidRDefault="00D44471" w:rsidP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Características de la </w:t>
            </w:r>
            <w:r>
              <w:rPr>
                <w:rFonts w:ascii="Arial" w:hAnsi="Arial" w:cs="Arial"/>
                <w:sz w:val="24"/>
                <w:szCs w:val="24"/>
              </w:rPr>
              <w:t xml:space="preserve">cuarta </w:t>
            </w:r>
            <w:r>
              <w:rPr>
                <w:rFonts w:ascii="Arial" w:hAnsi="Arial" w:cs="Arial"/>
                <w:sz w:val="24"/>
                <w:szCs w:val="24"/>
              </w:rPr>
              <w:t>fase</w:t>
            </w:r>
          </w:p>
        </w:tc>
      </w:tr>
      <w:tr w:rsidR="003C1526" w:rsidTr="00236F52">
        <w:tc>
          <w:tcPr>
            <w:tcW w:w="1366" w:type="dxa"/>
          </w:tcPr>
          <w:p w:rsidR="003C1526" w:rsidRDefault="00650E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33</w:t>
            </w:r>
          </w:p>
        </w:tc>
        <w:tc>
          <w:tcPr>
            <w:tcW w:w="7688" w:type="dxa"/>
          </w:tcPr>
          <w:p w:rsidR="003C1526" w:rsidRDefault="00D4447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Lesiones: edema y congestión causadas por el virus en encéfalo e histopatológico.</w:t>
            </w:r>
          </w:p>
        </w:tc>
      </w:tr>
      <w:tr w:rsidR="003C1526" w:rsidTr="00236F52">
        <w:tc>
          <w:tcPr>
            <w:tcW w:w="1366" w:type="dxa"/>
          </w:tcPr>
          <w:p w:rsidR="003C1526" w:rsidRDefault="00650E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34</w:t>
            </w:r>
          </w:p>
        </w:tc>
        <w:tc>
          <w:tcPr>
            <w:tcW w:w="7688" w:type="dxa"/>
          </w:tcPr>
          <w:p w:rsidR="00B74F8A" w:rsidRPr="00B74F8A" w:rsidRDefault="00B74F8A" w:rsidP="00B74F8A">
            <w:pPr>
              <w:rPr>
                <w:rFonts w:ascii="Arial" w:hAnsi="Arial" w:cs="Arial"/>
                <w:sz w:val="24"/>
                <w:szCs w:val="24"/>
              </w:rPr>
            </w:pPr>
            <w:r w:rsidRPr="00B74F8A">
              <w:rPr>
                <w:rFonts w:ascii="Arial" w:hAnsi="Arial" w:cs="Arial"/>
                <w:sz w:val="24"/>
                <w:szCs w:val="24"/>
              </w:rPr>
              <w:t xml:space="preserve">Cuerpos de Inclusión : corpúsculos de </w:t>
            </w:r>
            <w:proofErr w:type="spellStart"/>
            <w:r w:rsidRPr="00B74F8A">
              <w:rPr>
                <w:rFonts w:ascii="Arial" w:hAnsi="Arial" w:cs="Arial"/>
                <w:sz w:val="24"/>
                <w:szCs w:val="24"/>
              </w:rPr>
              <w:t>Negri</w:t>
            </w:r>
            <w:proofErr w:type="spellEnd"/>
            <w:r w:rsidRPr="00B74F8A">
              <w:rPr>
                <w:rFonts w:ascii="Arial" w:hAnsi="Arial" w:cs="Arial"/>
                <w:sz w:val="24"/>
                <w:szCs w:val="24"/>
              </w:rPr>
              <w:t>, característicos de rabia</w:t>
            </w:r>
          </w:p>
          <w:p w:rsidR="00650E55" w:rsidRDefault="00650E5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1526" w:rsidTr="00236F52">
        <w:tc>
          <w:tcPr>
            <w:tcW w:w="1366" w:type="dxa"/>
          </w:tcPr>
          <w:p w:rsidR="003C1526" w:rsidRDefault="00650E5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35</w:t>
            </w:r>
          </w:p>
        </w:tc>
        <w:tc>
          <w:tcPr>
            <w:tcW w:w="7688" w:type="dxa"/>
          </w:tcPr>
          <w:p w:rsidR="00B74F8A" w:rsidRPr="00B74F8A" w:rsidRDefault="00B74F8A" w:rsidP="00B74F8A">
            <w:pPr>
              <w:rPr>
                <w:rFonts w:ascii="Arial" w:hAnsi="Arial" w:cs="Arial"/>
                <w:sz w:val="24"/>
                <w:szCs w:val="24"/>
              </w:rPr>
            </w:pPr>
            <w:r w:rsidRPr="00B74F8A">
              <w:rPr>
                <w:rFonts w:ascii="Arial" w:hAnsi="Arial" w:cs="Arial"/>
                <w:sz w:val="24"/>
                <w:szCs w:val="24"/>
              </w:rPr>
              <w:t>Recomendaciones de la OMS pos- infección o contacto</w:t>
            </w:r>
          </w:p>
          <w:p w:rsidR="003C1526" w:rsidRDefault="003C152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C1526" w:rsidTr="00236F52">
        <w:tc>
          <w:tcPr>
            <w:tcW w:w="1366" w:type="dxa"/>
          </w:tcPr>
          <w:p w:rsidR="003C1526" w:rsidRDefault="00E14A7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36</w:t>
            </w:r>
          </w:p>
        </w:tc>
        <w:tc>
          <w:tcPr>
            <w:tcW w:w="7688" w:type="dxa"/>
          </w:tcPr>
          <w:p w:rsidR="00236F52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Porque y cuando administrar inmunoglobulinas</w:t>
            </w:r>
          </w:p>
        </w:tc>
      </w:tr>
      <w:tr w:rsidR="00D44471" w:rsidTr="00236F52">
        <w:tc>
          <w:tcPr>
            <w:tcW w:w="1366" w:type="dxa"/>
          </w:tcPr>
          <w:p w:rsidR="00D44471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</w:t>
            </w:r>
          </w:p>
        </w:tc>
        <w:tc>
          <w:tcPr>
            <w:tcW w:w="7688" w:type="dxa"/>
          </w:tcPr>
          <w:p w:rsidR="00D44471" w:rsidRDefault="00B74F8A" w:rsidP="00B74F8A">
            <w:pPr>
              <w:rPr>
                <w:rFonts w:ascii="Arial" w:hAnsi="Arial" w:cs="Arial"/>
                <w:sz w:val="24"/>
                <w:szCs w:val="24"/>
              </w:rPr>
            </w:pPr>
            <w:r w:rsidRPr="00B74F8A">
              <w:rPr>
                <w:rFonts w:ascii="Arial" w:hAnsi="Arial" w:cs="Arial"/>
                <w:bCs/>
                <w:sz w:val="24"/>
                <w:szCs w:val="24"/>
              </w:rPr>
              <w:t>Recomendaciones para el uso de inmunoglobulina antirrábica</w:t>
            </w:r>
          </w:p>
        </w:tc>
      </w:tr>
      <w:tr w:rsidR="00E14A73" w:rsidTr="00236F52">
        <w:tc>
          <w:tcPr>
            <w:tcW w:w="1366" w:type="dxa"/>
          </w:tcPr>
          <w:p w:rsidR="00E14A73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38</w:t>
            </w:r>
          </w:p>
        </w:tc>
        <w:tc>
          <w:tcPr>
            <w:tcW w:w="7688" w:type="dxa"/>
          </w:tcPr>
          <w:p w:rsidR="00E14A73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Esquema de vacunación en humanos</w:t>
            </w:r>
          </w:p>
        </w:tc>
      </w:tr>
      <w:tr w:rsidR="00E14A73" w:rsidTr="00236F52">
        <w:tc>
          <w:tcPr>
            <w:tcW w:w="1366" w:type="dxa"/>
          </w:tcPr>
          <w:p w:rsidR="00E14A73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39</w:t>
            </w:r>
          </w:p>
        </w:tc>
        <w:tc>
          <w:tcPr>
            <w:tcW w:w="7688" w:type="dxa"/>
          </w:tcPr>
          <w:p w:rsidR="00E14A73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Recomendaciones en cuanto a vacunación por la OMS</w:t>
            </w:r>
          </w:p>
        </w:tc>
      </w:tr>
      <w:tr w:rsidR="00B74F8A" w:rsidTr="00236F52">
        <w:tc>
          <w:tcPr>
            <w:tcW w:w="1366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40</w:t>
            </w:r>
          </w:p>
        </w:tc>
        <w:tc>
          <w:tcPr>
            <w:tcW w:w="7688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Composición de la vacuna antirrábica</w:t>
            </w:r>
          </w:p>
        </w:tc>
      </w:tr>
      <w:tr w:rsidR="00B74F8A" w:rsidTr="00236F52">
        <w:tc>
          <w:tcPr>
            <w:tcW w:w="1366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41</w:t>
            </w:r>
          </w:p>
        </w:tc>
        <w:tc>
          <w:tcPr>
            <w:tcW w:w="7688" w:type="dxa"/>
          </w:tcPr>
          <w:p w:rsidR="00B74F8A" w:rsidRDefault="0035748D" w:rsidP="0035748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Montaje de la respuesta Inmune</w:t>
            </w:r>
          </w:p>
        </w:tc>
      </w:tr>
      <w:tr w:rsidR="00B74F8A" w:rsidTr="00236F52">
        <w:tc>
          <w:tcPr>
            <w:tcW w:w="1366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42</w:t>
            </w:r>
          </w:p>
        </w:tc>
        <w:tc>
          <w:tcPr>
            <w:tcW w:w="7688" w:type="dxa"/>
          </w:tcPr>
          <w:p w:rsidR="00B74F8A" w:rsidRDefault="0035748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Algunas complicaciones que pueden presentarse</w:t>
            </w:r>
          </w:p>
        </w:tc>
      </w:tr>
      <w:tr w:rsidR="00B74F8A" w:rsidTr="00236F52">
        <w:tc>
          <w:tcPr>
            <w:tcW w:w="1366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43</w:t>
            </w:r>
          </w:p>
        </w:tc>
        <w:tc>
          <w:tcPr>
            <w:tcW w:w="7688" w:type="dxa"/>
          </w:tcPr>
          <w:p w:rsidR="00B74F8A" w:rsidRDefault="0035748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Diagnóstico diferencial en animales domésticos</w:t>
            </w:r>
          </w:p>
        </w:tc>
      </w:tr>
      <w:tr w:rsidR="00B74F8A" w:rsidTr="00236F52">
        <w:tc>
          <w:tcPr>
            <w:tcW w:w="1366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</w:t>
            </w:r>
          </w:p>
        </w:tc>
        <w:tc>
          <w:tcPr>
            <w:tcW w:w="7688" w:type="dxa"/>
          </w:tcPr>
          <w:p w:rsidR="00B74F8A" w:rsidRDefault="0035748D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Prevensión</w:t>
            </w:r>
            <w:proofErr w:type="spellEnd"/>
          </w:p>
        </w:tc>
      </w:tr>
      <w:tr w:rsidR="00B74F8A" w:rsidTr="00236F52">
        <w:tc>
          <w:tcPr>
            <w:tcW w:w="1366" w:type="dxa"/>
          </w:tcPr>
          <w:p w:rsidR="00B74F8A" w:rsidRDefault="00B7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7688" w:type="dxa"/>
          </w:tcPr>
          <w:p w:rsidR="00B74F8A" w:rsidRDefault="00800F5F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Bibliografia</w:t>
            </w:r>
            <w:proofErr w:type="spellEnd"/>
          </w:p>
        </w:tc>
      </w:tr>
    </w:tbl>
    <w:p w:rsidR="004748A9" w:rsidRPr="006B511C" w:rsidRDefault="004748A9">
      <w:pPr>
        <w:rPr>
          <w:rFonts w:ascii="Arial" w:hAnsi="Arial" w:cs="Arial"/>
          <w:sz w:val="36"/>
          <w:szCs w:val="36"/>
        </w:rPr>
      </w:pPr>
    </w:p>
    <w:sectPr w:rsidR="004748A9" w:rsidRPr="006B511C" w:rsidSect="002F1C0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E1228"/>
    <w:rsid w:val="000828CB"/>
    <w:rsid w:val="001D6063"/>
    <w:rsid w:val="00236F52"/>
    <w:rsid w:val="002535F0"/>
    <w:rsid w:val="002A05B6"/>
    <w:rsid w:val="002F1C0B"/>
    <w:rsid w:val="003546B7"/>
    <w:rsid w:val="0035748D"/>
    <w:rsid w:val="003C1526"/>
    <w:rsid w:val="003E11AE"/>
    <w:rsid w:val="003E617C"/>
    <w:rsid w:val="00434AF0"/>
    <w:rsid w:val="004748A9"/>
    <w:rsid w:val="004A6777"/>
    <w:rsid w:val="00642406"/>
    <w:rsid w:val="00650E55"/>
    <w:rsid w:val="006B511C"/>
    <w:rsid w:val="006F50EB"/>
    <w:rsid w:val="007A021B"/>
    <w:rsid w:val="00800F5F"/>
    <w:rsid w:val="00926568"/>
    <w:rsid w:val="00956C2D"/>
    <w:rsid w:val="00A35F3B"/>
    <w:rsid w:val="00AA232B"/>
    <w:rsid w:val="00B74F8A"/>
    <w:rsid w:val="00CD571B"/>
    <w:rsid w:val="00CE1228"/>
    <w:rsid w:val="00D04B83"/>
    <w:rsid w:val="00D348C8"/>
    <w:rsid w:val="00D44471"/>
    <w:rsid w:val="00D91716"/>
    <w:rsid w:val="00E14A73"/>
    <w:rsid w:val="00FF6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5:docId w15:val="{A41C2676-3308-42AF-98D8-745FC4263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1C0B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B5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511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4748A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823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6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9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3</Pages>
  <Words>391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Rosario</dc:creator>
  <cp:lastModifiedBy>UAEM Rosario</cp:lastModifiedBy>
  <cp:revision>15</cp:revision>
  <dcterms:created xsi:type="dcterms:W3CDTF">2014-09-28T01:16:00Z</dcterms:created>
  <dcterms:modified xsi:type="dcterms:W3CDTF">2016-10-12T22:50:00Z</dcterms:modified>
</cp:coreProperties>
</file>